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1E50E8">
      <w:pPr>
        <w:rPr>
          <w:rFonts w:hint="default" w:ascii="黑体" w:hAnsi="黑体" w:eastAsia="黑体"/>
          <w:color w:val="auto"/>
          <w:sz w:val="32"/>
          <w:szCs w:val="32"/>
          <w:highlight w:val="none"/>
          <w:lang w:val="en-US" w:eastAsia="zh-CN"/>
        </w:rPr>
      </w:pPr>
    </w:p>
    <w:p w14:paraId="7E039B8B">
      <w:pPr>
        <w:jc w:val="center"/>
        <w:rPr>
          <w:rFonts w:hint="eastAsia" w:ascii="黑体" w:hAnsi="黑体" w:eastAsia="黑体"/>
          <w:color w:val="auto"/>
          <w:spacing w:val="5760"/>
          <w:w w:val="100"/>
          <w:kern w:val="0"/>
          <w:sz w:val="36"/>
          <w:szCs w:val="36"/>
          <w:highlight w:val="none"/>
          <w:fitText w:val="6120" w:id="-1002138880"/>
          <w:lang w:val="en-US" w:eastAsia="zh-CN"/>
        </w:rPr>
      </w:pPr>
    </w:p>
    <w:p w14:paraId="143A0883">
      <w:pPr>
        <w:jc w:val="center"/>
        <w:rPr>
          <w:rFonts w:hint="eastAsia" w:ascii="宋体" w:hAnsi="宋体" w:eastAsia="宋体" w:cs="宋体"/>
          <w:b/>
          <w:bCs/>
          <w:color w:val="auto"/>
          <w:sz w:val="60"/>
          <w:szCs w:val="60"/>
          <w:highlight w:val="none"/>
          <w:lang w:val="en-US" w:eastAsia="zh-CN"/>
        </w:rPr>
      </w:pPr>
      <w:r>
        <w:rPr>
          <w:rFonts w:hint="eastAsia" w:ascii="宋体" w:hAnsi="宋体" w:eastAsia="宋体" w:cs="宋体"/>
          <w:b/>
          <w:bCs/>
          <w:color w:val="auto"/>
          <w:kern w:val="0"/>
          <w:sz w:val="60"/>
          <w:szCs w:val="60"/>
          <w:highlight w:val="none"/>
          <w:lang w:val="en-US" w:eastAsia="zh-CN"/>
        </w:rPr>
        <w:t>兵团政府采购项目</w:t>
      </w:r>
    </w:p>
    <w:p w14:paraId="481F777F">
      <w:pPr>
        <w:jc w:val="center"/>
        <w:rPr>
          <w:rFonts w:hint="eastAsia" w:ascii="宋体" w:hAnsi="宋体" w:eastAsia="宋体" w:cs="宋体"/>
          <w:b/>
          <w:bCs/>
          <w:color w:val="auto"/>
          <w:sz w:val="60"/>
          <w:szCs w:val="60"/>
          <w:highlight w:val="none"/>
        </w:rPr>
      </w:pPr>
      <w:r>
        <w:rPr>
          <w:rFonts w:hint="eastAsia" w:ascii="宋体" w:hAnsi="宋体" w:eastAsia="宋体" w:cs="宋体"/>
          <w:b/>
          <w:bCs/>
          <w:color w:val="auto"/>
          <w:sz w:val="60"/>
          <w:szCs w:val="60"/>
          <w:highlight w:val="none"/>
        </w:rPr>
        <w:t>公开招标文件</w:t>
      </w:r>
    </w:p>
    <w:p w14:paraId="2348539C">
      <w:pPr>
        <w:jc w:val="center"/>
        <w:rPr>
          <w:rFonts w:hint="eastAsia" w:ascii="宋体" w:hAnsi="宋体" w:eastAsia="宋体" w:cs="宋体"/>
          <w:b/>
          <w:bCs/>
          <w:color w:val="auto"/>
          <w:sz w:val="60"/>
          <w:szCs w:val="60"/>
          <w:highlight w:val="none"/>
        </w:rPr>
      </w:pPr>
      <w:r>
        <w:rPr>
          <w:rFonts w:hint="eastAsia" w:ascii="宋体" w:hAnsi="宋体" w:eastAsia="宋体" w:cs="宋体"/>
          <w:b/>
          <w:bCs/>
          <w:color w:val="auto"/>
          <w:sz w:val="60"/>
          <w:szCs w:val="60"/>
          <w:highlight w:val="none"/>
          <w:lang w:val="en-US" w:eastAsia="zh-CN"/>
        </w:rPr>
        <w:t>（货物）</w:t>
      </w:r>
    </w:p>
    <w:p w14:paraId="7757DFAA">
      <w:pPr>
        <w:spacing w:line="240" w:lineRule="auto"/>
        <w:jc w:val="center"/>
        <w:rPr>
          <w:rFonts w:ascii="黑体" w:hAnsi="黑体" w:eastAsia="黑体"/>
          <w:color w:val="auto"/>
          <w:sz w:val="52"/>
          <w:szCs w:val="52"/>
          <w:highlight w:val="none"/>
        </w:rPr>
      </w:pPr>
    </w:p>
    <w:p w14:paraId="2A213AE5">
      <w:pPr>
        <w:pStyle w:val="13"/>
        <w:rPr>
          <w:rFonts w:ascii="黑体" w:hAnsi="黑体" w:eastAsia="黑体"/>
          <w:color w:val="auto"/>
          <w:sz w:val="52"/>
          <w:szCs w:val="52"/>
          <w:highlight w:val="none"/>
        </w:rPr>
      </w:pPr>
    </w:p>
    <w:p w14:paraId="67E856E7">
      <w:pPr>
        <w:spacing w:line="240" w:lineRule="auto"/>
        <w:jc w:val="center"/>
        <w:rPr>
          <w:rFonts w:ascii="黑体" w:hAnsi="黑体" w:eastAsia="黑体"/>
          <w:color w:val="auto"/>
          <w:sz w:val="52"/>
          <w:szCs w:val="52"/>
          <w:highlight w:val="none"/>
        </w:rPr>
      </w:pPr>
    </w:p>
    <w:p w14:paraId="6D6F27DE">
      <w:pPr>
        <w:pStyle w:val="13"/>
        <w:rPr>
          <w:rFonts w:ascii="黑体" w:hAnsi="黑体" w:eastAsia="黑体"/>
          <w:color w:val="auto"/>
          <w:sz w:val="52"/>
          <w:szCs w:val="52"/>
          <w:highlight w:val="none"/>
        </w:rPr>
      </w:pPr>
    </w:p>
    <w:p w14:paraId="39A452AB">
      <w:pPr>
        <w:pStyle w:val="13"/>
        <w:rPr>
          <w:rFonts w:ascii="黑体" w:hAnsi="黑体" w:eastAsia="黑体"/>
          <w:color w:val="auto"/>
          <w:sz w:val="52"/>
          <w:szCs w:val="52"/>
          <w:highlight w:val="none"/>
        </w:rPr>
      </w:pPr>
    </w:p>
    <w:p w14:paraId="6E97F6A4">
      <w:pPr>
        <w:spacing w:line="240" w:lineRule="auto"/>
        <w:jc w:val="center"/>
        <w:rPr>
          <w:rFonts w:ascii="黑体" w:hAnsi="黑体" w:eastAsia="黑体"/>
          <w:color w:val="auto"/>
          <w:sz w:val="52"/>
          <w:szCs w:val="52"/>
          <w:highlight w:val="none"/>
        </w:rPr>
      </w:pPr>
    </w:p>
    <w:p w14:paraId="0F88ECFE">
      <w:pPr>
        <w:ind w:left="420" w:leftChars="175"/>
        <w:rPr>
          <w:rFonts w:hint="default" w:ascii="宋体" w:hAnsi="宋体" w:eastAsia="宋体" w:cs="宋体"/>
          <w:color w:val="auto"/>
          <w:sz w:val="36"/>
          <w:szCs w:val="36"/>
          <w:highlight w:val="none"/>
          <w:lang w:val="en-US" w:eastAsia="zh-CN"/>
        </w:rPr>
      </w:pPr>
      <w:r>
        <w:rPr>
          <w:rFonts w:hint="eastAsia" w:ascii="宋体" w:hAnsi="宋体" w:eastAsia="宋体" w:cs="宋体"/>
          <w:color w:val="auto"/>
          <w:sz w:val="36"/>
          <w:szCs w:val="36"/>
          <w:highlight w:val="none"/>
        </w:rPr>
        <w:t>项目编号</w:t>
      </w:r>
      <w:r>
        <w:rPr>
          <w:rFonts w:hint="eastAsia" w:ascii="宋体" w:hAnsi="宋体" w:eastAsia="宋体" w:cs="宋体"/>
          <w:color w:val="auto"/>
          <w:sz w:val="36"/>
          <w:szCs w:val="36"/>
          <w:highlight w:val="none"/>
          <w:lang w:val="en-US" w:eastAsia="zh-CN"/>
        </w:rPr>
        <w:t>/包号</w:t>
      </w:r>
      <w:r>
        <w:rPr>
          <w:rFonts w:hint="eastAsia" w:ascii="宋体" w:hAnsi="宋体" w:eastAsia="宋体" w:cs="宋体"/>
          <w:color w:val="auto"/>
          <w:sz w:val="36"/>
          <w:szCs w:val="36"/>
          <w:highlight w:val="none"/>
        </w:rPr>
        <w:t>：</w:t>
      </w:r>
      <w:r>
        <w:rPr>
          <w:rFonts w:hint="eastAsia" w:ascii="宋体" w:hAnsi="宋体" w:eastAsia="宋体" w:cs="宋体"/>
          <w:color w:val="auto"/>
          <w:sz w:val="36"/>
          <w:szCs w:val="36"/>
          <w:highlight w:val="none"/>
          <w:u w:val="single"/>
          <w:lang w:val="hr-HR" w:eastAsia="zh-CN"/>
        </w:rPr>
        <w:fldChar w:fldCharType="begin"/>
      </w:r>
      <w:r>
        <w:rPr>
          <w:rFonts w:hint="eastAsia" w:ascii="宋体" w:hAnsi="宋体" w:eastAsia="宋体" w:cs="宋体"/>
          <w:color w:val="auto"/>
          <w:sz w:val="36"/>
          <w:szCs w:val="36"/>
          <w:highlight w:val="none"/>
          <w:u w:val="single"/>
          <w:lang w:val="hr-HR" w:eastAsia="zh-CN"/>
        </w:rPr>
        <w:instrText xml:space="preserve"> HYPERLINK "https://pay.zcygov.cn/purchaseplan_front/" \l "/plan/list/view?id=1000000000017531170&amp;_app_=zcy.procurement" \t "https://www.zcygov.cn/project-center/_procurement_/purchasePlans/_blank" </w:instrText>
      </w:r>
      <w:r>
        <w:rPr>
          <w:rFonts w:hint="eastAsia" w:ascii="宋体" w:hAnsi="宋体" w:eastAsia="宋体" w:cs="宋体"/>
          <w:color w:val="auto"/>
          <w:sz w:val="36"/>
          <w:szCs w:val="36"/>
          <w:highlight w:val="none"/>
          <w:u w:val="single"/>
          <w:lang w:val="hr-HR" w:eastAsia="zh-CN"/>
        </w:rPr>
        <w:fldChar w:fldCharType="separate"/>
      </w:r>
      <w:r>
        <w:rPr>
          <w:rFonts w:hint="eastAsia" w:ascii="宋体" w:hAnsi="宋体" w:eastAsia="宋体" w:cs="宋体"/>
          <w:color w:val="auto"/>
          <w:sz w:val="36"/>
          <w:szCs w:val="36"/>
          <w:highlight w:val="none"/>
          <w:u w:val="single"/>
          <w:lang w:val="hr-HR" w:eastAsia="zh-CN"/>
        </w:rPr>
        <w:t>B1S[2026]111号</w:t>
      </w:r>
      <w:r>
        <w:rPr>
          <w:rFonts w:hint="eastAsia" w:ascii="宋体" w:hAnsi="宋体" w:eastAsia="宋体" w:cs="宋体"/>
          <w:color w:val="auto"/>
          <w:sz w:val="36"/>
          <w:szCs w:val="36"/>
          <w:highlight w:val="none"/>
          <w:u w:val="single"/>
          <w:lang w:val="hr-HR" w:eastAsia="zh-CN"/>
        </w:rPr>
        <w:fldChar w:fldCharType="end"/>
      </w:r>
      <w:r>
        <w:rPr>
          <w:rFonts w:hint="eastAsia" w:cs="宋体"/>
          <w:color w:val="auto"/>
          <w:sz w:val="36"/>
          <w:szCs w:val="36"/>
          <w:highlight w:val="none"/>
          <w:u w:val="single"/>
          <w:lang w:val="en-US" w:eastAsia="zh-CN"/>
        </w:rPr>
        <w:t>-01</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cs="宋体"/>
          <w:color w:val="auto"/>
          <w:sz w:val="36"/>
          <w:szCs w:val="36"/>
          <w:highlight w:val="none"/>
          <w:u w:val="single"/>
          <w:lang w:val="en-US" w:eastAsia="zh-CN"/>
        </w:rPr>
        <w:t xml:space="preserve"> </w:t>
      </w:r>
    </w:p>
    <w:p w14:paraId="0E6E48F8">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项目名称：</w:t>
      </w:r>
      <w:r>
        <w:rPr>
          <w:rFonts w:hint="default" w:cs="宋体"/>
          <w:color w:val="auto"/>
          <w:sz w:val="36"/>
          <w:szCs w:val="36"/>
          <w:highlight w:val="none"/>
          <w:u w:val="single"/>
          <w:lang w:val="en-US" w:eastAsia="zh-CN"/>
        </w:rPr>
        <w:t>塔里木职业技术学院2026年现代职业教育质量提升计划项目（数智纺织实训室建设）</w:t>
      </w:r>
      <w:r>
        <w:rPr>
          <w:rFonts w:hint="eastAsia" w:ascii="宋体" w:hAnsi="宋体" w:eastAsia="宋体" w:cs="宋体"/>
          <w:color w:val="auto"/>
          <w:sz w:val="36"/>
          <w:szCs w:val="36"/>
          <w:highlight w:val="none"/>
          <w:u w:val="single"/>
        </w:rPr>
        <w:t xml:space="preserve">                                </w:t>
      </w:r>
    </w:p>
    <w:p w14:paraId="78F6E990">
      <w:pPr>
        <w:ind w:left="420" w:leftChars="175"/>
        <w:rPr>
          <w:rFonts w:hint="default" w:ascii="宋体" w:hAnsi="宋体" w:eastAsia="宋体" w:cs="宋体"/>
          <w:color w:val="auto"/>
          <w:sz w:val="36"/>
          <w:szCs w:val="36"/>
          <w:highlight w:val="none"/>
          <w:u w:val="single"/>
          <w:lang w:val="en-US" w:eastAsia="zh-CN"/>
        </w:rPr>
      </w:pPr>
      <w:r>
        <w:rPr>
          <w:rFonts w:hint="eastAsia" w:ascii="宋体" w:hAnsi="宋体" w:eastAsia="宋体" w:cs="宋体"/>
          <w:color w:val="auto"/>
          <w:sz w:val="36"/>
          <w:szCs w:val="36"/>
          <w:highlight w:val="none"/>
        </w:rPr>
        <w:t>采</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rPr>
        <w:t>购</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rPr>
        <w:t>人：</w:t>
      </w:r>
      <w:r>
        <w:rPr>
          <w:rFonts w:hint="eastAsia" w:ascii="宋体" w:hAnsi="宋体" w:eastAsia="宋体" w:cs="宋体"/>
          <w:color w:val="auto"/>
          <w:sz w:val="36"/>
          <w:szCs w:val="36"/>
          <w:highlight w:val="none"/>
          <w:u w:val="single"/>
          <w:lang w:val="en-US" w:eastAsia="zh-CN"/>
        </w:rPr>
        <w:t>塔里木职业技术学院</w:t>
      </w:r>
      <w:r>
        <w:rPr>
          <w:rFonts w:hint="eastAsia" w:ascii="宋体" w:hAnsi="宋体" w:eastAsia="宋体" w:cs="宋体"/>
          <w:color w:val="auto"/>
          <w:sz w:val="36"/>
          <w:szCs w:val="36"/>
          <w:highlight w:val="none"/>
          <w:u w:val="single"/>
        </w:rPr>
        <w:t xml:space="preserve"> </w:t>
      </w:r>
      <w:r>
        <w:rPr>
          <w:rFonts w:hint="eastAsia" w:cs="宋体"/>
          <w:color w:val="auto"/>
          <w:sz w:val="36"/>
          <w:szCs w:val="36"/>
          <w:highlight w:val="none"/>
          <w:u w:val="single"/>
          <w:lang w:val="en-US" w:eastAsia="zh-CN"/>
        </w:rPr>
        <w:t xml:space="preserve">                      </w:t>
      </w:r>
    </w:p>
    <w:p w14:paraId="4B180FDF">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采购代理机构：</w:t>
      </w:r>
      <w:r>
        <w:rPr>
          <w:rFonts w:hint="eastAsia" w:ascii="宋体" w:hAnsi="宋体" w:eastAsia="宋体" w:cs="宋体"/>
          <w:color w:val="auto"/>
          <w:sz w:val="36"/>
          <w:szCs w:val="36"/>
          <w:highlight w:val="none"/>
          <w:u w:val="single"/>
          <w:lang w:val="en-US" w:eastAsia="zh-CN"/>
        </w:rPr>
        <w:t xml:space="preserve">新疆同滕工程项目管理有限公司  </w:t>
      </w:r>
      <w:r>
        <w:rPr>
          <w:rFonts w:hint="eastAsia" w:ascii="宋体" w:hAnsi="宋体" w:eastAsia="宋体" w:cs="宋体"/>
          <w:color w:val="auto"/>
          <w:sz w:val="36"/>
          <w:szCs w:val="36"/>
          <w:highlight w:val="none"/>
          <w:u w:val="single"/>
        </w:rPr>
        <w:t xml:space="preserve">                           </w:t>
      </w:r>
    </w:p>
    <w:p w14:paraId="2C93F193">
      <w:pPr>
        <w:rPr>
          <w:rFonts w:ascii="黑体" w:hAnsi="黑体" w:eastAsia="黑体"/>
          <w:color w:val="auto"/>
          <w:highlight w:val="none"/>
        </w:rPr>
      </w:pPr>
    </w:p>
    <w:p w14:paraId="2E6E0FD2">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 xml:space="preserve">目 </w:t>
      </w:r>
      <w:r>
        <w:rPr>
          <w:rFonts w:hint="eastAsia" w:ascii="宋体" w:hAnsi="宋体" w:eastAsia="宋体" w:cs="宋体"/>
          <w:b/>
          <w:bCs/>
          <w:color w:val="auto"/>
          <w:sz w:val="36"/>
          <w:szCs w:val="36"/>
          <w:highlight w:val="none"/>
          <w:lang w:val="en-US" w:eastAsia="zh-CN"/>
        </w:rPr>
        <w:t xml:space="preserve"> </w:t>
      </w:r>
      <w:r>
        <w:rPr>
          <w:rFonts w:hint="eastAsia" w:ascii="宋体" w:hAnsi="宋体" w:eastAsia="宋体" w:cs="宋体"/>
          <w:b/>
          <w:bCs/>
          <w:color w:val="auto"/>
          <w:sz w:val="36"/>
          <w:szCs w:val="36"/>
          <w:highlight w:val="none"/>
        </w:rPr>
        <w:t>录</w:t>
      </w:r>
    </w:p>
    <w:p w14:paraId="55100918">
      <w:pPr>
        <w:jc w:val="center"/>
        <w:rPr>
          <w:rFonts w:hint="eastAsia" w:ascii="宋体" w:hAnsi="宋体" w:eastAsia="宋体" w:cs="宋体"/>
          <w:b/>
          <w:bCs/>
          <w:color w:val="auto"/>
          <w:sz w:val="36"/>
          <w:szCs w:val="36"/>
          <w:highlight w:val="none"/>
        </w:rPr>
      </w:pPr>
    </w:p>
    <w:p w14:paraId="3E589301">
      <w:pPr>
        <w:pStyle w:val="22"/>
        <w:tabs>
          <w:tab w:val="right" w:leader="dot" w:pos="8306"/>
        </w:tabs>
        <w:rPr>
          <w:rFonts w:hint="eastAsia" w:ascii="宋体" w:hAnsi="宋体" w:eastAsia="宋体" w:cs="宋体"/>
          <w:color w:val="auto"/>
          <w:sz w:val="28"/>
          <w:szCs w:val="28"/>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TOC \o "1-2" \h \u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_Toc7342 </w:instrText>
      </w:r>
      <w:r>
        <w:rPr>
          <w:rFonts w:hint="eastAsia" w:ascii="宋体" w:hAnsi="宋体" w:eastAsia="宋体" w:cs="宋体"/>
          <w:color w:val="auto"/>
          <w:sz w:val="28"/>
          <w:szCs w:val="28"/>
          <w:highlight w:val="none"/>
        </w:rPr>
        <w:fldChar w:fldCharType="separate"/>
      </w:r>
      <w:r>
        <w:rPr>
          <w:rFonts w:hint="eastAsia" w:ascii="宋体" w:hAnsi="宋体" w:eastAsia="宋体" w:cs="宋体"/>
          <w:bCs/>
          <w:color w:val="auto"/>
          <w:kern w:val="44"/>
          <w:sz w:val="28"/>
          <w:szCs w:val="28"/>
          <w:highlight w:val="none"/>
          <w:lang w:val="en-US" w:eastAsia="zh-CN" w:bidi="ar-SA"/>
        </w:rPr>
        <w:t xml:space="preserve">第一章 </w:t>
      </w:r>
      <w:r>
        <w:rPr>
          <w:rFonts w:hint="eastAsia" w:ascii="宋体" w:hAnsi="宋体" w:eastAsia="宋体" w:cs="宋体"/>
          <w:color w:val="auto"/>
          <w:sz w:val="28"/>
          <w:szCs w:val="28"/>
          <w:highlight w:val="none"/>
          <w:lang w:val="en-US" w:eastAsia="zh-CN"/>
        </w:rPr>
        <w:t>招标公告</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_Toc7342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- 1 -</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highlight w:val="none"/>
        </w:rPr>
        <w:fldChar w:fldCharType="end"/>
      </w:r>
    </w:p>
    <w:p w14:paraId="00F03E5C">
      <w:pPr>
        <w:pStyle w:val="22"/>
        <w:tabs>
          <w:tab w:val="right" w:leader="dot" w:pos="8306"/>
        </w:tabs>
        <w:rPr>
          <w:rFonts w:hint="eastAsia" w:ascii="宋体" w:hAnsi="宋体" w:eastAsia="宋体" w:cs="宋体"/>
          <w:color w:val="auto"/>
          <w:sz w:val="28"/>
          <w:szCs w:val="28"/>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_Toc21296 </w:instrText>
      </w:r>
      <w:r>
        <w:rPr>
          <w:rFonts w:hint="eastAsia" w:ascii="宋体" w:hAnsi="宋体" w:eastAsia="宋体" w:cs="宋体"/>
          <w:color w:val="auto"/>
          <w:sz w:val="28"/>
          <w:szCs w:val="28"/>
          <w:highlight w:val="none"/>
        </w:rPr>
        <w:fldChar w:fldCharType="separate"/>
      </w:r>
      <w:r>
        <w:rPr>
          <w:rFonts w:hint="eastAsia" w:ascii="宋体" w:hAnsi="宋体" w:eastAsia="宋体" w:cs="宋体"/>
          <w:bCs/>
          <w:color w:val="auto"/>
          <w:kern w:val="44"/>
          <w:sz w:val="28"/>
          <w:szCs w:val="28"/>
          <w:highlight w:val="none"/>
          <w:lang w:val="en-US" w:eastAsia="zh-CN" w:bidi="ar-SA"/>
        </w:rPr>
        <w:t>第二章 投标人须知</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_Toc21296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- 4 -</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highlight w:val="none"/>
        </w:rPr>
        <w:fldChar w:fldCharType="end"/>
      </w:r>
    </w:p>
    <w:p w14:paraId="7D5FC31E">
      <w:pPr>
        <w:pStyle w:val="22"/>
        <w:tabs>
          <w:tab w:val="right" w:leader="dot" w:pos="8306"/>
        </w:tabs>
        <w:rPr>
          <w:rFonts w:hint="eastAsia" w:ascii="宋体" w:hAnsi="宋体" w:eastAsia="宋体" w:cs="宋体"/>
          <w:color w:val="auto"/>
          <w:sz w:val="28"/>
          <w:szCs w:val="28"/>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_Toc21689 </w:instrText>
      </w:r>
      <w:r>
        <w:rPr>
          <w:rFonts w:hint="eastAsia" w:ascii="宋体" w:hAnsi="宋体" w:eastAsia="宋体" w:cs="宋体"/>
          <w:color w:val="auto"/>
          <w:sz w:val="28"/>
          <w:szCs w:val="28"/>
          <w:highlight w:val="none"/>
        </w:rPr>
        <w:fldChar w:fldCharType="separate"/>
      </w:r>
      <w:r>
        <w:rPr>
          <w:rFonts w:hint="eastAsia" w:ascii="宋体" w:hAnsi="宋体" w:eastAsia="宋体" w:cs="宋体"/>
          <w:bCs/>
          <w:color w:val="auto"/>
          <w:kern w:val="44"/>
          <w:sz w:val="28"/>
          <w:szCs w:val="28"/>
          <w:highlight w:val="none"/>
          <w:lang w:val="en-US" w:eastAsia="zh-CN" w:bidi="ar-SA"/>
        </w:rPr>
        <w:t>第三章 采购需求</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_Toc21689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- 40 -</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highlight w:val="none"/>
        </w:rPr>
        <w:fldChar w:fldCharType="end"/>
      </w:r>
    </w:p>
    <w:p w14:paraId="23592CD9">
      <w:pPr>
        <w:pStyle w:val="22"/>
        <w:tabs>
          <w:tab w:val="right" w:leader="dot" w:pos="8306"/>
        </w:tabs>
        <w:rPr>
          <w:rFonts w:hint="eastAsia" w:ascii="宋体" w:hAnsi="宋体" w:eastAsia="宋体" w:cs="宋体"/>
          <w:color w:val="auto"/>
          <w:sz w:val="28"/>
          <w:szCs w:val="28"/>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_Toc12528 </w:instrText>
      </w:r>
      <w:r>
        <w:rPr>
          <w:rFonts w:hint="eastAsia" w:ascii="宋体" w:hAnsi="宋体" w:eastAsia="宋体" w:cs="宋体"/>
          <w:color w:val="auto"/>
          <w:sz w:val="28"/>
          <w:szCs w:val="28"/>
          <w:highlight w:val="none"/>
        </w:rPr>
        <w:fldChar w:fldCharType="separate"/>
      </w:r>
      <w:r>
        <w:rPr>
          <w:rFonts w:hint="eastAsia" w:ascii="宋体" w:hAnsi="宋体" w:eastAsia="宋体" w:cs="宋体"/>
          <w:bCs/>
          <w:color w:val="auto"/>
          <w:kern w:val="44"/>
          <w:sz w:val="28"/>
          <w:szCs w:val="28"/>
          <w:highlight w:val="none"/>
          <w:lang w:val="en-US" w:eastAsia="zh-CN" w:bidi="ar-SA"/>
        </w:rPr>
        <w:t>第四章 资格审查</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_Toc12528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- 46 -</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highlight w:val="none"/>
        </w:rPr>
        <w:fldChar w:fldCharType="end"/>
      </w:r>
    </w:p>
    <w:p w14:paraId="119843F3">
      <w:pPr>
        <w:pStyle w:val="22"/>
        <w:tabs>
          <w:tab w:val="right" w:leader="dot" w:pos="8306"/>
        </w:tabs>
        <w:rPr>
          <w:rFonts w:hint="eastAsia" w:ascii="宋体" w:hAnsi="宋体" w:eastAsia="宋体" w:cs="宋体"/>
          <w:color w:val="auto"/>
          <w:sz w:val="28"/>
          <w:szCs w:val="28"/>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_Toc29685 </w:instrText>
      </w:r>
      <w:r>
        <w:rPr>
          <w:rFonts w:hint="eastAsia" w:ascii="宋体" w:hAnsi="宋体" w:eastAsia="宋体" w:cs="宋体"/>
          <w:color w:val="auto"/>
          <w:sz w:val="28"/>
          <w:szCs w:val="28"/>
          <w:highlight w:val="none"/>
        </w:rPr>
        <w:fldChar w:fldCharType="separate"/>
      </w:r>
      <w:r>
        <w:rPr>
          <w:rFonts w:hint="eastAsia" w:ascii="宋体" w:hAnsi="宋体" w:eastAsia="宋体" w:cs="宋体"/>
          <w:bCs/>
          <w:color w:val="auto"/>
          <w:kern w:val="44"/>
          <w:sz w:val="28"/>
          <w:szCs w:val="28"/>
          <w:highlight w:val="none"/>
          <w:lang w:val="en-US" w:eastAsia="zh-CN" w:bidi="ar-SA"/>
        </w:rPr>
        <w:t>第五章 评标方法及标准(综合评分法)</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_Toc29685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- 47 -</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highlight w:val="none"/>
        </w:rPr>
        <w:fldChar w:fldCharType="end"/>
      </w:r>
    </w:p>
    <w:p w14:paraId="45CCA84C">
      <w:pPr>
        <w:pStyle w:val="22"/>
        <w:tabs>
          <w:tab w:val="right" w:leader="dot" w:pos="8306"/>
        </w:tabs>
        <w:rPr>
          <w:rFonts w:hint="eastAsia" w:ascii="宋体" w:hAnsi="宋体" w:eastAsia="宋体" w:cs="宋体"/>
          <w:color w:val="auto"/>
          <w:sz w:val="28"/>
          <w:szCs w:val="28"/>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_Toc4842 </w:instrText>
      </w:r>
      <w:r>
        <w:rPr>
          <w:rFonts w:hint="eastAsia" w:ascii="宋体" w:hAnsi="宋体" w:eastAsia="宋体" w:cs="宋体"/>
          <w:color w:val="auto"/>
          <w:sz w:val="28"/>
          <w:szCs w:val="28"/>
          <w:highlight w:val="none"/>
        </w:rPr>
        <w:fldChar w:fldCharType="separate"/>
      </w:r>
      <w:r>
        <w:rPr>
          <w:rFonts w:hint="eastAsia" w:ascii="宋体" w:hAnsi="宋体" w:eastAsia="宋体" w:cs="宋体"/>
          <w:bCs/>
          <w:color w:val="auto"/>
          <w:kern w:val="44"/>
          <w:sz w:val="28"/>
          <w:szCs w:val="28"/>
          <w:highlight w:val="none"/>
          <w:lang w:val="zh-CN" w:eastAsia="zh-CN" w:bidi="ar-SA"/>
        </w:rPr>
        <w:t>第六章 合同草案</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_Toc4842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- 59 -</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highlight w:val="none"/>
        </w:rPr>
        <w:fldChar w:fldCharType="end"/>
      </w:r>
    </w:p>
    <w:p w14:paraId="50A54F72">
      <w:pPr>
        <w:pStyle w:val="22"/>
        <w:tabs>
          <w:tab w:val="right" w:leader="dot" w:pos="8306"/>
        </w:tabs>
        <w:rPr>
          <w:rFonts w:hint="eastAsia" w:ascii="宋体" w:hAnsi="宋体" w:eastAsia="宋体" w:cs="宋体"/>
          <w:color w:val="auto"/>
          <w:sz w:val="28"/>
          <w:szCs w:val="28"/>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_Toc4655 </w:instrText>
      </w:r>
      <w:r>
        <w:rPr>
          <w:rFonts w:hint="eastAsia" w:ascii="宋体" w:hAnsi="宋体" w:eastAsia="宋体" w:cs="宋体"/>
          <w:color w:val="auto"/>
          <w:sz w:val="28"/>
          <w:szCs w:val="28"/>
          <w:highlight w:val="none"/>
        </w:rPr>
        <w:fldChar w:fldCharType="separate"/>
      </w:r>
      <w:r>
        <w:rPr>
          <w:rFonts w:hint="eastAsia" w:ascii="宋体" w:hAnsi="宋体" w:eastAsia="宋体" w:cs="宋体"/>
          <w:bCs/>
          <w:color w:val="auto"/>
          <w:kern w:val="44"/>
          <w:sz w:val="28"/>
          <w:szCs w:val="28"/>
          <w:highlight w:val="none"/>
          <w:lang w:val="en-US" w:eastAsia="zh-CN" w:bidi="ar-SA"/>
        </w:rPr>
        <w:t>第七章 投标文件格式</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_Toc4655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- 75 -</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highlight w:val="none"/>
        </w:rPr>
        <w:fldChar w:fldCharType="end"/>
      </w:r>
    </w:p>
    <w:p w14:paraId="0DD905C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30"/>
          <w:szCs w:val="30"/>
          <w:highlight w:val="none"/>
        </w:rPr>
      </w:pPr>
      <w:r>
        <w:rPr>
          <w:rFonts w:hint="eastAsia" w:ascii="宋体" w:hAnsi="宋体" w:eastAsia="宋体" w:cs="宋体"/>
          <w:color w:val="auto"/>
          <w:sz w:val="28"/>
          <w:szCs w:val="28"/>
          <w:highlight w:val="none"/>
        </w:rPr>
        <w:fldChar w:fldCharType="end"/>
      </w:r>
    </w:p>
    <w:p w14:paraId="4C618998">
      <w:pPr>
        <w:jc w:val="center"/>
        <w:rPr>
          <w:rFonts w:ascii="黑体" w:hAnsi="黑体" w:eastAsia="黑体"/>
          <w:b/>
          <w:bCs/>
          <w:color w:val="auto"/>
          <w:sz w:val="32"/>
          <w:szCs w:val="32"/>
          <w:highlight w:val="none"/>
        </w:rPr>
        <w:sectPr>
          <w:headerReference r:id="rId5"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29DD1FCB">
      <w:pPr>
        <w:pStyle w:val="2"/>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宋体" w:hAnsi="宋体" w:eastAsia="宋体" w:cs="宋体"/>
          <w:color w:val="auto"/>
          <w:sz w:val="36"/>
          <w:szCs w:val="36"/>
          <w:highlight w:val="none"/>
          <w:lang w:val="en-US" w:eastAsia="zh-CN"/>
        </w:rPr>
      </w:pPr>
      <w:bookmarkStart w:id="0" w:name="_Toc163492811"/>
      <w:bookmarkStart w:id="1" w:name="_Toc155185859"/>
      <w:bookmarkStart w:id="2" w:name="_Toc7342"/>
      <w:r>
        <w:rPr>
          <w:rFonts w:hint="eastAsia" w:ascii="宋体" w:hAnsi="宋体" w:eastAsia="宋体" w:cs="宋体"/>
          <w:b/>
          <w:bCs/>
          <w:color w:val="auto"/>
          <w:kern w:val="44"/>
          <w:sz w:val="36"/>
          <w:szCs w:val="36"/>
          <w:highlight w:val="none"/>
          <w:lang w:val="en-US" w:eastAsia="zh-CN" w:bidi="ar-SA"/>
        </w:rPr>
        <w:t xml:space="preserve">第一章 </w:t>
      </w:r>
      <w:bookmarkEnd w:id="0"/>
      <w:bookmarkEnd w:id="1"/>
      <w:bookmarkStart w:id="3" w:name="_Hlk130458318"/>
      <w:r>
        <w:rPr>
          <w:rFonts w:hint="eastAsia" w:ascii="宋体" w:hAnsi="宋体" w:eastAsia="宋体" w:cs="宋体"/>
          <w:color w:val="auto"/>
          <w:sz w:val="36"/>
          <w:szCs w:val="36"/>
          <w:highlight w:val="none"/>
          <w:lang w:val="en-US" w:eastAsia="zh-CN"/>
        </w:rPr>
        <w:t>招标公告</w:t>
      </w:r>
      <w:bookmarkEnd w:id="2"/>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4756E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24682E00">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eastAsia"/>
                <w:color w:val="auto"/>
                <w:sz w:val="24"/>
                <w:szCs w:val="24"/>
                <w:highlight w:val="none"/>
                <w:lang w:val="en-US" w:eastAsia="zh-CN"/>
              </w:rPr>
            </w:pPr>
            <w:bookmarkStart w:id="4" w:name="_Toc17609"/>
            <w:bookmarkStart w:id="5" w:name="_Toc7107"/>
            <w:bookmarkStart w:id="6" w:name="_Toc163492812"/>
            <w:bookmarkStart w:id="7" w:name="_Toc28359012"/>
            <w:bookmarkStart w:id="8" w:name="_Toc140132745"/>
            <w:bookmarkStart w:id="9" w:name="_Toc155185860"/>
            <w:bookmarkStart w:id="10" w:name="_Toc35393798"/>
            <w:bookmarkStart w:id="11" w:name="_Toc109900248"/>
            <w:bookmarkStart w:id="12" w:name="_Toc35393629"/>
            <w:bookmarkStart w:id="13" w:name="_Toc109899410"/>
            <w:bookmarkStart w:id="14" w:name="_Toc28359089"/>
            <w:bookmarkStart w:id="15" w:name="_Toc44583628"/>
            <w:bookmarkStart w:id="16" w:name="_Toc109899829"/>
            <w:r>
              <w:rPr>
                <w:rFonts w:hint="eastAsia"/>
                <w:color w:val="auto"/>
                <w:sz w:val="24"/>
                <w:szCs w:val="24"/>
                <w:highlight w:val="none"/>
                <w:lang w:val="en-US" w:eastAsia="zh-CN"/>
              </w:rPr>
              <w:t>项目概况：</w:t>
            </w:r>
            <w:bookmarkEnd w:id="4"/>
            <w:bookmarkEnd w:id="5"/>
          </w:p>
          <w:p w14:paraId="2852FE91">
            <w:pPr>
              <w:spacing w:line="360" w:lineRule="auto"/>
              <w:ind w:firstLine="480" w:firstLineChars="200"/>
              <w:rPr>
                <w:rFonts w:hint="default"/>
                <w:color w:val="auto"/>
                <w:highlight w:val="none"/>
                <w:lang w:val="en-US" w:eastAsia="zh-CN"/>
              </w:rPr>
            </w:pPr>
            <w:r>
              <w:rPr>
                <w:rFonts w:hint="eastAsia" w:ascii="宋体" w:hAnsi="宋体" w:eastAsia="宋体" w:cstheme="minorBidi"/>
                <w:i w:val="0"/>
                <w:iCs w:val="0"/>
                <w:color w:val="auto"/>
                <w:kern w:val="2"/>
                <w:sz w:val="24"/>
                <w:szCs w:val="24"/>
                <w:highlight w:val="none"/>
                <w:u w:val="none"/>
                <w:shd w:val="clear" w:color="auto" w:fill="FFFFFF" w:themeFill="background1"/>
                <w:lang w:val="hr-HR" w:eastAsia="zh-CN" w:bidi="ar-SA"/>
              </w:rPr>
              <w:t xml:space="preserve"> </w:t>
            </w:r>
            <w:r>
              <w:rPr>
                <w:rFonts w:hint="default" w:cstheme="minorBidi"/>
                <w:i w:val="0"/>
                <w:iCs w:val="0"/>
                <w:color w:val="auto"/>
                <w:kern w:val="2"/>
                <w:sz w:val="24"/>
                <w:szCs w:val="24"/>
                <w:highlight w:val="none"/>
                <w:u w:val="none"/>
                <w:shd w:val="clear" w:color="auto" w:fill="FFFFFF" w:themeFill="background1"/>
                <w:lang w:val="en-US" w:eastAsia="zh-CN" w:bidi="ar-SA"/>
              </w:rPr>
              <w:t>塔里木职业技术学院2026年现代职业教育质量提升计划项目（数智纺织实训室建设）</w:t>
            </w:r>
            <w:r>
              <w:rPr>
                <w:rFonts w:hint="eastAsia" w:ascii="宋体" w:hAnsi="宋体" w:eastAsia="宋体" w:cstheme="minorBidi"/>
                <w:i w:val="0"/>
                <w:iCs w:val="0"/>
                <w:color w:val="auto"/>
                <w:kern w:val="2"/>
                <w:sz w:val="24"/>
                <w:szCs w:val="24"/>
                <w:highlight w:val="none"/>
                <w:u w:val="none"/>
                <w:shd w:val="clear" w:color="auto" w:fill="FFFFFF" w:themeFill="background1"/>
                <w:lang w:val="hr-HR" w:eastAsia="zh-CN" w:bidi="ar-SA"/>
              </w:rPr>
              <w:t>的潜在</w:t>
            </w:r>
            <w:r>
              <w:rPr>
                <w:rFonts w:hint="eastAsia" w:cstheme="minorBidi"/>
                <w:i w:val="0"/>
                <w:iCs w:val="0"/>
                <w:color w:val="auto"/>
                <w:kern w:val="2"/>
                <w:sz w:val="24"/>
                <w:szCs w:val="24"/>
                <w:highlight w:val="none"/>
                <w:u w:val="none"/>
                <w:shd w:val="clear" w:color="auto" w:fill="FFFFFF" w:themeFill="background1"/>
                <w:lang w:val="en-US" w:eastAsia="zh-CN" w:bidi="ar-SA"/>
              </w:rPr>
              <w:t>投标人</w:t>
            </w:r>
            <w:r>
              <w:rPr>
                <w:rFonts w:hint="eastAsia" w:ascii="宋体" w:hAnsi="宋体" w:eastAsia="宋体" w:cstheme="minorBidi"/>
                <w:i w:val="0"/>
                <w:iCs w:val="0"/>
                <w:color w:val="auto"/>
                <w:kern w:val="2"/>
                <w:sz w:val="24"/>
                <w:szCs w:val="24"/>
                <w:highlight w:val="none"/>
                <w:u w:val="none"/>
                <w:shd w:val="clear" w:color="auto" w:fill="FFFFFF" w:themeFill="background1"/>
                <w:lang w:val="hr-HR" w:eastAsia="zh-CN" w:bidi="ar-SA"/>
              </w:rPr>
              <w:t>应在政采云平台线上获取</w:t>
            </w:r>
            <w:r>
              <w:rPr>
                <w:rFonts w:hint="eastAsia" w:cstheme="minorBidi"/>
                <w:i w:val="0"/>
                <w:iCs w:val="0"/>
                <w:color w:val="auto"/>
                <w:kern w:val="2"/>
                <w:sz w:val="24"/>
                <w:szCs w:val="24"/>
                <w:highlight w:val="none"/>
                <w:u w:val="none"/>
                <w:shd w:val="clear" w:color="auto" w:fill="FFFFFF" w:themeFill="background1"/>
                <w:lang w:val="en-US" w:eastAsia="zh-CN" w:bidi="ar-SA"/>
              </w:rPr>
              <w:t>招标</w:t>
            </w:r>
            <w:r>
              <w:rPr>
                <w:rFonts w:hint="eastAsia" w:ascii="宋体" w:hAnsi="宋体" w:eastAsia="宋体" w:cstheme="minorBidi"/>
                <w:i w:val="0"/>
                <w:iCs w:val="0"/>
                <w:color w:val="auto"/>
                <w:kern w:val="2"/>
                <w:sz w:val="24"/>
                <w:szCs w:val="24"/>
                <w:highlight w:val="none"/>
                <w:u w:val="none"/>
                <w:shd w:val="clear" w:color="auto" w:fill="FFFFFF" w:themeFill="background1"/>
                <w:lang w:val="hr-HR" w:eastAsia="zh-CN" w:bidi="ar-SA"/>
              </w:rPr>
              <w:t>文件</w:t>
            </w:r>
            <w:r>
              <w:rPr>
                <w:rFonts w:hint="default" w:ascii="宋体" w:hAnsi="宋体" w:eastAsia="宋体" w:cstheme="minorBidi"/>
                <w:i w:val="0"/>
                <w:iCs w:val="0"/>
                <w:color w:val="auto"/>
                <w:kern w:val="2"/>
                <w:sz w:val="24"/>
                <w:szCs w:val="22"/>
                <w:highlight w:val="none"/>
                <w:u w:val="none"/>
                <w:lang w:val="en-US" w:eastAsia="zh-CN" w:bidi="ar-SA"/>
              </w:rPr>
              <w:t>，并于</w:t>
            </w:r>
            <w:r>
              <w:rPr>
                <w:rFonts w:hint="default" w:cstheme="minorBidi"/>
                <w:i w:val="0"/>
                <w:iCs w:val="0"/>
                <w:color w:val="auto"/>
                <w:kern w:val="2"/>
                <w:sz w:val="24"/>
                <w:szCs w:val="22"/>
                <w:highlight w:val="none"/>
                <w:u w:val="none"/>
                <w:lang w:val="en-US" w:eastAsia="zh-CN" w:bidi="ar-SA"/>
              </w:rPr>
              <w:t>2026</w:t>
            </w:r>
            <w:r>
              <w:rPr>
                <w:rFonts w:hint="default" w:ascii="宋体" w:hAnsi="宋体" w:eastAsia="宋体" w:cstheme="minorBidi"/>
                <w:i w:val="0"/>
                <w:iCs w:val="0"/>
                <w:color w:val="auto"/>
                <w:kern w:val="2"/>
                <w:sz w:val="24"/>
                <w:szCs w:val="22"/>
                <w:highlight w:val="none"/>
                <w:u w:val="none"/>
                <w:lang w:val="en-US" w:eastAsia="zh-CN" w:bidi="ar-SA"/>
              </w:rPr>
              <w:t>年</w:t>
            </w:r>
            <w:r>
              <w:rPr>
                <w:rFonts w:hint="eastAsia" w:cstheme="minorBidi"/>
                <w:i w:val="0"/>
                <w:iCs w:val="0"/>
                <w:color w:val="auto"/>
                <w:kern w:val="2"/>
                <w:sz w:val="24"/>
                <w:szCs w:val="22"/>
                <w:highlight w:val="none"/>
                <w:u w:val="none"/>
                <w:lang w:val="en-US" w:eastAsia="zh-CN" w:bidi="ar-SA"/>
              </w:rPr>
              <w:t>4</w:t>
            </w:r>
            <w:r>
              <w:rPr>
                <w:rFonts w:hint="default" w:ascii="宋体" w:hAnsi="宋体" w:eastAsia="宋体" w:cstheme="minorBidi"/>
                <w:i w:val="0"/>
                <w:iCs w:val="0"/>
                <w:color w:val="auto"/>
                <w:kern w:val="2"/>
                <w:sz w:val="24"/>
                <w:szCs w:val="22"/>
                <w:highlight w:val="none"/>
                <w:u w:val="none"/>
                <w:lang w:val="en-US" w:eastAsia="zh-CN" w:bidi="ar-SA"/>
              </w:rPr>
              <w:t>月</w:t>
            </w:r>
            <w:r>
              <w:rPr>
                <w:rFonts w:hint="eastAsia" w:cstheme="minorBidi"/>
                <w:i w:val="0"/>
                <w:iCs w:val="0"/>
                <w:color w:val="auto"/>
                <w:kern w:val="2"/>
                <w:sz w:val="24"/>
                <w:szCs w:val="22"/>
                <w:highlight w:val="none"/>
                <w:u w:val="none"/>
                <w:lang w:val="en-US" w:eastAsia="zh-CN" w:bidi="ar-SA"/>
              </w:rPr>
              <w:t>30</w:t>
            </w:r>
            <w:r>
              <w:rPr>
                <w:rFonts w:hint="default" w:ascii="宋体" w:hAnsi="宋体" w:eastAsia="宋体" w:cstheme="minorBidi"/>
                <w:i w:val="0"/>
                <w:iCs w:val="0"/>
                <w:color w:val="auto"/>
                <w:kern w:val="2"/>
                <w:sz w:val="24"/>
                <w:szCs w:val="22"/>
                <w:highlight w:val="none"/>
                <w:u w:val="none"/>
                <w:lang w:val="en-US" w:eastAsia="zh-CN" w:bidi="ar-SA"/>
              </w:rPr>
              <w:t>日</w:t>
            </w:r>
            <w:r>
              <w:rPr>
                <w:rFonts w:hint="eastAsia" w:cstheme="minorBidi"/>
                <w:i w:val="0"/>
                <w:iCs w:val="0"/>
                <w:color w:val="auto"/>
                <w:kern w:val="2"/>
                <w:sz w:val="24"/>
                <w:szCs w:val="22"/>
                <w:highlight w:val="none"/>
                <w:u w:val="none"/>
                <w:lang w:val="en-US" w:eastAsia="zh-CN" w:bidi="ar-SA"/>
              </w:rPr>
              <w:t>11：00</w:t>
            </w:r>
            <w:r>
              <w:rPr>
                <w:rFonts w:hint="default" w:ascii="宋体" w:hAnsi="宋体" w:eastAsia="宋体" w:cstheme="minorBidi"/>
                <w:i w:val="0"/>
                <w:iCs w:val="0"/>
                <w:color w:val="auto"/>
                <w:kern w:val="2"/>
                <w:sz w:val="24"/>
                <w:szCs w:val="22"/>
                <w:highlight w:val="none"/>
                <w:u w:val="none"/>
                <w:lang w:val="en-US" w:eastAsia="zh-CN" w:bidi="ar-SA"/>
              </w:rPr>
              <w:t>（北京时间）前提交</w:t>
            </w:r>
            <w:r>
              <w:rPr>
                <w:rFonts w:hint="eastAsia" w:ascii="宋体" w:hAnsi="宋体" w:eastAsia="宋体" w:cstheme="minorBidi"/>
                <w:i w:val="0"/>
                <w:iCs w:val="0"/>
                <w:color w:val="auto"/>
                <w:kern w:val="2"/>
                <w:sz w:val="24"/>
                <w:szCs w:val="22"/>
                <w:highlight w:val="none"/>
                <w:u w:val="none"/>
                <w:lang w:val="en-US" w:eastAsia="zh-CN" w:bidi="ar-SA"/>
              </w:rPr>
              <w:t>投标</w:t>
            </w:r>
            <w:r>
              <w:rPr>
                <w:rFonts w:hint="default" w:ascii="宋体" w:hAnsi="宋体" w:eastAsia="宋体" w:cstheme="minorBidi"/>
                <w:i w:val="0"/>
                <w:iCs w:val="0"/>
                <w:color w:val="auto"/>
                <w:kern w:val="2"/>
                <w:sz w:val="24"/>
                <w:szCs w:val="22"/>
                <w:highlight w:val="none"/>
                <w:u w:val="none"/>
                <w:lang w:val="en-US" w:eastAsia="zh-CN" w:bidi="ar-SA"/>
              </w:rPr>
              <w:t>文件。</w:t>
            </w:r>
          </w:p>
        </w:tc>
      </w:tr>
    </w:tbl>
    <w:p w14:paraId="4072DEF0">
      <w:pPr>
        <w:pStyle w:val="3"/>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0" w:hanging="420" w:firstLineChars="0"/>
        <w:textAlignment w:val="auto"/>
        <w:rPr>
          <w:rFonts w:hint="eastAsia" w:ascii="宋体" w:hAnsi="宋体" w:eastAsia="宋体" w:cs="宋体"/>
          <w:color w:val="auto"/>
          <w:sz w:val="24"/>
          <w:szCs w:val="24"/>
          <w:highlight w:val="none"/>
          <w:lang w:val="hr-HR"/>
        </w:rPr>
      </w:pPr>
      <w:bookmarkStart w:id="17" w:name="_Toc18424"/>
      <w:r>
        <w:rPr>
          <w:rFonts w:hint="eastAsia" w:ascii="宋体" w:hAnsi="宋体" w:eastAsia="宋体" w:cs="宋体"/>
          <w:b/>
          <w:bCs/>
          <w:color w:val="auto"/>
          <w:kern w:val="2"/>
          <w:sz w:val="24"/>
          <w:szCs w:val="24"/>
          <w:highlight w:val="none"/>
          <w:lang w:val="hr-HR" w:eastAsia="zh-CN" w:bidi="ar-SA"/>
        </w:rPr>
        <w:t>一、</w:t>
      </w:r>
      <w:r>
        <w:rPr>
          <w:rFonts w:hint="eastAsia" w:ascii="宋体" w:hAnsi="宋体" w:eastAsia="宋体" w:cs="宋体"/>
          <w:color w:val="auto"/>
          <w:sz w:val="24"/>
          <w:szCs w:val="24"/>
          <w:highlight w:val="none"/>
          <w:lang w:val="hr-HR"/>
        </w:rPr>
        <w:t>项目基本情况</w:t>
      </w:r>
      <w:bookmarkEnd w:id="6"/>
      <w:bookmarkEnd w:id="7"/>
      <w:bookmarkEnd w:id="8"/>
      <w:bookmarkEnd w:id="9"/>
      <w:bookmarkEnd w:id="10"/>
      <w:bookmarkEnd w:id="11"/>
      <w:bookmarkEnd w:id="12"/>
      <w:bookmarkEnd w:id="13"/>
      <w:bookmarkEnd w:id="14"/>
      <w:bookmarkEnd w:id="15"/>
      <w:bookmarkEnd w:id="16"/>
      <w:bookmarkEnd w:id="17"/>
    </w:p>
    <w:p w14:paraId="590E39A6">
      <w:pPr>
        <w:pStyle w:val="37"/>
        <w:pageBreakBefore w:val="0"/>
        <w:widowControl w:val="0"/>
        <w:kinsoku/>
        <w:overflowPunct/>
        <w:topLinePunct w:val="0"/>
        <w:autoSpaceDE/>
        <w:autoSpaceDN/>
        <w:bidi w:val="0"/>
        <w:adjustRightInd/>
        <w:snapToGrid/>
        <w:spacing w:line="360" w:lineRule="auto"/>
        <w:textAlignment w:val="auto"/>
        <w:rPr>
          <w:rFonts w:hint="default" w:ascii="宋体" w:hAnsi="宋体" w:eastAsia="宋体" w:cs="宋体"/>
          <w:color w:val="auto"/>
          <w:sz w:val="24"/>
          <w:highlight w:val="none"/>
          <w:lang w:val="en-US"/>
        </w:rPr>
      </w:pPr>
      <w:r>
        <w:rPr>
          <w:rFonts w:hint="eastAsia" w:ascii="宋体" w:hAnsi="宋体" w:eastAsia="宋体" w:cs="宋体"/>
          <w:color w:val="auto"/>
          <w:sz w:val="24"/>
          <w:highlight w:val="none"/>
          <w:lang w:val="hr-HR"/>
        </w:rPr>
        <w:t>1.项目编号</w:t>
      </w:r>
      <w:r>
        <w:rPr>
          <w:rFonts w:hint="eastAsia" w:ascii="宋体" w:hAnsi="宋体" w:eastAsia="宋体" w:cs="宋体"/>
          <w:color w:val="auto"/>
          <w:sz w:val="24"/>
          <w:highlight w:val="none"/>
          <w:lang w:val="en-US" w:eastAsia="zh-CN"/>
        </w:rPr>
        <w:t>/包号</w:t>
      </w:r>
      <w:r>
        <w:rPr>
          <w:rFonts w:hint="eastAsia" w:cs="宋体"/>
          <w:color w:val="auto"/>
          <w:sz w:val="24"/>
          <w:highlight w:val="none"/>
          <w:lang w:val="hr-HR" w:eastAsia="zh-CN"/>
        </w:rPr>
        <w:t>：</w:t>
      </w:r>
      <w:r>
        <w:rPr>
          <w:rFonts w:hint="eastAsia" w:cs="宋体"/>
          <w:color w:val="auto"/>
          <w:sz w:val="24"/>
          <w:highlight w:val="none"/>
          <w:lang w:val="hr-HR" w:eastAsia="zh-CN"/>
        </w:rPr>
        <w:fldChar w:fldCharType="begin"/>
      </w:r>
      <w:r>
        <w:rPr>
          <w:rFonts w:hint="eastAsia" w:cs="宋体"/>
          <w:color w:val="auto"/>
          <w:sz w:val="24"/>
          <w:highlight w:val="none"/>
          <w:lang w:val="hr-HR" w:eastAsia="zh-CN"/>
        </w:rPr>
        <w:instrText xml:space="preserve"> HYPERLINK "https://pay.zcygov.cn/purchaseplan_front/" \l "/plan/list/view?id=1000000000017531170&amp;_app_=zcy.procurement" \t "https://www.zcygov.cn/project-center/_procurement_/purchasePlans/_blank" </w:instrText>
      </w:r>
      <w:r>
        <w:rPr>
          <w:rFonts w:hint="eastAsia" w:cs="宋体"/>
          <w:color w:val="auto"/>
          <w:sz w:val="24"/>
          <w:highlight w:val="none"/>
          <w:lang w:val="hr-HR" w:eastAsia="zh-CN"/>
        </w:rPr>
        <w:fldChar w:fldCharType="separate"/>
      </w:r>
      <w:r>
        <w:rPr>
          <w:rFonts w:hint="eastAsia" w:cs="宋体"/>
          <w:color w:val="auto"/>
          <w:sz w:val="24"/>
          <w:highlight w:val="none"/>
          <w:lang w:val="hr-HR" w:eastAsia="zh-CN"/>
        </w:rPr>
        <w:t>B1S[2026]111号</w:t>
      </w:r>
      <w:r>
        <w:rPr>
          <w:rFonts w:hint="eastAsia" w:cs="宋体"/>
          <w:color w:val="auto"/>
          <w:sz w:val="24"/>
          <w:highlight w:val="none"/>
          <w:lang w:val="hr-HR" w:eastAsia="zh-CN"/>
        </w:rPr>
        <w:fldChar w:fldCharType="end"/>
      </w:r>
      <w:r>
        <w:rPr>
          <w:rFonts w:hint="eastAsia" w:cs="宋体"/>
          <w:color w:val="auto"/>
          <w:sz w:val="24"/>
          <w:highlight w:val="none"/>
          <w:lang w:val="en-US" w:eastAsia="zh-CN"/>
        </w:rPr>
        <w:t>-01</w:t>
      </w:r>
    </w:p>
    <w:p w14:paraId="3A1858B4">
      <w:pPr>
        <w:pStyle w:val="37"/>
        <w:pageBreakBefore w:val="0"/>
        <w:widowControl w:val="0"/>
        <w:kinsoku/>
        <w:overflowPunct/>
        <w:topLinePunct w:val="0"/>
        <w:autoSpaceDE/>
        <w:autoSpaceDN/>
        <w:bidi w:val="0"/>
        <w:adjustRightInd/>
        <w:snapToGrid/>
        <w:spacing w:line="360" w:lineRule="auto"/>
        <w:textAlignment w:val="auto"/>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lang w:val="hr-HR"/>
        </w:rPr>
        <w:t>.项目名称：</w:t>
      </w:r>
      <w:r>
        <w:rPr>
          <w:rFonts w:hint="default" w:cs="宋体"/>
          <w:color w:val="auto"/>
          <w:sz w:val="24"/>
          <w:highlight w:val="none"/>
          <w:lang w:val="en-US" w:eastAsia="zh-CN"/>
        </w:rPr>
        <w:t>塔里木职业技术学院2026年现代职业教育质量提升计划项目（数智纺织实训室建设）</w:t>
      </w:r>
    </w:p>
    <w:p w14:paraId="3CE35A7E">
      <w:pPr>
        <w:pStyle w:val="37"/>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lang w:val="hr-HR"/>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.采购方式：公开招标</w:t>
      </w:r>
    </w:p>
    <w:p w14:paraId="78A90596">
      <w:pPr>
        <w:pStyle w:val="37"/>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u w:val="none"/>
          <w:lang w:val="hr-HR"/>
        </w:rPr>
      </w:pPr>
      <w:r>
        <w:rPr>
          <w:rFonts w:hint="eastAsia" w:ascii="宋体" w:hAnsi="宋体" w:eastAsia="宋体" w:cs="宋体"/>
          <w:color w:val="auto"/>
          <w:sz w:val="24"/>
          <w:highlight w:val="none"/>
          <w:u w:val="none"/>
          <w:lang w:val="en-US" w:eastAsia="zh-CN"/>
        </w:rPr>
        <w:t>4</w:t>
      </w:r>
      <w:r>
        <w:rPr>
          <w:rFonts w:hint="eastAsia" w:ascii="宋体" w:hAnsi="宋体" w:eastAsia="宋体" w:cs="宋体"/>
          <w:color w:val="auto"/>
          <w:sz w:val="24"/>
          <w:highlight w:val="none"/>
          <w:u w:val="none"/>
          <w:lang w:val="hr-HR"/>
        </w:rPr>
        <w:t>.</w:t>
      </w:r>
      <w:r>
        <w:rPr>
          <w:rFonts w:hint="eastAsia" w:ascii="宋体" w:hAnsi="宋体" w:eastAsia="宋体" w:cs="宋体"/>
          <w:color w:val="auto"/>
          <w:sz w:val="24"/>
          <w:highlight w:val="none"/>
          <w:u w:val="none"/>
          <w:lang w:val="en-US" w:eastAsia="zh-CN"/>
        </w:rPr>
        <w:t>项目</w:t>
      </w:r>
      <w:r>
        <w:rPr>
          <w:rFonts w:hint="eastAsia" w:ascii="宋体" w:hAnsi="宋体" w:eastAsia="宋体" w:cs="宋体"/>
          <w:color w:val="auto"/>
          <w:sz w:val="24"/>
          <w:highlight w:val="none"/>
          <w:u w:val="none"/>
          <w:lang w:val="hr-HR"/>
        </w:rPr>
        <w:t>预算金额：</w:t>
      </w:r>
      <w:r>
        <w:rPr>
          <w:rFonts w:hint="default" w:cs="宋体"/>
          <w:color w:val="auto"/>
          <w:sz w:val="24"/>
          <w:highlight w:val="none"/>
          <w:u w:val="none"/>
          <w:lang w:val="en-US" w:eastAsia="zh-CN"/>
        </w:rPr>
        <w:t>1990000</w:t>
      </w:r>
      <w:r>
        <w:rPr>
          <w:rFonts w:hint="eastAsia" w:cs="宋体"/>
          <w:color w:val="auto"/>
          <w:sz w:val="24"/>
          <w:highlight w:val="none"/>
          <w:u w:val="none"/>
          <w:lang w:val="en-US" w:eastAsia="zh-CN"/>
        </w:rPr>
        <w:t>.00</w:t>
      </w:r>
      <w:r>
        <w:rPr>
          <w:rFonts w:hint="eastAsia" w:ascii="宋体" w:hAnsi="宋体" w:eastAsia="宋体" w:cs="宋体"/>
          <w:color w:val="auto"/>
          <w:sz w:val="24"/>
          <w:highlight w:val="none"/>
          <w:u w:val="none"/>
          <w:lang w:val="hr-HR"/>
        </w:rPr>
        <w:t>元</w:t>
      </w:r>
    </w:p>
    <w:p w14:paraId="7851BE2C">
      <w:pPr>
        <w:pStyle w:val="37"/>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u w:val="none"/>
          <w:lang w:val="hr-HR"/>
        </w:rPr>
      </w:pPr>
      <w:r>
        <w:rPr>
          <w:rFonts w:hint="eastAsia" w:ascii="宋体" w:hAnsi="宋体" w:eastAsia="宋体" w:cs="宋体"/>
          <w:color w:val="auto"/>
          <w:sz w:val="24"/>
          <w:highlight w:val="none"/>
          <w:u w:val="none"/>
          <w:lang w:val="en-US" w:eastAsia="zh-CN"/>
        </w:rPr>
        <w:t>5</w:t>
      </w:r>
      <w:r>
        <w:rPr>
          <w:rFonts w:hint="eastAsia" w:ascii="宋体" w:hAnsi="宋体" w:eastAsia="宋体" w:cs="宋体"/>
          <w:color w:val="auto"/>
          <w:sz w:val="24"/>
          <w:highlight w:val="none"/>
          <w:u w:val="none"/>
          <w:lang w:val="hr-HR"/>
        </w:rPr>
        <w:t>.</w:t>
      </w:r>
      <w:r>
        <w:rPr>
          <w:rFonts w:hint="eastAsia" w:ascii="宋体" w:hAnsi="宋体" w:eastAsia="宋体" w:cs="宋体"/>
          <w:color w:val="auto"/>
          <w:sz w:val="24"/>
          <w:highlight w:val="none"/>
          <w:u w:val="none"/>
        </w:rPr>
        <w:t>最高限价</w:t>
      </w:r>
      <w:r>
        <w:rPr>
          <w:rFonts w:hint="eastAsia" w:ascii="宋体" w:hAnsi="宋体" w:eastAsia="宋体" w:cs="宋体"/>
          <w:color w:val="auto"/>
          <w:sz w:val="24"/>
          <w:highlight w:val="none"/>
          <w:u w:val="none"/>
          <w:lang w:val="hr-HR"/>
        </w:rPr>
        <w:t>：</w:t>
      </w:r>
      <w:r>
        <w:rPr>
          <w:rFonts w:hint="default" w:cs="宋体"/>
          <w:color w:val="auto"/>
          <w:sz w:val="24"/>
          <w:highlight w:val="none"/>
          <w:u w:val="none"/>
          <w:lang w:val="en-US" w:eastAsia="zh-CN"/>
        </w:rPr>
        <w:t>1990000</w:t>
      </w:r>
      <w:r>
        <w:rPr>
          <w:rFonts w:hint="eastAsia" w:cs="宋体"/>
          <w:color w:val="auto"/>
          <w:sz w:val="24"/>
          <w:highlight w:val="none"/>
          <w:u w:val="none"/>
          <w:lang w:val="en-US" w:eastAsia="zh-CN"/>
        </w:rPr>
        <w:t>.00</w:t>
      </w:r>
      <w:r>
        <w:rPr>
          <w:rFonts w:hint="eastAsia" w:ascii="宋体" w:hAnsi="宋体" w:eastAsia="宋体" w:cs="宋体"/>
          <w:color w:val="auto"/>
          <w:sz w:val="24"/>
          <w:highlight w:val="none"/>
          <w:u w:val="none"/>
        </w:rPr>
        <w:t>元</w:t>
      </w:r>
    </w:p>
    <w:p w14:paraId="43C6C239">
      <w:pPr>
        <w:pStyle w:val="37"/>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u w:val="none"/>
          <w:lang w:eastAsia="zh-CN"/>
        </w:rPr>
      </w:pP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lang w:val="hr-HR"/>
        </w:rPr>
        <w:t>.采购需求：</w:t>
      </w:r>
      <w:r>
        <w:rPr>
          <w:rFonts w:hint="eastAsia" w:ascii="宋体" w:hAnsi="宋体" w:eastAsia="宋体" w:cs="宋体"/>
          <w:color w:val="auto"/>
          <w:sz w:val="24"/>
          <w:szCs w:val="24"/>
          <w:u w:val="none"/>
          <w:lang w:val="en-US" w:eastAsia="zh-CN"/>
        </w:rPr>
        <w:t>购置一批</w:t>
      </w:r>
      <w:r>
        <w:rPr>
          <w:rFonts w:hint="eastAsia" w:cs="宋体"/>
          <w:color w:val="auto"/>
          <w:sz w:val="24"/>
          <w:highlight w:val="none"/>
          <w:u w:val="none"/>
          <w:lang w:val="en-US" w:eastAsia="zh-CN"/>
        </w:rPr>
        <w:t>全自动喷气织样机、全自动喷气织机、全自动多臂剑杆织机、全自动大提花剑杆织布样机、数字式单纱整经机、数字式单纱浆纱机、数字式小样清梳联合制条机、空气压缩机、超声波工业加湿器。具体详见招标文件第三章采购需求。</w:t>
      </w:r>
    </w:p>
    <w:p w14:paraId="0FA7D2CE">
      <w:pPr>
        <w:pStyle w:val="37"/>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.合同履行期限：</w:t>
      </w:r>
      <w:bookmarkStart w:id="18" w:name="_Toc28359090"/>
      <w:bookmarkStart w:id="19" w:name="_Toc44583629"/>
      <w:bookmarkStart w:id="20" w:name="_Toc35393630"/>
      <w:bookmarkStart w:id="21" w:name="_Toc35393799"/>
      <w:bookmarkStart w:id="22" w:name="_Toc28359013"/>
      <w:r>
        <w:rPr>
          <w:rFonts w:hint="eastAsia" w:ascii="宋体" w:hAnsi="宋体" w:eastAsia="宋体" w:cs="宋体"/>
          <w:color w:val="auto"/>
          <w:sz w:val="24"/>
          <w:highlight w:val="none"/>
          <w:lang w:val="en-US" w:eastAsia="zh-CN"/>
        </w:rPr>
        <w:t>自合同签订之日起30天内完成供货、安装并达到交付使用标准。</w:t>
      </w:r>
    </w:p>
    <w:p w14:paraId="4B098642">
      <w:pPr>
        <w:pStyle w:val="37"/>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8.</w:t>
      </w:r>
      <w:bookmarkStart w:id="23" w:name="_Hlk162011358"/>
      <w:r>
        <w:rPr>
          <w:rFonts w:hint="eastAsia" w:ascii="宋体" w:hAnsi="宋体" w:eastAsia="宋体" w:cs="宋体"/>
          <w:color w:val="auto"/>
          <w:sz w:val="24"/>
          <w:highlight w:val="none"/>
          <w:lang w:val="en-US" w:eastAsia="zh-CN"/>
        </w:rPr>
        <w:t>本项目是否接受联合体投标：□是</w:t>
      </w:r>
      <w:bookmarkEnd w:id="23"/>
      <w:r>
        <w:rPr>
          <w:rFonts w:hint="eastAsia" w:ascii="宋体" w:hAnsi="宋体" w:eastAsia="宋体" w:cs="宋体"/>
          <w:color w:val="auto"/>
          <w:sz w:val="24"/>
          <w:highlight w:val="none"/>
          <w:lang w:val="en-US" w:eastAsia="zh-CN"/>
        </w:rPr>
        <w:t xml:space="preserve">   </w:t>
      </w:r>
      <w:r>
        <w:rPr>
          <w:rFonts w:hint="eastAsia" w:cs="宋体"/>
          <w:color w:val="auto"/>
          <w:sz w:val="24"/>
          <w:highlight w:val="none"/>
          <w:lang w:val="en-US" w:eastAsia="zh-CN"/>
        </w:rPr>
        <w:t>☑</w:t>
      </w:r>
      <w:r>
        <w:rPr>
          <w:rFonts w:hint="eastAsia" w:ascii="宋体" w:hAnsi="宋体" w:eastAsia="宋体" w:cs="宋体"/>
          <w:color w:val="auto"/>
          <w:sz w:val="24"/>
          <w:highlight w:val="none"/>
          <w:lang w:val="en-US" w:eastAsia="zh-CN"/>
        </w:rPr>
        <w:t>否</w:t>
      </w:r>
    </w:p>
    <w:p w14:paraId="1EEB1622">
      <w:pPr>
        <w:pStyle w:val="3"/>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0" w:hanging="420" w:firstLineChars="0"/>
        <w:textAlignment w:val="auto"/>
        <w:rPr>
          <w:rFonts w:hint="eastAsia" w:ascii="宋体" w:hAnsi="宋体" w:eastAsia="宋体" w:cs="宋体"/>
          <w:b/>
          <w:bCs/>
          <w:color w:val="auto"/>
          <w:kern w:val="2"/>
          <w:sz w:val="24"/>
          <w:szCs w:val="24"/>
          <w:highlight w:val="none"/>
          <w:lang w:val="hr-HR" w:eastAsia="zh-CN" w:bidi="ar-SA"/>
        </w:rPr>
      </w:pPr>
      <w:bookmarkStart w:id="24" w:name="_Toc155185861"/>
      <w:bookmarkStart w:id="25" w:name="_Toc27307"/>
      <w:bookmarkStart w:id="26" w:name="_Toc140132746"/>
      <w:bookmarkStart w:id="27" w:name="_Toc109899411"/>
      <w:bookmarkStart w:id="28" w:name="_Toc163492813"/>
      <w:bookmarkStart w:id="29" w:name="_Toc109900249"/>
      <w:bookmarkStart w:id="30" w:name="_Toc109899830"/>
      <w:r>
        <w:rPr>
          <w:rFonts w:hint="eastAsia" w:ascii="宋体" w:hAnsi="宋体" w:eastAsia="宋体" w:cs="宋体"/>
          <w:b/>
          <w:bCs/>
          <w:color w:val="auto"/>
          <w:kern w:val="2"/>
          <w:sz w:val="24"/>
          <w:szCs w:val="24"/>
          <w:highlight w:val="none"/>
          <w:lang w:val="en-US" w:eastAsia="zh-CN" w:bidi="ar-SA"/>
        </w:rPr>
        <w:t>二、申请</w:t>
      </w:r>
      <w:r>
        <w:rPr>
          <w:rFonts w:hint="eastAsia" w:ascii="宋体" w:hAnsi="宋体" w:eastAsia="宋体" w:cs="宋体"/>
          <w:b/>
          <w:bCs/>
          <w:color w:val="auto"/>
          <w:kern w:val="2"/>
          <w:sz w:val="24"/>
          <w:szCs w:val="24"/>
          <w:highlight w:val="none"/>
          <w:lang w:val="hr-HR" w:eastAsia="zh-CN" w:bidi="ar-SA"/>
        </w:rPr>
        <w:t>人</w:t>
      </w:r>
      <w:r>
        <w:rPr>
          <w:rFonts w:hint="eastAsia" w:ascii="宋体" w:hAnsi="宋体" w:eastAsia="宋体" w:cs="宋体"/>
          <w:b/>
          <w:bCs/>
          <w:color w:val="auto"/>
          <w:kern w:val="2"/>
          <w:sz w:val="24"/>
          <w:szCs w:val="24"/>
          <w:highlight w:val="none"/>
          <w:lang w:val="en-US" w:eastAsia="zh-CN" w:bidi="ar-SA"/>
        </w:rPr>
        <w:t>的</w:t>
      </w:r>
      <w:r>
        <w:rPr>
          <w:rFonts w:hint="eastAsia" w:ascii="宋体" w:hAnsi="宋体" w:eastAsia="宋体" w:cs="宋体"/>
          <w:b/>
          <w:bCs/>
          <w:color w:val="auto"/>
          <w:kern w:val="2"/>
          <w:sz w:val="24"/>
          <w:szCs w:val="24"/>
          <w:highlight w:val="none"/>
          <w:lang w:val="hr-HR" w:eastAsia="zh-CN" w:bidi="ar-SA"/>
        </w:rPr>
        <w:t>资格要求</w:t>
      </w:r>
      <w:bookmarkEnd w:id="18"/>
      <w:bookmarkEnd w:id="19"/>
      <w:bookmarkEnd w:id="20"/>
      <w:bookmarkEnd w:id="21"/>
      <w:bookmarkEnd w:id="22"/>
      <w:bookmarkEnd w:id="24"/>
      <w:bookmarkEnd w:id="25"/>
      <w:bookmarkEnd w:id="26"/>
      <w:bookmarkEnd w:id="27"/>
      <w:bookmarkEnd w:id="28"/>
      <w:bookmarkEnd w:id="29"/>
      <w:bookmarkEnd w:id="30"/>
    </w:p>
    <w:p w14:paraId="6158BD01">
      <w:pPr>
        <w:pageBreakBefore w:val="0"/>
        <w:widowControl w:val="0"/>
        <w:kinsoku/>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sz w:val="24"/>
          <w:highlight w:val="none"/>
          <w:lang w:val="en-US" w:eastAsia="zh-CN"/>
        </w:rPr>
      </w:pPr>
      <w:bookmarkStart w:id="31" w:name="_Toc35393800"/>
      <w:bookmarkStart w:id="32" w:name="_Toc28359091"/>
      <w:bookmarkStart w:id="33" w:name="_Toc35393631"/>
      <w:bookmarkStart w:id="34" w:name="_Toc44583630"/>
      <w:bookmarkStart w:id="35" w:name="_Toc28359014"/>
      <w:r>
        <w:rPr>
          <w:rFonts w:hint="eastAsia" w:ascii="宋体" w:hAnsi="宋体" w:eastAsia="宋体" w:cs="宋体"/>
          <w:color w:val="auto"/>
          <w:sz w:val="24"/>
          <w:highlight w:val="none"/>
          <w:lang w:val="en-US" w:eastAsia="zh-CN"/>
        </w:rPr>
        <w:t>1.</w:t>
      </w:r>
      <w:r>
        <w:rPr>
          <w:rFonts w:hint="eastAsia" w:ascii="宋体" w:hAnsi="宋体" w:eastAsia="宋体" w:cs="宋体"/>
          <w:i w:val="0"/>
          <w:iCs w:val="0"/>
          <w:color w:val="auto"/>
          <w:sz w:val="24"/>
          <w:szCs w:val="24"/>
          <w:highlight w:val="none"/>
          <w:u w:val="none"/>
          <w:lang w:val="en-US" w:eastAsia="zh-CN"/>
        </w:rPr>
        <w:t>满足《中华人民共和国政府采购法》第二十二条规定的供应商提供符合</w:t>
      </w:r>
      <w:r>
        <w:rPr>
          <w:rFonts w:hint="eastAsia" w:cs="宋体"/>
          <w:i w:val="0"/>
          <w:iCs w:val="0"/>
          <w:color w:val="auto"/>
          <w:sz w:val="24"/>
          <w:szCs w:val="24"/>
          <w:highlight w:val="none"/>
          <w:u w:val="none"/>
          <w:lang w:val="en-US" w:eastAsia="zh-CN"/>
        </w:rPr>
        <w:t>招标文件</w:t>
      </w:r>
      <w:r>
        <w:rPr>
          <w:rFonts w:hint="eastAsia" w:ascii="宋体" w:hAnsi="宋体" w:eastAsia="宋体" w:cs="宋体"/>
          <w:i w:val="0"/>
          <w:iCs w:val="0"/>
          <w:color w:val="auto"/>
          <w:sz w:val="24"/>
          <w:szCs w:val="24"/>
          <w:highlight w:val="none"/>
          <w:u w:val="none"/>
          <w:lang w:val="en-US" w:eastAsia="zh-CN"/>
        </w:rPr>
        <w:t>要求的《兵团政府采购供应商信用承诺函》</w:t>
      </w:r>
      <w:r>
        <w:rPr>
          <w:rFonts w:hint="eastAsia" w:ascii="宋体" w:hAnsi="宋体" w:eastAsia="宋体" w:cs="宋体"/>
          <w:color w:val="auto"/>
          <w:sz w:val="24"/>
          <w:highlight w:val="none"/>
          <w:lang w:val="en-US" w:eastAsia="zh-CN"/>
        </w:rPr>
        <w:t>；</w:t>
      </w:r>
      <w:r>
        <w:rPr>
          <w:rFonts w:hint="default" w:cs="宋体"/>
          <w:i w:val="0"/>
          <w:iCs w:val="0"/>
          <w:color w:val="auto"/>
          <w:sz w:val="24"/>
          <w:szCs w:val="24"/>
          <w:highlight w:val="none"/>
          <w:lang w:val="en-US" w:eastAsia="zh-CN"/>
        </w:rPr>
        <w:t xml:space="preserve">                                                                                                                                                                                                                                                                                                                                                                                                                                                                                                                                                                                                                                                                                                                                                                    </w:t>
      </w:r>
    </w:p>
    <w:p w14:paraId="1C35AF5F">
      <w:pPr>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2.落实政府采购政策需满足的资格要求：</w:t>
      </w:r>
      <w:r>
        <w:rPr>
          <w:rFonts w:hint="eastAsia" w:cs="宋体"/>
          <w:i w:val="0"/>
          <w:iCs w:val="0"/>
          <w:color w:val="auto"/>
          <w:sz w:val="24"/>
          <w:szCs w:val="24"/>
          <w:highlight w:val="none"/>
          <w:lang w:eastAsia="zh-CN"/>
        </w:rPr>
        <w:t>本项目为专门面向</w:t>
      </w:r>
      <w:r>
        <w:rPr>
          <w:rFonts w:hint="eastAsia" w:cs="宋体"/>
          <w:i w:val="0"/>
          <w:iCs w:val="0"/>
          <w:color w:val="auto"/>
          <w:sz w:val="24"/>
          <w:szCs w:val="24"/>
          <w:highlight w:val="none"/>
          <w:lang w:val="en-US" w:eastAsia="zh-CN"/>
        </w:rPr>
        <w:t>中</w:t>
      </w:r>
      <w:r>
        <w:rPr>
          <w:rFonts w:hint="eastAsia" w:cs="宋体"/>
          <w:i w:val="0"/>
          <w:iCs w:val="0"/>
          <w:color w:val="auto"/>
          <w:sz w:val="24"/>
          <w:szCs w:val="24"/>
          <w:highlight w:val="none"/>
          <w:lang w:eastAsia="zh-CN"/>
        </w:rPr>
        <w:t>小企业预留资金项目，不再执行价格评审优惠的扶持政策，参加采购活动的供应商是符合政策要求的中小企业的应当出具《中小企业声明函》，是残疾人福利性单位的应当提供《残疾人福利性单位声明函》。</w:t>
      </w:r>
      <w:r>
        <w:rPr>
          <w:rFonts w:hint="eastAsia" w:ascii="宋体" w:hAnsi="宋体" w:eastAsia="宋体" w:cs="宋体"/>
          <w:i w:val="0"/>
          <w:iCs w:val="0"/>
          <w:color w:val="auto"/>
          <w:sz w:val="24"/>
          <w:szCs w:val="24"/>
          <w:highlight w:val="none"/>
        </w:rPr>
        <w:t> </w:t>
      </w:r>
      <w:r>
        <w:rPr>
          <w:rFonts w:hint="eastAsia" w:ascii="宋体" w:hAnsi="宋体" w:eastAsia="宋体" w:cs="宋体"/>
          <w:i w:val="0"/>
          <w:iCs w:val="0"/>
          <w:color w:val="auto"/>
          <w:sz w:val="24"/>
          <w:szCs w:val="24"/>
          <w:highlight w:val="none"/>
          <w:u w:val="none"/>
          <w:lang w:val="en-US" w:eastAsia="zh-CN"/>
        </w:rPr>
        <w:t xml:space="preserve">         </w:t>
      </w:r>
    </w:p>
    <w:p w14:paraId="55BA9FF5">
      <w:pPr>
        <w:pageBreakBefore w:val="0"/>
        <w:widowControl w:val="0"/>
        <w:kinsoku/>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3.本项目的特定资格要求：</w:t>
      </w:r>
      <w:r>
        <w:rPr>
          <w:rFonts w:hint="eastAsia" w:cs="宋体"/>
          <w:color w:val="auto"/>
          <w:sz w:val="24"/>
          <w:highlight w:val="none"/>
          <w:lang w:val="en-US" w:eastAsia="zh-CN"/>
        </w:rPr>
        <w:t xml:space="preserve">无                                                </w:t>
      </w:r>
    </w:p>
    <w:p w14:paraId="69D2AB04">
      <w:pPr>
        <w:pStyle w:val="37"/>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 其他资格要求：</w:t>
      </w:r>
    </w:p>
    <w:p w14:paraId="040E7358">
      <w:pPr>
        <w:pStyle w:val="37"/>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lang w:val="hr-HR" w:eastAsia="zh-CN"/>
        </w:rPr>
      </w:pP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lang w:val="hr-HR"/>
        </w:rPr>
        <w:t>法定代表人或</w:t>
      </w:r>
      <w:r>
        <w:rPr>
          <w:rFonts w:hint="eastAsia" w:ascii="宋体" w:hAnsi="宋体" w:eastAsia="宋体" w:cs="宋体"/>
          <w:color w:val="auto"/>
          <w:sz w:val="24"/>
          <w:highlight w:val="none"/>
          <w:lang w:val="en-US" w:eastAsia="zh-CN"/>
        </w:rPr>
        <w:t>单位</w:t>
      </w:r>
      <w:r>
        <w:rPr>
          <w:rFonts w:hint="eastAsia" w:ascii="宋体" w:hAnsi="宋体" w:eastAsia="宋体" w:cs="宋体"/>
          <w:color w:val="auto"/>
          <w:sz w:val="24"/>
          <w:highlight w:val="none"/>
          <w:lang w:val="hr-HR"/>
        </w:rPr>
        <w:t>负责人为同一人或者存在</w:t>
      </w:r>
      <w:r>
        <w:rPr>
          <w:rFonts w:hint="eastAsia" w:ascii="宋体" w:hAnsi="宋体" w:eastAsia="宋体" w:cs="宋体"/>
          <w:color w:val="auto"/>
          <w:sz w:val="24"/>
          <w:highlight w:val="none"/>
          <w:lang w:val="en-US" w:eastAsia="zh-CN"/>
        </w:rPr>
        <w:t>直接</w:t>
      </w:r>
      <w:r>
        <w:rPr>
          <w:rFonts w:hint="eastAsia" w:ascii="宋体" w:hAnsi="宋体" w:eastAsia="宋体" w:cs="宋体"/>
          <w:color w:val="auto"/>
          <w:sz w:val="24"/>
          <w:highlight w:val="none"/>
          <w:lang w:val="hr-HR"/>
        </w:rPr>
        <w:t>控股、管理关系的</w:t>
      </w:r>
      <w:r>
        <w:rPr>
          <w:rFonts w:hint="eastAsia" w:ascii="宋体" w:hAnsi="宋体" w:eastAsia="宋体" w:cs="宋体"/>
          <w:color w:val="auto"/>
          <w:sz w:val="24"/>
          <w:highlight w:val="none"/>
          <w:lang w:val="en-US" w:eastAsia="zh-CN"/>
        </w:rPr>
        <w:t>不同供应商</w:t>
      </w:r>
      <w:r>
        <w:rPr>
          <w:rFonts w:hint="eastAsia" w:ascii="宋体" w:hAnsi="宋体" w:eastAsia="宋体" w:cs="宋体"/>
          <w:color w:val="auto"/>
          <w:sz w:val="24"/>
          <w:highlight w:val="none"/>
          <w:lang w:val="hr-HR"/>
        </w:rPr>
        <w:t>，不得参加同一合同项下的政府采购活动。</w:t>
      </w:r>
    </w:p>
    <w:p w14:paraId="68099EEC">
      <w:pPr>
        <w:pStyle w:val="37"/>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lang w:val="hr-HR" w:eastAsia="zh-CN"/>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lang w:val="hr-HR"/>
        </w:rPr>
        <w:t>除单一来源采购项目外，为采购项目提供整体设计、规范编制或者项目管理、监理、检测等服务的供应商，不得再参加该采购项目的其他采购活动。</w:t>
      </w:r>
    </w:p>
    <w:p w14:paraId="49ABF921">
      <w:pPr>
        <w:pStyle w:val="37"/>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hr-HR" w:eastAsia="zh-CN"/>
        </w:rPr>
        <w:t>（</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lang w:val="hr-HR"/>
        </w:rPr>
        <w:t>供应商的信用行为</w:t>
      </w:r>
      <w:r>
        <w:rPr>
          <w:rFonts w:hint="eastAsia" w:ascii="宋体" w:hAnsi="宋体" w:eastAsia="宋体" w:cs="宋体"/>
          <w:color w:val="auto"/>
          <w:sz w:val="24"/>
          <w:highlight w:val="none"/>
          <w:lang w:val="hr-HR" w:eastAsia="zh-CN"/>
        </w:rPr>
        <w:t>：</w:t>
      </w:r>
      <w:r>
        <w:rPr>
          <w:rFonts w:hint="eastAsia" w:ascii="宋体" w:hAnsi="宋体" w:eastAsia="宋体" w:cs="宋体"/>
          <w:color w:val="auto"/>
          <w:sz w:val="24"/>
          <w:highlight w:val="none"/>
          <w:lang w:val="hr-HR"/>
        </w:rPr>
        <w:t>在</w:t>
      </w:r>
      <w:r>
        <w:rPr>
          <w:rFonts w:hint="eastAsia" w:ascii="宋体" w:hAnsi="宋体" w:eastAsia="宋体" w:cs="宋体"/>
          <w:color w:val="auto"/>
          <w:sz w:val="24"/>
          <w:highlight w:val="none"/>
          <w:lang w:val="en-US" w:eastAsia="zh-CN"/>
        </w:rPr>
        <w:t>资格审查阶段经查询</w:t>
      </w:r>
      <w:r>
        <w:rPr>
          <w:rFonts w:hint="eastAsia" w:ascii="宋体" w:hAnsi="宋体" w:eastAsia="宋体" w:cs="宋体"/>
          <w:color w:val="auto"/>
          <w:sz w:val="24"/>
          <w:highlight w:val="none"/>
          <w:lang w:val="hr-HR"/>
        </w:rPr>
        <w:t>，</w:t>
      </w:r>
      <w:r>
        <w:rPr>
          <w:rFonts w:hint="eastAsia" w:ascii="宋体" w:hAnsi="宋体" w:eastAsia="宋体" w:cs="宋体"/>
          <w:color w:val="auto"/>
          <w:sz w:val="24"/>
          <w:highlight w:val="none"/>
          <w:lang w:val="en-US" w:eastAsia="zh-CN"/>
        </w:rPr>
        <w:t>未被列入“失信被执行人”、“重大税收违法失信主体”、“政府采购严重违法失信行为记录名单”</w:t>
      </w:r>
      <w:r>
        <w:rPr>
          <w:rFonts w:hint="eastAsia" w:ascii="宋体" w:hAnsi="宋体" w:eastAsia="宋体" w:cs="宋体"/>
          <w:color w:val="auto"/>
          <w:sz w:val="24"/>
          <w:highlight w:val="none"/>
          <w:lang w:val="hr-HR"/>
        </w:rPr>
        <w:t>其中之一。如有以上不良信用记录</w:t>
      </w:r>
      <w:r>
        <w:rPr>
          <w:rFonts w:hint="eastAsia" w:ascii="宋体" w:hAnsi="宋体" w:eastAsia="宋体" w:cs="宋体"/>
          <w:color w:val="auto"/>
          <w:sz w:val="24"/>
          <w:highlight w:val="none"/>
          <w:lang w:val="en-US" w:eastAsia="zh-CN"/>
        </w:rPr>
        <w:t>之一的，</w:t>
      </w:r>
      <w:r>
        <w:rPr>
          <w:rFonts w:hint="eastAsia" w:ascii="宋体" w:hAnsi="宋体" w:eastAsia="宋体" w:cs="宋体"/>
          <w:color w:val="auto"/>
          <w:sz w:val="24"/>
          <w:highlight w:val="none"/>
          <w:lang w:val="hr-HR"/>
        </w:rPr>
        <w:t>其</w:t>
      </w:r>
      <w:r>
        <w:rPr>
          <w:rFonts w:hint="eastAsia" w:ascii="宋体" w:hAnsi="宋体" w:eastAsia="宋体" w:cs="宋体"/>
          <w:b/>
          <w:bCs/>
          <w:color w:val="auto"/>
          <w:sz w:val="24"/>
          <w:highlight w:val="none"/>
          <w:lang w:val="hr-HR"/>
        </w:rPr>
        <w:t>投标</w:t>
      </w:r>
      <w:r>
        <w:rPr>
          <w:rFonts w:hint="eastAsia" w:ascii="宋体" w:hAnsi="宋体" w:eastAsia="宋体" w:cs="宋体"/>
          <w:b/>
          <w:bCs/>
          <w:color w:val="auto"/>
          <w:sz w:val="24"/>
          <w:highlight w:val="none"/>
          <w:lang w:val="en-US" w:eastAsia="zh-CN"/>
        </w:rPr>
        <w:t>无效</w:t>
      </w:r>
      <w:r>
        <w:rPr>
          <w:rFonts w:hint="eastAsia" w:ascii="宋体" w:hAnsi="宋体" w:eastAsia="宋体" w:cs="宋体"/>
          <w:color w:val="auto"/>
          <w:sz w:val="24"/>
          <w:highlight w:val="none"/>
          <w:lang w:val="hr-HR"/>
        </w:rPr>
        <w:t>。</w:t>
      </w:r>
    </w:p>
    <w:p w14:paraId="17F1ED43">
      <w:pPr>
        <w:pStyle w:val="3"/>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0" w:hanging="420" w:firstLineChars="0"/>
        <w:textAlignment w:val="auto"/>
        <w:rPr>
          <w:rFonts w:hint="eastAsia" w:ascii="宋体" w:hAnsi="宋体" w:eastAsia="宋体" w:cs="宋体"/>
          <w:b/>
          <w:bCs/>
          <w:color w:val="auto"/>
          <w:kern w:val="2"/>
          <w:sz w:val="24"/>
          <w:szCs w:val="24"/>
          <w:highlight w:val="none"/>
          <w:lang w:val="hr-HR" w:eastAsia="zh-CN" w:bidi="ar-SA"/>
        </w:rPr>
      </w:pPr>
      <w:bookmarkStart w:id="36" w:name="_Toc109899831"/>
      <w:bookmarkStart w:id="37" w:name="_Toc140132747"/>
      <w:bookmarkStart w:id="38" w:name="_Toc163492814"/>
      <w:bookmarkStart w:id="39" w:name="_Toc109900250"/>
      <w:bookmarkStart w:id="40" w:name="_Toc24975"/>
      <w:bookmarkStart w:id="41" w:name="_Toc109899412"/>
      <w:bookmarkStart w:id="42" w:name="_Toc155185862"/>
      <w:r>
        <w:rPr>
          <w:rFonts w:hint="eastAsia" w:ascii="宋体" w:hAnsi="宋体" w:eastAsia="宋体" w:cs="宋体"/>
          <w:b/>
          <w:bCs/>
          <w:color w:val="auto"/>
          <w:kern w:val="2"/>
          <w:sz w:val="24"/>
          <w:szCs w:val="24"/>
          <w:highlight w:val="none"/>
          <w:lang w:val="en-US" w:eastAsia="zh-CN" w:bidi="ar-SA"/>
        </w:rPr>
        <w:t>三、</w:t>
      </w:r>
      <w:r>
        <w:rPr>
          <w:rFonts w:hint="eastAsia" w:ascii="宋体" w:hAnsi="宋体" w:eastAsia="宋体" w:cs="宋体"/>
          <w:b/>
          <w:bCs/>
          <w:color w:val="auto"/>
          <w:kern w:val="2"/>
          <w:sz w:val="24"/>
          <w:szCs w:val="24"/>
          <w:highlight w:val="none"/>
          <w:lang w:val="hr-HR" w:eastAsia="zh-CN" w:bidi="ar-SA"/>
        </w:rPr>
        <w:t>获取招标文件</w:t>
      </w:r>
      <w:bookmarkEnd w:id="31"/>
      <w:bookmarkEnd w:id="32"/>
      <w:bookmarkEnd w:id="33"/>
      <w:bookmarkEnd w:id="34"/>
      <w:bookmarkEnd w:id="35"/>
      <w:bookmarkEnd w:id="36"/>
      <w:bookmarkEnd w:id="37"/>
      <w:bookmarkEnd w:id="38"/>
      <w:bookmarkEnd w:id="39"/>
      <w:bookmarkEnd w:id="40"/>
      <w:bookmarkEnd w:id="41"/>
      <w:bookmarkEnd w:id="42"/>
      <w:r>
        <w:rPr>
          <w:rFonts w:hint="eastAsia" w:ascii="宋体" w:hAnsi="宋体" w:eastAsia="宋体" w:cs="宋体"/>
          <w:b/>
          <w:bCs/>
          <w:color w:val="auto"/>
          <w:kern w:val="2"/>
          <w:sz w:val="24"/>
          <w:szCs w:val="24"/>
          <w:highlight w:val="none"/>
          <w:lang w:val="hr-HR" w:eastAsia="zh-CN" w:bidi="ar-SA"/>
        </w:rPr>
        <w:t xml:space="preserve"> </w:t>
      </w:r>
    </w:p>
    <w:p w14:paraId="663096B0">
      <w:pPr>
        <w:pStyle w:val="37"/>
        <w:pageBreakBefore w:val="0"/>
        <w:kinsoku/>
        <w:overflowPunct/>
        <w:topLinePunct w:val="0"/>
        <w:autoSpaceDE/>
        <w:autoSpaceDN/>
        <w:bidi w:val="0"/>
        <w:adjustRightInd/>
        <w:spacing w:line="400" w:lineRule="exact"/>
        <w:ind w:left="0"/>
        <w:textAlignment w:val="auto"/>
        <w:rPr>
          <w:rFonts w:hint="eastAsia" w:ascii="宋体" w:hAnsi="宋体" w:eastAsia="宋体" w:cs="宋体"/>
          <w:color w:val="auto"/>
          <w:sz w:val="24"/>
          <w:highlight w:val="none"/>
          <w:lang w:val="hr-HR"/>
        </w:rPr>
      </w:pPr>
      <w:bookmarkStart w:id="43" w:name="_Hlk130457234"/>
      <w:bookmarkStart w:id="44" w:name="_Toc28359015"/>
      <w:bookmarkStart w:id="45" w:name="_Toc35393632"/>
      <w:bookmarkStart w:id="46" w:name="_Hlk130457327"/>
      <w:bookmarkStart w:id="47" w:name="_Hlk130457261"/>
      <w:bookmarkStart w:id="48" w:name="_Toc28359092"/>
      <w:bookmarkStart w:id="49" w:name="_Toc35393801"/>
      <w:r>
        <w:rPr>
          <w:rFonts w:hint="eastAsia" w:ascii="宋体" w:hAnsi="宋体" w:eastAsia="宋体" w:cs="宋体"/>
          <w:color w:val="auto"/>
          <w:sz w:val="24"/>
          <w:highlight w:val="none"/>
          <w:lang w:val="hr-HR"/>
        </w:rPr>
        <w:t>1.时间：</w:t>
      </w:r>
      <w:r>
        <w:rPr>
          <w:rFonts w:hint="eastAsia" w:ascii="宋体" w:hAnsi="宋体" w:eastAsia="宋体" w:cs="宋体"/>
          <w:i w:val="0"/>
          <w:iCs w:val="0"/>
          <w:color w:val="auto"/>
          <w:sz w:val="24"/>
          <w:szCs w:val="24"/>
          <w:highlight w:val="none"/>
          <w:lang w:val="hr-HR"/>
        </w:rPr>
        <w:t>202</w:t>
      </w:r>
      <w:r>
        <w:rPr>
          <w:rFonts w:hint="eastAsia" w:cs="宋体"/>
          <w:i w:val="0"/>
          <w:iCs w:val="0"/>
          <w:color w:val="auto"/>
          <w:sz w:val="24"/>
          <w:szCs w:val="24"/>
          <w:highlight w:val="none"/>
          <w:lang w:val="en-US" w:eastAsia="zh-CN"/>
        </w:rPr>
        <w:t>6</w:t>
      </w:r>
      <w:r>
        <w:rPr>
          <w:rFonts w:hint="eastAsia" w:ascii="宋体" w:hAnsi="宋体" w:eastAsia="宋体" w:cs="宋体"/>
          <w:i w:val="0"/>
          <w:iCs w:val="0"/>
          <w:color w:val="auto"/>
          <w:sz w:val="24"/>
          <w:szCs w:val="24"/>
          <w:highlight w:val="none"/>
          <w:lang w:val="hr-HR"/>
        </w:rPr>
        <w:t>年</w:t>
      </w:r>
      <w:r>
        <w:rPr>
          <w:rFonts w:hint="eastAsia" w:cs="宋体"/>
          <w:i w:val="0"/>
          <w:iCs w:val="0"/>
          <w:color w:val="auto"/>
          <w:sz w:val="24"/>
          <w:szCs w:val="24"/>
          <w:highlight w:val="none"/>
          <w:lang w:val="en-US" w:eastAsia="zh-CN"/>
        </w:rPr>
        <w:t>4</w:t>
      </w:r>
      <w:r>
        <w:rPr>
          <w:rFonts w:hint="eastAsia" w:ascii="宋体" w:hAnsi="宋体" w:eastAsia="宋体" w:cs="宋体"/>
          <w:i w:val="0"/>
          <w:iCs w:val="0"/>
          <w:color w:val="auto"/>
          <w:sz w:val="24"/>
          <w:szCs w:val="24"/>
          <w:highlight w:val="none"/>
          <w:lang w:val="hr-HR"/>
        </w:rPr>
        <w:t>月</w:t>
      </w:r>
      <w:r>
        <w:rPr>
          <w:rFonts w:hint="eastAsia" w:cs="宋体"/>
          <w:i w:val="0"/>
          <w:iCs w:val="0"/>
          <w:color w:val="auto"/>
          <w:sz w:val="24"/>
          <w:szCs w:val="24"/>
          <w:highlight w:val="none"/>
          <w:lang w:val="en-US" w:eastAsia="zh-CN"/>
        </w:rPr>
        <w:t>2</w:t>
      </w:r>
      <w:r>
        <w:rPr>
          <w:rFonts w:hint="eastAsia" w:ascii="宋体" w:hAnsi="宋体" w:eastAsia="宋体" w:cs="宋体"/>
          <w:i w:val="0"/>
          <w:iCs w:val="0"/>
          <w:color w:val="auto"/>
          <w:sz w:val="24"/>
          <w:szCs w:val="24"/>
          <w:highlight w:val="none"/>
          <w:lang w:val="hr-HR"/>
        </w:rPr>
        <w:t>日至202</w:t>
      </w:r>
      <w:r>
        <w:rPr>
          <w:rFonts w:hint="eastAsia" w:cs="宋体"/>
          <w:i w:val="0"/>
          <w:iCs w:val="0"/>
          <w:color w:val="auto"/>
          <w:sz w:val="24"/>
          <w:szCs w:val="24"/>
          <w:highlight w:val="none"/>
          <w:lang w:val="en-US" w:eastAsia="zh-CN"/>
        </w:rPr>
        <w:t>6</w:t>
      </w:r>
      <w:r>
        <w:rPr>
          <w:rFonts w:hint="eastAsia" w:ascii="宋体" w:hAnsi="宋体" w:eastAsia="宋体" w:cs="宋体"/>
          <w:i w:val="0"/>
          <w:iCs w:val="0"/>
          <w:color w:val="auto"/>
          <w:sz w:val="24"/>
          <w:szCs w:val="24"/>
          <w:highlight w:val="none"/>
          <w:lang w:val="hr-HR"/>
        </w:rPr>
        <w:t>年</w:t>
      </w:r>
      <w:r>
        <w:rPr>
          <w:rFonts w:hint="eastAsia" w:cs="宋体"/>
          <w:i w:val="0"/>
          <w:iCs w:val="0"/>
          <w:color w:val="auto"/>
          <w:sz w:val="24"/>
          <w:szCs w:val="24"/>
          <w:highlight w:val="none"/>
          <w:lang w:val="en-US" w:eastAsia="zh-CN"/>
        </w:rPr>
        <w:t>4</w:t>
      </w:r>
      <w:r>
        <w:rPr>
          <w:rFonts w:hint="eastAsia" w:ascii="宋体" w:hAnsi="宋体" w:eastAsia="宋体" w:cs="宋体"/>
          <w:i w:val="0"/>
          <w:iCs w:val="0"/>
          <w:color w:val="auto"/>
          <w:sz w:val="24"/>
          <w:szCs w:val="24"/>
          <w:highlight w:val="none"/>
          <w:lang w:val="hr-HR"/>
        </w:rPr>
        <w:t>月</w:t>
      </w:r>
      <w:r>
        <w:rPr>
          <w:rFonts w:hint="eastAsia" w:cs="宋体"/>
          <w:i w:val="0"/>
          <w:iCs w:val="0"/>
          <w:color w:val="auto"/>
          <w:sz w:val="24"/>
          <w:szCs w:val="24"/>
          <w:highlight w:val="none"/>
          <w:lang w:val="en-US" w:eastAsia="zh-CN"/>
        </w:rPr>
        <w:t>10</w:t>
      </w:r>
      <w:r>
        <w:rPr>
          <w:rFonts w:hint="eastAsia" w:ascii="宋体" w:hAnsi="宋体" w:eastAsia="宋体" w:cs="宋体"/>
          <w:i w:val="0"/>
          <w:iCs w:val="0"/>
          <w:color w:val="auto"/>
          <w:sz w:val="24"/>
          <w:szCs w:val="24"/>
          <w:highlight w:val="none"/>
          <w:lang w:val="hr-HR"/>
        </w:rPr>
        <w:t>日，每天上午00:00至1</w:t>
      </w:r>
      <w:r>
        <w:rPr>
          <w:rFonts w:hint="eastAsia" w:cs="宋体"/>
          <w:i w:val="0"/>
          <w:iCs w:val="0"/>
          <w:color w:val="auto"/>
          <w:sz w:val="24"/>
          <w:szCs w:val="24"/>
          <w:highlight w:val="none"/>
          <w:lang w:val="en-US" w:eastAsia="zh-CN"/>
        </w:rPr>
        <w:t>4</w:t>
      </w:r>
      <w:r>
        <w:rPr>
          <w:rFonts w:hint="eastAsia" w:ascii="宋体" w:hAnsi="宋体" w:eastAsia="宋体" w:cs="宋体"/>
          <w:i w:val="0"/>
          <w:iCs w:val="0"/>
          <w:color w:val="auto"/>
          <w:sz w:val="24"/>
          <w:szCs w:val="24"/>
          <w:highlight w:val="none"/>
          <w:lang w:val="hr-HR"/>
        </w:rPr>
        <w:t>:00，下午1</w:t>
      </w:r>
      <w:r>
        <w:rPr>
          <w:rFonts w:hint="eastAsia" w:cs="宋体"/>
          <w:i w:val="0"/>
          <w:iCs w:val="0"/>
          <w:color w:val="auto"/>
          <w:sz w:val="24"/>
          <w:szCs w:val="24"/>
          <w:highlight w:val="none"/>
          <w:lang w:val="en-US" w:eastAsia="zh-CN"/>
        </w:rPr>
        <w:t>4</w:t>
      </w:r>
      <w:r>
        <w:rPr>
          <w:rFonts w:hint="eastAsia" w:ascii="宋体" w:hAnsi="宋体" w:eastAsia="宋体" w:cs="宋体"/>
          <w:i w:val="0"/>
          <w:iCs w:val="0"/>
          <w:color w:val="auto"/>
          <w:sz w:val="24"/>
          <w:szCs w:val="24"/>
          <w:highlight w:val="none"/>
          <w:lang w:val="hr-HR"/>
        </w:rPr>
        <w:t>:00至23:59（北京时间，法定节假日除外）</w:t>
      </w:r>
    </w:p>
    <w:bookmarkEnd w:id="43"/>
    <w:p w14:paraId="4CE91C3B">
      <w:pPr>
        <w:pStyle w:val="37"/>
        <w:pageBreakBefore w:val="0"/>
        <w:kinsoku/>
        <w:overflowPunct/>
        <w:topLinePunct w:val="0"/>
        <w:autoSpaceDE/>
        <w:autoSpaceDN/>
        <w:bidi w:val="0"/>
        <w:adjustRightInd/>
        <w:spacing w:line="400" w:lineRule="exact"/>
        <w:ind w:left="0"/>
        <w:textAlignment w:val="auto"/>
        <w:rPr>
          <w:rFonts w:hint="eastAsia" w:ascii="宋体" w:hAnsi="宋体" w:eastAsia="宋体" w:cs="宋体"/>
          <w:color w:val="auto"/>
          <w:sz w:val="24"/>
          <w:highlight w:val="none"/>
          <w:lang w:val="hr-HR"/>
        </w:rPr>
      </w:pPr>
      <w:r>
        <w:rPr>
          <w:rFonts w:hint="eastAsia" w:ascii="宋体" w:hAnsi="宋体" w:eastAsia="宋体" w:cs="宋体"/>
          <w:color w:val="auto"/>
          <w:sz w:val="24"/>
          <w:highlight w:val="none"/>
          <w:lang w:val="hr-HR"/>
        </w:rPr>
        <w:t>2.</w:t>
      </w:r>
      <w:r>
        <w:rPr>
          <w:rFonts w:hint="eastAsia" w:ascii="宋体" w:hAnsi="宋体" w:eastAsia="宋体" w:cs="宋体"/>
          <w:color w:val="auto"/>
          <w:sz w:val="24"/>
          <w:highlight w:val="none"/>
        </w:rPr>
        <w:t>地点</w:t>
      </w:r>
      <w:r>
        <w:rPr>
          <w:rFonts w:hint="eastAsia" w:ascii="宋体" w:hAnsi="宋体" w:eastAsia="宋体" w:cs="宋体"/>
          <w:color w:val="auto"/>
          <w:sz w:val="24"/>
          <w:highlight w:val="none"/>
          <w:lang w:val="hr-HR"/>
        </w:rPr>
        <w:t>：</w:t>
      </w:r>
      <w:bookmarkStart w:id="50" w:name="_Hlk89807779"/>
      <w:r>
        <w:rPr>
          <w:rFonts w:hint="eastAsia" w:ascii="宋体" w:hAnsi="宋体" w:eastAsia="宋体" w:cs="宋体"/>
          <w:i w:val="0"/>
          <w:iCs w:val="0"/>
          <w:color w:val="auto"/>
          <w:sz w:val="24"/>
          <w:szCs w:val="24"/>
          <w:highlight w:val="none"/>
          <w:lang w:val="hr-HR"/>
        </w:rPr>
        <w:t>政采云平台线上</w:t>
      </w:r>
      <w:bookmarkEnd w:id="50"/>
    </w:p>
    <w:p w14:paraId="674E7A4D">
      <w:pPr>
        <w:pStyle w:val="37"/>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lang w:val="en-US"/>
        </w:rPr>
      </w:pPr>
      <w:r>
        <w:rPr>
          <w:rFonts w:hint="eastAsia" w:ascii="宋体" w:hAnsi="宋体" w:eastAsia="宋体" w:cs="宋体"/>
          <w:color w:val="auto"/>
          <w:sz w:val="24"/>
          <w:highlight w:val="none"/>
          <w:lang w:val="hr-HR"/>
        </w:rPr>
        <w:t>3.</w:t>
      </w:r>
      <w:r>
        <w:rPr>
          <w:rFonts w:hint="eastAsia" w:ascii="宋体" w:hAnsi="宋体" w:eastAsia="宋体" w:cs="宋体"/>
          <w:color w:val="auto"/>
          <w:sz w:val="24"/>
          <w:highlight w:val="none"/>
        </w:rPr>
        <w:t>方式</w:t>
      </w:r>
      <w:r>
        <w:rPr>
          <w:rFonts w:hint="eastAsia" w:ascii="宋体" w:hAnsi="宋体" w:eastAsia="宋体" w:cs="宋体"/>
          <w:color w:val="auto"/>
          <w:sz w:val="24"/>
          <w:highlight w:val="none"/>
          <w:lang w:val="hr-HR"/>
        </w:rPr>
        <w:t>：</w:t>
      </w:r>
      <w:r>
        <w:rPr>
          <w:rFonts w:hint="eastAsia" w:ascii="宋体" w:hAnsi="宋体" w:eastAsia="宋体" w:cs="宋体"/>
          <w:color w:val="auto"/>
          <w:sz w:val="24"/>
          <w:highlight w:val="none"/>
          <w:lang w:val="en-US"/>
        </w:rPr>
        <w:t>投标</w:t>
      </w:r>
      <w:r>
        <w:rPr>
          <w:rFonts w:hint="eastAsia" w:ascii="宋体" w:hAnsi="宋体" w:eastAsia="宋体" w:cs="宋体"/>
          <w:i w:val="0"/>
          <w:iCs w:val="0"/>
          <w:color w:val="auto"/>
          <w:sz w:val="24"/>
          <w:szCs w:val="24"/>
          <w:highlight w:val="none"/>
          <w:lang w:val="en-US"/>
        </w:rPr>
        <w:t>供应商登录政采云平台</w:t>
      </w:r>
      <w:r>
        <w:rPr>
          <w:rFonts w:hint="eastAsia" w:ascii="宋体" w:hAnsi="宋体" w:eastAsia="宋体" w:cs="宋体"/>
          <w:i w:val="0"/>
          <w:iCs w:val="0"/>
          <w:color w:val="auto"/>
          <w:sz w:val="24"/>
          <w:szCs w:val="24"/>
          <w:highlight w:val="none"/>
          <w:lang w:val="hr-HR"/>
        </w:rPr>
        <w:t>https</w:t>
      </w:r>
      <w:r>
        <w:rPr>
          <w:rFonts w:hint="eastAsia" w:ascii="宋体" w:hAnsi="宋体" w:eastAsia="宋体" w:cs="宋体"/>
          <w:bCs/>
          <w:i w:val="0"/>
          <w:iCs w:val="0"/>
          <w:color w:val="auto"/>
          <w:sz w:val="24"/>
          <w:szCs w:val="24"/>
          <w:highlight w:val="none"/>
        </w:rPr>
        <w:t>:</w:t>
      </w:r>
      <w:r>
        <w:rPr>
          <w:rFonts w:hint="eastAsia" w:ascii="宋体" w:hAnsi="宋体" w:eastAsia="宋体" w:cs="宋体"/>
          <w:i w:val="0"/>
          <w:iCs w:val="0"/>
          <w:color w:val="auto"/>
          <w:sz w:val="24"/>
          <w:szCs w:val="24"/>
          <w:highlight w:val="none"/>
          <w:lang w:val="hr-HR"/>
        </w:rPr>
        <w:t>//www.zcygov.cn/</w:t>
      </w:r>
      <w:r>
        <w:rPr>
          <w:rFonts w:hint="eastAsia" w:ascii="宋体" w:hAnsi="宋体" w:eastAsia="宋体" w:cs="宋体"/>
          <w:i w:val="0"/>
          <w:iCs w:val="0"/>
          <w:color w:val="auto"/>
          <w:sz w:val="24"/>
          <w:szCs w:val="24"/>
          <w:highlight w:val="none"/>
          <w:lang w:val="en-US"/>
        </w:rPr>
        <w:t>在线申请获取</w:t>
      </w:r>
      <w:r>
        <w:rPr>
          <w:rFonts w:hint="eastAsia" w:cs="宋体"/>
          <w:i w:val="0"/>
          <w:iCs w:val="0"/>
          <w:color w:val="auto"/>
          <w:sz w:val="24"/>
          <w:szCs w:val="24"/>
          <w:highlight w:val="none"/>
          <w:lang w:val="en-US" w:eastAsia="zh-CN"/>
        </w:rPr>
        <w:t>招标</w:t>
      </w:r>
      <w:r>
        <w:rPr>
          <w:rFonts w:hint="eastAsia" w:ascii="宋体" w:hAnsi="宋体" w:eastAsia="宋体" w:cs="宋体"/>
          <w:i w:val="0"/>
          <w:iCs w:val="0"/>
          <w:color w:val="auto"/>
          <w:sz w:val="24"/>
          <w:szCs w:val="24"/>
          <w:highlight w:val="none"/>
          <w:lang w:val="en-US"/>
        </w:rPr>
        <w:t>文件（进入“项目采购”应用，在获取</w:t>
      </w:r>
      <w:r>
        <w:rPr>
          <w:rFonts w:hint="eastAsia" w:cs="宋体"/>
          <w:i w:val="0"/>
          <w:iCs w:val="0"/>
          <w:color w:val="auto"/>
          <w:sz w:val="24"/>
          <w:szCs w:val="24"/>
          <w:highlight w:val="none"/>
          <w:lang w:val="en-US" w:eastAsia="zh-CN"/>
        </w:rPr>
        <w:t>招标</w:t>
      </w:r>
      <w:r>
        <w:rPr>
          <w:rFonts w:hint="eastAsia" w:ascii="宋体" w:hAnsi="宋体" w:eastAsia="宋体" w:cs="宋体"/>
          <w:i w:val="0"/>
          <w:iCs w:val="0"/>
          <w:color w:val="auto"/>
          <w:sz w:val="24"/>
          <w:szCs w:val="24"/>
          <w:highlight w:val="none"/>
          <w:lang w:val="en-US"/>
        </w:rPr>
        <w:t>文件菜单中选择项目，申请获取</w:t>
      </w:r>
      <w:r>
        <w:rPr>
          <w:rFonts w:hint="eastAsia" w:cs="宋体"/>
          <w:i w:val="0"/>
          <w:iCs w:val="0"/>
          <w:color w:val="auto"/>
          <w:sz w:val="24"/>
          <w:szCs w:val="24"/>
          <w:highlight w:val="none"/>
          <w:lang w:val="en-US" w:eastAsia="zh-CN"/>
        </w:rPr>
        <w:t>招标文</w:t>
      </w:r>
      <w:r>
        <w:rPr>
          <w:rFonts w:hint="eastAsia" w:ascii="宋体" w:hAnsi="宋体" w:eastAsia="宋体" w:cs="宋体"/>
          <w:i w:val="0"/>
          <w:iCs w:val="0"/>
          <w:color w:val="auto"/>
          <w:sz w:val="24"/>
          <w:szCs w:val="24"/>
          <w:highlight w:val="none"/>
          <w:lang w:val="en-US"/>
        </w:rPr>
        <w:t>件）</w:t>
      </w:r>
      <w:r>
        <w:rPr>
          <w:rFonts w:hint="eastAsia" w:ascii="宋体" w:hAnsi="宋体" w:eastAsia="宋体" w:cs="宋体"/>
          <w:i w:val="0"/>
          <w:iCs w:val="0"/>
          <w:color w:val="auto"/>
          <w:sz w:val="24"/>
          <w:szCs w:val="24"/>
          <w:highlight w:val="none"/>
          <w:lang w:val="hr-HR"/>
        </w:rPr>
        <w:t xml:space="preserve"> </w:t>
      </w:r>
    </w:p>
    <w:p w14:paraId="21D74D7F">
      <w:pPr>
        <w:pStyle w:val="37"/>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4.售价：0元。</w:t>
      </w:r>
    </w:p>
    <w:bookmarkEnd w:id="44"/>
    <w:bookmarkEnd w:id="45"/>
    <w:bookmarkEnd w:id="46"/>
    <w:bookmarkEnd w:id="47"/>
    <w:bookmarkEnd w:id="48"/>
    <w:bookmarkEnd w:id="49"/>
    <w:p w14:paraId="6020FAF9">
      <w:pPr>
        <w:pStyle w:val="3"/>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0" w:hanging="420" w:firstLineChars="0"/>
        <w:textAlignment w:val="auto"/>
        <w:rPr>
          <w:rFonts w:hint="eastAsia" w:ascii="宋体" w:hAnsi="宋体" w:eastAsia="宋体" w:cs="宋体"/>
          <w:b/>
          <w:bCs/>
          <w:color w:val="auto"/>
          <w:kern w:val="2"/>
          <w:sz w:val="24"/>
          <w:szCs w:val="24"/>
          <w:highlight w:val="none"/>
          <w:lang w:val="hr-HR" w:eastAsia="zh-CN" w:bidi="ar-SA"/>
        </w:rPr>
      </w:pPr>
      <w:bookmarkStart w:id="51" w:name="_Toc155185863"/>
      <w:bookmarkStart w:id="52" w:name="_Toc109900251"/>
      <w:bookmarkStart w:id="53" w:name="_Toc109899832"/>
      <w:bookmarkStart w:id="54" w:name="_Toc109899413"/>
      <w:bookmarkStart w:id="55" w:name="_Toc163492815"/>
      <w:bookmarkStart w:id="56" w:name="_Toc140132748"/>
      <w:bookmarkStart w:id="57" w:name="_Toc8473"/>
      <w:r>
        <w:rPr>
          <w:rFonts w:hint="eastAsia" w:ascii="宋体" w:hAnsi="宋体" w:eastAsia="宋体" w:cs="宋体"/>
          <w:b/>
          <w:bCs/>
          <w:color w:val="auto"/>
          <w:kern w:val="2"/>
          <w:sz w:val="24"/>
          <w:szCs w:val="24"/>
          <w:highlight w:val="none"/>
          <w:lang w:val="en-US" w:eastAsia="zh-CN" w:bidi="ar-SA"/>
        </w:rPr>
        <w:t>四、</w:t>
      </w:r>
      <w:bookmarkEnd w:id="51"/>
      <w:bookmarkEnd w:id="52"/>
      <w:bookmarkEnd w:id="53"/>
      <w:bookmarkEnd w:id="54"/>
      <w:bookmarkEnd w:id="55"/>
      <w:bookmarkEnd w:id="56"/>
      <w:bookmarkStart w:id="58" w:name="_Hlk130457395"/>
      <w:bookmarkStart w:id="59" w:name="_Toc35393634"/>
      <w:bookmarkStart w:id="60" w:name="_Toc28359017"/>
      <w:bookmarkStart w:id="61" w:name="_Toc35393803"/>
      <w:bookmarkStart w:id="62" w:name="_Toc44583633"/>
      <w:bookmarkStart w:id="63" w:name="_Toc28359094"/>
      <w:r>
        <w:rPr>
          <w:rFonts w:hint="eastAsia" w:ascii="宋体" w:hAnsi="宋体" w:eastAsia="宋体" w:cs="宋体"/>
          <w:b/>
          <w:bCs/>
          <w:color w:val="auto"/>
          <w:kern w:val="2"/>
          <w:sz w:val="24"/>
          <w:szCs w:val="24"/>
          <w:highlight w:val="none"/>
          <w:lang w:val="en-US" w:eastAsia="zh-CN" w:bidi="ar-SA"/>
        </w:rPr>
        <w:t>提交投标文件截止时间、开标时间和地点</w:t>
      </w:r>
      <w:bookmarkEnd w:id="57"/>
    </w:p>
    <w:p w14:paraId="7985BE89">
      <w:pPr>
        <w:pStyle w:val="3"/>
        <w:keepNext/>
        <w:keepLines/>
        <w:pageBreakBefore w:val="0"/>
        <w:widowControl w:val="0"/>
        <w:numPr>
          <w:ilvl w:val="0"/>
          <w:numId w:val="0"/>
        </w:numPr>
        <w:kinsoku/>
        <w:wordWrap/>
        <w:overflowPunct/>
        <w:topLinePunct w:val="0"/>
        <w:autoSpaceDE/>
        <w:autoSpaceDN/>
        <w:bidi w:val="0"/>
        <w:adjustRightInd/>
        <w:snapToGrid/>
        <w:spacing w:before="0" w:after="0" w:line="360" w:lineRule="auto"/>
        <w:ind w:firstLine="480" w:firstLineChars="200"/>
        <w:textAlignment w:val="auto"/>
        <w:rPr>
          <w:rFonts w:hint="eastAsia" w:ascii="宋体" w:hAnsi="宋体" w:eastAsia="宋体" w:cs="宋体"/>
          <w:b w:val="0"/>
          <w:bCs w:val="0"/>
          <w:color w:val="auto"/>
          <w:sz w:val="24"/>
          <w:highlight w:val="none"/>
        </w:rPr>
      </w:pPr>
      <w:bookmarkStart w:id="64" w:name="_Toc8573"/>
      <w:bookmarkStart w:id="65" w:name="_Toc29261"/>
      <w:r>
        <w:rPr>
          <w:rFonts w:hint="eastAsia" w:ascii="宋体" w:hAnsi="宋体" w:eastAsia="宋体" w:cs="宋体"/>
          <w:b w:val="0"/>
          <w:bCs w:val="0"/>
          <w:color w:val="auto"/>
          <w:sz w:val="24"/>
          <w:highlight w:val="none"/>
        </w:rPr>
        <w:t>1.截止时间</w:t>
      </w:r>
      <w:r>
        <w:rPr>
          <w:rFonts w:hint="eastAsia" w:ascii="宋体" w:hAnsi="宋体" w:eastAsia="宋体" w:cs="宋体"/>
          <w:b w:val="0"/>
          <w:bCs w:val="0"/>
          <w:color w:val="auto"/>
          <w:sz w:val="24"/>
          <w:highlight w:val="none"/>
          <w:lang w:val="en-US"/>
        </w:rPr>
        <w:t>/</w:t>
      </w:r>
      <w:r>
        <w:rPr>
          <w:rFonts w:hint="eastAsia" w:ascii="宋体" w:hAnsi="宋体" w:eastAsia="宋体" w:cs="宋体"/>
          <w:b w:val="0"/>
          <w:bCs w:val="0"/>
          <w:color w:val="auto"/>
          <w:sz w:val="24"/>
          <w:highlight w:val="none"/>
        </w:rPr>
        <w:t>开标时间：</w:t>
      </w:r>
      <w:bookmarkEnd w:id="64"/>
      <w:r>
        <w:rPr>
          <w:rFonts w:hint="eastAsia" w:ascii="宋体" w:hAnsi="宋体" w:eastAsia="宋体" w:cs="宋体"/>
          <w:b w:val="0"/>
          <w:bCs w:val="0"/>
          <w:color w:val="auto"/>
          <w:sz w:val="24"/>
          <w:highlight w:val="none"/>
          <w:lang w:eastAsia="zh-CN"/>
        </w:rPr>
        <w:t>202</w:t>
      </w:r>
      <w:r>
        <w:rPr>
          <w:rFonts w:hint="eastAsia" w:ascii="宋体" w:hAnsi="宋体" w:eastAsia="宋体" w:cs="宋体"/>
          <w:b w:val="0"/>
          <w:bCs w:val="0"/>
          <w:color w:val="auto"/>
          <w:sz w:val="24"/>
          <w:highlight w:val="none"/>
          <w:lang w:val="en-US" w:eastAsia="zh-CN"/>
        </w:rPr>
        <w:t>6</w:t>
      </w:r>
      <w:r>
        <w:rPr>
          <w:rFonts w:hint="eastAsia" w:ascii="宋体" w:hAnsi="宋体" w:eastAsia="宋体" w:cs="宋体"/>
          <w:b w:val="0"/>
          <w:bCs w:val="0"/>
          <w:color w:val="auto"/>
          <w:sz w:val="24"/>
          <w:highlight w:val="none"/>
          <w:lang w:eastAsia="zh-CN"/>
        </w:rPr>
        <w:t>年</w:t>
      </w:r>
      <w:r>
        <w:rPr>
          <w:rFonts w:hint="eastAsia" w:ascii="宋体" w:hAnsi="宋体" w:cs="宋体"/>
          <w:b w:val="0"/>
          <w:bCs w:val="0"/>
          <w:color w:val="auto"/>
          <w:sz w:val="24"/>
          <w:highlight w:val="none"/>
          <w:lang w:val="en-US" w:eastAsia="zh-CN"/>
        </w:rPr>
        <w:t>4</w:t>
      </w:r>
      <w:r>
        <w:rPr>
          <w:rFonts w:hint="eastAsia" w:ascii="宋体" w:hAnsi="宋体" w:eastAsia="宋体" w:cs="宋体"/>
          <w:b w:val="0"/>
          <w:bCs w:val="0"/>
          <w:color w:val="auto"/>
          <w:sz w:val="24"/>
          <w:highlight w:val="none"/>
          <w:lang w:eastAsia="zh-CN"/>
        </w:rPr>
        <w:t>月</w:t>
      </w:r>
      <w:r>
        <w:rPr>
          <w:rFonts w:hint="eastAsia" w:ascii="宋体" w:hAnsi="宋体" w:cs="宋体"/>
          <w:b w:val="0"/>
          <w:bCs w:val="0"/>
          <w:color w:val="auto"/>
          <w:sz w:val="24"/>
          <w:highlight w:val="none"/>
          <w:lang w:val="en-US" w:eastAsia="zh-CN"/>
        </w:rPr>
        <w:t>30</w:t>
      </w:r>
      <w:r>
        <w:rPr>
          <w:rFonts w:hint="eastAsia" w:ascii="宋体" w:hAnsi="宋体" w:eastAsia="宋体" w:cs="宋体"/>
          <w:b w:val="0"/>
          <w:bCs w:val="0"/>
          <w:color w:val="auto"/>
          <w:sz w:val="24"/>
          <w:highlight w:val="none"/>
          <w:lang w:eastAsia="zh-CN"/>
        </w:rPr>
        <w:t>日1</w:t>
      </w:r>
      <w:r>
        <w:rPr>
          <w:rFonts w:hint="eastAsia" w:ascii="宋体" w:hAnsi="宋体" w:cs="宋体"/>
          <w:b w:val="0"/>
          <w:bCs w:val="0"/>
          <w:color w:val="auto"/>
          <w:sz w:val="24"/>
          <w:highlight w:val="none"/>
          <w:lang w:val="en-US" w:eastAsia="zh-CN"/>
        </w:rPr>
        <w:t>1</w:t>
      </w:r>
      <w:r>
        <w:rPr>
          <w:rFonts w:hint="eastAsia" w:ascii="宋体" w:hAnsi="宋体" w:eastAsia="宋体" w:cs="宋体"/>
          <w:b w:val="0"/>
          <w:bCs w:val="0"/>
          <w:color w:val="auto"/>
          <w:sz w:val="24"/>
          <w:highlight w:val="none"/>
          <w:lang w:val="en-US" w:eastAsia="zh-CN"/>
        </w:rPr>
        <w:t>:00</w:t>
      </w:r>
      <w:r>
        <w:rPr>
          <w:rFonts w:hint="eastAsia" w:ascii="宋体" w:hAnsi="宋体" w:eastAsia="宋体" w:cs="宋体"/>
          <w:b w:val="0"/>
          <w:bCs w:val="0"/>
          <w:color w:val="auto"/>
          <w:sz w:val="24"/>
          <w:highlight w:val="none"/>
          <w:lang w:eastAsia="zh-CN"/>
        </w:rPr>
        <w:t>（北京时间）。</w:t>
      </w:r>
      <w:bookmarkEnd w:id="65"/>
    </w:p>
    <w:p w14:paraId="5622E1CA">
      <w:pPr>
        <w:pStyle w:val="37"/>
        <w:pageBreakBefore w:val="0"/>
        <w:kinsoku/>
        <w:overflowPunct/>
        <w:topLinePunct w:val="0"/>
        <w:autoSpaceDE/>
        <w:autoSpaceDN/>
        <w:bidi w:val="0"/>
        <w:adjustRightInd/>
        <w:spacing w:line="400" w:lineRule="exact"/>
        <w:ind w:left="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2.投标地点（网址）：请登录政采云投标客户端投标 </w:t>
      </w:r>
    </w:p>
    <w:p w14:paraId="53BE2847">
      <w:pPr>
        <w:pStyle w:val="37"/>
        <w:pageBreakBefore w:val="0"/>
        <w:kinsoku/>
        <w:overflowPunct/>
        <w:topLinePunct w:val="0"/>
        <w:autoSpaceDE/>
        <w:autoSpaceDN/>
        <w:bidi w:val="0"/>
        <w:adjustRightInd/>
        <w:spacing w:line="400" w:lineRule="exact"/>
        <w:ind w:left="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3.开标</w:t>
      </w:r>
      <w:r>
        <w:rPr>
          <w:rFonts w:hint="eastAsia" w:ascii="宋体" w:hAnsi="宋体" w:eastAsia="宋体" w:cs="宋体"/>
          <w:color w:val="auto"/>
          <w:sz w:val="24"/>
          <w:highlight w:val="none"/>
          <w:lang w:val="en-US"/>
        </w:rPr>
        <w:t>地点</w:t>
      </w:r>
      <w:r>
        <w:rPr>
          <w:rFonts w:hint="eastAsia" w:ascii="宋体" w:hAnsi="宋体" w:eastAsia="宋体" w:cs="宋体"/>
          <w:color w:val="auto"/>
          <w:sz w:val="24"/>
          <w:highlight w:val="none"/>
        </w:rPr>
        <w:t>：投标人登录政采云平台https://www.zcygov.cn/，进入项目采购-开标评标-右边选择对应项目点击“进入项目”进入开标大厅。  </w:t>
      </w:r>
    </w:p>
    <w:bookmarkEnd w:id="58"/>
    <w:p w14:paraId="679A69E0">
      <w:pPr>
        <w:pStyle w:val="3"/>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0" w:hanging="420" w:firstLineChars="0"/>
        <w:textAlignment w:val="auto"/>
        <w:rPr>
          <w:rFonts w:hint="eastAsia" w:ascii="宋体" w:hAnsi="宋体" w:eastAsia="宋体" w:cs="宋体"/>
          <w:b/>
          <w:bCs/>
          <w:color w:val="auto"/>
          <w:kern w:val="2"/>
          <w:sz w:val="24"/>
          <w:szCs w:val="24"/>
          <w:highlight w:val="none"/>
          <w:lang w:val="hr-HR" w:eastAsia="zh-CN" w:bidi="ar-SA"/>
        </w:rPr>
      </w:pPr>
      <w:bookmarkStart w:id="66" w:name="_Toc163492816"/>
      <w:bookmarkStart w:id="67" w:name="_Toc140132749"/>
      <w:bookmarkStart w:id="68" w:name="_Toc109900252"/>
      <w:bookmarkStart w:id="69" w:name="_Toc6631"/>
      <w:bookmarkStart w:id="70" w:name="_Toc155185864"/>
      <w:bookmarkStart w:id="71" w:name="_Toc109899414"/>
      <w:bookmarkStart w:id="72" w:name="_Toc109899833"/>
      <w:r>
        <w:rPr>
          <w:rFonts w:hint="eastAsia" w:ascii="宋体" w:hAnsi="宋体" w:eastAsia="宋体" w:cs="宋体"/>
          <w:b/>
          <w:bCs/>
          <w:color w:val="auto"/>
          <w:kern w:val="2"/>
          <w:sz w:val="24"/>
          <w:szCs w:val="24"/>
          <w:highlight w:val="none"/>
          <w:lang w:val="en-US" w:eastAsia="zh-CN" w:bidi="ar-SA"/>
        </w:rPr>
        <w:t>五、</w:t>
      </w:r>
      <w:r>
        <w:rPr>
          <w:rFonts w:hint="eastAsia" w:ascii="宋体" w:hAnsi="宋体" w:eastAsia="宋体" w:cs="宋体"/>
          <w:b/>
          <w:bCs/>
          <w:color w:val="auto"/>
          <w:kern w:val="2"/>
          <w:sz w:val="24"/>
          <w:szCs w:val="24"/>
          <w:highlight w:val="none"/>
          <w:lang w:val="hr-HR" w:eastAsia="zh-CN" w:bidi="ar-SA"/>
        </w:rPr>
        <w:t>公告期限</w:t>
      </w:r>
      <w:bookmarkEnd w:id="59"/>
      <w:bookmarkEnd w:id="60"/>
      <w:bookmarkEnd w:id="61"/>
      <w:bookmarkEnd w:id="62"/>
      <w:bookmarkEnd w:id="63"/>
      <w:bookmarkEnd w:id="66"/>
      <w:bookmarkEnd w:id="67"/>
      <w:bookmarkEnd w:id="68"/>
      <w:bookmarkEnd w:id="69"/>
      <w:bookmarkEnd w:id="70"/>
      <w:bookmarkEnd w:id="71"/>
      <w:bookmarkEnd w:id="72"/>
    </w:p>
    <w:p w14:paraId="32028F42">
      <w:pPr>
        <w:pStyle w:val="37"/>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自招标公告发布之日起5个工作日。</w:t>
      </w:r>
    </w:p>
    <w:p w14:paraId="20DD1AA0">
      <w:pPr>
        <w:pStyle w:val="3"/>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0" w:hanging="420" w:firstLineChars="0"/>
        <w:textAlignment w:val="auto"/>
        <w:rPr>
          <w:rFonts w:hint="eastAsia" w:ascii="宋体" w:hAnsi="宋体" w:eastAsia="宋体" w:cs="宋体"/>
          <w:b/>
          <w:bCs/>
          <w:color w:val="auto"/>
          <w:kern w:val="2"/>
          <w:sz w:val="24"/>
          <w:szCs w:val="24"/>
          <w:highlight w:val="none"/>
          <w:lang w:val="hr-HR" w:eastAsia="zh-CN" w:bidi="ar-SA"/>
        </w:rPr>
      </w:pPr>
      <w:bookmarkStart w:id="73" w:name="_Toc155185865"/>
      <w:bookmarkStart w:id="74" w:name="_Toc12645"/>
      <w:bookmarkStart w:id="75" w:name="_Toc109899415"/>
      <w:bookmarkStart w:id="76" w:name="_Toc109900253"/>
      <w:bookmarkStart w:id="77" w:name="_Toc163492817"/>
      <w:bookmarkStart w:id="78" w:name="_Toc140132750"/>
      <w:bookmarkStart w:id="79" w:name="_Toc35393804"/>
      <w:bookmarkStart w:id="80" w:name="_Toc35393635"/>
      <w:bookmarkStart w:id="81" w:name="_Toc44583634"/>
      <w:bookmarkStart w:id="82" w:name="_Toc109899834"/>
      <w:r>
        <w:rPr>
          <w:rFonts w:hint="eastAsia" w:ascii="宋体" w:hAnsi="宋体" w:eastAsia="宋体" w:cs="宋体"/>
          <w:b/>
          <w:bCs/>
          <w:color w:val="auto"/>
          <w:kern w:val="2"/>
          <w:sz w:val="24"/>
          <w:szCs w:val="24"/>
          <w:highlight w:val="none"/>
          <w:lang w:val="en-US" w:eastAsia="zh-CN" w:bidi="ar-SA"/>
        </w:rPr>
        <w:t>六、</w:t>
      </w:r>
      <w:r>
        <w:rPr>
          <w:rFonts w:hint="eastAsia" w:ascii="宋体" w:hAnsi="宋体" w:eastAsia="宋体" w:cs="宋体"/>
          <w:b/>
          <w:bCs/>
          <w:color w:val="auto"/>
          <w:kern w:val="2"/>
          <w:sz w:val="24"/>
          <w:szCs w:val="24"/>
          <w:highlight w:val="none"/>
          <w:lang w:val="hr-HR" w:eastAsia="zh-CN" w:bidi="ar-SA"/>
        </w:rPr>
        <w:t>其他补充事宜</w:t>
      </w:r>
      <w:bookmarkEnd w:id="73"/>
      <w:bookmarkEnd w:id="74"/>
      <w:bookmarkEnd w:id="75"/>
      <w:bookmarkEnd w:id="76"/>
      <w:bookmarkEnd w:id="77"/>
      <w:bookmarkEnd w:id="78"/>
      <w:bookmarkEnd w:id="79"/>
      <w:bookmarkEnd w:id="80"/>
      <w:bookmarkEnd w:id="81"/>
      <w:bookmarkEnd w:id="82"/>
    </w:p>
    <w:p w14:paraId="2043A8DF">
      <w:pPr>
        <w:keepNext w:val="0"/>
        <w:keepLines w:val="0"/>
        <w:pageBreakBefore w:val="0"/>
        <w:widowControl/>
        <w:shd w:val="clear" w:color="auto" w:fill="FFFFFF"/>
        <w:kinsoku/>
        <w:overflowPunct/>
        <w:topLinePunct w:val="0"/>
        <w:autoSpaceDE/>
        <w:autoSpaceDN/>
        <w:bidi w:val="0"/>
        <w:adjustRightInd/>
        <w:snapToGrid/>
        <w:spacing w:line="400" w:lineRule="exact"/>
        <w:ind w:left="0" w:firstLine="480" w:firstLineChars="200"/>
        <w:textAlignment w:val="auto"/>
        <w:rPr>
          <w:rFonts w:hint="eastAsia" w:ascii="宋体" w:hAnsi="宋体" w:eastAsia="宋体" w:cs="宋体"/>
          <w:bCs/>
          <w:i w:val="0"/>
          <w:iCs w:val="0"/>
          <w:color w:val="auto"/>
          <w:sz w:val="24"/>
          <w:szCs w:val="24"/>
          <w:highlight w:val="none"/>
          <w:lang w:eastAsia="zh-CN"/>
        </w:rPr>
      </w:pPr>
      <w:bookmarkStart w:id="83" w:name="_Toc140132751"/>
      <w:bookmarkStart w:id="84" w:name="_Toc109899416"/>
      <w:bookmarkStart w:id="85" w:name="_Toc44583635"/>
      <w:bookmarkStart w:id="86" w:name="_Toc28359095"/>
      <w:bookmarkStart w:id="87" w:name="_Toc35393636"/>
      <w:bookmarkStart w:id="88" w:name="_Toc163492818"/>
      <w:bookmarkStart w:id="89" w:name="_Toc109900254"/>
      <w:bookmarkStart w:id="90" w:name="_Toc109899835"/>
      <w:bookmarkStart w:id="91" w:name="_Toc35393805"/>
      <w:bookmarkStart w:id="92" w:name="_Toc28359018"/>
      <w:bookmarkStart w:id="93" w:name="_Toc155185866"/>
      <w:r>
        <w:rPr>
          <w:rFonts w:hint="eastAsia" w:ascii="宋体" w:hAnsi="宋体" w:eastAsia="宋体" w:cs="宋体"/>
          <w:bCs/>
          <w:i w:val="0"/>
          <w:iCs w:val="0"/>
          <w:color w:val="auto"/>
          <w:sz w:val="24"/>
          <w:szCs w:val="24"/>
          <w:highlight w:val="none"/>
        </w:rPr>
        <w:t>1、本项目实行网上</w:t>
      </w:r>
      <w:r>
        <w:rPr>
          <w:rFonts w:hint="eastAsia" w:ascii="宋体" w:hAnsi="宋体" w:eastAsia="宋体" w:cs="宋体"/>
          <w:bCs/>
          <w:i w:val="0"/>
          <w:iCs w:val="0"/>
          <w:color w:val="auto"/>
          <w:sz w:val="24"/>
          <w:szCs w:val="24"/>
          <w:highlight w:val="none"/>
          <w:lang w:val="en-US" w:eastAsia="zh-CN"/>
        </w:rPr>
        <w:t>响应</w:t>
      </w:r>
      <w:r>
        <w:rPr>
          <w:rFonts w:hint="eastAsia" w:ascii="宋体" w:hAnsi="宋体" w:eastAsia="宋体" w:cs="宋体"/>
          <w:bCs/>
          <w:i w:val="0"/>
          <w:iCs w:val="0"/>
          <w:color w:val="auto"/>
          <w:sz w:val="24"/>
          <w:szCs w:val="24"/>
          <w:highlight w:val="none"/>
        </w:rPr>
        <w:t>，采用电子</w:t>
      </w:r>
      <w:r>
        <w:rPr>
          <w:rFonts w:hint="eastAsia" w:cs="宋体"/>
          <w:bCs/>
          <w:i w:val="0"/>
          <w:iCs w:val="0"/>
          <w:color w:val="auto"/>
          <w:sz w:val="24"/>
          <w:szCs w:val="24"/>
          <w:highlight w:val="none"/>
          <w:lang w:val="en-US" w:eastAsia="zh-CN"/>
        </w:rPr>
        <w:t>投标</w:t>
      </w:r>
      <w:r>
        <w:rPr>
          <w:rFonts w:hint="eastAsia" w:ascii="宋体" w:hAnsi="宋体" w:eastAsia="宋体" w:cs="宋体"/>
          <w:bCs/>
          <w:i w:val="0"/>
          <w:iCs w:val="0"/>
          <w:color w:val="auto"/>
          <w:sz w:val="24"/>
          <w:szCs w:val="24"/>
          <w:highlight w:val="none"/>
        </w:rPr>
        <w:t>文件</w:t>
      </w:r>
      <w:r>
        <w:rPr>
          <w:rFonts w:hint="eastAsia" w:ascii="宋体" w:hAnsi="宋体" w:eastAsia="宋体" w:cs="宋体"/>
          <w:bCs/>
          <w:i w:val="0"/>
          <w:iCs w:val="0"/>
          <w:color w:val="auto"/>
          <w:sz w:val="24"/>
          <w:szCs w:val="24"/>
          <w:highlight w:val="none"/>
          <w:lang w:eastAsia="zh-CN"/>
        </w:rPr>
        <w:t>。</w:t>
      </w:r>
    </w:p>
    <w:p w14:paraId="7DFC1A41">
      <w:pPr>
        <w:keepNext w:val="0"/>
        <w:keepLines w:val="0"/>
        <w:pageBreakBefore w:val="0"/>
        <w:widowControl/>
        <w:shd w:val="clear" w:color="auto" w:fill="FFFFFF"/>
        <w:kinsoku/>
        <w:wordWrap w:val="0"/>
        <w:overflowPunct/>
        <w:topLinePunct w:val="0"/>
        <w:autoSpaceDE/>
        <w:autoSpaceDN/>
        <w:bidi w:val="0"/>
        <w:adjustRightInd/>
        <w:snapToGrid/>
        <w:spacing w:line="400" w:lineRule="exact"/>
        <w:ind w:left="0" w:firstLine="480" w:firstLineChars="200"/>
        <w:textAlignment w:val="auto"/>
        <w:rPr>
          <w:rFonts w:hint="eastAsia" w:ascii="宋体" w:hAnsi="宋体" w:eastAsia="宋体" w:cs="宋体"/>
          <w:bCs/>
          <w:i w:val="0"/>
          <w:iCs w:val="0"/>
          <w:color w:val="auto"/>
          <w:sz w:val="24"/>
          <w:szCs w:val="24"/>
          <w:highlight w:val="none"/>
        </w:rPr>
      </w:pPr>
      <w:r>
        <w:rPr>
          <w:rFonts w:hint="eastAsia" w:ascii="宋体" w:hAnsi="宋体" w:eastAsia="宋体" w:cs="宋体"/>
          <w:bCs/>
          <w:i w:val="0"/>
          <w:iCs w:val="0"/>
          <w:color w:val="auto"/>
          <w:sz w:val="24"/>
          <w:szCs w:val="24"/>
          <w:highlight w:val="none"/>
        </w:rPr>
        <w:t>2、各供应商应在开标前应确保成为政采云平台供应商，并完成CA数字证书（符合国密标准）申领。因未注册入库、未办理CA数字证书等原因造成无法投标或投标失败等后果由供应商自行承担。有意向参与兵团区域电子开评标的供应商，可访问兵团政府采购网-办事指南-操作指南-CA证书办理操作指南或点击链接：http://ccgp-bingtuan.gov.cn/site/detail?parentId=189171&amp;articleId=CZ0bD526ZE+CHX5isJvt0w==&amp;utm=site.site-PC-4840.633-pc-websitegroup-secondlevelpage-front.1.2e96d52081d811eebbd67dd2372c0b9a自行进行申领。</w:t>
      </w:r>
    </w:p>
    <w:p w14:paraId="4B929515">
      <w:pPr>
        <w:keepNext w:val="0"/>
        <w:keepLines w:val="0"/>
        <w:pageBreakBefore w:val="0"/>
        <w:widowControl/>
        <w:shd w:val="clear" w:color="auto" w:fill="FFFFFF"/>
        <w:kinsoku/>
        <w:wordWrap w:val="0"/>
        <w:overflowPunct/>
        <w:topLinePunct w:val="0"/>
        <w:autoSpaceDE/>
        <w:autoSpaceDN/>
        <w:bidi w:val="0"/>
        <w:adjustRightInd/>
        <w:snapToGrid/>
        <w:spacing w:line="400" w:lineRule="exact"/>
        <w:ind w:left="0" w:firstLine="480" w:firstLineChars="200"/>
        <w:textAlignment w:val="auto"/>
        <w:rPr>
          <w:rFonts w:hint="eastAsia" w:ascii="宋体" w:hAnsi="宋体" w:eastAsia="宋体" w:cs="宋体"/>
          <w:bCs/>
          <w:i w:val="0"/>
          <w:iCs w:val="0"/>
          <w:color w:val="auto"/>
          <w:sz w:val="24"/>
          <w:szCs w:val="24"/>
          <w:highlight w:val="none"/>
        </w:rPr>
      </w:pPr>
      <w:r>
        <w:rPr>
          <w:rFonts w:hint="eastAsia" w:ascii="宋体" w:hAnsi="宋体" w:eastAsia="宋体" w:cs="宋体"/>
          <w:bCs/>
          <w:i w:val="0"/>
          <w:iCs w:val="0"/>
          <w:color w:val="auto"/>
          <w:sz w:val="24"/>
          <w:szCs w:val="24"/>
          <w:highlight w:val="none"/>
        </w:rPr>
        <w:t>3、供应商将政采云电子交易客户端下载、安装完成后，可通过账号密码或CA登录客户端进行</w:t>
      </w:r>
      <w:r>
        <w:rPr>
          <w:rFonts w:hint="eastAsia" w:ascii="宋体" w:hAnsi="宋体" w:eastAsia="宋体" w:cs="宋体"/>
          <w:bCs/>
          <w:i w:val="0"/>
          <w:iCs w:val="0"/>
          <w:color w:val="auto"/>
          <w:sz w:val="24"/>
          <w:szCs w:val="24"/>
          <w:highlight w:val="none"/>
          <w:lang w:val="en-US" w:eastAsia="zh-CN"/>
        </w:rPr>
        <w:t>响应</w:t>
      </w:r>
      <w:r>
        <w:rPr>
          <w:rFonts w:hint="eastAsia" w:ascii="宋体" w:hAnsi="宋体" w:eastAsia="宋体" w:cs="宋体"/>
          <w:bCs/>
          <w:i w:val="0"/>
          <w:iCs w:val="0"/>
          <w:color w:val="auto"/>
          <w:sz w:val="24"/>
          <w:szCs w:val="24"/>
          <w:highlight w:val="none"/>
        </w:rPr>
        <w:t>文件的制作。在使用政采云投标客户端时，建议使用WIN7（64位）及以上操作系统。客户端请至兵团政府采购网（http://ccgp-bingtuan.gov.cn/）下载专区查看，如有问题可拨打政采云客户服务热线95763进行咨询。如因供应商自身原因导致在规定时间内无法正常解密的（如：浏览器故障、未安装相关驱动、网络故障、加密CA与解密CA不一致等），采购中心/代理机构不予异常处理，视为供应商自动弃标。</w:t>
      </w:r>
    </w:p>
    <w:p w14:paraId="723251BD">
      <w:pPr>
        <w:pStyle w:val="3"/>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0" w:hanging="420" w:firstLineChars="0"/>
        <w:textAlignment w:val="auto"/>
        <w:rPr>
          <w:rFonts w:hint="eastAsia" w:ascii="宋体" w:hAnsi="宋体" w:eastAsia="宋体" w:cs="宋体"/>
          <w:b/>
          <w:bCs/>
          <w:color w:val="auto"/>
          <w:kern w:val="2"/>
          <w:sz w:val="24"/>
          <w:szCs w:val="24"/>
          <w:highlight w:val="none"/>
          <w:lang w:val="hr-HR" w:eastAsia="zh-CN" w:bidi="ar-SA"/>
        </w:rPr>
      </w:pPr>
      <w:bookmarkStart w:id="94" w:name="_Toc24637"/>
      <w:r>
        <w:rPr>
          <w:rFonts w:hint="eastAsia" w:ascii="宋体" w:hAnsi="宋体" w:eastAsia="宋体" w:cs="宋体"/>
          <w:b/>
          <w:bCs/>
          <w:color w:val="auto"/>
          <w:kern w:val="2"/>
          <w:sz w:val="24"/>
          <w:szCs w:val="24"/>
          <w:highlight w:val="none"/>
          <w:lang w:val="en-US" w:eastAsia="zh-CN" w:bidi="ar-SA"/>
        </w:rPr>
        <w:t>七、</w:t>
      </w:r>
      <w:bookmarkEnd w:id="83"/>
      <w:bookmarkEnd w:id="84"/>
      <w:bookmarkEnd w:id="85"/>
      <w:bookmarkEnd w:id="86"/>
      <w:bookmarkEnd w:id="87"/>
      <w:bookmarkEnd w:id="88"/>
      <w:bookmarkEnd w:id="89"/>
      <w:bookmarkEnd w:id="90"/>
      <w:bookmarkEnd w:id="91"/>
      <w:bookmarkEnd w:id="92"/>
      <w:bookmarkEnd w:id="93"/>
      <w:r>
        <w:rPr>
          <w:rFonts w:hint="eastAsia" w:ascii="宋体" w:hAnsi="宋体" w:eastAsia="宋体" w:cs="宋体"/>
          <w:b/>
          <w:bCs/>
          <w:color w:val="auto"/>
          <w:kern w:val="2"/>
          <w:sz w:val="24"/>
          <w:szCs w:val="24"/>
          <w:highlight w:val="none"/>
          <w:lang w:val="hr-HR" w:eastAsia="zh-CN" w:bidi="ar-SA"/>
        </w:rPr>
        <w:t>对本次</w:t>
      </w:r>
      <w:r>
        <w:rPr>
          <w:rFonts w:hint="eastAsia" w:ascii="宋体" w:hAnsi="宋体" w:eastAsia="宋体" w:cs="宋体"/>
          <w:b/>
          <w:bCs/>
          <w:color w:val="auto"/>
          <w:kern w:val="2"/>
          <w:sz w:val="24"/>
          <w:szCs w:val="24"/>
          <w:highlight w:val="none"/>
          <w:lang w:val="en-US" w:eastAsia="zh-CN" w:bidi="ar-SA"/>
        </w:rPr>
        <w:t>招标</w:t>
      </w:r>
      <w:r>
        <w:rPr>
          <w:rFonts w:hint="eastAsia" w:ascii="宋体" w:hAnsi="宋体" w:eastAsia="宋体" w:cs="宋体"/>
          <w:b/>
          <w:bCs/>
          <w:color w:val="auto"/>
          <w:kern w:val="2"/>
          <w:sz w:val="24"/>
          <w:szCs w:val="24"/>
          <w:highlight w:val="none"/>
          <w:lang w:val="hr-HR" w:eastAsia="zh-CN" w:bidi="ar-SA"/>
        </w:rPr>
        <w:t>提出询问，请按以下方式联系</w:t>
      </w:r>
      <w:bookmarkEnd w:id="94"/>
    </w:p>
    <w:p w14:paraId="3EEAC95D">
      <w:pPr>
        <w:pStyle w:val="37"/>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highlight w:val="none"/>
        </w:rPr>
      </w:pPr>
      <w:bookmarkStart w:id="95" w:name="_Toc28359096"/>
      <w:bookmarkStart w:id="96" w:name="_Toc35393637"/>
      <w:bookmarkStart w:id="97" w:name="_Toc28359019"/>
      <w:bookmarkStart w:id="98" w:name="_Toc35393806"/>
      <w:r>
        <w:rPr>
          <w:rFonts w:hint="eastAsia" w:ascii="宋体" w:hAnsi="宋体" w:eastAsia="宋体" w:cs="宋体"/>
          <w:color w:val="auto"/>
          <w:sz w:val="24"/>
          <w:highlight w:val="none"/>
        </w:rPr>
        <w:t>1.采购人信息</w:t>
      </w:r>
      <w:bookmarkEnd w:id="95"/>
      <w:bookmarkEnd w:id="96"/>
      <w:bookmarkEnd w:id="97"/>
      <w:bookmarkEnd w:id="98"/>
    </w:p>
    <w:p w14:paraId="3D56CCC0">
      <w:pPr>
        <w:pStyle w:val="37"/>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名  称：塔里木职业技术学院</w:t>
      </w:r>
    </w:p>
    <w:p w14:paraId="0FD5A634">
      <w:pPr>
        <w:pStyle w:val="37"/>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地  址：第一师阿拉尔市  </w:t>
      </w:r>
    </w:p>
    <w:p w14:paraId="18FB97B2">
      <w:pPr>
        <w:pStyle w:val="37"/>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default" w:ascii="宋体" w:hAnsi="宋体" w:eastAsia="宋体" w:cs="宋体"/>
          <w:color w:val="auto"/>
          <w:sz w:val="24"/>
          <w:highlight w:val="none"/>
          <w:lang w:val="en-US" w:eastAsia="zh-CN"/>
        </w:rPr>
      </w:pPr>
      <w:r>
        <w:rPr>
          <w:rFonts w:hint="eastAsia" w:cs="宋体"/>
          <w:color w:val="auto"/>
          <w:sz w:val="24"/>
          <w:highlight w:val="none"/>
          <w:lang w:val="en-US" w:eastAsia="zh-CN"/>
        </w:rPr>
        <w:t>项目联系人：刘老师</w:t>
      </w:r>
    </w:p>
    <w:p w14:paraId="676204EA">
      <w:pPr>
        <w:pStyle w:val="37"/>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联系方式：</w:t>
      </w:r>
      <w:bookmarkStart w:id="99" w:name="_Hlk46775675"/>
      <w:r>
        <w:rPr>
          <w:rFonts w:hint="eastAsia" w:cs="宋体"/>
          <w:color w:val="auto"/>
          <w:sz w:val="24"/>
          <w:highlight w:val="none"/>
          <w:u w:val="none"/>
          <w:lang w:val="en-US" w:eastAsia="zh-CN"/>
        </w:rPr>
        <w:t>0997-8662100</w:t>
      </w:r>
    </w:p>
    <w:bookmarkEnd w:id="99"/>
    <w:p w14:paraId="4BCDE520">
      <w:pPr>
        <w:pStyle w:val="37"/>
        <w:keepNext w:val="0"/>
        <w:keepLines w:val="0"/>
        <w:pageBreakBefore w:val="0"/>
        <w:widowControl w:val="0"/>
        <w:kinsoku/>
        <w:wordWrap w:val="0"/>
        <w:overflowPunct/>
        <w:topLinePunct w:val="0"/>
        <w:autoSpaceDE/>
        <w:autoSpaceDN/>
        <w:bidi w:val="0"/>
        <w:adjustRightInd/>
        <w:snapToGrid/>
        <w:spacing w:line="400" w:lineRule="exact"/>
        <w:ind w:firstLine="482"/>
        <w:textAlignment w:val="auto"/>
        <w:rPr>
          <w:rFonts w:hint="default" w:ascii="宋体" w:hAnsi="宋体" w:eastAsia="宋体" w:cs="宋体"/>
          <w:i w:val="0"/>
          <w:iCs w:val="0"/>
          <w:color w:val="auto"/>
          <w:sz w:val="24"/>
          <w:szCs w:val="24"/>
          <w:highlight w:val="none"/>
          <w:u w:val="none"/>
          <w:lang w:val="en-US" w:eastAsia="zh-CN"/>
        </w:rPr>
      </w:pPr>
      <w:r>
        <w:rPr>
          <w:rFonts w:hint="default" w:ascii="宋体" w:hAnsi="宋体" w:eastAsia="宋体" w:cs="宋体"/>
          <w:i w:val="0"/>
          <w:iCs w:val="0"/>
          <w:color w:val="auto"/>
          <w:sz w:val="24"/>
          <w:szCs w:val="24"/>
          <w:highlight w:val="none"/>
          <w:u w:val="none"/>
          <w:lang w:val="en-US" w:eastAsia="zh-CN"/>
        </w:rPr>
        <w:t>2.采购代理机构信息</w:t>
      </w:r>
    </w:p>
    <w:p w14:paraId="08DF8DFE">
      <w:pPr>
        <w:pStyle w:val="37"/>
        <w:keepNext w:val="0"/>
        <w:keepLines w:val="0"/>
        <w:pageBreakBefore w:val="0"/>
        <w:widowControl w:val="0"/>
        <w:kinsoku/>
        <w:wordWrap w:val="0"/>
        <w:overflowPunct/>
        <w:topLinePunct w:val="0"/>
        <w:autoSpaceDE/>
        <w:autoSpaceDN/>
        <w:bidi w:val="0"/>
        <w:adjustRightInd/>
        <w:snapToGrid/>
        <w:spacing w:line="400" w:lineRule="exact"/>
        <w:ind w:firstLine="482"/>
        <w:textAlignment w:val="auto"/>
        <w:rPr>
          <w:rFonts w:hint="default" w:ascii="宋体" w:hAnsi="宋体" w:eastAsia="宋体" w:cs="宋体"/>
          <w:i w:val="0"/>
          <w:iCs w:val="0"/>
          <w:color w:val="auto"/>
          <w:sz w:val="24"/>
          <w:szCs w:val="24"/>
          <w:highlight w:val="none"/>
          <w:u w:val="none"/>
          <w:lang w:val="en-US" w:eastAsia="zh-CN"/>
        </w:rPr>
      </w:pPr>
      <w:r>
        <w:rPr>
          <w:rFonts w:hint="default" w:ascii="宋体" w:hAnsi="宋体" w:eastAsia="宋体" w:cs="宋体"/>
          <w:i w:val="0"/>
          <w:iCs w:val="0"/>
          <w:color w:val="auto"/>
          <w:sz w:val="24"/>
          <w:szCs w:val="24"/>
          <w:highlight w:val="none"/>
          <w:u w:val="none"/>
          <w:lang w:val="en-US" w:eastAsia="zh-CN"/>
        </w:rPr>
        <w:t>名  称：新疆同滕工程项目管理有限公司</w:t>
      </w:r>
    </w:p>
    <w:p w14:paraId="029EB988">
      <w:pPr>
        <w:pStyle w:val="37"/>
        <w:keepNext w:val="0"/>
        <w:keepLines w:val="0"/>
        <w:pageBreakBefore w:val="0"/>
        <w:widowControl w:val="0"/>
        <w:kinsoku/>
        <w:wordWrap w:val="0"/>
        <w:overflowPunct/>
        <w:topLinePunct w:val="0"/>
        <w:autoSpaceDE/>
        <w:autoSpaceDN/>
        <w:bidi w:val="0"/>
        <w:adjustRightInd/>
        <w:snapToGrid/>
        <w:spacing w:line="400" w:lineRule="exact"/>
        <w:ind w:firstLine="482"/>
        <w:textAlignment w:val="auto"/>
        <w:rPr>
          <w:rFonts w:hint="default" w:ascii="宋体" w:hAnsi="宋体" w:eastAsia="宋体" w:cs="宋体"/>
          <w:i w:val="0"/>
          <w:iCs w:val="0"/>
          <w:color w:val="auto"/>
          <w:sz w:val="24"/>
          <w:szCs w:val="24"/>
          <w:highlight w:val="none"/>
          <w:u w:val="none"/>
          <w:lang w:val="en-US" w:eastAsia="zh-CN"/>
        </w:rPr>
      </w:pPr>
      <w:r>
        <w:rPr>
          <w:rFonts w:hint="default" w:ascii="宋体" w:hAnsi="宋体" w:eastAsia="宋体" w:cs="宋体"/>
          <w:i w:val="0"/>
          <w:iCs w:val="0"/>
          <w:color w:val="auto"/>
          <w:sz w:val="24"/>
          <w:szCs w:val="24"/>
          <w:highlight w:val="none"/>
          <w:u w:val="none"/>
          <w:lang w:val="en-US" w:eastAsia="zh-CN"/>
        </w:rPr>
        <w:t xml:space="preserve">地  址：新疆阿拉尔市大学生创业园1号楼321室       </w:t>
      </w:r>
    </w:p>
    <w:p w14:paraId="6DEAE90A">
      <w:pPr>
        <w:pStyle w:val="37"/>
        <w:keepNext w:val="0"/>
        <w:keepLines w:val="0"/>
        <w:pageBreakBefore w:val="0"/>
        <w:widowControl w:val="0"/>
        <w:kinsoku/>
        <w:wordWrap w:val="0"/>
        <w:overflowPunct/>
        <w:topLinePunct w:val="0"/>
        <w:autoSpaceDE/>
        <w:autoSpaceDN/>
        <w:bidi w:val="0"/>
        <w:adjustRightInd/>
        <w:snapToGrid/>
        <w:spacing w:line="400" w:lineRule="exact"/>
        <w:ind w:firstLine="482"/>
        <w:textAlignment w:val="auto"/>
        <w:rPr>
          <w:rFonts w:hint="default" w:ascii="宋体" w:hAnsi="宋体" w:eastAsia="宋体" w:cs="宋体"/>
          <w:i w:val="0"/>
          <w:iCs w:val="0"/>
          <w:color w:val="auto"/>
          <w:sz w:val="24"/>
          <w:szCs w:val="24"/>
          <w:highlight w:val="none"/>
          <w:u w:val="none"/>
          <w:lang w:val="en-US" w:eastAsia="zh-CN"/>
        </w:rPr>
      </w:pPr>
      <w:r>
        <w:rPr>
          <w:rFonts w:hint="default" w:ascii="宋体" w:hAnsi="宋体" w:eastAsia="宋体" w:cs="宋体"/>
          <w:i w:val="0"/>
          <w:iCs w:val="0"/>
          <w:color w:val="auto"/>
          <w:sz w:val="24"/>
          <w:szCs w:val="24"/>
          <w:highlight w:val="none"/>
          <w:u w:val="none"/>
          <w:lang w:val="en-US" w:eastAsia="zh-CN"/>
        </w:rPr>
        <w:t>项目联系人：</w:t>
      </w:r>
      <w:r>
        <w:rPr>
          <w:rFonts w:hint="eastAsia" w:cs="宋体"/>
          <w:i w:val="0"/>
          <w:iCs w:val="0"/>
          <w:color w:val="auto"/>
          <w:sz w:val="24"/>
          <w:szCs w:val="24"/>
          <w:highlight w:val="none"/>
          <w:u w:val="none"/>
          <w:lang w:val="en-US" w:eastAsia="zh-CN"/>
        </w:rPr>
        <w:t>李丽、曹思淇</w:t>
      </w:r>
    </w:p>
    <w:p w14:paraId="6E081A16">
      <w:pPr>
        <w:pStyle w:val="37"/>
        <w:keepNext w:val="0"/>
        <w:keepLines w:val="0"/>
        <w:pageBreakBefore w:val="0"/>
        <w:widowControl w:val="0"/>
        <w:kinsoku/>
        <w:wordWrap w:val="0"/>
        <w:overflowPunct/>
        <w:topLinePunct w:val="0"/>
        <w:autoSpaceDE/>
        <w:autoSpaceDN/>
        <w:bidi w:val="0"/>
        <w:adjustRightInd/>
        <w:snapToGrid/>
        <w:spacing w:line="400" w:lineRule="exact"/>
        <w:ind w:firstLine="482"/>
        <w:textAlignment w:val="auto"/>
        <w:rPr>
          <w:rFonts w:hint="default" w:ascii="宋体" w:hAnsi="宋体" w:eastAsia="宋体" w:cs="宋体"/>
          <w:i w:val="0"/>
          <w:iCs w:val="0"/>
          <w:color w:val="auto"/>
          <w:sz w:val="24"/>
          <w:szCs w:val="24"/>
          <w:highlight w:val="none"/>
          <w:u w:val="none"/>
          <w:lang w:val="en-US" w:eastAsia="zh-CN"/>
        </w:rPr>
      </w:pPr>
      <w:r>
        <w:rPr>
          <w:rFonts w:hint="default" w:ascii="宋体" w:hAnsi="宋体" w:eastAsia="宋体" w:cs="宋体"/>
          <w:i w:val="0"/>
          <w:iCs w:val="0"/>
          <w:color w:val="auto"/>
          <w:sz w:val="24"/>
          <w:szCs w:val="24"/>
          <w:highlight w:val="none"/>
          <w:u w:val="none"/>
          <w:lang w:val="en-US" w:eastAsia="zh-CN"/>
        </w:rPr>
        <w:t>电  话：1939020</w:t>
      </w:r>
      <w:r>
        <w:rPr>
          <w:rFonts w:hint="eastAsia" w:cs="宋体"/>
          <w:i w:val="0"/>
          <w:iCs w:val="0"/>
          <w:color w:val="auto"/>
          <w:sz w:val="24"/>
          <w:szCs w:val="24"/>
          <w:highlight w:val="none"/>
          <w:u w:val="none"/>
          <w:lang w:val="en-US" w:eastAsia="zh-CN"/>
        </w:rPr>
        <w:t>3</w:t>
      </w:r>
      <w:r>
        <w:rPr>
          <w:rFonts w:hint="default" w:ascii="宋体" w:hAnsi="宋体" w:eastAsia="宋体" w:cs="宋体"/>
          <w:i w:val="0"/>
          <w:iCs w:val="0"/>
          <w:color w:val="auto"/>
          <w:sz w:val="24"/>
          <w:szCs w:val="24"/>
          <w:highlight w:val="none"/>
          <w:u w:val="none"/>
          <w:lang w:val="en-US" w:eastAsia="zh-CN"/>
        </w:rPr>
        <w:t>555</w:t>
      </w:r>
    </w:p>
    <w:p w14:paraId="528702F0">
      <w:pPr>
        <w:pStyle w:val="37"/>
        <w:keepNext w:val="0"/>
        <w:keepLines w:val="0"/>
        <w:pageBreakBefore w:val="0"/>
        <w:widowControl w:val="0"/>
        <w:kinsoku/>
        <w:wordWrap w:val="0"/>
        <w:overflowPunct/>
        <w:topLinePunct w:val="0"/>
        <w:autoSpaceDE/>
        <w:autoSpaceDN/>
        <w:bidi w:val="0"/>
        <w:adjustRightInd/>
        <w:snapToGrid/>
        <w:spacing w:line="400" w:lineRule="exact"/>
        <w:textAlignment w:val="auto"/>
        <w:rPr>
          <w:rFonts w:hint="default" w:ascii="宋体" w:hAnsi="宋体" w:eastAsia="宋体" w:cs="宋体"/>
          <w:i w:val="0"/>
          <w:iCs w:val="0"/>
          <w:color w:val="auto"/>
          <w:sz w:val="24"/>
          <w:szCs w:val="24"/>
          <w:highlight w:val="none"/>
          <w:u w:val="none"/>
          <w:lang w:val="en-US" w:eastAsia="zh-CN"/>
        </w:rPr>
      </w:pPr>
      <w:r>
        <w:rPr>
          <w:rFonts w:hint="default" w:ascii="宋体" w:hAnsi="宋体" w:eastAsia="宋体" w:cs="宋体"/>
          <w:i w:val="0"/>
          <w:iCs w:val="0"/>
          <w:color w:val="auto"/>
          <w:sz w:val="24"/>
          <w:szCs w:val="24"/>
          <w:highlight w:val="none"/>
          <w:u w:val="none"/>
          <w:lang w:val="en-US" w:eastAsia="zh-CN"/>
        </w:rPr>
        <w:t>3.监管部门信息</w:t>
      </w:r>
    </w:p>
    <w:p w14:paraId="7258CB97">
      <w:pPr>
        <w:pStyle w:val="37"/>
        <w:keepNext w:val="0"/>
        <w:keepLines w:val="0"/>
        <w:pageBreakBefore w:val="0"/>
        <w:widowControl w:val="0"/>
        <w:kinsoku/>
        <w:wordWrap w:val="0"/>
        <w:overflowPunct/>
        <w:topLinePunct w:val="0"/>
        <w:autoSpaceDE/>
        <w:autoSpaceDN/>
        <w:bidi w:val="0"/>
        <w:adjustRightInd/>
        <w:snapToGrid/>
        <w:spacing w:line="400" w:lineRule="exact"/>
        <w:textAlignment w:val="auto"/>
        <w:rPr>
          <w:rFonts w:hint="default" w:ascii="宋体" w:hAnsi="宋体" w:eastAsia="宋体" w:cs="宋体"/>
          <w:i w:val="0"/>
          <w:iCs w:val="0"/>
          <w:color w:val="auto"/>
          <w:sz w:val="24"/>
          <w:szCs w:val="24"/>
          <w:highlight w:val="none"/>
          <w:u w:val="none"/>
          <w:lang w:val="en-US" w:eastAsia="zh-CN"/>
        </w:rPr>
      </w:pPr>
      <w:r>
        <w:rPr>
          <w:rFonts w:hint="default" w:ascii="宋体" w:hAnsi="宋体" w:eastAsia="宋体" w:cs="宋体"/>
          <w:i w:val="0"/>
          <w:iCs w:val="0"/>
          <w:color w:val="auto"/>
          <w:sz w:val="24"/>
          <w:szCs w:val="24"/>
          <w:highlight w:val="none"/>
          <w:u w:val="none"/>
          <w:lang w:val="en-US" w:eastAsia="zh-CN"/>
        </w:rPr>
        <w:t>名 称：新疆生产建设兵团第一师财政局</w:t>
      </w:r>
    </w:p>
    <w:p w14:paraId="4C304A2A">
      <w:pPr>
        <w:pStyle w:val="37"/>
        <w:keepNext w:val="0"/>
        <w:keepLines w:val="0"/>
        <w:pageBreakBefore w:val="0"/>
        <w:widowControl w:val="0"/>
        <w:kinsoku/>
        <w:wordWrap w:val="0"/>
        <w:overflowPunct/>
        <w:topLinePunct w:val="0"/>
        <w:autoSpaceDE/>
        <w:autoSpaceDN/>
        <w:bidi w:val="0"/>
        <w:adjustRightInd/>
        <w:snapToGrid/>
        <w:spacing w:line="400" w:lineRule="exact"/>
        <w:ind w:firstLine="482"/>
        <w:textAlignment w:val="auto"/>
        <w:rPr>
          <w:rFonts w:hint="default" w:ascii="宋体" w:hAnsi="宋体" w:eastAsia="宋体" w:cs="宋体"/>
          <w:i w:val="0"/>
          <w:iCs w:val="0"/>
          <w:color w:val="auto"/>
          <w:sz w:val="24"/>
          <w:szCs w:val="24"/>
          <w:highlight w:val="none"/>
          <w:u w:val="none"/>
          <w:lang w:val="en-US" w:eastAsia="zh-CN"/>
        </w:rPr>
      </w:pPr>
      <w:r>
        <w:rPr>
          <w:rFonts w:hint="default" w:ascii="宋体" w:hAnsi="宋体" w:eastAsia="宋体" w:cs="宋体"/>
          <w:i w:val="0"/>
          <w:iCs w:val="0"/>
          <w:color w:val="auto"/>
          <w:sz w:val="24"/>
          <w:szCs w:val="24"/>
          <w:highlight w:val="none"/>
          <w:u w:val="none"/>
          <w:lang w:val="en-US" w:eastAsia="zh-CN"/>
        </w:rPr>
        <w:t>地 址：新疆阿拉尔市胜利大道1号</w:t>
      </w:r>
    </w:p>
    <w:p w14:paraId="6895066A">
      <w:pPr>
        <w:keepNext w:val="0"/>
        <w:keepLines w:val="0"/>
        <w:pageBreakBefore w:val="0"/>
        <w:kinsoku/>
        <w:wordWrap/>
        <w:overflowPunct/>
        <w:topLinePunct/>
        <w:autoSpaceDE/>
        <w:autoSpaceDN/>
        <w:bidi w:val="0"/>
        <w:adjustRightInd/>
        <w:snapToGrid/>
        <w:spacing w:line="420" w:lineRule="exact"/>
        <w:ind w:left="0" w:firstLine="480" w:firstLineChars="200"/>
        <w:textAlignment w:val="auto"/>
        <w:rPr>
          <w:rFonts w:hint="eastAsia" w:ascii="宋体" w:hAnsi="宋体" w:eastAsia="宋体" w:cs="宋体"/>
          <w:color w:val="auto"/>
          <w:kern w:val="2"/>
          <w:sz w:val="24"/>
          <w:szCs w:val="24"/>
          <w:lang w:val="en-US" w:eastAsia="zh-CN" w:bidi="ar-SA"/>
        </w:rPr>
      </w:pPr>
      <w:r>
        <w:rPr>
          <w:rFonts w:hint="default" w:ascii="宋体" w:hAnsi="宋体" w:eastAsia="宋体" w:cs="宋体"/>
          <w:i w:val="0"/>
          <w:iCs w:val="0"/>
          <w:color w:val="auto"/>
          <w:sz w:val="24"/>
          <w:szCs w:val="24"/>
          <w:highlight w:val="none"/>
          <w:u w:val="none"/>
          <w:lang w:val="en-US" w:eastAsia="zh-CN"/>
        </w:rPr>
        <w:t>项目联系方式：0997-4617103</w:t>
      </w:r>
    </w:p>
    <w:p w14:paraId="5BC2DE55">
      <w:pPr>
        <w:pStyle w:val="37"/>
        <w:keepNext w:val="0"/>
        <w:keepLines w:val="0"/>
        <w:pageBreakBefore w:val="0"/>
        <w:widowControl w:val="0"/>
        <w:kinsoku/>
        <w:wordWrap w:val="0"/>
        <w:overflowPunct/>
        <w:topLinePunct w:val="0"/>
        <w:autoSpaceDE/>
        <w:autoSpaceDN/>
        <w:bidi w:val="0"/>
        <w:adjustRightInd/>
        <w:snapToGrid/>
        <w:spacing w:line="400" w:lineRule="exact"/>
        <w:ind w:firstLine="482"/>
        <w:textAlignment w:val="auto"/>
        <w:rPr>
          <w:rFonts w:hint="default" w:ascii="宋体" w:hAnsi="宋体" w:eastAsia="宋体" w:cs="宋体"/>
          <w:i w:val="0"/>
          <w:iCs w:val="0"/>
          <w:color w:val="auto"/>
          <w:sz w:val="24"/>
          <w:szCs w:val="24"/>
          <w:highlight w:val="none"/>
          <w:u w:val="single"/>
          <w:lang w:val="en-US" w:eastAsia="zh-CN"/>
        </w:rPr>
      </w:pPr>
    </w:p>
    <w:p w14:paraId="74F4CC3B">
      <w:pPr>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rPr>
      </w:pPr>
    </w:p>
    <w:p w14:paraId="3ADF3AE0">
      <w:pPr>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rPr>
      </w:pPr>
    </w:p>
    <w:p w14:paraId="3B793992">
      <w:pPr>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rPr>
      </w:pPr>
    </w:p>
    <w:p w14:paraId="34A5BC61">
      <w:pPr>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rPr>
      </w:pPr>
    </w:p>
    <w:p w14:paraId="10B047C1">
      <w:pPr>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rPr>
        <w:sectPr>
          <w:footerReference r:id="rId6"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start="1"/>
          <w:cols w:space="425" w:num="1"/>
          <w:docGrid w:type="lines" w:linePitch="312" w:charSpace="0"/>
        </w:sectPr>
      </w:pPr>
    </w:p>
    <w:p w14:paraId="4D23FB4C">
      <w:pPr>
        <w:pStyle w:val="2"/>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宋体" w:hAnsi="宋体" w:eastAsia="宋体" w:cs="宋体"/>
          <w:b/>
          <w:bCs/>
          <w:color w:val="auto"/>
          <w:kern w:val="44"/>
          <w:sz w:val="36"/>
          <w:szCs w:val="36"/>
          <w:highlight w:val="none"/>
          <w:lang w:val="en-US" w:eastAsia="zh-CN" w:bidi="ar-SA"/>
        </w:rPr>
      </w:pPr>
      <w:bookmarkStart w:id="100" w:name="_Toc155185867"/>
      <w:bookmarkStart w:id="101" w:name="_Toc21296"/>
      <w:bookmarkStart w:id="102" w:name="_Toc163492819"/>
      <w:r>
        <w:rPr>
          <w:rFonts w:hint="eastAsia" w:ascii="宋体" w:hAnsi="宋体" w:eastAsia="宋体" w:cs="宋体"/>
          <w:b/>
          <w:bCs/>
          <w:color w:val="auto"/>
          <w:kern w:val="44"/>
          <w:sz w:val="36"/>
          <w:szCs w:val="36"/>
          <w:highlight w:val="none"/>
          <w:lang w:val="en-US" w:eastAsia="zh-CN" w:bidi="ar-SA"/>
        </w:rPr>
        <w:t>第二章 投标人须知</w:t>
      </w:r>
      <w:bookmarkEnd w:id="100"/>
      <w:bookmarkEnd w:id="101"/>
      <w:bookmarkEnd w:id="102"/>
    </w:p>
    <w:bookmarkEnd w:id="3"/>
    <w:p w14:paraId="5A1F6903">
      <w:pPr>
        <w:pStyle w:val="3"/>
        <w:keepNext/>
        <w:keepLines/>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textAlignment w:val="auto"/>
        <w:rPr>
          <w:rFonts w:hint="eastAsia" w:eastAsia="宋体" w:asciiTheme="majorHAnsi" w:hAnsiTheme="majorHAnsi" w:cstheme="majorBidi"/>
          <w:b/>
          <w:bCs/>
          <w:color w:val="auto"/>
          <w:kern w:val="2"/>
          <w:sz w:val="28"/>
          <w:szCs w:val="28"/>
          <w:highlight w:val="none"/>
          <w:lang w:val="en-US" w:eastAsia="zh-CN" w:bidi="ar-SA"/>
        </w:rPr>
      </w:pPr>
      <w:bookmarkStart w:id="103" w:name="_Toc163492820"/>
      <w:bookmarkStart w:id="104" w:name="_Toc155185868"/>
      <w:bookmarkStart w:id="105" w:name="_Toc7569"/>
      <w:r>
        <w:rPr>
          <w:rFonts w:hint="eastAsia" w:eastAsia="宋体" w:asciiTheme="majorHAnsi" w:hAnsiTheme="majorHAnsi" w:cstheme="majorBidi"/>
          <w:b/>
          <w:bCs/>
          <w:color w:val="auto"/>
          <w:kern w:val="2"/>
          <w:sz w:val="28"/>
          <w:szCs w:val="28"/>
          <w:highlight w:val="none"/>
          <w:lang w:val="en-US" w:eastAsia="zh-CN" w:bidi="ar-SA"/>
        </w:rPr>
        <w:t>一、投标人须知前附表</w:t>
      </w:r>
      <w:bookmarkEnd w:id="103"/>
      <w:bookmarkEnd w:id="104"/>
      <w:bookmarkEnd w:id="105"/>
    </w:p>
    <w:p w14:paraId="7F3ACB7A">
      <w:pPr>
        <w:pStyle w:val="37"/>
        <w:rPr>
          <w:rFonts w:hint="default" w:eastAsia="宋体"/>
          <w:color w:val="auto"/>
          <w:sz w:val="24"/>
          <w:szCs w:val="24"/>
          <w:highlight w:val="none"/>
          <w:lang w:val="en-US" w:eastAsia="zh-CN"/>
        </w:rPr>
      </w:pPr>
      <w:r>
        <w:rPr>
          <w:rFonts w:hint="eastAsia"/>
          <w:color w:val="auto"/>
          <w:sz w:val="24"/>
          <w:szCs w:val="24"/>
          <w:highlight w:val="none"/>
        </w:rPr>
        <w:t>投标人应仔细阅读本招标文件的第二章“投标人须知”，下面所列资料是对“投标人须知”的具体补充和说明</w:t>
      </w:r>
      <w:r>
        <w:rPr>
          <w:rFonts w:hint="eastAsia"/>
          <w:color w:val="auto"/>
          <w:sz w:val="24"/>
          <w:szCs w:val="24"/>
          <w:highlight w:val="none"/>
          <w:lang w:eastAsia="zh-CN"/>
        </w:rPr>
        <w:t>，</w:t>
      </w:r>
      <w:r>
        <w:rPr>
          <w:rFonts w:hint="eastAsia"/>
          <w:color w:val="auto"/>
          <w:sz w:val="24"/>
          <w:szCs w:val="24"/>
          <w:highlight w:val="none"/>
        </w:rPr>
        <w:t>如有矛盾，应以本表为准。</w:t>
      </w:r>
      <w:r>
        <w:rPr>
          <w:rFonts w:hint="eastAsia"/>
          <w:color w:val="auto"/>
          <w:sz w:val="24"/>
          <w:szCs w:val="24"/>
          <w:highlight w:val="none"/>
          <w:lang w:val="en-US" w:eastAsia="zh-CN"/>
        </w:rPr>
        <w:t>标记“</w:t>
      </w:r>
      <w:r>
        <w:rPr>
          <w:rFonts w:hint="eastAsia" w:ascii="宋体" w:hAnsi="宋体" w:eastAsia="宋体"/>
          <w:color w:val="auto"/>
          <w:sz w:val="24"/>
          <w:szCs w:val="24"/>
          <w:highlight w:val="none"/>
          <w:lang w:val="en-US" w:eastAsia="zh-CN"/>
        </w:rPr>
        <w:t>☑”的选项意为适用于本项目，标记“□”的选项意为不适用于本项目。</w:t>
      </w:r>
    </w:p>
    <w:tbl>
      <w:tblPr>
        <w:tblStyle w:val="30"/>
        <w:tblW w:w="9459" w:type="dxa"/>
        <w:tblInd w:w="-35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57" w:type="dxa"/>
          <w:left w:w="108" w:type="dxa"/>
          <w:bottom w:w="57" w:type="dxa"/>
          <w:right w:w="108" w:type="dxa"/>
        </w:tblCellMar>
      </w:tblPr>
      <w:tblGrid>
        <w:gridCol w:w="975"/>
        <w:gridCol w:w="1764"/>
        <w:gridCol w:w="6720"/>
      </w:tblGrid>
      <w:tr w14:paraId="1B64B25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373" w:hRule="atLeast"/>
          <w:tblHeader/>
        </w:trPr>
        <w:tc>
          <w:tcPr>
            <w:tcW w:w="975"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4C4440DB">
            <w:pPr>
              <w:pStyle w:val="49"/>
              <w:keepNext w:val="0"/>
              <w:keepLines w:val="0"/>
              <w:pageBreakBefore w:val="0"/>
              <w:kinsoku/>
              <w:wordWrap/>
              <w:overflowPunct/>
              <w:topLinePunct w:val="0"/>
              <w:bidi w:val="0"/>
              <w:snapToGrid/>
              <w:spacing w:line="390" w:lineRule="exact"/>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条款号</w:t>
            </w:r>
          </w:p>
        </w:tc>
        <w:tc>
          <w:tcPr>
            <w:tcW w:w="1764"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0B9EABEB">
            <w:pPr>
              <w:pStyle w:val="49"/>
              <w:keepNext w:val="0"/>
              <w:keepLines w:val="0"/>
              <w:pageBreakBefore w:val="0"/>
              <w:kinsoku/>
              <w:wordWrap/>
              <w:overflowPunct/>
              <w:topLinePunct w:val="0"/>
              <w:bidi w:val="0"/>
              <w:snapToGrid/>
              <w:spacing w:line="390" w:lineRule="exact"/>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条款名称</w:t>
            </w:r>
          </w:p>
        </w:tc>
        <w:tc>
          <w:tcPr>
            <w:tcW w:w="6720"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5C7B3B70">
            <w:pPr>
              <w:pStyle w:val="49"/>
              <w:keepNext w:val="0"/>
              <w:keepLines w:val="0"/>
              <w:pageBreakBefore w:val="0"/>
              <w:kinsoku/>
              <w:wordWrap/>
              <w:overflowPunct/>
              <w:topLinePunct w:val="0"/>
              <w:bidi w:val="0"/>
              <w:snapToGrid/>
              <w:spacing w:line="390" w:lineRule="exact"/>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内  容</w:t>
            </w:r>
          </w:p>
        </w:tc>
      </w:tr>
      <w:tr w14:paraId="46137A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trPr>
        <w:tc>
          <w:tcPr>
            <w:tcW w:w="975" w:type="dxa"/>
            <w:vAlign w:val="center"/>
          </w:tcPr>
          <w:p w14:paraId="60441C76">
            <w:pPr>
              <w:pStyle w:val="49"/>
              <w:keepNext w:val="0"/>
              <w:keepLines w:val="0"/>
              <w:pageBreakBefore w:val="0"/>
              <w:kinsoku/>
              <w:wordWrap/>
              <w:overflowPunct/>
              <w:topLinePunct w:val="0"/>
              <w:bidi w:val="0"/>
              <w:snapToGrid/>
              <w:spacing w:line="39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2.5</w:t>
            </w:r>
          </w:p>
        </w:tc>
        <w:tc>
          <w:tcPr>
            <w:tcW w:w="1764" w:type="dxa"/>
            <w:vAlign w:val="center"/>
          </w:tcPr>
          <w:p w14:paraId="3D9DB5F0">
            <w:pPr>
              <w:pStyle w:val="49"/>
              <w:keepNext w:val="0"/>
              <w:keepLines w:val="0"/>
              <w:pageBreakBefore w:val="0"/>
              <w:kinsoku/>
              <w:wordWrap/>
              <w:overflowPunct/>
              <w:topLinePunct w:val="0"/>
              <w:bidi w:val="0"/>
              <w:snapToGrid/>
              <w:spacing w:line="39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核心产品</w:t>
            </w:r>
          </w:p>
        </w:tc>
        <w:tc>
          <w:tcPr>
            <w:tcW w:w="6720" w:type="dxa"/>
            <w:vAlign w:val="center"/>
          </w:tcPr>
          <w:p w14:paraId="7BB22B3E">
            <w:pPr>
              <w:pStyle w:val="49"/>
              <w:keepNext w:val="0"/>
              <w:keepLines w:val="0"/>
              <w:pageBreakBefore w:val="0"/>
              <w:kinsoku/>
              <w:wordWrap/>
              <w:overflowPunct/>
              <w:topLinePunct w:val="0"/>
              <w:bidi w:val="0"/>
              <w:snapToGrid/>
              <w:spacing w:line="390" w:lineRule="exact"/>
              <w:textAlignment w:val="auto"/>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 xml:space="preserve">本项目第__包不适用。 </w:t>
            </w:r>
          </w:p>
          <w:p w14:paraId="3D32C559">
            <w:pPr>
              <w:pStyle w:val="49"/>
              <w:keepNext w:val="0"/>
              <w:keepLines w:val="0"/>
              <w:pageBreakBefore w:val="0"/>
              <w:kinsoku/>
              <w:wordWrap/>
              <w:overflowPunct/>
              <w:topLinePunct w:val="0"/>
              <w:bidi w:val="0"/>
              <w:snapToGrid/>
              <w:spacing w:line="39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□本项目第__包为单一产品采购项目。 </w:t>
            </w:r>
          </w:p>
          <w:p w14:paraId="6BCC34C0">
            <w:pPr>
              <w:pStyle w:val="49"/>
              <w:keepNext w:val="0"/>
              <w:keepLines w:val="0"/>
              <w:pageBreakBefore w:val="0"/>
              <w:kinsoku/>
              <w:wordWrap/>
              <w:overflowPunct/>
              <w:topLinePunct w:val="0"/>
              <w:bidi w:val="0"/>
              <w:snapToGrid/>
              <w:spacing w:line="390" w:lineRule="exact"/>
              <w:textAlignment w:val="auto"/>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本项目为非单一产品采购项目，其中核心产品为：</w:t>
            </w:r>
            <w:r>
              <w:rPr>
                <w:rFonts w:hint="eastAsia" w:cs="宋体"/>
                <w:color w:val="auto"/>
                <w:sz w:val="24"/>
                <w:highlight w:val="none"/>
                <w:u w:val="single"/>
                <w:lang w:val="en-US" w:eastAsia="zh-CN"/>
              </w:rPr>
              <w:t>全自动喷气织样机</w:t>
            </w:r>
            <w:r>
              <w:rPr>
                <w:rFonts w:hint="eastAsia" w:ascii="宋体" w:hAnsi="宋体" w:eastAsia="宋体" w:cs="宋体"/>
                <w:color w:val="auto"/>
                <w:sz w:val="24"/>
                <w:szCs w:val="24"/>
                <w:highlight w:val="none"/>
                <w:lang w:val="en-US" w:eastAsia="zh-CN"/>
              </w:rPr>
              <w:t>。</w:t>
            </w:r>
          </w:p>
        </w:tc>
      </w:tr>
      <w:tr w14:paraId="2E76369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685" w:hRule="atLeast"/>
        </w:trPr>
        <w:tc>
          <w:tcPr>
            <w:tcW w:w="975" w:type="dxa"/>
            <w:shd w:val="clear" w:color="auto" w:fill="auto"/>
            <w:vAlign w:val="center"/>
          </w:tcPr>
          <w:p w14:paraId="1BF1D896">
            <w:pPr>
              <w:pStyle w:val="49"/>
              <w:keepNext w:val="0"/>
              <w:keepLines w:val="0"/>
              <w:pageBreakBefore w:val="0"/>
              <w:kinsoku/>
              <w:wordWrap/>
              <w:overflowPunct/>
              <w:topLinePunct w:val="0"/>
              <w:bidi w:val="0"/>
              <w:snapToGrid/>
              <w:spacing w:line="39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2.6</w:t>
            </w:r>
          </w:p>
        </w:tc>
        <w:tc>
          <w:tcPr>
            <w:tcW w:w="1764" w:type="dxa"/>
            <w:shd w:val="clear" w:color="auto" w:fill="auto"/>
            <w:vAlign w:val="center"/>
          </w:tcPr>
          <w:p w14:paraId="700F5EE9">
            <w:pPr>
              <w:keepNext w:val="0"/>
              <w:keepLines w:val="0"/>
              <w:pageBreakBefore w:val="0"/>
              <w:widowControl/>
              <w:suppressLineNumbers w:val="0"/>
              <w:kinsoku/>
              <w:wordWrap/>
              <w:overflowPunct/>
              <w:topLinePunct w:val="0"/>
              <w:bidi w:val="0"/>
              <w:snapToGrid/>
              <w:spacing w:line="390" w:lineRule="exact"/>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
              </w:rPr>
              <w:t>科研仪器设备</w:t>
            </w:r>
          </w:p>
        </w:tc>
        <w:tc>
          <w:tcPr>
            <w:tcW w:w="6720" w:type="dxa"/>
            <w:shd w:val="clear" w:color="auto" w:fill="auto"/>
            <w:vAlign w:val="center"/>
          </w:tcPr>
          <w:p w14:paraId="0F6FC5C1">
            <w:pPr>
              <w:keepNext w:val="0"/>
              <w:keepLines w:val="0"/>
              <w:pageBreakBefore w:val="0"/>
              <w:widowControl/>
              <w:suppressLineNumbers w:val="0"/>
              <w:kinsoku/>
              <w:wordWrap/>
              <w:overflowPunct/>
              <w:topLinePunct w:val="0"/>
              <w:bidi w:val="0"/>
              <w:snapToGrid/>
              <w:spacing w:line="390" w:lineRule="exact"/>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是否属于科研仪器设备采购项目： </w:t>
            </w:r>
          </w:p>
          <w:p w14:paraId="4A1686C7">
            <w:pPr>
              <w:keepNext w:val="0"/>
              <w:keepLines w:val="0"/>
              <w:pageBreakBefore w:val="0"/>
              <w:widowControl/>
              <w:suppressLineNumbers w:val="0"/>
              <w:kinsoku/>
              <w:wordWrap/>
              <w:overflowPunct/>
              <w:topLinePunct w:val="0"/>
              <w:bidi w:val="0"/>
              <w:snapToGrid/>
              <w:spacing w:line="390" w:lineRule="exact"/>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kern w:val="0"/>
                <w:sz w:val="24"/>
                <w:szCs w:val="24"/>
                <w:highlight w:val="none"/>
                <w:lang w:val="en-US" w:eastAsia="zh-CN" w:bidi="ar"/>
              </w:rPr>
              <w:t xml:space="preserve">是 </w:t>
            </w:r>
          </w:p>
          <w:p w14:paraId="7C9332C8">
            <w:pPr>
              <w:keepNext w:val="0"/>
              <w:keepLines w:val="0"/>
              <w:pageBreakBefore w:val="0"/>
              <w:widowControl/>
              <w:suppressLineNumbers w:val="0"/>
              <w:kinsoku/>
              <w:wordWrap/>
              <w:overflowPunct/>
              <w:topLinePunct w:val="0"/>
              <w:bidi w:val="0"/>
              <w:snapToGrid/>
              <w:spacing w:line="390" w:lineRule="exact"/>
              <w:jc w:val="left"/>
              <w:textAlignment w:val="auto"/>
              <w:rPr>
                <w:rFonts w:hint="eastAsia" w:ascii="宋体" w:hAnsi="宋体" w:eastAsia="宋体" w:cs="宋体"/>
                <w:color w:val="auto"/>
                <w:kern w:val="0"/>
                <w:sz w:val="24"/>
                <w:szCs w:val="24"/>
                <w:highlight w:val="none"/>
                <w:lang w:val="en-US" w:eastAsia="zh-CN" w:bidi="ar"/>
              </w:rPr>
            </w:pPr>
            <w:r>
              <w:rPr>
                <w:rFonts w:hint="eastAsia" w:cs="宋体"/>
                <w:color w:val="auto"/>
                <w:sz w:val="24"/>
                <w:szCs w:val="24"/>
                <w:highlight w:val="none"/>
                <w:lang w:val="en-US" w:eastAsia="zh-CN"/>
              </w:rPr>
              <w:t>☑</w:t>
            </w:r>
            <w:r>
              <w:rPr>
                <w:rFonts w:hint="eastAsia" w:ascii="宋体" w:hAnsi="宋体" w:eastAsia="宋体" w:cs="宋体"/>
                <w:color w:val="auto"/>
                <w:kern w:val="0"/>
                <w:sz w:val="24"/>
                <w:szCs w:val="24"/>
                <w:highlight w:val="none"/>
                <w:lang w:val="en-US" w:eastAsia="zh-CN" w:bidi="ar"/>
              </w:rPr>
              <w:t>否</w:t>
            </w:r>
          </w:p>
        </w:tc>
      </w:tr>
      <w:tr w14:paraId="25C4682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268" w:hRule="atLeast"/>
        </w:trPr>
        <w:tc>
          <w:tcPr>
            <w:tcW w:w="975" w:type="dxa"/>
            <w:vAlign w:val="center"/>
          </w:tcPr>
          <w:p w14:paraId="3A136892">
            <w:pPr>
              <w:pStyle w:val="49"/>
              <w:keepNext w:val="0"/>
              <w:keepLines w:val="0"/>
              <w:pageBreakBefore w:val="0"/>
              <w:kinsoku/>
              <w:wordWrap/>
              <w:overflowPunct/>
              <w:topLinePunct w:val="0"/>
              <w:bidi w:val="0"/>
              <w:snapToGrid/>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9.1</w:t>
            </w:r>
          </w:p>
        </w:tc>
        <w:tc>
          <w:tcPr>
            <w:tcW w:w="1764" w:type="dxa"/>
            <w:vAlign w:val="center"/>
          </w:tcPr>
          <w:p w14:paraId="117C18AE">
            <w:pPr>
              <w:pStyle w:val="49"/>
              <w:keepNext w:val="0"/>
              <w:keepLines w:val="0"/>
              <w:pageBreakBefore w:val="0"/>
              <w:kinsoku/>
              <w:wordWrap/>
              <w:overflowPunct/>
              <w:topLinePunct w:val="0"/>
              <w:bidi w:val="0"/>
              <w:snapToGrid/>
              <w:spacing w:line="390" w:lineRule="exact"/>
              <w:textAlignment w:val="auto"/>
              <w:rPr>
                <w:rFonts w:hint="eastAsia" w:ascii="宋体" w:hAnsi="宋体" w:eastAsia="宋体" w:cs="宋体"/>
                <w:color w:val="auto"/>
                <w:sz w:val="24"/>
                <w:szCs w:val="24"/>
                <w:highlight w:val="none"/>
              </w:rPr>
            </w:pPr>
            <w:bookmarkStart w:id="106" w:name="_Hlk143529175"/>
            <w:r>
              <w:rPr>
                <w:rFonts w:hint="eastAsia" w:ascii="宋体" w:hAnsi="宋体" w:eastAsia="宋体" w:cs="宋体"/>
                <w:color w:val="auto"/>
                <w:sz w:val="24"/>
                <w:szCs w:val="24"/>
                <w:highlight w:val="none"/>
              </w:rPr>
              <w:t>现场考察</w:t>
            </w:r>
            <w:bookmarkEnd w:id="106"/>
          </w:p>
        </w:tc>
        <w:tc>
          <w:tcPr>
            <w:tcW w:w="6720" w:type="dxa"/>
            <w:vAlign w:val="center"/>
          </w:tcPr>
          <w:p w14:paraId="36549596">
            <w:pPr>
              <w:pStyle w:val="49"/>
              <w:keepNext w:val="0"/>
              <w:keepLines w:val="0"/>
              <w:pageBreakBefore w:val="0"/>
              <w:kinsoku/>
              <w:wordWrap/>
              <w:overflowPunct/>
              <w:topLinePunct w:val="0"/>
              <w:bidi w:val="0"/>
              <w:snapToGrid/>
              <w:spacing w:line="39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不组织，投标人自行前往</w:t>
            </w:r>
            <w:r>
              <w:rPr>
                <w:rFonts w:hint="eastAsia" w:ascii="宋体" w:hAnsi="宋体" w:eastAsia="宋体" w:cs="宋体"/>
                <w:color w:val="auto"/>
                <w:sz w:val="24"/>
                <w:szCs w:val="24"/>
                <w:highlight w:val="none"/>
                <w:lang w:eastAsia="zh-CN"/>
              </w:rPr>
              <w:t>。</w:t>
            </w:r>
          </w:p>
          <w:p w14:paraId="70F71951">
            <w:pPr>
              <w:pStyle w:val="49"/>
              <w:keepNext w:val="0"/>
              <w:keepLines w:val="0"/>
              <w:pageBreakBefore w:val="0"/>
              <w:kinsoku/>
              <w:wordWrap/>
              <w:overflowPunct/>
              <w:topLinePunct w:val="0"/>
              <w:bidi w:val="0"/>
              <w:snapToGrid/>
              <w:spacing w:line="39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组织</w:t>
            </w:r>
          </w:p>
          <w:p w14:paraId="0A578DA1">
            <w:pPr>
              <w:pStyle w:val="49"/>
              <w:keepNext w:val="0"/>
              <w:keepLines w:val="0"/>
              <w:pageBreakBefore w:val="0"/>
              <w:kinsoku/>
              <w:wordWrap/>
              <w:overflowPunct/>
              <w:topLinePunct w:val="0"/>
              <w:bidi w:val="0"/>
              <w:snapToGrid/>
              <w:spacing w:line="390" w:lineRule="exact"/>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6FE8AF39">
            <w:pPr>
              <w:pStyle w:val="49"/>
              <w:keepNext w:val="0"/>
              <w:keepLines w:val="0"/>
              <w:pageBreakBefore w:val="0"/>
              <w:kinsoku/>
              <w:wordWrap/>
              <w:overflowPunct/>
              <w:topLinePunct w:val="0"/>
              <w:bidi w:val="0"/>
              <w:snapToGrid/>
              <w:spacing w:line="390" w:lineRule="exact"/>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tc>
      </w:tr>
      <w:tr w14:paraId="31CF27F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235" w:hRule="atLeast"/>
        </w:trPr>
        <w:tc>
          <w:tcPr>
            <w:tcW w:w="975" w:type="dxa"/>
            <w:vAlign w:val="center"/>
          </w:tcPr>
          <w:p w14:paraId="0D95D099">
            <w:pPr>
              <w:pStyle w:val="49"/>
              <w:keepNext w:val="0"/>
              <w:keepLines w:val="0"/>
              <w:pageBreakBefore w:val="0"/>
              <w:kinsoku/>
              <w:wordWrap/>
              <w:overflowPunct/>
              <w:topLinePunct w:val="0"/>
              <w:bidi w:val="0"/>
              <w:snapToGrid/>
              <w:spacing w:line="39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9.5</w:t>
            </w:r>
          </w:p>
        </w:tc>
        <w:tc>
          <w:tcPr>
            <w:tcW w:w="1764" w:type="dxa"/>
            <w:vAlign w:val="center"/>
          </w:tcPr>
          <w:p w14:paraId="4A5FE036">
            <w:pPr>
              <w:pStyle w:val="49"/>
              <w:keepNext w:val="0"/>
              <w:keepLines w:val="0"/>
              <w:pageBreakBefore w:val="0"/>
              <w:kinsoku/>
              <w:wordWrap/>
              <w:overflowPunct/>
              <w:topLinePunct w:val="0"/>
              <w:bidi w:val="0"/>
              <w:snapToGrid/>
              <w:spacing w:line="39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答疑会</w:t>
            </w:r>
          </w:p>
        </w:tc>
        <w:tc>
          <w:tcPr>
            <w:tcW w:w="6720" w:type="dxa"/>
            <w:vAlign w:val="center"/>
          </w:tcPr>
          <w:p w14:paraId="6B78B750">
            <w:pPr>
              <w:pStyle w:val="49"/>
              <w:keepNext w:val="0"/>
              <w:keepLines w:val="0"/>
              <w:pageBreakBefore w:val="0"/>
              <w:kinsoku/>
              <w:wordWrap/>
              <w:overflowPunct/>
              <w:topLinePunct w:val="0"/>
              <w:bidi w:val="0"/>
              <w:snapToGrid/>
              <w:spacing w:line="39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不组织</w:t>
            </w:r>
          </w:p>
          <w:p w14:paraId="3C61F0CD">
            <w:pPr>
              <w:pStyle w:val="49"/>
              <w:keepNext w:val="0"/>
              <w:keepLines w:val="0"/>
              <w:pageBreakBefore w:val="0"/>
              <w:kinsoku/>
              <w:wordWrap/>
              <w:overflowPunct/>
              <w:topLinePunct w:val="0"/>
              <w:bidi w:val="0"/>
              <w:snapToGrid/>
              <w:spacing w:line="39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组织</w:t>
            </w:r>
          </w:p>
          <w:p w14:paraId="1279EA7E">
            <w:pPr>
              <w:pStyle w:val="49"/>
              <w:keepNext w:val="0"/>
              <w:keepLines w:val="0"/>
              <w:pageBreakBefore w:val="0"/>
              <w:kinsoku/>
              <w:wordWrap/>
              <w:overflowPunct/>
              <w:topLinePunct w:val="0"/>
              <w:bidi w:val="0"/>
              <w:snapToGrid/>
              <w:spacing w:line="390" w:lineRule="exact"/>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7368AD2C">
            <w:pPr>
              <w:pStyle w:val="49"/>
              <w:keepNext w:val="0"/>
              <w:keepLines w:val="0"/>
              <w:pageBreakBefore w:val="0"/>
              <w:kinsoku/>
              <w:wordWrap/>
              <w:overflowPunct/>
              <w:topLinePunct w:val="0"/>
              <w:bidi w:val="0"/>
              <w:snapToGrid/>
              <w:spacing w:line="390" w:lineRule="exact"/>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tc>
      </w:tr>
      <w:tr w14:paraId="58EAFCE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5" w:type="dxa"/>
            <w:vAlign w:val="center"/>
          </w:tcPr>
          <w:p w14:paraId="09017C90">
            <w:pPr>
              <w:pStyle w:val="49"/>
              <w:keepNext w:val="0"/>
              <w:keepLines w:val="0"/>
              <w:pageBreakBefore w:val="0"/>
              <w:kinsoku/>
              <w:wordWrap/>
              <w:overflowPunct/>
              <w:topLinePunct w:val="0"/>
              <w:bidi w:val="0"/>
              <w:snapToGrid/>
              <w:spacing w:line="39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.1</w:t>
            </w:r>
          </w:p>
        </w:tc>
        <w:tc>
          <w:tcPr>
            <w:tcW w:w="1764" w:type="dxa"/>
            <w:vAlign w:val="center"/>
          </w:tcPr>
          <w:p w14:paraId="14B3667D">
            <w:pPr>
              <w:pStyle w:val="49"/>
              <w:keepNext w:val="0"/>
              <w:keepLines w:val="0"/>
              <w:pageBreakBefore w:val="0"/>
              <w:kinsoku/>
              <w:wordWrap/>
              <w:overflowPunct/>
              <w:topLinePunct w:val="0"/>
              <w:bidi w:val="0"/>
              <w:snapToGrid/>
              <w:spacing w:line="39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询问</w:t>
            </w:r>
          </w:p>
        </w:tc>
        <w:tc>
          <w:tcPr>
            <w:tcW w:w="6720" w:type="dxa"/>
            <w:vAlign w:val="center"/>
          </w:tcPr>
          <w:p w14:paraId="538025B9">
            <w:pPr>
              <w:pStyle w:val="49"/>
              <w:keepNext w:val="0"/>
              <w:keepLines w:val="0"/>
              <w:pageBreakBefore w:val="0"/>
              <w:kinsoku/>
              <w:wordWrap/>
              <w:overflowPunct/>
              <w:topLinePunct w:val="0"/>
              <w:bidi w:val="0"/>
              <w:snapToGrid/>
              <w:spacing w:line="300" w:lineRule="exac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1.</w:t>
            </w:r>
            <w:r>
              <w:rPr>
                <w:rFonts w:hint="eastAsia" w:ascii="宋体" w:hAnsi="宋体" w:eastAsia="宋体" w:cs="宋体"/>
                <w:i w:val="0"/>
                <w:iCs w:val="0"/>
                <w:color w:val="auto"/>
                <w:sz w:val="24"/>
                <w:szCs w:val="24"/>
                <w:highlight w:val="none"/>
              </w:rPr>
              <w:t>方式：</w:t>
            </w:r>
          </w:p>
          <w:p w14:paraId="348BE899">
            <w:pPr>
              <w:pStyle w:val="49"/>
              <w:keepNext w:val="0"/>
              <w:keepLines w:val="0"/>
              <w:pageBreakBefore w:val="0"/>
              <w:kinsoku/>
              <w:wordWrap/>
              <w:overflowPunct/>
              <w:topLinePunct w:val="0"/>
              <w:bidi w:val="0"/>
              <w:snapToGrid/>
              <w:spacing w:line="300" w:lineRule="exact"/>
              <w:textAlignment w:val="auto"/>
              <w:rPr>
                <w:rFonts w:hint="eastAsia" w:ascii="宋体" w:hAnsi="宋体" w:eastAsia="宋体" w:cs="宋体"/>
                <w:i w:val="0"/>
                <w:iCs w:val="0"/>
                <w:color w:val="auto"/>
                <w:sz w:val="24"/>
                <w:szCs w:val="24"/>
                <w:highlight w:val="none"/>
                <w:u w:val="none"/>
              </w:rPr>
            </w:pPr>
            <w:r>
              <w:rPr>
                <w:rFonts w:hint="eastAsia" w:cs="宋体"/>
                <w:i w:val="0"/>
                <w:iCs w:val="0"/>
                <w:color w:val="auto"/>
                <w:sz w:val="24"/>
                <w:szCs w:val="24"/>
                <w:highlight w:val="none"/>
                <w:lang w:val="en-US" w:eastAsia="zh-CN"/>
              </w:rPr>
              <w:t>投标人</w:t>
            </w:r>
            <w:r>
              <w:rPr>
                <w:rFonts w:hint="eastAsia" w:ascii="宋体" w:hAnsi="宋体" w:eastAsia="宋体" w:cs="宋体"/>
                <w:i w:val="0"/>
                <w:iCs w:val="0"/>
                <w:color w:val="auto"/>
                <w:sz w:val="24"/>
                <w:szCs w:val="24"/>
                <w:highlight w:val="none"/>
                <w:lang w:val="en-US" w:eastAsia="zh-CN"/>
              </w:rPr>
              <w:t>应仔细阅读和检查</w:t>
            </w:r>
            <w:r>
              <w:rPr>
                <w:rFonts w:hint="eastAsia" w:cs="宋体"/>
                <w:i w:val="0"/>
                <w:iCs w:val="0"/>
                <w:color w:val="auto"/>
                <w:sz w:val="24"/>
                <w:szCs w:val="24"/>
                <w:highlight w:val="none"/>
                <w:lang w:val="en-US" w:eastAsia="zh-CN"/>
              </w:rPr>
              <w:t>招标文件</w:t>
            </w:r>
            <w:r>
              <w:rPr>
                <w:rFonts w:hint="eastAsia" w:ascii="宋体" w:hAnsi="宋体" w:eastAsia="宋体" w:cs="宋体"/>
                <w:i w:val="0"/>
                <w:iCs w:val="0"/>
                <w:color w:val="auto"/>
                <w:sz w:val="24"/>
                <w:szCs w:val="24"/>
                <w:highlight w:val="none"/>
                <w:lang w:val="en-US" w:eastAsia="zh-CN"/>
              </w:rPr>
              <w:t>的全部内容。</w:t>
            </w:r>
            <w:r>
              <w:rPr>
                <w:rFonts w:hint="eastAsia" w:cs="宋体"/>
                <w:i w:val="0"/>
                <w:iCs w:val="0"/>
                <w:color w:val="auto"/>
                <w:sz w:val="24"/>
                <w:szCs w:val="24"/>
                <w:highlight w:val="none"/>
                <w:lang w:val="en-US" w:eastAsia="zh-CN"/>
              </w:rPr>
              <w:t>投标人</w:t>
            </w:r>
            <w:r>
              <w:rPr>
                <w:rFonts w:hint="eastAsia" w:ascii="宋体" w:hAnsi="宋体" w:eastAsia="宋体" w:cs="宋体"/>
                <w:i w:val="0"/>
                <w:iCs w:val="0"/>
                <w:color w:val="auto"/>
                <w:sz w:val="24"/>
                <w:szCs w:val="24"/>
                <w:highlight w:val="none"/>
                <w:lang w:val="en-US" w:eastAsia="zh-CN"/>
              </w:rPr>
              <w:t>若对</w:t>
            </w:r>
            <w:r>
              <w:rPr>
                <w:rFonts w:hint="eastAsia" w:cs="宋体"/>
                <w:i w:val="0"/>
                <w:iCs w:val="0"/>
                <w:color w:val="auto"/>
                <w:sz w:val="24"/>
                <w:szCs w:val="24"/>
                <w:highlight w:val="none"/>
                <w:lang w:val="en-US" w:eastAsia="zh-CN"/>
              </w:rPr>
              <w:t>招标文件</w:t>
            </w:r>
            <w:r>
              <w:rPr>
                <w:rFonts w:hint="eastAsia" w:ascii="宋体" w:hAnsi="宋体" w:eastAsia="宋体" w:cs="宋体"/>
                <w:i w:val="0"/>
                <w:iCs w:val="0"/>
                <w:color w:val="auto"/>
                <w:sz w:val="24"/>
                <w:szCs w:val="24"/>
                <w:highlight w:val="none"/>
                <w:lang w:val="en-US" w:eastAsia="zh-CN"/>
              </w:rPr>
              <w:t>有任何疑问，</w:t>
            </w:r>
            <w:r>
              <w:rPr>
                <w:rFonts w:hint="eastAsia" w:ascii="宋体" w:hAnsi="宋体" w:eastAsia="宋体" w:cs="宋体"/>
                <w:i w:val="0"/>
                <w:iCs w:val="0"/>
                <w:color w:val="auto"/>
                <w:sz w:val="24"/>
                <w:szCs w:val="24"/>
                <w:highlight w:val="none"/>
                <w:u w:val="none"/>
              </w:rPr>
              <w:t>将纸质询问函递交至代理机构处。</w:t>
            </w:r>
          </w:p>
          <w:p w14:paraId="5251688E">
            <w:pPr>
              <w:pStyle w:val="49"/>
              <w:keepNext w:val="0"/>
              <w:keepLines w:val="0"/>
              <w:pageBreakBefore w:val="0"/>
              <w:numPr>
                <w:ilvl w:val="0"/>
                <w:numId w:val="3"/>
              </w:numPr>
              <w:kinsoku/>
              <w:wordWrap/>
              <w:overflowPunct/>
              <w:topLinePunct w:val="0"/>
              <w:bidi w:val="0"/>
              <w:snapToGrid/>
              <w:spacing w:line="300" w:lineRule="exact"/>
              <w:textAlignment w:val="auto"/>
              <w:rPr>
                <w:rFonts w:hint="eastAsia" w:ascii="宋体" w:hAnsi="宋体" w:eastAsia="宋体" w:cs="宋体"/>
                <w:color w:val="auto"/>
                <w:sz w:val="24"/>
                <w:szCs w:val="24"/>
                <w:highlight w:val="none"/>
                <w:u w:val="none"/>
              </w:rPr>
            </w:pPr>
            <w:r>
              <w:rPr>
                <w:rFonts w:hint="eastAsia" w:ascii="宋体" w:hAnsi="宋体" w:eastAsia="宋体" w:cs="宋体"/>
                <w:i w:val="0"/>
                <w:iCs w:val="0"/>
                <w:color w:val="auto"/>
                <w:sz w:val="24"/>
                <w:szCs w:val="24"/>
                <w:highlight w:val="none"/>
              </w:rPr>
              <w:t>时间</w:t>
            </w:r>
            <w:r>
              <w:rPr>
                <w:rFonts w:hint="eastAsia" w:ascii="宋体" w:hAnsi="宋体" w:eastAsia="宋体" w:cs="宋体"/>
                <w:i w:val="0"/>
                <w:iCs w:val="0"/>
                <w:color w:val="auto"/>
                <w:sz w:val="24"/>
                <w:szCs w:val="24"/>
                <w:highlight w:val="none"/>
                <w:lang w:val="en-US" w:eastAsia="zh-CN"/>
              </w:rPr>
              <w:t>要求</w:t>
            </w:r>
            <w:r>
              <w:rPr>
                <w:rFonts w:hint="eastAsia" w:ascii="宋体" w:hAnsi="宋体" w:eastAsia="宋体" w:cs="宋体"/>
                <w:i w:val="0"/>
                <w:iCs w:val="0"/>
                <w:color w:val="auto"/>
                <w:sz w:val="24"/>
                <w:szCs w:val="24"/>
                <w:highlight w:val="none"/>
                <w:u w:val="none"/>
                <w:lang w:eastAsia="zh-CN"/>
              </w:rPr>
              <w:t>：</w:t>
            </w:r>
            <w:r>
              <w:rPr>
                <w:rFonts w:hint="eastAsia" w:ascii="宋体" w:hAnsi="宋体" w:eastAsia="宋体" w:cs="宋体"/>
                <w:color w:val="auto"/>
                <w:sz w:val="24"/>
                <w:szCs w:val="24"/>
                <w:highlight w:val="none"/>
                <w:u w:val="none"/>
              </w:rPr>
              <w:t>获取</w:t>
            </w:r>
            <w:r>
              <w:rPr>
                <w:rFonts w:hint="eastAsia" w:cs="宋体"/>
                <w:color w:val="auto"/>
                <w:sz w:val="24"/>
                <w:szCs w:val="24"/>
                <w:highlight w:val="none"/>
                <w:u w:val="none"/>
                <w:lang w:val="en-US" w:eastAsia="zh-CN"/>
              </w:rPr>
              <w:t>招标文件</w:t>
            </w:r>
            <w:r>
              <w:rPr>
                <w:rFonts w:hint="eastAsia" w:ascii="宋体" w:hAnsi="宋体" w:eastAsia="宋体" w:cs="宋体"/>
                <w:color w:val="auto"/>
                <w:sz w:val="24"/>
                <w:szCs w:val="24"/>
                <w:highlight w:val="none"/>
                <w:u w:val="none"/>
              </w:rPr>
              <w:t>后在法定规定期内接受</w:t>
            </w:r>
            <w:r>
              <w:rPr>
                <w:rFonts w:hint="eastAsia" w:cs="宋体"/>
                <w:color w:val="auto"/>
                <w:sz w:val="24"/>
                <w:szCs w:val="24"/>
                <w:highlight w:val="none"/>
                <w:u w:val="none"/>
                <w:lang w:eastAsia="zh-CN"/>
              </w:rPr>
              <w:t>投标人</w:t>
            </w:r>
            <w:r>
              <w:rPr>
                <w:rFonts w:hint="eastAsia" w:ascii="宋体" w:hAnsi="宋体" w:eastAsia="宋体" w:cs="宋体"/>
                <w:color w:val="auto"/>
                <w:sz w:val="24"/>
                <w:szCs w:val="24"/>
                <w:highlight w:val="none"/>
                <w:u w:val="none"/>
              </w:rPr>
              <w:t>询问或澄清要求(逾期不予受理)。</w:t>
            </w:r>
          </w:p>
          <w:p w14:paraId="5B8820AD">
            <w:pPr>
              <w:pStyle w:val="49"/>
              <w:keepNext w:val="0"/>
              <w:keepLines w:val="0"/>
              <w:pageBreakBefore w:val="0"/>
              <w:kinsoku/>
              <w:wordWrap/>
              <w:overflowPunct/>
              <w:topLinePunct w:val="0"/>
              <w:bidi w:val="0"/>
              <w:snapToGrid/>
              <w:spacing w:line="300" w:lineRule="exact"/>
              <w:textAlignment w:val="auto"/>
              <w:rPr>
                <w:rFonts w:hint="eastAsia" w:ascii="宋体" w:hAnsi="宋体" w:eastAsia="宋体" w:cs="宋体"/>
                <w:color w:val="auto"/>
                <w:kern w:val="2"/>
                <w:sz w:val="24"/>
                <w:szCs w:val="24"/>
                <w:highlight w:val="none"/>
                <w:u w:val="none"/>
                <w:lang w:val="en-US" w:eastAsia="zh-CN" w:bidi="ar-SA"/>
              </w:rPr>
            </w:pPr>
            <w:r>
              <w:rPr>
                <w:rFonts w:hint="eastAsia" w:ascii="宋体" w:hAnsi="宋体" w:eastAsia="宋体" w:cs="宋体"/>
                <w:color w:val="auto"/>
                <w:kern w:val="2"/>
                <w:sz w:val="24"/>
                <w:szCs w:val="24"/>
                <w:highlight w:val="none"/>
                <w:u w:val="none"/>
                <w:lang w:val="en-US" w:eastAsia="zh-CN" w:bidi="ar-SA"/>
              </w:rPr>
              <w:t>注：（1）澄清、修改文件发出后，</w:t>
            </w:r>
            <w:r>
              <w:rPr>
                <w:rFonts w:hint="eastAsia" w:cs="宋体"/>
                <w:color w:val="auto"/>
                <w:kern w:val="2"/>
                <w:sz w:val="24"/>
                <w:szCs w:val="24"/>
                <w:highlight w:val="none"/>
                <w:u w:val="none"/>
                <w:lang w:val="en-US" w:eastAsia="zh-CN" w:bidi="ar-SA"/>
              </w:rPr>
              <w:t>投标人</w:t>
            </w:r>
            <w:r>
              <w:rPr>
                <w:rFonts w:hint="eastAsia" w:ascii="宋体" w:hAnsi="宋体" w:eastAsia="宋体" w:cs="宋体"/>
                <w:color w:val="auto"/>
                <w:kern w:val="2"/>
                <w:sz w:val="24"/>
                <w:szCs w:val="24"/>
                <w:highlight w:val="none"/>
                <w:u w:val="none"/>
                <w:lang w:val="en-US" w:eastAsia="zh-CN" w:bidi="ar-SA"/>
              </w:rPr>
              <w:t>必须使用最新的澄清文件制作</w:t>
            </w:r>
            <w:r>
              <w:rPr>
                <w:rFonts w:hint="eastAsia" w:cs="宋体"/>
                <w:color w:val="auto"/>
                <w:kern w:val="2"/>
                <w:sz w:val="24"/>
                <w:szCs w:val="24"/>
                <w:highlight w:val="none"/>
                <w:u w:val="none"/>
                <w:lang w:val="en-US" w:eastAsia="zh-CN" w:bidi="ar-SA"/>
              </w:rPr>
              <w:t>响应</w:t>
            </w:r>
            <w:r>
              <w:rPr>
                <w:rFonts w:hint="eastAsia" w:ascii="宋体" w:hAnsi="宋体" w:eastAsia="宋体" w:cs="宋体"/>
                <w:color w:val="auto"/>
                <w:kern w:val="2"/>
                <w:sz w:val="24"/>
                <w:szCs w:val="24"/>
                <w:highlight w:val="none"/>
                <w:u w:val="none"/>
                <w:lang w:val="en-US" w:eastAsia="zh-CN" w:bidi="ar-SA"/>
              </w:rPr>
              <w:t>文件，否则产生一切后果由</w:t>
            </w:r>
            <w:r>
              <w:rPr>
                <w:rFonts w:hint="eastAsia" w:cs="宋体"/>
                <w:color w:val="auto"/>
                <w:kern w:val="2"/>
                <w:sz w:val="24"/>
                <w:szCs w:val="24"/>
                <w:highlight w:val="none"/>
                <w:u w:val="none"/>
                <w:lang w:val="en-US" w:eastAsia="zh-CN" w:bidi="ar-SA"/>
              </w:rPr>
              <w:t>投标人</w:t>
            </w:r>
            <w:r>
              <w:rPr>
                <w:rFonts w:hint="eastAsia" w:ascii="宋体" w:hAnsi="宋体" w:eastAsia="宋体" w:cs="宋体"/>
                <w:color w:val="auto"/>
                <w:kern w:val="2"/>
                <w:sz w:val="24"/>
                <w:szCs w:val="24"/>
                <w:highlight w:val="none"/>
                <w:u w:val="none"/>
                <w:lang w:val="en-US" w:eastAsia="zh-CN" w:bidi="ar-SA"/>
              </w:rPr>
              <w:t>自行承担。</w:t>
            </w:r>
          </w:p>
          <w:p w14:paraId="1E8944A1">
            <w:pPr>
              <w:pStyle w:val="49"/>
              <w:keepNext w:val="0"/>
              <w:keepLines w:val="0"/>
              <w:pageBreakBefore w:val="0"/>
              <w:kinsoku/>
              <w:wordWrap/>
              <w:overflowPunct/>
              <w:topLinePunct w:val="0"/>
              <w:bidi w:val="0"/>
              <w:snapToGrid/>
              <w:spacing w:line="39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u w:val="none"/>
                <w:lang w:val="en-US" w:eastAsia="zh-CN" w:bidi="ar-SA"/>
              </w:rPr>
              <w:t>（2）</w:t>
            </w:r>
            <w:r>
              <w:rPr>
                <w:rFonts w:hint="eastAsia" w:cs="宋体"/>
                <w:color w:val="auto"/>
                <w:kern w:val="2"/>
                <w:sz w:val="24"/>
                <w:szCs w:val="24"/>
                <w:highlight w:val="none"/>
                <w:u w:val="none"/>
                <w:lang w:val="en-US" w:eastAsia="zh-CN" w:bidi="ar-SA"/>
              </w:rPr>
              <w:t>投标人</w:t>
            </w:r>
            <w:r>
              <w:rPr>
                <w:rFonts w:hint="eastAsia" w:ascii="宋体" w:hAnsi="宋体" w:eastAsia="宋体" w:cs="宋体"/>
                <w:color w:val="auto"/>
                <w:kern w:val="2"/>
                <w:sz w:val="24"/>
                <w:szCs w:val="24"/>
                <w:highlight w:val="none"/>
                <w:u w:val="none"/>
                <w:lang w:val="en-US" w:eastAsia="zh-CN" w:bidi="ar-SA"/>
              </w:rPr>
              <w:t>应一次性提出对</w:t>
            </w:r>
            <w:r>
              <w:rPr>
                <w:rFonts w:hint="eastAsia" w:cs="宋体"/>
                <w:color w:val="auto"/>
                <w:kern w:val="2"/>
                <w:sz w:val="24"/>
                <w:szCs w:val="24"/>
                <w:highlight w:val="none"/>
                <w:u w:val="none"/>
                <w:lang w:val="en-US" w:eastAsia="zh-CN" w:bidi="ar-SA"/>
              </w:rPr>
              <w:t>招标文件</w:t>
            </w:r>
            <w:r>
              <w:rPr>
                <w:rFonts w:hint="eastAsia" w:ascii="宋体" w:hAnsi="宋体" w:eastAsia="宋体" w:cs="宋体"/>
                <w:color w:val="auto"/>
                <w:kern w:val="2"/>
                <w:sz w:val="24"/>
                <w:szCs w:val="24"/>
                <w:highlight w:val="none"/>
                <w:u w:val="none"/>
                <w:lang w:val="en-US" w:eastAsia="zh-CN" w:bidi="ar-SA"/>
              </w:rPr>
              <w:t>的询问。</w:t>
            </w:r>
          </w:p>
        </w:tc>
      </w:tr>
      <w:tr w14:paraId="67C3BC2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5" w:type="dxa"/>
            <w:vAlign w:val="center"/>
          </w:tcPr>
          <w:p w14:paraId="1A104107">
            <w:pPr>
              <w:pStyle w:val="49"/>
              <w:keepNext w:val="0"/>
              <w:keepLines w:val="0"/>
              <w:pageBreakBefore w:val="0"/>
              <w:kinsoku/>
              <w:wordWrap/>
              <w:overflowPunct/>
              <w:topLinePunct w:val="0"/>
              <w:bidi w:val="0"/>
              <w:snapToGrid/>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.1</w:t>
            </w:r>
          </w:p>
        </w:tc>
        <w:tc>
          <w:tcPr>
            <w:tcW w:w="1764" w:type="dxa"/>
            <w:vAlign w:val="center"/>
          </w:tcPr>
          <w:p w14:paraId="79A1D807">
            <w:pPr>
              <w:pStyle w:val="49"/>
              <w:keepNext w:val="0"/>
              <w:keepLines w:val="0"/>
              <w:pageBreakBefore w:val="0"/>
              <w:kinsoku/>
              <w:wordWrap/>
              <w:overflowPunct/>
              <w:topLinePunct w:val="0"/>
              <w:bidi w:val="0"/>
              <w:snapToGrid/>
              <w:spacing w:line="39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投标有效期</w:t>
            </w:r>
          </w:p>
        </w:tc>
        <w:tc>
          <w:tcPr>
            <w:tcW w:w="6720" w:type="dxa"/>
            <w:vAlign w:val="center"/>
          </w:tcPr>
          <w:p w14:paraId="41DD7733">
            <w:pPr>
              <w:pStyle w:val="49"/>
              <w:keepNext w:val="0"/>
              <w:keepLines w:val="0"/>
              <w:pageBreakBefore w:val="0"/>
              <w:kinsoku/>
              <w:wordWrap/>
              <w:overflowPunct/>
              <w:topLinePunct w:val="0"/>
              <w:bidi w:val="0"/>
              <w:snapToGrid/>
              <w:spacing w:line="39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投标截止</w:t>
            </w:r>
            <w:r>
              <w:rPr>
                <w:rFonts w:hint="eastAsia" w:ascii="宋体" w:hAnsi="宋体" w:eastAsia="宋体" w:cs="宋体"/>
                <w:color w:val="auto"/>
                <w:sz w:val="24"/>
                <w:szCs w:val="24"/>
                <w:highlight w:val="none"/>
                <w:lang w:val="en-US" w:eastAsia="zh-CN"/>
              </w:rPr>
              <w:t>时间</w:t>
            </w:r>
            <w:r>
              <w:rPr>
                <w:rFonts w:hint="eastAsia" w:ascii="宋体" w:hAnsi="宋体" w:eastAsia="宋体" w:cs="宋体"/>
                <w:color w:val="auto"/>
                <w:sz w:val="24"/>
                <w:szCs w:val="24"/>
                <w:highlight w:val="none"/>
              </w:rPr>
              <w:t>后</w:t>
            </w:r>
            <w:r>
              <w:rPr>
                <w:rFonts w:hint="eastAsia" w:ascii="宋体" w:hAnsi="宋体" w:eastAsia="宋体" w:cs="宋体"/>
                <w:color w:val="auto"/>
                <w:sz w:val="24"/>
                <w:szCs w:val="24"/>
                <w:highlight w:val="none"/>
                <w:u w:val="single"/>
              </w:rPr>
              <w:t>90</w:t>
            </w:r>
            <w:r>
              <w:rPr>
                <w:rFonts w:hint="eastAsia" w:ascii="宋体" w:hAnsi="宋体" w:eastAsia="宋体" w:cs="宋体"/>
                <w:color w:val="auto"/>
                <w:sz w:val="24"/>
                <w:szCs w:val="24"/>
                <w:highlight w:val="none"/>
              </w:rPr>
              <w:t>日历日。</w:t>
            </w:r>
          </w:p>
        </w:tc>
      </w:tr>
      <w:tr w14:paraId="05426BC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trPr>
        <w:tc>
          <w:tcPr>
            <w:tcW w:w="975" w:type="dxa"/>
            <w:vAlign w:val="center"/>
          </w:tcPr>
          <w:p w14:paraId="3DB59B05">
            <w:pPr>
              <w:pStyle w:val="49"/>
              <w:keepNext w:val="0"/>
              <w:keepLines w:val="0"/>
              <w:pageBreakBefore w:val="0"/>
              <w:kinsoku/>
              <w:wordWrap/>
              <w:overflowPunct/>
              <w:topLinePunct w:val="0"/>
              <w:bidi w:val="0"/>
              <w:snapToGrid/>
              <w:spacing w:line="39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17.1</w:t>
            </w:r>
          </w:p>
        </w:tc>
        <w:tc>
          <w:tcPr>
            <w:tcW w:w="1764" w:type="dxa"/>
            <w:vAlign w:val="center"/>
          </w:tcPr>
          <w:p w14:paraId="02D54664">
            <w:pPr>
              <w:pStyle w:val="49"/>
              <w:keepNext w:val="0"/>
              <w:keepLines w:val="0"/>
              <w:pageBreakBefore w:val="0"/>
              <w:kinsoku/>
              <w:wordWrap/>
              <w:overflowPunct/>
              <w:topLinePunct w:val="0"/>
              <w:bidi w:val="0"/>
              <w:snapToGrid/>
              <w:spacing w:line="39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投标保证金</w:t>
            </w:r>
          </w:p>
        </w:tc>
        <w:tc>
          <w:tcPr>
            <w:tcW w:w="6720" w:type="dxa"/>
            <w:vAlign w:val="center"/>
          </w:tcPr>
          <w:p w14:paraId="01C49676">
            <w:pPr>
              <w:pStyle w:val="53"/>
              <w:keepNext w:val="0"/>
              <w:keepLines w:val="0"/>
              <w:pageBreakBefore w:val="0"/>
              <w:widowControl w:val="0"/>
              <w:shd w:val="clear" w:color="auto" w:fill="auto"/>
              <w:kinsoku/>
              <w:wordWrap/>
              <w:overflowPunct/>
              <w:topLinePunct w:val="0"/>
              <w:autoSpaceDE/>
              <w:autoSpaceDN/>
              <w:bidi w:val="0"/>
              <w:adjustRightInd/>
              <w:snapToGrid/>
              <w:spacing w:line="390" w:lineRule="exac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w:t>
            </w:r>
            <w:r>
              <w:rPr>
                <w:rFonts w:hint="eastAsia" w:ascii="宋体" w:hAnsi="宋体" w:eastAsia="宋体" w:cs="宋体"/>
                <w:i w:val="0"/>
                <w:iCs w:val="0"/>
                <w:color w:val="auto"/>
                <w:sz w:val="24"/>
                <w:szCs w:val="24"/>
                <w:highlight w:val="none"/>
                <w:lang w:val="en-US" w:eastAsia="zh-CN"/>
              </w:rPr>
              <w:t>.</w:t>
            </w:r>
            <w:r>
              <w:rPr>
                <w:rFonts w:hint="eastAsia" w:ascii="宋体" w:hAnsi="宋体" w:eastAsia="宋体" w:cs="宋体"/>
                <w:i w:val="0"/>
                <w:iCs w:val="0"/>
                <w:color w:val="auto"/>
                <w:sz w:val="24"/>
                <w:szCs w:val="24"/>
                <w:highlight w:val="none"/>
              </w:rPr>
              <w:t>金额：</w:t>
            </w:r>
          </w:p>
          <w:p w14:paraId="35F2F3E3">
            <w:pPr>
              <w:pStyle w:val="53"/>
              <w:keepNext w:val="0"/>
              <w:keepLines w:val="0"/>
              <w:pageBreakBefore w:val="0"/>
              <w:widowControl w:val="0"/>
              <w:shd w:val="clear" w:color="auto" w:fill="auto"/>
              <w:kinsoku/>
              <w:wordWrap/>
              <w:overflowPunct/>
              <w:topLinePunct w:val="0"/>
              <w:autoSpaceDE/>
              <w:autoSpaceDN/>
              <w:bidi w:val="0"/>
              <w:adjustRightInd/>
              <w:snapToGrid/>
              <w:spacing w:line="390" w:lineRule="exac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rPr>
              <w:t>免收</w:t>
            </w:r>
          </w:p>
          <w:p w14:paraId="195CEBB2">
            <w:pPr>
              <w:pStyle w:val="53"/>
              <w:keepNext w:val="0"/>
              <w:keepLines w:val="0"/>
              <w:pageBreakBefore w:val="0"/>
              <w:widowControl w:val="0"/>
              <w:shd w:val="clear" w:color="auto" w:fill="auto"/>
              <w:kinsoku/>
              <w:wordWrap/>
              <w:overflowPunct/>
              <w:topLinePunct w:val="0"/>
              <w:autoSpaceDE/>
              <w:autoSpaceDN/>
              <w:bidi w:val="0"/>
              <w:adjustRightInd/>
              <w:snapToGrid/>
              <w:spacing w:line="390" w:lineRule="exact"/>
              <w:textAlignment w:val="auto"/>
              <w:rPr>
                <w:rFonts w:hint="eastAsia" w:ascii="宋体" w:hAnsi="宋体" w:eastAsia="宋体" w:cs="宋体"/>
                <w:i w:val="0"/>
                <w:iCs w:val="0"/>
                <w:color w:val="auto"/>
                <w:sz w:val="24"/>
                <w:szCs w:val="24"/>
                <w:highlight w:val="none"/>
                <w:lang w:eastAsia="zh-CN"/>
              </w:rPr>
            </w:pP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预算金额</w:t>
            </w:r>
            <w:r>
              <w:rPr>
                <w:rFonts w:hint="eastAsia" w:ascii="宋体" w:hAnsi="宋体" w:eastAsia="宋体" w:cs="宋体"/>
                <w:i w:val="0"/>
                <w:iCs w:val="0"/>
                <w:color w:val="auto"/>
                <w:sz w:val="24"/>
                <w:szCs w:val="24"/>
                <w:highlight w:val="none"/>
              </w:rPr>
              <w:t>的   %</w:t>
            </w:r>
            <w:r>
              <w:rPr>
                <w:rFonts w:hint="eastAsia" w:ascii="宋体" w:hAnsi="宋体" w:eastAsia="宋体" w:cs="宋体"/>
                <w:i w:val="0"/>
                <w:iCs w:val="0"/>
                <w:color w:val="auto"/>
                <w:sz w:val="24"/>
                <w:szCs w:val="24"/>
                <w:highlight w:val="none"/>
                <w:lang w:eastAsia="zh-CN"/>
              </w:rPr>
              <w:t>。</w:t>
            </w:r>
          </w:p>
          <w:p w14:paraId="396999CD">
            <w:pPr>
              <w:pStyle w:val="53"/>
              <w:keepNext w:val="0"/>
              <w:keepLines w:val="0"/>
              <w:pageBreakBefore w:val="0"/>
              <w:widowControl w:val="0"/>
              <w:shd w:val="clear" w:color="auto" w:fill="auto"/>
              <w:kinsoku/>
              <w:wordWrap/>
              <w:overflowPunct/>
              <w:topLinePunct w:val="0"/>
              <w:autoSpaceDE/>
              <w:autoSpaceDN/>
              <w:bidi w:val="0"/>
              <w:adjustRightInd/>
              <w:snapToGrid/>
              <w:spacing w:line="390" w:lineRule="exact"/>
              <w:textAlignment w:val="auto"/>
              <w:rPr>
                <w:rFonts w:hint="eastAsia" w:ascii="宋体" w:hAnsi="宋体" w:eastAsia="宋体" w:cs="宋体"/>
                <w:i w:val="0"/>
                <w:iCs w:val="0"/>
                <w:color w:val="auto"/>
                <w:sz w:val="24"/>
                <w:szCs w:val="24"/>
                <w:highlight w:val="none"/>
                <w:lang w:eastAsia="zh-CN"/>
              </w:rPr>
            </w:pP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rPr>
              <w:t>定额收取：人民币</w:t>
            </w:r>
            <w:r>
              <w:rPr>
                <w:rFonts w:hint="eastAsia" w:ascii="宋体" w:hAnsi="宋体" w:eastAsia="宋体" w:cs="宋体"/>
                <w:i w:val="0"/>
                <w:iCs w:val="0"/>
                <w:color w:val="auto"/>
                <w:sz w:val="24"/>
                <w:szCs w:val="24"/>
                <w:highlight w:val="none"/>
                <w:lang w:val="en-US" w:eastAsia="zh-CN"/>
              </w:rPr>
              <w:t>1</w:t>
            </w:r>
            <w:r>
              <w:rPr>
                <w:rFonts w:hint="eastAsia" w:ascii="宋体" w:hAnsi="宋体" w:cs="宋体"/>
                <w:i w:val="0"/>
                <w:iCs w:val="0"/>
                <w:color w:val="auto"/>
                <w:sz w:val="24"/>
                <w:szCs w:val="24"/>
                <w:highlight w:val="none"/>
                <w:lang w:val="en-US" w:eastAsia="zh-CN"/>
              </w:rPr>
              <w:t>0000.00</w:t>
            </w:r>
            <w:r>
              <w:rPr>
                <w:rFonts w:hint="eastAsia" w:ascii="宋体" w:hAnsi="宋体" w:eastAsia="宋体" w:cs="宋体"/>
                <w:i w:val="0"/>
                <w:iCs w:val="0"/>
                <w:color w:val="auto"/>
                <w:sz w:val="24"/>
                <w:szCs w:val="24"/>
                <w:highlight w:val="none"/>
              </w:rPr>
              <w:t>元</w:t>
            </w:r>
            <w:r>
              <w:rPr>
                <w:rFonts w:hint="eastAsia" w:ascii="宋体" w:hAnsi="宋体" w:eastAsia="宋体" w:cs="宋体"/>
                <w:i w:val="0"/>
                <w:iCs w:val="0"/>
                <w:color w:val="auto"/>
                <w:sz w:val="24"/>
                <w:szCs w:val="24"/>
                <w:highlight w:val="none"/>
                <w:lang w:eastAsia="zh-CN"/>
              </w:rPr>
              <w:t>。</w:t>
            </w:r>
          </w:p>
          <w:p w14:paraId="6DCB7CA2">
            <w:pPr>
              <w:pStyle w:val="53"/>
              <w:keepNext w:val="0"/>
              <w:keepLines w:val="0"/>
              <w:pageBreakBefore w:val="0"/>
              <w:widowControl w:val="0"/>
              <w:shd w:val="clear" w:color="auto" w:fill="auto"/>
              <w:kinsoku/>
              <w:wordWrap/>
              <w:overflowPunct/>
              <w:topLinePunct w:val="0"/>
              <w:autoSpaceDE/>
              <w:autoSpaceDN/>
              <w:bidi w:val="0"/>
              <w:adjustRightInd/>
              <w:snapToGrid/>
              <w:spacing w:line="390" w:lineRule="exac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w:t>
            </w:r>
            <w:r>
              <w:rPr>
                <w:rFonts w:hint="eastAsia" w:ascii="宋体" w:hAnsi="宋体" w:eastAsia="宋体" w:cs="宋体"/>
                <w:i w:val="0"/>
                <w:iCs w:val="0"/>
                <w:color w:val="auto"/>
                <w:sz w:val="24"/>
                <w:szCs w:val="24"/>
                <w:highlight w:val="none"/>
                <w:lang w:val="en-US" w:eastAsia="zh-CN"/>
              </w:rPr>
              <w:t>.</w:t>
            </w:r>
            <w:r>
              <w:rPr>
                <w:rFonts w:hint="eastAsia" w:ascii="宋体" w:hAnsi="宋体" w:eastAsia="宋体" w:cs="宋体"/>
                <w:i w:val="0"/>
                <w:iCs w:val="0"/>
                <w:color w:val="auto"/>
                <w:sz w:val="24"/>
                <w:szCs w:val="24"/>
                <w:highlight w:val="none"/>
              </w:rPr>
              <w:t>支付方式：</w:t>
            </w:r>
          </w:p>
          <w:p w14:paraId="69EAA4E1">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90" w:lineRule="exact"/>
              <w:ind w:left="0" w:leftChars="0" w:right="0"/>
              <w:jc w:val="left"/>
              <w:textAlignment w:val="auto"/>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到账截止时间：同投标截止时间（开标时间）</w:t>
            </w:r>
          </w:p>
          <w:p w14:paraId="107E21B5">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90" w:lineRule="exact"/>
              <w:ind w:left="0" w:leftChars="0" w:right="0"/>
              <w:jc w:val="left"/>
              <w:textAlignment w:val="auto"/>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以下方式二选一递交：</w:t>
            </w:r>
          </w:p>
          <w:p w14:paraId="4A9100A1">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90" w:lineRule="exact"/>
              <w:ind w:left="0" w:leftChars="0" w:right="0"/>
              <w:jc w:val="left"/>
              <w:textAlignment w:val="auto"/>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1、采用非现金形式缴纳应按以下要求办理：</w:t>
            </w:r>
            <w:r>
              <w:rPr>
                <w:rFonts w:hint="eastAsia" w:ascii="宋体" w:hAnsi="宋体" w:eastAsia="宋体" w:cs="Times New Roman"/>
                <w:color w:val="auto"/>
                <w:kern w:val="2"/>
                <w:sz w:val="24"/>
                <w:szCs w:val="24"/>
                <w:lang w:val="en-US" w:eastAsia="zh-CN" w:bidi="ar-SA"/>
              </w:rPr>
              <w:br w:type="textWrapping"/>
            </w:r>
            <w:r>
              <w:rPr>
                <w:rFonts w:hint="eastAsia" w:ascii="宋体" w:hAnsi="宋体" w:eastAsia="宋体" w:cs="Times New Roman"/>
                <w:color w:val="auto"/>
                <w:kern w:val="2"/>
                <w:sz w:val="24"/>
                <w:szCs w:val="24"/>
                <w:lang w:val="en-US" w:eastAsia="zh-CN" w:bidi="ar-SA"/>
              </w:rPr>
              <w:t xml:space="preserve">收款单位：新疆同滕工程项目管理有限公司                             </w:t>
            </w:r>
          </w:p>
          <w:p w14:paraId="39B56FF9">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90" w:lineRule="exact"/>
              <w:ind w:left="0" w:leftChars="0" w:right="0"/>
              <w:jc w:val="left"/>
              <w:textAlignment w:val="auto"/>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 xml:space="preserve">开户银行：中国工商银行股份有限公司阿拉尔支行                                        </w:t>
            </w:r>
          </w:p>
          <w:p w14:paraId="78794DEB">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90" w:lineRule="exact"/>
              <w:ind w:left="0" w:leftChars="0" w:right="0"/>
              <w:jc w:val="left"/>
              <w:textAlignment w:val="auto"/>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银行账号：3014000109100079963</w:t>
            </w:r>
          </w:p>
          <w:p w14:paraId="05F2A59F">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90" w:lineRule="exact"/>
              <w:ind w:left="0" w:leftChars="0" w:right="0"/>
              <w:jc w:val="left"/>
              <w:textAlignment w:val="auto"/>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行号：102903100018</w:t>
            </w:r>
          </w:p>
          <w:p w14:paraId="187C60EE">
            <w:pPr>
              <w:pStyle w:val="53"/>
              <w:keepNext w:val="0"/>
              <w:keepLines w:val="0"/>
              <w:pageBreakBefore w:val="0"/>
              <w:widowControl w:val="0"/>
              <w:kinsoku/>
              <w:wordWrap/>
              <w:overflowPunct/>
              <w:topLinePunct w:val="0"/>
              <w:autoSpaceDE/>
              <w:autoSpaceDN/>
              <w:bidi w:val="0"/>
              <w:adjustRightInd/>
              <w:snapToGrid/>
              <w:spacing w:line="390" w:lineRule="exact"/>
              <w:ind w:left="0" w:leftChars="0"/>
              <w:jc w:val="left"/>
              <w:textAlignment w:val="auto"/>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未按时递交投标保证金的</w:t>
            </w:r>
            <w:r>
              <w:rPr>
                <w:rFonts w:hint="eastAsia" w:ascii="宋体" w:hAnsi="宋体" w:cs="Times New Roman"/>
                <w:color w:val="auto"/>
                <w:kern w:val="2"/>
                <w:sz w:val="24"/>
                <w:szCs w:val="24"/>
                <w:lang w:val="en-US" w:eastAsia="zh-CN" w:bidi="ar-SA"/>
              </w:rPr>
              <w:t>投标人</w:t>
            </w:r>
            <w:r>
              <w:rPr>
                <w:rFonts w:hint="eastAsia" w:ascii="宋体" w:hAnsi="宋体" w:eastAsia="宋体" w:cs="Times New Roman"/>
                <w:color w:val="auto"/>
                <w:kern w:val="2"/>
                <w:sz w:val="24"/>
                <w:szCs w:val="24"/>
                <w:lang w:val="en-US" w:eastAsia="zh-CN" w:bidi="ar-SA"/>
              </w:rPr>
              <w:t>，后果自行承担。</w:t>
            </w:r>
          </w:p>
          <w:p w14:paraId="7FF6D492">
            <w:pPr>
              <w:pStyle w:val="53"/>
              <w:keepNext w:val="0"/>
              <w:keepLines w:val="0"/>
              <w:pageBreakBefore w:val="0"/>
              <w:widowControl w:val="0"/>
              <w:kinsoku/>
              <w:wordWrap/>
              <w:overflowPunct/>
              <w:topLinePunct w:val="0"/>
              <w:autoSpaceDE/>
              <w:autoSpaceDN/>
              <w:bidi w:val="0"/>
              <w:adjustRightInd/>
              <w:snapToGrid/>
              <w:spacing w:line="390" w:lineRule="exact"/>
              <w:ind w:left="0" w:leftChars="0"/>
              <w:jc w:val="left"/>
              <w:textAlignment w:val="auto"/>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未成交供应商的保证金应当在成交通知书发</w:t>
            </w:r>
            <w:r>
              <w:rPr>
                <w:rFonts w:hint="eastAsia" w:ascii="宋体" w:hAnsi="宋体" w:eastAsia="宋体" w:cs="Times New Roman"/>
                <w:color w:val="auto"/>
                <w:spacing w:val="-6"/>
                <w:kern w:val="2"/>
                <w:sz w:val="24"/>
                <w:szCs w:val="24"/>
                <w:lang w:val="en-US" w:eastAsia="zh-CN" w:bidi="ar-SA"/>
              </w:rPr>
              <w:t>出后5个工作日内退还，成交供应商的保证金应当在采购合同签订后5个工作日内退还</w:t>
            </w:r>
            <w:r>
              <w:rPr>
                <w:rFonts w:hint="eastAsia" w:ascii="宋体" w:hAnsi="宋体" w:eastAsia="宋体" w:cs="Times New Roman"/>
                <w:color w:val="auto"/>
                <w:kern w:val="2"/>
                <w:sz w:val="24"/>
                <w:szCs w:val="24"/>
                <w:lang w:val="en-US" w:eastAsia="zh-CN" w:bidi="ar-SA"/>
              </w:rPr>
              <w:t>。</w:t>
            </w:r>
          </w:p>
          <w:p w14:paraId="31EFA78D">
            <w:pPr>
              <w:pStyle w:val="53"/>
              <w:keepNext w:val="0"/>
              <w:keepLines w:val="0"/>
              <w:pageBreakBefore w:val="0"/>
              <w:widowControl w:val="0"/>
              <w:kinsoku/>
              <w:wordWrap/>
              <w:overflowPunct/>
              <w:topLinePunct w:val="0"/>
              <w:autoSpaceDE/>
              <w:autoSpaceDN/>
              <w:bidi w:val="0"/>
              <w:adjustRightInd/>
              <w:snapToGrid/>
              <w:spacing w:line="390" w:lineRule="exact"/>
              <w:ind w:left="0" w:leftChars="0"/>
              <w:jc w:val="left"/>
              <w:textAlignment w:val="auto"/>
              <w:rPr>
                <w:rFonts w:hint="default"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保证</w:t>
            </w:r>
            <w:r>
              <w:rPr>
                <w:rFonts w:hint="eastAsia" w:ascii="宋体" w:hAnsi="宋体" w:eastAsia="宋体" w:cs="Times New Roman"/>
                <w:color w:val="auto"/>
                <w:spacing w:val="-6"/>
                <w:kern w:val="2"/>
                <w:sz w:val="24"/>
                <w:szCs w:val="24"/>
                <w:lang w:val="en-US" w:eastAsia="zh-CN" w:bidi="ar-SA"/>
              </w:rPr>
              <w:t>金退还手续：</w:t>
            </w:r>
            <w:r>
              <w:rPr>
                <w:rFonts w:hint="eastAsia" w:ascii="宋体" w:hAnsi="宋体" w:cs="Times New Roman"/>
                <w:color w:val="auto"/>
                <w:kern w:val="2"/>
                <w:sz w:val="24"/>
                <w:szCs w:val="24"/>
                <w:lang w:val="en-US" w:eastAsia="zh-CN" w:bidi="ar-SA"/>
              </w:rPr>
              <w:t>投标人</w:t>
            </w:r>
            <w:r>
              <w:rPr>
                <w:rFonts w:hint="eastAsia" w:ascii="宋体" w:hAnsi="宋体" w:eastAsia="宋体" w:cs="Times New Roman"/>
                <w:color w:val="auto"/>
                <w:spacing w:val="-6"/>
                <w:kern w:val="2"/>
                <w:sz w:val="24"/>
                <w:szCs w:val="24"/>
                <w:lang w:val="en-US" w:eastAsia="zh-CN" w:bidi="ar-SA"/>
              </w:rPr>
              <w:t>需提供营业执照、收据、开户行许可证复印件（加盖公章并注明开户行行号）</w:t>
            </w:r>
            <w:r>
              <w:rPr>
                <w:rFonts w:hint="eastAsia" w:ascii="宋体" w:hAnsi="宋体" w:cs="宋体"/>
                <w:color w:val="auto"/>
                <w:kern w:val="2"/>
                <w:sz w:val="24"/>
                <w:szCs w:val="24"/>
                <w:lang w:val="en-US" w:eastAsia="zh-CN" w:bidi="ar"/>
              </w:rPr>
              <w:t>中标人</w:t>
            </w:r>
            <w:r>
              <w:rPr>
                <w:rFonts w:hint="eastAsia" w:ascii="宋体" w:hAnsi="宋体" w:eastAsia="宋体" w:cs="Times New Roman"/>
                <w:color w:val="auto"/>
                <w:spacing w:val="-6"/>
                <w:kern w:val="2"/>
                <w:sz w:val="24"/>
                <w:szCs w:val="24"/>
                <w:lang w:val="en-US" w:eastAsia="zh-CN" w:bidi="ar-SA"/>
              </w:rPr>
              <w:t>需另行提供与采购人签订合同原件扫描件，</w:t>
            </w:r>
            <w:r>
              <w:rPr>
                <w:rFonts w:hint="eastAsia" w:ascii="宋体" w:hAnsi="宋体" w:eastAsia="宋体" w:cs="宋体"/>
                <w:color w:val="auto"/>
                <w:kern w:val="2"/>
                <w:sz w:val="24"/>
                <w:szCs w:val="24"/>
                <w:lang w:bidi="ar"/>
              </w:rPr>
              <w:t>2日内提供退还投标保证金手续，以便我单位在规定时间内及时办理保证金退还手续。</w:t>
            </w:r>
            <w:r>
              <w:rPr>
                <w:rFonts w:hint="default" w:ascii="宋体" w:hAnsi="宋体" w:cs="宋体"/>
                <w:color w:val="auto"/>
                <w:kern w:val="2"/>
                <w:sz w:val="24"/>
                <w:szCs w:val="24"/>
                <w:lang w:val="en-US" w:bidi="ar"/>
              </w:rPr>
              <w:t xml:space="preserve">               </w:t>
            </w:r>
          </w:p>
          <w:p w14:paraId="017E5DAD">
            <w:pPr>
              <w:pStyle w:val="53"/>
              <w:keepNext w:val="0"/>
              <w:keepLines w:val="0"/>
              <w:pageBreakBefore w:val="0"/>
              <w:widowControl w:val="0"/>
              <w:kinsoku/>
              <w:wordWrap/>
              <w:overflowPunct/>
              <w:topLinePunct w:val="0"/>
              <w:autoSpaceDE/>
              <w:autoSpaceDN/>
              <w:bidi w:val="0"/>
              <w:adjustRightInd/>
              <w:snapToGrid/>
              <w:spacing w:line="390" w:lineRule="exact"/>
              <w:ind w:left="0" w:leftChars="0"/>
              <w:jc w:val="left"/>
              <w:textAlignment w:val="auto"/>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注意：</w:t>
            </w:r>
            <w:r>
              <w:rPr>
                <w:rFonts w:hint="eastAsia" w:ascii="宋体" w:hAnsi="宋体" w:cs="Times New Roman"/>
                <w:color w:val="auto"/>
                <w:kern w:val="2"/>
                <w:sz w:val="24"/>
                <w:szCs w:val="24"/>
                <w:lang w:val="en-US" w:eastAsia="zh-CN" w:bidi="ar-SA"/>
              </w:rPr>
              <w:t>投标人</w:t>
            </w:r>
            <w:r>
              <w:rPr>
                <w:rFonts w:hint="eastAsia" w:ascii="宋体" w:hAnsi="宋体" w:eastAsia="宋体" w:cs="Times New Roman"/>
                <w:color w:val="auto"/>
                <w:kern w:val="2"/>
                <w:sz w:val="24"/>
                <w:szCs w:val="24"/>
                <w:lang w:val="en-US" w:eastAsia="zh-CN" w:bidi="ar-SA"/>
              </w:rPr>
              <w:t>选择以转账、电汇形式递交投标保证金的，将转账凭证复印件加盖公章附在</w:t>
            </w:r>
            <w:r>
              <w:rPr>
                <w:rFonts w:hint="eastAsia" w:ascii="宋体" w:hAnsi="宋体" w:cs="Times New Roman"/>
                <w:color w:val="auto"/>
                <w:kern w:val="2"/>
                <w:sz w:val="24"/>
                <w:szCs w:val="24"/>
                <w:lang w:val="en-US" w:eastAsia="zh-CN" w:bidi="ar-SA"/>
              </w:rPr>
              <w:t>投标</w:t>
            </w:r>
            <w:r>
              <w:rPr>
                <w:rFonts w:hint="eastAsia" w:ascii="宋体" w:hAnsi="宋体" w:eastAsia="宋体" w:cs="Times New Roman"/>
                <w:color w:val="auto"/>
                <w:kern w:val="2"/>
                <w:sz w:val="24"/>
                <w:szCs w:val="24"/>
                <w:lang w:val="en-US" w:eastAsia="zh-CN" w:bidi="ar-SA"/>
              </w:rPr>
              <w:t>文件中作为保证金缴纳凭据；选择支票、汇票、本票、银行保函等方式递交投标保证金的，</w:t>
            </w:r>
            <w:r>
              <w:rPr>
                <w:rFonts w:hint="eastAsia" w:ascii="宋体" w:hAnsi="宋体" w:cs="Times New Roman"/>
                <w:color w:val="auto"/>
                <w:kern w:val="2"/>
                <w:sz w:val="24"/>
                <w:szCs w:val="24"/>
                <w:lang w:val="en-US" w:eastAsia="zh-CN" w:bidi="ar-SA"/>
              </w:rPr>
              <w:t>投标文件</w:t>
            </w:r>
            <w:r>
              <w:rPr>
                <w:rFonts w:hint="eastAsia" w:ascii="宋体" w:hAnsi="宋体" w:eastAsia="宋体" w:cs="Times New Roman"/>
                <w:color w:val="auto"/>
                <w:kern w:val="2"/>
                <w:sz w:val="24"/>
                <w:szCs w:val="24"/>
                <w:lang w:val="en-US" w:eastAsia="zh-CN" w:bidi="ar-SA"/>
              </w:rPr>
              <w:t>须放入其复印件并盖公章作为保证金缴纳凭据。</w:t>
            </w:r>
          </w:p>
          <w:p w14:paraId="783F012F">
            <w:pPr>
              <w:pStyle w:val="53"/>
              <w:keepNext w:val="0"/>
              <w:keepLines w:val="0"/>
              <w:pageBreakBefore w:val="0"/>
              <w:widowControl w:val="0"/>
              <w:numPr>
                <w:ilvl w:val="0"/>
                <w:numId w:val="4"/>
              </w:numPr>
              <w:kinsoku/>
              <w:wordWrap/>
              <w:overflowPunct/>
              <w:topLinePunct w:val="0"/>
              <w:autoSpaceDE/>
              <w:autoSpaceDN/>
              <w:bidi w:val="0"/>
              <w:adjustRightInd/>
              <w:snapToGrid/>
              <w:spacing w:line="390" w:lineRule="exact"/>
              <w:ind w:left="0" w:leftChars="0"/>
              <w:jc w:val="left"/>
              <w:textAlignment w:val="auto"/>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采用投标保函形式缴纳</w:t>
            </w:r>
          </w:p>
          <w:p w14:paraId="7EE8E4DD">
            <w:pPr>
              <w:pStyle w:val="53"/>
              <w:keepNext w:val="0"/>
              <w:keepLines w:val="0"/>
              <w:pageBreakBefore w:val="0"/>
              <w:widowControl w:val="0"/>
              <w:numPr>
                <w:ilvl w:val="0"/>
                <w:numId w:val="5"/>
              </w:numPr>
              <w:shd w:val="clear" w:color="auto" w:fill="auto"/>
              <w:kinsoku/>
              <w:wordWrap/>
              <w:overflowPunct/>
              <w:topLinePunct w:val="0"/>
              <w:autoSpaceDE/>
              <w:autoSpaceDN/>
              <w:bidi w:val="0"/>
              <w:adjustRightInd/>
              <w:snapToGrid/>
              <w:spacing w:line="390" w:lineRule="exact"/>
              <w:textAlignment w:val="auto"/>
              <w:rPr>
                <w:rFonts w:hint="eastAsia" w:ascii="宋体" w:hAnsi="宋体" w:eastAsia="宋体" w:cs="宋体"/>
                <w:i w:val="0"/>
                <w:iCs w:val="0"/>
                <w:color w:val="auto"/>
                <w:sz w:val="24"/>
                <w:szCs w:val="24"/>
                <w:highlight w:val="none"/>
              </w:rPr>
            </w:pPr>
            <w:r>
              <w:rPr>
                <w:rFonts w:hint="eastAsia" w:ascii="宋体" w:hAnsi="宋体" w:eastAsia="宋体" w:cs="Times New Roman"/>
                <w:color w:val="auto"/>
                <w:kern w:val="2"/>
                <w:sz w:val="24"/>
                <w:szCs w:val="24"/>
                <w:lang w:val="en-US" w:eastAsia="zh-CN" w:bidi="ar-SA"/>
              </w:rPr>
              <w:t>参与政府采购活动的</w:t>
            </w:r>
            <w:r>
              <w:rPr>
                <w:rFonts w:hint="eastAsia" w:ascii="宋体" w:hAnsi="宋体" w:cs="Times New Roman"/>
                <w:color w:val="auto"/>
                <w:kern w:val="2"/>
                <w:sz w:val="24"/>
                <w:szCs w:val="24"/>
                <w:lang w:val="en-US" w:eastAsia="zh-CN" w:bidi="ar-SA"/>
              </w:rPr>
              <w:t>投标人</w:t>
            </w:r>
            <w:r>
              <w:rPr>
                <w:rFonts w:hint="eastAsia" w:ascii="宋体" w:hAnsi="宋体" w:eastAsia="宋体" w:cs="Times New Roman"/>
                <w:color w:val="auto"/>
                <w:kern w:val="2"/>
                <w:sz w:val="24"/>
                <w:szCs w:val="24"/>
                <w:lang w:val="en-US" w:eastAsia="zh-CN" w:bidi="ar-SA"/>
              </w:rPr>
              <w:t>可进入兵团政府采购网-兵团政府采购信用融资服务平台-保险保函模块办理相关业务，操作详情见附件《兵团政府采购电子保函操作流程》，</w:t>
            </w:r>
            <w:r>
              <w:rPr>
                <w:rFonts w:hint="eastAsia" w:ascii="宋体" w:hAnsi="宋体" w:cs="Times New Roman"/>
                <w:color w:val="auto"/>
                <w:kern w:val="2"/>
                <w:sz w:val="24"/>
                <w:szCs w:val="24"/>
                <w:lang w:val="en-US" w:eastAsia="zh-CN" w:bidi="ar-SA"/>
              </w:rPr>
              <w:t>投标人</w:t>
            </w:r>
            <w:r>
              <w:rPr>
                <w:rFonts w:hint="eastAsia" w:ascii="宋体" w:hAnsi="宋体" w:eastAsia="宋体" w:cs="Times New Roman"/>
                <w:color w:val="auto"/>
                <w:kern w:val="2"/>
                <w:sz w:val="24"/>
                <w:szCs w:val="24"/>
                <w:lang w:val="en-US" w:eastAsia="zh-CN" w:bidi="ar-SA"/>
              </w:rPr>
              <w:t>商自行前往下载。</w:t>
            </w:r>
            <w:r>
              <w:rPr>
                <w:rFonts w:hint="eastAsia" w:ascii="宋体" w:hAnsi="宋体" w:eastAsia="宋体" w:cs="Times New Roman"/>
                <w:color w:val="auto"/>
                <w:kern w:val="2"/>
                <w:sz w:val="24"/>
                <w:szCs w:val="24"/>
                <w:lang w:val="en-US" w:eastAsia="zh-CN" w:bidi="ar-SA"/>
              </w:rPr>
              <w:br w:type="textWrapping"/>
            </w:r>
            <w:r>
              <w:rPr>
                <w:rFonts w:hint="eastAsia" w:ascii="宋体" w:hAnsi="宋体" w:eastAsia="宋体" w:cs="Times New Roman"/>
                <w:color w:val="auto"/>
                <w:kern w:val="2"/>
                <w:sz w:val="24"/>
                <w:szCs w:val="24"/>
                <w:lang w:val="en-US" w:eastAsia="zh-CN" w:bidi="ar-SA"/>
              </w:rPr>
              <w:t>（2）供应商自主选择电子保函系统中任意一家担保机构开具电子保函，针对具体项目做到“一项目一保函”。</w:t>
            </w:r>
            <w:r>
              <w:rPr>
                <w:rFonts w:hint="eastAsia" w:ascii="宋体" w:hAnsi="宋体" w:eastAsia="宋体" w:cs="Times New Roman"/>
                <w:color w:val="auto"/>
                <w:kern w:val="2"/>
                <w:sz w:val="24"/>
                <w:szCs w:val="24"/>
                <w:lang w:val="en-US" w:eastAsia="zh-CN" w:bidi="ar-SA"/>
              </w:rPr>
              <w:br w:type="textWrapping"/>
            </w:r>
            <w:r>
              <w:rPr>
                <w:rFonts w:hint="eastAsia" w:ascii="宋体" w:hAnsi="宋体" w:eastAsia="宋体" w:cs="Times New Roman"/>
                <w:color w:val="auto"/>
                <w:kern w:val="2"/>
                <w:sz w:val="24"/>
                <w:szCs w:val="24"/>
                <w:lang w:val="en-US" w:eastAsia="zh-CN" w:bidi="ar-SA"/>
              </w:rPr>
              <w:t>（3）电子保函须在</w:t>
            </w:r>
            <w:r>
              <w:rPr>
                <w:rFonts w:hint="eastAsia" w:ascii="宋体" w:hAnsi="宋体" w:cs="Times New Roman"/>
                <w:color w:val="auto"/>
                <w:kern w:val="2"/>
                <w:sz w:val="24"/>
                <w:szCs w:val="24"/>
                <w:lang w:val="en-US" w:eastAsia="zh-CN" w:bidi="ar-SA"/>
              </w:rPr>
              <w:t>招标</w:t>
            </w:r>
            <w:r>
              <w:rPr>
                <w:rFonts w:hint="eastAsia" w:ascii="宋体" w:hAnsi="宋体" w:eastAsia="宋体" w:cs="Times New Roman"/>
                <w:color w:val="auto"/>
                <w:kern w:val="2"/>
                <w:sz w:val="24"/>
                <w:szCs w:val="24"/>
                <w:lang w:val="en-US" w:eastAsia="zh-CN" w:bidi="ar-SA"/>
              </w:rPr>
              <w:t>文件规定的投标截止时间前办理完成，完成后将电子保单作为电子</w:t>
            </w:r>
            <w:r>
              <w:rPr>
                <w:rFonts w:hint="eastAsia" w:ascii="宋体" w:hAnsi="宋体" w:cs="Times New Roman"/>
                <w:color w:val="auto"/>
                <w:kern w:val="2"/>
                <w:sz w:val="24"/>
                <w:szCs w:val="24"/>
                <w:lang w:val="en-US" w:eastAsia="zh-CN" w:bidi="ar-SA"/>
              </w:rPr>
              <w:t>投标</w:t>
            </w:r>
            <w:r>
              <w:rPr>
                <w:rFonts w:hint="eastAsia" w:ascii="宋体" w:hAnsi="宋体" w:eastAsia="宋体" w:cs="Times New Roman"/>
                <w:color w:val="auto"/>
                <w:kern w:val="2"/>
                <w:sz w:val="24"/>
                <w:szCs w:val="24"/>
                <w:lang w:val="en-US" w:eastAsia="zh-CN" w:bidi="ar-SA"/>
              </w:rPr>
              <w:t>文件组成部分在投标时一并提交。</w:t>
            </w:r>
            <w:r>
              <w:rPr>
                <w:rFonts w:hint="eastAsia" w:ascii="宋体" w:hAnsi="宋体" w:eastAsia="宋体" w:cs="Times New Roman"/>
                <w:color w:val="auto"/>
                <w:kern w:val="2"/>
                <w:sz w:val="24"/>
                <w:szCs w:val="24"/>
                <w:lang w:val="en-US" w:eastAsia="zh-CN" w:bidi="ar-SA"/>
              </w:rPr>
              <w:br w:type="textWrapping"/>
            </w:r>
            <w:r>
              <w:rPr>
                <w:rFonts w:hint="eastAsia" w:ascii="宋体" w:hAnsi="宋体" w:eastAsia="宋体" w:cs="Times New Roman"/>
                <w:color w:val="auto"/>
                <w:kern w:val="2"/>
                <w:sz w:val="24"/>
                <w:szCs w:val="24"/>
                <w:lang w:val="en-US" w:eastAsia="zh-CN" w:bidi="ar-SA"/>
              </w:rPr>
              <w:t>（4）</w:t>
            </w:r>
            <w:r>
              <w:rPr>
                <w:rFonts w:hint="eastAsia" w:ascii="宋体" w:hAnsi="宋体" w:cs="Times New Roman"/>
                <w:color w:val="auto"/>
                <w:kern w:val="2"/>
                <w:sz w:val="24"/>
                <w:szCs w:val="24"/>
                <w:lang w:val="en-US" w:eastAsia="zh-CN" w:bidi="ar-SA"/>
              </w:rPr>
              <w:t>投标人</w:t>
            </w:r>
            <w:r>
              <w:rPr>
                <w:rFonts w:hint="eastAsia" w:ascii="宋体" w:hAnsi="宋体" w:eastAsia="宋体" w:cs="Times New Roman"/>
                <w:color w:val="auto"/>
                <w:kern w:val="2"/>
                <w:sz w:val="24"/>
                <w:szCs w:val="24"/>
                <w:lang w:val="en-US" w:eastAsia="zh-CN" w:bidi="ar-SA"/>
              </w:rPr>
              <w:t>在电子保函的申请、使用、查看应用过程中遇见问题可咨询技术支撑方：95763。</w:t>
            </w:r>
            <w:r>
              <w:rPr>
                <w:rFonts w:hint="eastAsia" w:ascii="宋体" w:hAnsi="宋体" w:eastAsia="宋体" w:cs="宋体"/>
                <w:i w:val="0"/>
                <w:iCs w:val="0"/>
                <w:color w:val="auto"/>
                <w:sz w:val="24"/>
                <w:szCs w:val="24"/>
                <w:highlight w:val="none"/>
              </w:rPr>
              <w:t xml:space="preserve"> </w:t>
            </w:r>
          </w:p>
          <w:p w14:paraId="194A37BC">
            <w:pPr>
              <w:pStyle w:val="53"/>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90" w:lineRule="exact"/>
              <w:textAlignment w:val="auto"/>
              <w:rPr>
                <w:rFonts w:hint="eastAsia" w:ascii="宋体" w:hAnsi="宋体" w:eastAsia="宋体" w:cs="宋体"/>
                <w:i w:val="0"/>
                <w:iCs w:val="0"/>
                <w:color w:val="auto"/>
                <w:sz w:val="24"/>
                <w:szCs w:val="24"/>
                <w:highlight w:val="none"/>
              </w:rPr>
            </w:pPr>
            <w:r>
              <w:rPr>
                <w:rFonts w:hint="eastAsia" w:ascii="宋体" w:hAnsi="宋体" w:eastAsia="宋体" w:cs="宋体"/>
                <w:b/>
                <w:bCs/>
                <w:i w:val="0"/>
                <w:iCs w:val="0"/>
                <w:color w:val="auto"/>
                <w:sz w:val="24"/>
                <w:szCs w:val="24"/>
                <w:highlight w:val="none"/>
              </w:rPr>
              <w:t>注意事项：</w:t>
            </w:r>
          </w:p>
          <w:p w14:paraId="28CBDD9A">
            <w:pPr>
              <w:pStyle w:val="53"/>
              <w:keepNext w:val="0"/>
              <w:keepLines w:val="0"/>
              <w:pageBreakBefore w:val="0"/>
              <w:widowControl w:val="0"/>
              <w:shd w:val="clear" w:color="auto" w:fill="auto"/>
              <w:kinsoku/>
              <w:wordWrap/>
              <w:overflowPunct/>
              <w:topLinePunct w:val="0"/>
              <w:autoSpaceDE/>
              <w:autoSpaceDN/>
              <w:bidi w:val="0"/>
              <w:adjustRightInd/>
              <w:snapToGrid/>
              <w:spacing w:line="390" w:lineRule="exact"/>
              <w:ind w:firstLine="240" w:firstLineChars="1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w:t>
            </w:r>
            <w:r>
              <w:rPr>
                <w:rFonts w:hint="eastAsia" w:ascii="宋体" w:hAnsi="宋体" w:eastAsia="宋体" w:cs="宋体"/>
                <w:i w:val="0"/>
                <w:iCs w:val="0"/>
                <w:color w:val="auto"/>
                <w:sz w:val="24"/>
                <w:szCs w:val="24"/>
                <w:highlight w:val="none"/>
                <w:lang w:val="en-US" w:eastAsia="zh-CN"/>
              </w:rPr>
              <w:t>.</w:t>
            </w:r>
            <w:r>
              <w:rPr>
                <w:rFonts w:hint="eastAsia" w:ascii="宋体" w:hAnsi="宋体" w:eastAsia="宋体" w:cs="宋体"/>
                <w:i w:val="0"/>
                <w:iCs w:val="0"/>
                <w:color w:val="auto"/>
                <w:sz w:val="24"/>
                <w:szCs w:val="24"/>
                <w:highlight w:val="none"/>
              </w:rPr>
              <w:t>以上各类机构出具的以担保函、保证保险承担责任的方式均须满足无条件见索即付条件。</w:t>
            </w:r>
          </w:p>
          <w:p w14:paraId="4FB244D8">
            <w:pPr>
              <w:pStyle w:val="53"/>
              <w:keepNext w:val="0"/>
              <w:keepLines w:val="0"/>
              <w:pageBreakBefore w:val="0"/>
              <w:widowControl w:val="0"/>
              <w:shd w:val="clear" w:color="auto" w:fill="auto"/>
              <w:kinsoku/>
              <w:wordWrap/>
              <w:overflowPunct/>
              <w:topLinePunct w:val="0"/>
              <w:autoSpaceDE/>
              <w:autoSpaceDN/>
              <w:bidi w:val="0"/>
              <w:adjustRightInd/>
              <w:snapToGrid/>
              <w:spacing w:line="390" w:lineRule="exact"/>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i w:val="0"/>
                <w:iCs w:val="0"/>
                <w:color w:val="auto"/>
                <w:sz w:val="24"/>
                <w:szCs w:val="24"/>
                <w:highlight w:val="none"/>
              </w:rPr>
              <w:t>2</w:t>
            </w:r>
            <w:r>
              <w:rPr>
                <w:rFonts w:hint="eastAsia" w:ascii="宋体" w:hAnsi="宋体" w:eastAsia="宋体" w:cs="宋体"/>
                <w:i w:val="0"/>
                <w:iCs w:val="0"/>
                <w:color w:val="auto"/>
                <w:sz w:val="24"/>
                <w:szCs w:val="24"/>
                <w:highlight w:val="none"/>
                <w:lang w:val="en-US" w:eastAsia="zh-CN"/>
              </w:rPr>
              <w:t>.</w:t>
            </w:r>
            <w:r>
              <w:rPr>
                <w:rFonts w:hint="eastAsia" w:ascii="宋体" w:hAnsi="宋体" w:eastAsia="宋体" w:cs="宋体"/>
                <w:i w:val="0"/>
                <w:iCs w:val="0"/>
                <w:color w:val="auto"/>
                <w:sz w:val="24"/>
                <w:szCs w:val="24"/>
                <w:highlight w:val="none"/>
              </w:rPr>
              <w:t>以担保函、保证保险形式缴纳</w:t>
            </w:r>
            <w:r>
              <w:rPr>
                <w:rFonts w:hint="eastAsia" w:ascii="宋体" w:hAnsi="宋体" w:cs="宋体"/>
                <w:i w:val="0"/>
                <w:iCs w:val="0"/>
                <w:color w:val="auto"/>
                <w:sz w:val="24"/>
                <w:szCs w:val="24"/>
                <w:highlight w:val="none"/>
                <w:lang w:val="en-US" w:eastAsia="zh-CN"/>
              </w:rPr>
              <w:t>投标</w:t>
            </w:r>
            <w:r>
              <w:rPr>
                <w:rFonts w:hint="eastAsia" w:ascii="宋体" w:hAnsi="宋体" w:eastAsia="宋体" w:cs="宋体"/>
                <w:i w:val="0"/>
                <w:iCs w:val="0"/>
                <w:color w:val="auto"/>
                <w:sz w:val="24"/>
                <w:szCs w:val="24"/>
                <w:highlight w:val="none"/>
              </w:rPr>
              <w:t>保证金的，受益人和收取单位须为采购人。</w:t>
            </w:r>
          </w:p>
        </w:tc>
      </w:tr>
      <w:tr w14:paraId="4501EC8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3603" w:hRule="atLeast"/>
        </w:trPr>
        <w:tc>
          <w:tcPr>
            <w:tcW w:w="975" w:type="dxa"/>
            <w:vAlign w:val="center"/>
          </w:tcPr>
          <w:p w14:paraId="0FAEE6C9">
            <w:pPr>
              <w:pStyle w:val="49"/>
              <w:keepNext w:val="0"/>
              <w:keepLines w:val="0"/>
              <w:pageBreakBefore w:val="0"/>
              <w:kinsoku/>
              <w:wordWrap/>
              <w:overflowPunct/>
              <w:topLinePunct w:val="0"/>
              <w:bidi w:val="0"/>
              <w:snapToGrid/>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p>
        </w:tc>
        <w:tc>
          <w:tcPr>
            <w:tcW w:w="1764" w:type="dxa"/>
            <w:vAlign w:val="center"/>
          </w:tcPr>
          <w:p w14:paraId="1A5D11C5">
            <w:pPr>
              <w:pStyle w:val="49"/>
              <w:keepNext w:val="0"/>
              <w:keepLines w:val="0"/>
              <w:pageBreakBefore w:val="0"/>
              <w:kinsoku/>
              <w:wordWrap/>
              <w:overflowPunct/>
              <w:topLinePunct w:val="0"/>
              <w:bidi w:val="0"/>
              <w:snapToGrid/>
              <w:spacing w:line="39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实物样品</w:t>
            </w:r>
          </w:p>
        </w:tc>
        <w:tc>
          <w:tcPr>
            <w:tcW w:w="6720" w:type="dxa"/>
            <w:vAlign w:val="center"/>
          </w:tcPr>
          <w:p w14:paraId="29F70D2B">
            <w:pPr>
              <w:pStyle w:val="49"/>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投标样品递交： </w:t>
            </w:r>
          </w:p>
          <w:p w14:paraId="08448385">
            <w:pPr>
              <w:pStyle w:val="49"/>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auto"/>
                <w:sz w:val="24"/>
                <w:szCs w:val="24"/>
                <w:highlight w:val="none"/>
              </w:rPr>
            </w:pP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 xml:space="preserve">不需要 </w:t>
            </w:r>
          </w:p>
          <w:p w14:paraId="75ABDCC9">
            <w:pPr>
              <w:pStyle w:val="49"/>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□需要，具体要求如下： </w:t>
            </w:r>
          </w:p>
          <w:p w14:paraId="45E00831">
            <w:pPr>
              <w:pStyle w:val="49"/>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1.样品制作的标准和要求：_________； </w:t>
            </w:r>
          </w:p>
          <w:p w14:paraId="636410A9">
            <w:pPr>
              <w:pStyle w:val="49"/>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2.是否需要随样品提交相关检测报告： </w:t>
            </w:r>
          </w:p>
          <w:p w14:paraId="4042F79A">
            <w:pPr>
              <w:pStyle w:val="49"/>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□不需要 </w:t>
            </w:r>
          </w:p>
          <w:p w14:paraId="69ACDCB3">
            <w:pPr>
              <w:pStyle w:val="49"/>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□需要 </w:t>
            </w:r>
          </w:p>
          <w:p w14:paraId="2365C0AF">
            <w:pPr>
              <w:pStyle w:val="49"/>
              <w:keepNext w:val="0"/>
              <w:keepLines w:val="0"/>
              <w:pageBreakBefore w:val="0"/>
              <w:widowControl w:val="0"/>
              <w:kinsoku/>
              <w:wordWrap/>
              <w:overflowPunct/>
              <w:topLinePunct w:val="0"/>
              <w:autoSpaceDE/>
              <w:autoSpaceDN/>
              <w:bidi w:val="0"/>
              <w:adjustRightInd/>
              <w:snapToGrid/>
              <w:spacing w:line="380" w:lineRule="exact"/>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3.样品递交要求：递交时间：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w:t>
            </w:r>
          </w:p>
          <w:p w14:paraId="0C201764">
            <w:pPr>
              <w:pStyle w:val="49"/>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递交</w:t>
            </w:r>
            <w:r>
              <w:rPr>
                <w:rFonts w:hint="eastAsia" w:ascii="宋体" w:hAnsi="宋体" w:eastAsia="宋体" w:cs="宋体"/>
                <w:color w:val="auto"/>
                <w:sz w:val="24"/>
                <w:szCs w:val="24"/>
                <w:highlight w:val="none"/>
              </w:rPr>
              <w:t>地点：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，逾期提供的样品将不予接受。</w:t>
            </w:r>
            <w:r>
              <w:rPr>
                <w:rFonts w:hint="eastAsia" w:ascii="宋体" w:hAnsi="宋体" w:eastAsia="宋体" w:cs="宋体"/>
                <w:color w:val="auto"/>
                <w:sz w:val="24"/>
                <w:szCs w:val="24"/>
                <w:highlight w:val="none"/>
                <w:lang w:val="en-US" w:eastAsia="zh-CN"/>
              </w:rPr>
              <w:t xml:space="preserve"> </w:t>
            </w:r>
          </w:p>
          <w:p w14:paraId="20C6A605">
            <w:pPr>
              <w:pStyle w:val="49"/>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4.未中标人样品退还：</w:t>
            </w:r>
            <w:r>
              <w:rPr>
                <w:rFonts w:hint="eastAsia" w:ascii="宋体" w:hAnsi="宋体" w:eastAsia="宋体" w:cs="宋体"/>
                <w:color w:val="auto"/>
                <w:sz w:val="24"/>
                <w:szCs w:val="24"/>
                <w:highlight w:val="none"/>
                <w:u w:val="single"/>
                <w:lang w:val="en-US" w:eastAsia="zh-CN"/>
              </w:rPr>
              <w:t xml:space="preserve"> </w:t>
            </w:r>
            <w:r>
              <w:rPr>
                <w:rFonts w:hint="eastAsia"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p>
          <w:p w14:paraId="2FA55552">
            <w:pPr>
              <w:pStyle w:val="49"/>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5.中标人样品保管、封存及退还：_________； </w:t>
            </w:r>
          </w:p>
          <w:p w14:paraId="5F60BBB0">
            <w:pPr>
              <w:pStyle w:val="49"/>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6.其他要求（如有）：_________。 </w:t>
            </w:r>
          </w:p>
        </w:tc>
      </w:tr>
      <w:tr w14:paraId="1C643F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5" w:type="dxa"/>
            <w:vAlign w:val="center"/>
          </w:tcPr>
          <w:p w14:paraId="03DA43E2">
            <w:pPr>
              <w:pStyle w:val="49"/>
              <w:keepNext w:val="0"/>
              <w:keepLines w:val="0"/>
              <w:pageBreakBefore w:val="0"/>
              <w:kinsoku/>
              <w:wordWrap/>
              <w:overflowPunct/>
              <w:topLinePunct w:val="0"/>
              <w:bidi w:val="0"/>
              <w:snapToGrid/>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.1</w:t>
            </w:r>
          </w:p>
        </w:tc>
        <w:tc>
          <w:tcPr>
            <w:tcW w:w="1764" w:type="dxa"/>
            <w:vAlign w:val="center"/>
          </w:tcPr>
          <w:p w14:paraId="22504622">
            <w:pPr>
              <w:pStyle w:val="49"/>
              <w:keepNext w:val="0"/>
              <w:keepLines w:val="0"/>
              <w:pageBreakBefore w:val="0"/>
              <w:kinsoku/>
              <w:wordWrap/>
              <w:overflowPunct/>
              <w:topLinePunct w:val="0"/>
              <w:bidi w:val="0"/>
              <w:snapToGrid/>
              <w:spacing w:line="39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演示</w:t>
            </w:r>
          </w:p>
        </w:tc>
        <w:tc>
          <w:tcPr>
            <w:tcW w:w="6720" w:type="dxa"/>
            <w:vAlign w:val="center"/>
          </w:tcPr>
          <w:p w14:paraId="7B2FDAC1">
            <w:pPr>
              <w:pStyle w:val="49"/>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sym w:font="Wingdings" w:char="00FE"/>
            </w:r>
            <w:r>
              <w:rPr>
                <w:rFonts w:hint="eastAsia" w:ascii="宋体" w:hAnsi="宋体" w:eastAsia="宋体" w:cs="宋体"/>
                <w:color w:val="auto"/>
                <w:sz w:val="24"/>
                <w:szCs w:val="24"/>
                <w:highlight w:val="none"/>
              </w:rPr>
              <w:t>不进行</w:t>
            </w:r>
          </w:p>
          <w:p w14:paraId="7B0141AF">
            <w:pPr>
              <w:pStyle w:val="49"/>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进行，远程线上演示/现场演示</w:t>
            </w:r>
          </w:p>
          <w:p w14:paraId="29D1FB67">
            <w:pPr>
              <w:pStyle w:val="49"/>
              <w:keepNext w:val="0"/>
              <w:keepLines w:val="0"/>
              <w:pageBreakBefore w:val="0"/>
              <w:widowControl w:val="0"/>
              <w:kinsoku/>
              <w:wordWrap/>
              <w:overflowPunct/>
              <w:topLinePunct w:val="0"/>
              <w:autoSpaceDE/>
              <w:autoSpaceDN/>
              <w:bidi w:val="0"/>
              <w:adjustRightInd/>
              <w:snapToGrid/>
              <w:spacing w:line="380" w:lineRule="exact"/>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1.演示时间不得超过</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分钟；</w:t>
            </w:r>
          </w:p>
          <w:p w14:paraId="0D5B188D">
            <w:pPr>
              <w:pStyle w:val="49"/>
              <w:keepNext w:val="0"/>
              <w:keepLines w:val="0"/>
              <w:pageBreakBefore w:val="0"/>
              <w:widowControl w:val="0"/>
              <w:kinsoku/>
              <w:wordWrap/>
              <w:overflowPunct/>
              <w:topLinePunct w:val="0"/>
              <w:autoSpaceDE/>
              <w:autoSpaceDN/>
              <w:bidi w:val="0"/>
              <w:adjustRightInd/>
              <w:snapToGrid/>
              <w:spacing w:line="380" w:lineRule="exact"/>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2.进行远程线上演示的，投标人应提前自行准备好演示的软硬配置环境和网络环境，做好演示的各项准备工作。因投标人自身原因无法演示或者演示效果不理想的，导致的后果由投标人自行承担；</w:t>
            </w:r>
          </w:p>
          <w:p w14:paraId="34ED7966">
            <w:pPr>
              <w:pStyle w:val="49"/>
              <w:keepNext w:val="0"/>
              <w:keepLines w:val="0"/>
              <w:pageBreakBefore w:val="0"/>
              <w:widowControl w:val="0"/>
              <w:kinsoku/>
              <w:wordWrap/>
              <w:overflowPunct/>
              <w:topLinePunct w:val="0"/>
              <w:autoSpaceDE/>
              <w:autoSpaceDN/>
              <w:bidi w:val="0"/>
              <w:adjustRightInd/>
              <w:snapToGrid/>
              <w:spacing w:line="380" w:lineRule="exact"/>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3.进行现场演示的，演示人员不得超过</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人，演示现场提供</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tc>
      </w:tr>
      <w:tr w14:paraId="0976428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trPr>
        <w:tc>
          <w:tcPr>
            <w:tcW w:w="975" w:type="dxa"/>
            <w:vAlign w:val="center"/>
          </w:tcPr>
          <w:p w14:paraId="4CE72DC4">
            <w:pPr>
              <w:pStyle w:val="49"/>
              <w:keepNext w:val="0"/>
              <w:keepLines w:val="0"/>
              <w:pageBreakBefore w:val="0"/>
              <w:kinsoku/>
              <w:wordWrap/>
              <w:overflowPunct/>
              <w:topLinePunct w:val="0"/>
              <w:bidi w:val="0"/>
              <w:snapToGrid/>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.3</w:t>
            </w:r>
          </w:p>
        </w:tc>
        <w:tc>
          <w:tcPr>
            <w:tcW w:w="1764" w:type="dxa"/>
            <w:vAlign w:val="center"/>
          </w:tcPr>
          <w:p w14:paraId="35FB661A">
            <w:pPr>
              <w:pStyle w:val="49"/>
              <w:keepNext w:val="0"/>
              <w:keepLines w:val="0"/>
              <w:pageBreakBefore w:val="0"/>
              <w:kinsoku/>
              <w:wordWrap/>
              <w:overflowPunct/>
              <w:topLinePunct w:val="0"/>
              <w:bidi w:val="0"/>
              <w:snapToGrid/>
              <w:spacing w:line="39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解密投标文件的时限</w:t>
            </w:r>
          </w:p>
        </w:tc>
        <w:tc>
          <w:tcPr>
            <w:tcW w:w="6720" w:type="dxa"/>
            <w:vAlign w:val="center"/>
          </w:tcPr>
          <w:p w14:paraId="34039F6E">
            <w:pPr>
              <w:pStyle w:val="49"/>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b/>
                <w:bCs/>
                <w:color w:val="auto"/>
                <w:sz w:val="24"/>
                <w:szCs w:val="24"/>
                <w:u w:val="none"/>
                <w:lang w:val="en-US" w:eastAsia="zh-CN"/>
              </w:rPr>
            </w:pPr>
            <w:r>
              <w:rPr>
                <w:rFonts w:hint="eastAsia" w:ascii="宋体" w:hAnsi="宋体" w:eastAsia="宋体" w:cs="宋体"/>
                <w:color w:val="auto"/>
                <w:sz w:val="24"/>
                <w:szCs w:val="24"/>
                <w:highlight w:val="none"/>
              </w:rPr>
              <w:t>不见面开标默认解密时长：</w:t>
            </w:r>
            <w:r>
              <w:rPr>
                <w:rFonts w:hint="eastAsia" w:ascii="宋体" w:hAnsi="宋体" w:eastAsia="宋体"/>
                <w:b/>
                <w:bCs/>
                <w:color w:val="auto"/>
                <w:sz w:val="24"/>
                <w:szCs w:val="24"/>
                <w:u w:val="single"/>
                <w:lang w:val="en-US" w:eastAsia="zh-CN"/>
              </w:rPr>
              <w:t>30分钟</w:t>
            </w:r>
            <w:r>
              <w:rPr>
                <w:rFonts w:hint="eastAsia"/>
                <w:b/>
                <w:bCs/>
                <w:color w:val="auto"/>
                <w:sz w:val="24"/>
                <w:szCs w:val="24"/>
                <w:u w:val="none"/>
                <w:lang w:val="en-US" w:eastAsia="zh-CN"/>
              </w:rPr>
              <w:t>。</w:t>
            </w:r>
          </w:p>
          <w:p w14:paraId="5BFB8A34">
            <w:pPr>
              <w:pStyle w:val="49"/>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b w:val="0"/>
                <w:bCs w:val="0"/>
                <w:color w:val="auto"/>
                <w:sz w:val="24"/>
                <w:szCs w:val="24"/>
                <w:u w:val="none"/>
                <w:lang w:val="en-US" w:eastAsia="zh-CN"/>
              </w:rPr>
            </w:pPr>
            <w:r>
              <w:rPr>
                <w:rFonts w:hint="eastAsia"/>
                <w:b w:val="0"/>
                <w:bCs w:val="0"/>
                <w:color w:val="auto"/>
                <w:sz w:val="24"/>
                <w:szCs w:val="24"/>
                <w:u w:val="none"/>
                <w:lang w:val="en-US" w:eastAsia="zh-CN"/>
              </w:rPr>
              <w:t>除因交易平台发生故障导致投标文件无法按时解密外，投标文 件未按时解密的，视为未按规定提交投标文件。</w:t>
            </w:r>
          </w:p>
          <w:p w14:paraId="66C48D68">
            <w:pPr>
              <w:pStyle w:val="49"/>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b w:val="0"/>
                <w:bCs w:val="0"/>
                <w:color w:val="auto"/>
                <w:sz w:val="24"/>
                <w:szCs w:val="24"/>
                <w:u w:val="none"/>
              </w:rPr>
            </w:pPr>
            <w:r>
              <w:rPr>
                <w:rFonts w:hint="eastAsia" w:cs="宋体"/>
                <w:color w:val="auto"/>
                <w:sz w:val="24"/>
                <w:szCs w:val="24"/>
                <w:highlight w:val="none"/>
                <w:lang w:val="en-US" w:eastAsia="zh-CN"/>
              </w:rPr>
              <w:t>注：</w:t>
            </w:r>
            <w:r>
              <w:rPr>
                <w:rFonts w:hint="eastAsia" w:ascii="宋体" w:hAnsi="宋体" w:eastAsia="宋体"/>
                <w:b w:val="0"/>
                <w:bCs w:val="0"/>
                <w:color w:val="auto"/>
                <w:sz w:val="24"/>
                <w:szCs w:val="24"/>
                <w:u w:val="none"/>
              </w:rPr>
              <w:t>1、投标人应在解密指令发出后招标文件规定时间内完成解密。投标人未按规定完成解密，视为放弃投标。</w:t>
            </w:r>
          </w:p>
          <w:p w14:paraId="6C6DD402">
            <w:pPr>
              <w:pStyle w:val="49"/>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i w:val="0"/>
                <w:iCs w:val="0"/>
                <w:color w:val="auto"/>
                <w:sz w:val="24"/>
                <w:szCs w:val="24"/>
                <w:highlight w:val="none"/>
              </w:rPr>
            </w:pPr>
            <w:r>
              <w:rPr>
                <w:rFonts w:hint="eastAsia" w:ascii="宋体" w:hAnsi="宋体" w:eastAsia="宋体"/>
                <w:b w:val="0"/>
                <w:bCs w:val="0"/>
                <w:color w:val="auto"/>
                <w:sz w:val="24"/>
                <w:szCs w:val="24"/>
                <w:u w:val="none"/>
              </w:rPr>
              <w:t xml:space="preserve"> 2、投标人必须使用能正确解密投标文件的“CA锁”在规定的时间内完成远程解密，如因投标人自身原因导致在规定时间内无法正常解密的（如：浏览器故障、未安装相关驱动、网络故障、加密CA与解密CA不一致等），代理机构不予异常处理，视为投标人自动弃标</w:t>
            </w:r>
          </w:p>
        </w:tc>
      </w:tr>
      <w:tr w14:paraId="79EC872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286" w:hRule="atLeast"/>
        </w:trPr>
        <w:tc>
          <w:tcPr>
            <w:tcW w:w="975" w:type="dxa"/>
            <w:vAlign w:val="center"/>
          </w:tcPr>
          <w:p w14:paraId="23FC94CD">
            <w:pPr>
              <w:pStyle w:val="49"/>
              <w:keepNext w:val="0"/>
              <w:keepLines w:val="0"/>
              <w:pageBreakBefore w:val="0"/>
              <w:kinsoku/>
              <w:wordWrap/>
              <w:overflowPunct/>
              <w:topLinePunct w:val="0"/>
              <w:bidi w:val="0"/>
              <w:snapToGrid/>
              <w:spacing w:line="39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29.1</w:t>
            </w:r>
          </w:p>
        </w:tc>
        <w:tc>
          <w:tcPr>
            <w:tcW w:w="1764" w:type="dxa"/>
            <w:vAlign w:val="center"/>
          </w:tcPr>
          <w:p w14:paraId="5A1E858C">
            <w:pPr>
              <w:pStyle w:val="49"/>
              <w:keepNext w:val="0"/>
              <w:keepLines w:val="0"/>
              <w:pageBreakBefore w:val="0"/>
              <w:kinsoku/>
              <w:wordWrap/>
              <w:overflowPunct/>
              <w:topLinePunct w:val="0"/>
              <w:bidi w:val="0"/>
              <w:snapToGrid/>
              <w:spacing w:line="39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评标方法</w:t>
            </w:r>
          </w:p>
        </w:tc>
        <w:tc>
          <w:tcPr>
            <w:tcW w:w="6720" w:type="dxa"/>
            <w:vAlign w:val="center"/>
          </w:tcPr>
          <w:p w14:paraId="49F2488F">
            <w:pPr>
              <w:pStyle w:val="49"/>
              <w:keepNext w:val="0"/>
              <w:keepLines w:val="0"/>
              <w:pageBreakBefore w:val="0"/>
              <w:kinsoku/>
              <w:wordWrap/>
              <w:overflowPunct/>
              <w:topLinePunct w:val="0"/>
              <w:bidi w:val="0"/>
              <w:snapToGrid/>
              <w:spacing w:line="39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lang w:val="en-US" w:eastAsia="zh-CN"/>
              </w:rPr>
              <w:t>综合评分法</w:t>
            </w:r>
          </w:p>
          <w:p w14:paraId="63A64BEE">
            <w:pPr>
              <w:pStyle w:val="49"/>
              <w:keepNext w:val="0"/>
              <w:keepLines w:val="0"/>
              <w:pageBreakBefore w:val="0"/>
              <w:kinsoku/>
              <w:wordWrap/>
              <w:overflowPunct/>
              <w:topLinePunct w:val="0"/>
              <w:bidi w:val="0"/>
              <w:snapToGrid/>
              <w:spacing w:line="39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lang w:val="en-US" w:eastAsia="zh-CN"/>
              </w:rPr>
              <w:t>最低评标价法</w:t>
            </w:r>
          </w:p>
        </w:tc>
      </w:tr>
      <w:tr w14:paraId="5A08727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65" w:hRule="atLeast"/>
        </w:trPr>
        <w:tc>
          <w:tcPr>
            <w:tcW w:w="975" w:type="dxa"/>
            <w:vAlign w:val="center"/>
          </w:tcPr>
          <w:p w14:paraId="42D57B39">
            <w:pPr>
              <w:pStyle w:val="49"/>
              <w:keepNext w:val="0"/>
              <w:keepLines w:val="0"/>
              <w:pageBreakBefore w:val="0"/>
              <w:kinsoku/>
              <w:wordWrap/>
              <w:overflowPunct/>
              <w:topLinePunct w:val="0"/>
              <w:bidi w:val="0"/>
              <w:snapToGrid/>
              <w:spacing w:line="39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29</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p>
        </w:tc>
        <w:tc>
          <w:tcPr>
            <w:tcW w:w="1764" w:type="dxa"/>
            <w:vAlign w:val="center"/>
          </w:tcPr>
          <w:p w14:paraId="109515DE">
            <w:pPr>
              <w:pStyle w:val="49"/>
              <w:keepNext w:val="0"/>
              <w:keepLines w:val="0"/>
              <w:pageBreakBefore w:val="0"/>
              <w:kinsoku/>
              <w:wordWrap/>
              <w:overflowPunct/>
              <w:topLinePunct w:val="0"/>
              <w:bidi w:val="0"/>
              <w:snapToGrid/>
              <w:spacing w:line="39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11"/>
                <w:sz w:val="24"/>
                <w:szCs w:val="24"/>
                <w:highlight w:val="none"/>
              </w:rPr>
              <w:t>推荐中标候选人</w:t>
            </w:r>
          </w:p>
        </w:tc>
        <w:tc>
          <w:tcPr>
            <w:tcW w:w="6720" w:type="dxa"/>
            <w:vAlign w:val="center"/>
          </w:tcPr>
          <w:p w14:paraId="0DB0E73E">
            <w:pPr>
              <w:pStyle w:val="49"/>
              <w:keepNext w:val="0"/>
              <w:keepLines w:val="0"/>
              <w:pageBreakBefore w:val="0"/>
              <w:kinsoku/>
              <w:wordWrap/>
              <w:overflowPunct/>
              <w:topLinePunct w:val="0"/>
              <w:bidi w:val="0"/>
              <w:snapToGrid/>
              <w:spacing w:line="39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中标候选人数量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cs="宋体"/>
                <w:color w:val="auto"/>
                <w:sz w:val="24"/>
                <w:szCs w:val="24"/>
                <w:highlight w:val="none"/>
                <w:u w:val="single"/>
                <w:lang w:val="en-US" w:eastAsia="zh-CN"/>
              </w:rPr>
              <w:t>3</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家</w:t>
            </w:r>
          </w:p>
        </w:tc>
      </w:tr>
      <w:tr w14:paraId="176C1C0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613" w:hRule="atLeast"/>
        </w:trPr>
        <w:tc>
          <w:tcPr>
            <w:tcW w:w="975" w:type="dxa"/>
            <w:vAlign w:val="center"/>
          </w:tcPr>
          <w:p w14:paraId="4EEEE9B4">
            <w:pPr>
              <w:pStyle w:val="49"/>
              <w:keepNext w:val="0"/>
              <w:keepLines w:val="0"/>
              <w:pageBreakBefore w:val="0"/>
              <w:kinsoku/>
              <w:wordWrap/>
              <w:overflowPunct/>
              <w:topLinePunct w:val="0"/>
              <w:bidi w:val="0"/>
              <w:snapToGrid/>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.1</w:t>
            </w:r>
          </w:p>
        </w:tc>
        <w:tc>
          <w:tcPr>
            <w:tcW w:w="1764" w:type="dxa"/>
            <w:vAlign w:val="center"/>
          </w:tcPr>
          <w:p w14:paraId="266C355B">
            <w:pPr>
              <w:pStyle w:val="49"/>
              <w:keepNext w:val="0"/>
              <w:keepLines w:val="0"/>
              <w:pageBreakBefore w:val="0"/>
              <w:kinsoku/>
              <w:wordWrap/>
              <w:overflowPunct/>
              <w:topLinePunct w:val="0"/>
              <w:bidi w:val="0"/>
              <w:snapToGrid/>
              <w:spacing w:line="39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确定中标人</w:t>
            </w:r>
          </w:p>
        </w:tc>
        <w:tc>
          <w:tcPr>
            <w:tcW w:w="6720" w:type="dxa"/>
            <w:vAlign w:val="center"/>
          </w:tcPr>
          <w:p w14:paraId="7EE4CF76">
            <w:pPr>
              <w:pStyle w:val="49"/>
              <w:keepNext w:val="0"/>
              <w:keepLines w:val="0"/>
              <w:pageBreakBefore w:val="0"/>
              <w:widowControl w:val="0"/>
              <w:kinsoku/>
              <w:wordWrap/>
              <w:overflowPunct/>
              <w:topLinePunct w:val="0"/>
              <w:autoSpaceDE/>
              <w:autoSpaceDN/>
              <w:bidi w:val="0"/>
              <w:adjustRightInd/>
              <w:snapToGrid/>
              <w:spacing w:line="39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采购人</w:t>
            </w:r>
            <w:r>
              <w:rPr>
                <w:rFonts w:hint="eastAsia" w:ascii="宋体" w:hAnsi="宋体" w:eastAsia="宋体" w:cs="宋体"/>
                <w:i w:val="0"/>
                <w:iCs w:val="0"/>
                <w:color w:val="auto"/>
                <w:sz w:val="24"/>
                <w:szCs w:val="24"/>
                <w:highlight w:val="none"/>
                <w:lang w:eastAsia="zh-CN"/>
              </w:rPr>
              <w:t>在</w:t>
            </w:r>
            <w:r>
              <w:rPr>
                <w:rFonts w:hint="eastAsia" w:ascii="宋体" w:hAnsi="宋体" w:eastAsia="宋体" w:cs="宋体"/>
                <w:i w:val="0"/>
                <w:iCs w:val="0"/>
                <w:color w:val="auto"/>
                <w:sz w:val="24"/>
                <w:szCs w:val="24"/>
                <w:highlight w:val="none"/>
              </w:rPr>
              <w:t>收到评审报告后5个工作日内，</w:t>
            </w:r>
            <w:r>
              <w:rPr>
                <w:rFonts w:hint="eastAsia" w:ascii="宋体" w:hAnsi="宋体" w:eastAsia="宋体" w:cs="宋体"/>
                <w:color w:val="auto"/>
                <w:sz w:val="24"/>
                <w:szCs w:val="24"/>
                <w:highlight w:val="none"/>
              </w:rPr>
              <w:t>按评审报告中推荐的中标候选人排序确定中标人。</w:t>
            </w:r>
          </w:p>
          <w:p w14:paraId="686C51AB">
            <w:pPr>
              <w:pStyle w:val="49"/>
              <w:keepNext w:val="0"/>
              <w:keepLines w:val="0"/>
              <w:pageBreakBefore w:val="0"/>
              <w:kinsoku/>
              <w:wordWrap/>
              <w:overflowPunct/>
              <w:topLinePunct w:val="0"/>
              <w:bidi w:val="0"/>
              <w:snapToGrid/>
              <w:spacing w:line="39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采购人委托评标委员会直接确定中标人。</w:t>
            </w:r>
          </w:p>
        </w:tc>
      </w:tr>
      <w:tr w14:paraId="6F937C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201" w:hRule="atLeast"/>
        </w:trPr>
        <w:tc>
          <w:tcPr>
            <w:tcW w:w="975" w:type="dxa"/>
            <w:vAlign w:val="center"/>
          </w:tcPr>
          <w:p w14:paraId="7325020F">
            <w:pPr>
              <w:pStyle w:val="49"/>
              <w:keepNext w:val="0"/>
              <w:keepLines w:val="0"/>
              <w:pageBreakBefore w:val="0"/>
              <w:kinsoku/>
              <w:wordWrap/>
              <w:overflowPunct/>
              <w:topLinePunct w:val="0"/>
              <w:bidi w:val="0"/>
              <w:snapToGrid/>
              <w:spacing w:line="39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30.2</w:t>
            </w:r>
          </w:p>
          <w:p w14:paraId="55F094A5">
            <w:pPr>
              <w:pStyle w:val="49"/>
              <w:keepNext w:val="0"/>
              <w:keepLines w:val="0"/>
              <w:pageBreakBefore w:val="0"/>
              <w:kinsoku/>
              <w:wordWrap/>
              <w:overflowPunct/>
              <w:topLinePunct w:val="0"/>
              <w:bidi w:val="0"/>
              <w:snapToGrid/>
              <w:spacing w:line="39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30.3</w:t>
            </w:r>
          </w:p>
        </w:tc>
        <w:tc>
          <w:tcPr>
            <w:tcW w:w="1764" w:type="dxa"/>
            <w:vAlign w:val="center"/>
          </w:tcPr>
          <w:p w14:paraId="1B13E6FA">
            <w:pPr>
              <w:pStyle w:val="49"/>
              <w:keepNext w:val="0"/>
              <w:keepLines w:val="0"/>
              <w:pageBreakBefore w:val="0"/>
              <w:kinsoku/>
              <w:wordWrap/>
              <w:overflowPunct/>
              <w:topLinePunct w:val="0"/>
              <w:bidi w:val="0"/>
              <w:snapToGrid/>
              <w:spacing w:line="390" w:lineRule="exact"/>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kern w:val="0"/>
                <w:sz w:val="24"/>
                <w:szCs w:val="24"/>
                <w:highlight w:val="none"/>
                <w:lang w:val="en-US" w:eastAsia="zh-CN" w:bidi="ar"/>
              </w:rPr>
              <w:t>提供相同品牌产品的不同投标人确定中标候选人的规定</w:t>
            </w:r>
          </w:p>
        </w:tc>
        <w:tc>
          <w:tcPr>
            <w:tcW w:w="6720" w:type="dxa"/>
            <w:vAlign w:val="center"/>
          </w:tcPr>
          <w:p w14:paraId="1B566793">
            <w:pPr>
              <w:pStyle w:val="49"/>
              <w:keepNext w:val="0"/>
              <w:keepLines w:val="0"/>
              <w:pageBreakBefore w:val="0"/>
              <w:kinsoku/>
              <w:wordWrap/>
              <w:overflowPunct/>
              <w:topLinePunct w:val="0"/>
              <w:bidi w:val="0"/>
              <w:snapToGrid/>
              <w:spacing w:line="390" w:lineRule="exac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kern w:val="0"/>
                <w:sz w:val="24"/>
                <w:szCs w:val="24"/>
                <w:highlight w:val="none"/>
                <w:lang w:val="en-US" w:eastAsia="zh-CN" w:bidi="ar"/>
              </w:rPr>
              <w:t>综合评分法的采购项目，提供相同品牌产品且通过资格审查、符合性审查的不同投标人参加同一合同项下投标的，按一家投标人计算，评审后得分相同的，按照报价较低的方式确定一个投标人获得中标人推荐资格，其他同品牌投标人不作为中标候选人。</w:t>
            </w:r>
          </w:p>
          <w:p w14:paraId="0F6B6850">
            <w:pPr>
              <w:pStyle w:val="49"/>
              <w:keepNext w:val="0"/>
              <w:keepLines w:val="0"/>
              <w:pageBreakBefore w:val="0"/>
              <w:kinsoku/>
              <w:wordWrap/>
              <w:overflowPunct/>
              <w:topLinePunct w:val="0"/>
              <w:bidi w:val="0"/>
              <w:snapToGrid/>
              <w:spacing w:line="390" w:lineRule="exac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kern w:val="0"/>
                <w:sz w:val="24"/>
                <w:szCs w:val="24"/>
                <w:highlight w:val="none"/>
                <w:lang w:val="en-US" w:eastAsia="zh-CN" w:bidi="ar"/>
              </w:rPr>
              <w:t>最低评标价法的采购项目，提供相同品牌产品的不同投标人参加同一合同项下投标的，以其中通过资格审查、符合性审查且报价最低的参加评标；报价相同的，按照</w:t>
            </w:r>
            <w:r>
              <w:rPr>
                <w:rFonts w:hint="eastAsia" w:ascii="宋体" w:hAnsi="宋体" w:eastAsia="宋体" w:cs="宋体"/>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val="en-US" w:eastAsia="zh-CN" w:bidi="ar"/>
              </w:rPr>
              <w:t>方式确定一个参加评标的投标人，其他投标无效。</w:t>
            </w:r>
          </w:p>
        </w:tc>
      </w:tr>
      <w:tr w14:paraId="35A01A7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trPr>
        <w:tc>
          <w:tcPr>
            <w:tcW w:w="975" w:type="dxa"/>
            <w:vAlign w:val="center"/>
          </w:tcPr>
          <w:p w14:paraId="1D722A96">
            <w:pPr>
              <w:pStyle w:val="49"/>
              <w:keepNext w:val="0"/>
              <w:keepLines w:val="0"/>
              <w:pageBreakBefore w:val="0"/>
              <w:kinsoku/>
              <w:wordWrap/>
              <w:overflowPunct/>
              <w:topLinePunct w:val="0"/>
              <w:bidi w:val="0"/>
              <w:snapToGrid/>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.1</w:t>
            </w:r>
          </w:p>
        </w:tc>
        <w:tc>
          <w:tcPr>
            <w:tcW w:w="1764" w:type="dxa"/>
            <w:vAlign w:val="center"/>
          </w:tcPr>
          <w:p w14:paraId="0A6B190B">
            <w:pPr>
              <w:pStyle w:val="49"/>
              <w:keepNext w:val="0"/>
              <w:keepLines w:val="0"/>
              <w:pageBreakBefore w:val="0"/>
              <w:kinsoku/>
              <w:wordWrap/>
              <w:overflowPunct/>
              <w:topLinePunct w:val="0"/>
              <w:bidi w:val="0"/>
              <w:snapToGrid/>
              <w:spacing w:line="39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履约保证金</w:t>
            </w:r>
          </w:p>
        </w:tc>
        <w:tc>
          <w:tcPr>
            <w:tcW w:w="6720" w:type="dxa"/>
            <w:vAlign w:val="center"/>
          </w:tcPr>
          <w:p w14:paraId="52B73BFF">
            <w:pPr>
              <w:pStyle w:val="49"/>
              <w:keepNext w:val="0"/>
              <w:keepLines w:val="0"/>
              <w:pageBreakBefore w:val="0"/>
              <w:kinsoku/>
              <w:wordWrap/>
              <w:overflowPunct/>
              <w:topLinePunct w:val="0"/>
              <w:bidi w:val="0"/>
              <w:snapToGrid/>
              <w:spacing w:line="39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金额：</w:t>
            </w:r>
          </w:p>
          <w:p w14:paraId="2D4AA05F">
            <w:pPr>
              <w:pStyle w:val="49"/>
              <w:keepNext w:val="0"/>
              <w:keepLines w:val="0"/>
              <w:pageBreakBefore w:val="0"/>
              <w:kinsoku/>
              <w:wordWrap/>
              <w:overflowPunct/>
              <w:topLinePunct w:val="0"/>
              <w:bidi w:val="0"/>
              <w:snapToGrid/>
              <w:spacing w:line="390" w:lineRule="exact"/>
              <w:textAlignment w:val="auto"/>
              <w:rPr>
                <w:rFonts w:hint="eastAsia" w:ascii="宋体" w:hAnsi="宋体" w:eastAsia="宋体" w:cs="宋体"/>
                <w:color w:val="auto"/>
                <w:sz w:val="24"/>
                <w:szCs w:val="24"/>
                <w:highlight w:val="none"/>
              </w:rPr>
            </w:pP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免收</w:t>
            </w:r>
          </w:p>
          <w:p w14:paraId="185FFD88">
            <w:pPr>
              <w:pStyle w:val="49"/>
              <w:keepNext w:val="0"/>
              <w:keepLines w:val="0"/>
              <w:pageBreakBefore w:val="0"/>
              <w:kinsoku/>
              <w:wordWrap/>
              <w:overflowPunct/>
              <w:topLinePunct w:val="0"/>
              <w:bidi w:val="0"/>
              <w:snapToGrid/>
              <w:spacing w:line="390" w:lineRule="exact"/>
              <w:textAlignment w:val="auto"/>
              <w:rPr>
                <w:rFonts w:hint="eastAsia" w:ascii="宋体" w:hAnsi="宋体" w:eastAsia="宋体" w:cs="宋体"/>
                <w:color w:val="auto"/>
                <w:sz w:val="24"/>
                <w:szCs w:val="24"/>
                <w:highlight w:val="none"/>
                <w:u w:val="single"/>
              </w:rPr>
            </w:pP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合同价的</w:t>
            </w:r>
            <w:r>
              <w:rPr>
                <w:rFonts w:hint="eastAsia" w:cs="宋体"/>
                <w:color w:val="auto"/>
                <w:sz w:val="24"/>
                <w:szCs w:val="24"/>
                <w:highlight w:val="none"/>
                <w:u w:val="single"/>
                <w:lang w:val="en-US" w:eastAsia="zh-CN"/>
              </w:rPr>
              <w:t xml:space="preserve">  8  </w:t>
            </w:r>
            <w:r>
              <w:rPr>
                <w:rFonts w:hint="eastAsia" w:ascii="宋体" w:hAnsi="宋体" w:eastAsia="宋体" w:cs="宋体"/>
                <w:color w:val="auto"/>
                <w:sz w:val="24"/>
                <w:szCs w:val="24"/>
                <w:highlight w:val="none"/>
                <w:u w:val="single"/>
              </w:rPr>
              <w:t>%</w:t>
            </w:r>
          </w:p>
          <w:p w14:paraId="7DCA35D2">
            <w:pPr>
              <w:pStyle w:val="49"/>
              <w:keepNext w:val="0"/>
              <w:keepLines w:val="0"/>
              <w:pageBreakBefore w:val="0"/>
              <w:kinsoku/>
              <w:wordWrap/>
              <w:overflowPunct/>
              <w:topLinePunct w:val="0"/>
              <w:bidi w:val="0"/>
              <w:snapToGrid/>
              <w:spacing w:line="39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□定额收取：人民币</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w:t>
            </w:r>
          </w:p>
          <w:p w14:paraId="78911AAD">
            <w:pPr>
              <w:pStyle w:val="49"/>
              <w:keepNext w:val="0"/>
              <w:keepLines w:val="0"/>
              <w:pageBreakBefore w:val="0"/>
              <w:kinsoku/>
              <w:wordWrap/>
              <w:overflowPunct/>
              <w:topLinePunct w:val="0"/>
              <w:bidi w:val="0"/>
              <w:snapToGrid/>
              <w:spacing w:line="39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支付方式：</w:t>
            </w:r>
          </w:p>
          <w:p w14:paraId="12B7F8B1">
            <w:pPr>
              <w:pStyle w:val="53"/>
              <w:keepNext w:val="0"/>
              <w:keepLines w:val="0"/>
              <w:pageBreakBefore w:val="0"/>
              <w:widowControl w:val="0"/>
              <w:shd w:val="clear" w:color="auto" w:fill="auto"/>
              <w:kinsoku/>
              <w:wordWrap/>
              <w:overflowPunct/>
              <w:topLinePunct w:val="0"/>
              <w:autoSpaceDE/>
              <w:autoSpaceDN/>
              <w:bidi w:val="0"/>
              <w:adjustRightInd/>
              <w:snapToGrid/>
              <w:spacing w:line="39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投标人可自主选择以支票、汇票、本票、电汇、转账、网银、保函等非现金形式缴纳或提交保证金。</w:t>
            </w:r>
          </w:p>
          <w:p w14:paraId="20AB6ECE">
            <w:pPr>
              <w:pStyle w:val="49"/>
              <w:keepNext w:val="0"/>
              <w:keepLines w:val="0"/>
              <w:pageBreakBefore w:val="0"/>
              <w:kinsoku/>
              <w:wordWrap/>
              <w:overflowPunct/>
              <w:topLinePunct w:val="0"/>
              <w:bidi w:val="0"/>
              <w:snapToGrid/>
              <w:spacing w:line="39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3.</w:t>
            </w:r>
            <w:r>
              <w:rPr>
                <w:rFonts w:hint="eastAsia" w:ascii="宋体" w:hAnsi="宋体" w:eastAsia="宋体" w:cs="宋体"/>
                <w:color w:val="auto"/>
                <w:sz w:val="24"/>
                <w:szCs w:val="24"/>
                <w:highlight w:val="none"/>
              </w:rPr>
              <w:t>收取单位：</w:t>
            </w: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rPr>
              <w:t xml:space="preserve">                            </w:t>
            </w:r>
          </w:p>
          <w:p w14:paraId="4D83FA75">
            <w:pPr>
              <w:pStyle w:val="49"/>
              <w:keepNext w:val="0"/>
              <w:keepLines w:val="0"/>
              <w:pageBreakBefore w:val="0"/>
              <w:kinsoku/>
              <w:wordWrap/>
              <w:overflowPunct/>
              <w:topLinePunct w:val="0"/>
              <w:bidi w:val="0"/>
              <w:snapToGrid/>
              <w:spacing w:line="39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4.收取账号：</w:t>
            </w: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rPr>
              <w:t xml:space="preserve">              </w:t>
            </w:r>
          </w:p>
          <w:p w14:paraId="2CF8CC08">
            <w:pPr>
              <w:pStyle w:val="49"/>
              <w:keepNext w:val="0"/>
              <w:keepLines w:val="0"/>
              <w:pageBreakBefore w:val="0"/>
              <w:kinsoku/>
              <w:wordWrap/>
              <w:overflowPunct/>
              <w:topLinePunct w:val="0"/>
              <w:bidi w:val="0"/>
              <w:snapToGrid/>
              <w:spacing w:line="39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5.</w:t>
            </w:r>
            <w:r>
              <w:rPr>
                <w:rFonts w:hint="eastAsia" w:ascii="宋体" w:hAnsi="宋体" w:eastAsia="宋体" w:cs="宋体"/>
                <w:color w:val="auto"/>
                <w:sz w:val="24"/>
                <w:szCs w:val="24"/>
                <w:highlight w:val="none"/>
              </w:rPr>
              <w:t>退还时间：</w:t>
            </w: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rPr>
              <w:t xml:space="preserve">              </w:t>
            </w:r>
          </w:p>
          <w:p w14:paraId="5BA146AB">
            <w:pPr>
              <w:pStyle w:val="49"/>
              <w:keepNext w:val="0"/>
              <w:keepLines w:val="0"/>
              <w:pageBreakBefore w:val="0"/>
              <w:kinsoku/>
              <w:wordWrap/>
              <w:overflowPunct/>
              <w:topLinePunct w:val="0"/>
              <w:bidi w:val="0"/>
              <w:snapToGrid/>
              <w:spacing w:line="390" w:lineRule="exac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注意事项：</w:t>
            </w:r>
          </w:p>
          <w:p w14:paraId="43FE4EC8">
            <w:pPr>
              <w:pStyle w:val="49"/>
              <w:keepNext w:val="0"/>
              <w:keepLines w:val="0"/>
              <w:pageBreakBefore w:val="0"/>
              <w:kinsoku/>
              <w:wordWrap/>
              <w:overflowPunct/>
              <w:topLinePunct w:val="0"/>
              <w:bidi w:val="0"/>
              <w:snapToGrid/>
              <w:spacing w:line="39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以上各类机构出具的以担保函、保证保险承担责任的方式均须满足无条件见索即付条件。</w:t>
            </w:r>
          </w:p>
          <w:p w14:paraId="191E3959">
            <w:pPr>
              <w:pStyle w:val="49"/>
              <w:keepNext w:val="0"/>
              <w:keepLines w:val="0"/>
              <w:pageBreakBefore w:val="0"/>
              <w:kinsoku/>
              <w:wordWrap/>
              <w:overflowPunct/>
              <w:topLinePunct w:val="0"/>
              <w:bidi w:val="0"/>
              <w:snapToGrid/>
              <w:spacing w:line="39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以担保函、保证保险形式缴纳履约保证金的，受益人和收取单位须为采购人。</w:t>
            </w:r>
          </w:p>
        </w:tc>
      </w:tr>
      <w:tr w14:paraId="6B1F02A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trPr>
        <w:tc>
          <w:tcPr>
            <w:tcW w:w="975" w:type="dxa"/>
            <w:vAlign w:val="center"/>
          </w:tcPr>
          <w:p w14:paraId="600814BC">
            <w:pPr>
              <w:pStyle w:val="49"/>
              <w:keepNext w:val="0"/>
              <w:keepLines w:val="0"/>
              <w:pageBreakBefore w:val="0"/>
              <w:kinsoku/>
              <w:wordWrap/>
              <w:overflowPunct/>
              <w:topLinePunct w:val="0"/>
              <w:bidi w:val="0"/>
              <w:snapToGrid/>
              <w:spacing w:line="39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34.5</w:t>
            </w:r>
          </w:p>
        </w:tc>
        <w:tc>
          <w:tcPr>
            <w:tcW w:w="1764" w:type="dxa"/>
            <w:vAlign w:val="center"/>
          </w:tcPr>
          <w:p w14:paraId="74D19386">
            <w:pPr>
              <w:pStyle w:val="49"/>
              <w:keepNext w:val="0"/>
              <w:keepLines w:val="0"/>
              <w:pageBreakBefore w:val="0"/>
              <w:kinsoku/>
              <w:wordWrap/>
              <w:overflowPunct/>
              <w:topLinePunct w:val="0"/>
              <w:bidi w:val="0"/>
              <w:snapToGrid/>
              <w:spacing w:line="39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中标后分包</w:t>
            </w:r>
          </w:p>
        </w:tc>
        <w:tc>
          <w:tcPr>
            <w:tcW w:w="6720" w:type="dxa"/>
            <w:vAlign w:val="center"/>
          </w:tcPr>
          <w:p w14:paraId="4344EC45">
            <w:pPr>
              <w:pStyle w:val="49"/>
              <w:keepNext w:val="0"/>
              <w:keepLines w:val="0"/>
              <w:pageBreakBefore w:val="0"/>
              <w:widowControl w:val="0"/>
              <w:kinsoku/>
              <w:wordWrap/>
              <w:overflowPunct/>
              <w:topLinePunct w:val="0"/>
              <w:bidi w:val="0"/>
              <w:snapToGrid/>
              <w:spacing w:line="38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本项目的非主体、非关键性工作是否允许分包： </w:t>
            </w:r>
          </w:p>
          <w:p w14:paraId="3D901FC0">
            <w:pPr>
              <w:pStyle w:val="49"/>
              <w:keepNext w:val="0"/>
              <w:keepLines w:val="0"/>
              <w:pageBreakBefore w:val="0"/>
              <w:widowControl w:val="0"/>
              <w:kinsoku/>
              <w:wordWrap/>
              <w:overflowPunct/>
              <w:topLinePunct w:val="0"/>
              <w:bidi w:val="0"/>
              <w:snapToGrid/>
              <w:spacing w:line="380" w:lineRule="exact"/>
              <w:textAlignment w:val="auto"/>
              <w:rPr>
                <w:rFonts w:hint="eastAsia" w:ascii="宋体" w:hAnsi="宋体" w:eastAsia="宋体" w:cs="宋体"/>
                <w:color w:val="auto"/>
                <w:kern w:val="2"/>
                <w:sz w:val="24"/>
                <w:szCs w:val="24"/>
                <w:highlight w:val="none"/>
                <w:lang w:val="en-US" w:eastAsia="zh-CN" w:bidi="ar-SA"/>
              </w:rPr>
            </w:pPr>
            <w:r>
              <w:rPr>
                <w:rFonts w:hint="eastAsia"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 xml:space="preserve">不允许 </w:t>
            </w:r>
          </w:p>
          <w:p w14:paraId="56DFA0F7">
            <w:pPr>
              <w:pStyle w:val="49"/>
              <w:keepNext w:val="0"/>
              <w:keepLines w:val="0"/>
              <w:pageBreakBefore w:val="0"/>
              <w:widowControl w:val="0"/>
              <w:kinsoku/>
              <w:wordWrap/>
              <w:overflowPunct/>
              <w:topLinePunct w:val="0"/>
              <w:bidi w:val="0"/>
              <w:snapToGrid/>
              <w:spacing w:line="38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□允许，具体要求： </w:t>
            </w:r>
          </w:p>
          <w:p w14:paraId="6C445FF2">
            <w:pPr>
              <w:pStyle w:val="49"/>
              <w:keepNext w:val="0"/>
              <w:keepLines w:val="0"/>
              <w:pageBreakBefore w:val="0"/>
              <w:widowControl w:val="0"/>
              <w:kinsoku/>
              <w:wordWrap/>
              <w:overflowPunct/>
              <w:topLinePunct w:val="0"/>
              <w:bidi w:val="0"/>
              <w:snapToGrid/>
              <w:spacing w:line="38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1.可以分包履行的具体内容：_____； </w:t>
            </w:r>
          </w:p>
          <w:p w14:paraId="71BE067E">
            <w:pPr>
              <w:pStyle w:val="49"/>
              <w:keepNext w:val="0"/>
              <w:keepLines w:val="0"/>
              <w:pageBreakBefore w:val="0"/>
              <w:widowControl w:val="0"/>
              <w:kinsoku/>
              <w:wordWrap/>
              <w:overflowPunct/>
              <w:topLinePunct w:val="0"/>
              <w:bidi w:val="0"/>
              <w:snapToGrid/>
              <w:spacing w:line="38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2.允许分包的金额或者比例：_____； </w:t>
            </w:r>
          </w:p>
          <w:p w14:paraId="2F04DF99">
            <w:pPr>
              <w:pStyle w:val="49"/>
              <w:keepNext w:val="0"/>
              <w:keepLines w:val="0"/>
              <w:pageBreakBefore w:val="0"/>
              <w:widowControl w:val="0"/>
              <w:kinsoku/>
              <w:wordWrap/>
              <w:overflowPunct/>
              <w:topLinePunct w:val="0"/>
              <w:bidi w:val="0"/>
              <w:snapToGrid/>
              <w:spacing w:line="38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3.其他要求：_____。 </w:t>
            </w:r>
          </w:p>
        </w:tc>
      </w:tr>
      <w:tr w14:paraId="19B129A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8758" w:hRule="atLeast"/>
        </w:trPr>
        <w:tc>
          <w:tcPr>
            <w:tcW w:w="975" w:type="dxa"/>
            <w:vAlign w:val="center"/>
          </w:tcPr>
          <w:p w14:paraId="5BFFADC2">
            <w:pPr>
              <w:pStyle w:val="49"/>
              <w:keepNext w:val="0"/>
              <w:keepLines w:val="0"/>
              <w:pageBreakBefore w:val="0"/>
              <w:kinsoku/>
              <w:wordWrap/>
              <w:overflowPunct/>
              <w:topLinePunct w:val="0"/>
              <w:bidi w:val="0"/>
              <w:snapToGrid/>
              <w:spacing w:line="39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35.1</w:t>
            </w:r>
          </w:p>
        </w:tc>
        <w:tc>
          <w:tcPr>
            <w:tcW w:w="1764" w:type="dxa"/>
            <w:vAlign w:val="center"/>
          </w:tcPr>
          <w:p w14:paraId="6B25F509">
            <w:pPr>
              <w:pStyle w:val="49"/>
              <w:keepNext w:val="0"/>
              <w:keepLines w:val="0"/>
              <w:pageBreakBefore w:val="0"/>
              <w:kinsoku/>
              <w:wordWrap/>
              <w:overflowPunct/>
              <w:topLinePunct w:val="0"/>
              <w:bidi w:val="0"/>
              <w:snapToGrid/>
              <w:spacing w:line="39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质疑</w:t>
            </w:r>
          </w:p>
        </w:tc>
        <w:tc>
          <w:tcPr>
            <w:tcW w:w="6720" w:type="dxa"/>
            <w:vAlign w:val="center"/>
          </w:tcPr>
          <w:p w14:paraId="7CF2C72A">
            <w:pPr>
              <w:pStyle w:val="60"/>
              <w:keepNext w:val="0"/>
              <w:keepLines w:val="0"/>
              <w:pageBreakBefore w:val="0"/>
              <w:widowControl w:val="0"/>
              <w:kinsoku/>
              <w:wordWrap/>
              <w:overflowPunct/>
              <w:topLinePunct w:val="0"/>
              <w:autoSpaceDE w:val="0"/>
              <w:autoSpaceDN w:val="0"/>
              <w:bidi w:val="0"/>
              <w:adjustRightInd w:val="0"/>
              <w:snapToGrid/>
              <w:spacing w:line="380" w:lineRule="exact"/>
              <w:textAlignment w:val="auto"/>
              <w:rPr>
                <w:rFonts w:hint="eastAsia" w:ascii="宋体" w:hAnsi="宋体" w:eastAsia="宋体" w:cs="宋体"/>
                <w:i w:val="0"/>
                <w:iCs w:val="0"/>
                <w:color w:val="auto"/>
                <w:kern w:val="2"/>
                <w:sz w:val="24"/>
                <w:szCs w:val="24"/>
                <w:highlight w:val="none"/>
                <w:lang w:val="zh-CN" w:eastAsia="zh-CN" w:bidi="ar-SA"/>
              </w:rPr>
            </w:pPr>
            <w:r>
              <w:rPr>
                <w:rFonts w:hint="eastAsia" w:ascii="宋体" w:hAnsi="宋体" w:eastAsia="宋体" w:cs="宋体"/>
                <w:i w:val="0"/>
                <w:iCs w:val="0"/>
                <w:color w:val="auto"/>
                <w:kern w:val="2"/>
                <w:sz w:val="24"/>
                <w:szCs w:val="24"/>
                <w:highlight w:val="none"/>
                <w:lang w:val="zh-CN" w:eastAsia="zh-CN" w:bidi="ar-SA"/>
              </w:rPr>
              <w:t xml:space="preserve">供应商应在法定质疑期内一次性提出针对同一采购程序环节的质疑，对于招标文件、采购过程、采购结果的质疑应在知道或者应知其权益受到损害之日起七个工作日内，提供纸质版的质疑函并交至代理机构处或在政采云平台提出。对于招标文件的质疑未在规定的时间内提出，视为对招标文件内容无异议。 </w:t>
            </w:r>
          </w:p>
          <w:p w14:paraId="672901DC">
            <w:pPr>
              <w:pStyle w:val="60"/>
              <w:keepNext w:val="0"/>
              <w:keepLines w:val="0"/>
              <w:pageBreakBefore w:val="0"/>
              <w:widowControl w:val="0"/>
              <w:kinsoku/>
              <w:wordWrap/>
              <w:overflowPunct/>
              <w:topLinePunct w:val="0"/>
              <w:autoSpaceDE w:val="0"/>
              <w:autoSpaceDN w:val="0"/>
              <w:bidi w:val="0"/>
              <w:adjustRightInd w:val="0"/>
              <w:snapToGrid/>
              <w:spacing w:line="380" w:lineRule="exact"/>
              <w:textAlignment w:val="auto"/>
              <w:rPr>
                <w:rFonts w:hint="eastAsia" w:ascii="宋体" w:hAnsi="宋体" w:eastAsia="宋体" w:cs="宋体"/>
                <w:i w:val="0"/>
                <w:iCs w:val="0"/>
                <w:color w:val="auto"/>
                <w:kern w:val="2"/>
                <w:sz w:val="24"/>
                <w:szCs w:val="24"/>
                <w:highlight w:val="none"/>
                <w:lang w:val="zh-CN" w:eastAsia="zh-CN" w:bidi="ar-SA"/>
              </w:rPr>
            </w:pPr>
            <w:r>
              <w:rPr>
                <w:rFonts w:hint="eastAsia" w:ascii="宋体" w:hAnsi="宋体" w:eastAsia="宋体" w:cs="宋体"/>
                <w:i w:val="0"/>
                <w:iCs w:val="0"/>
                <w:color w:val="auto"/>
                <w:kern w:val="2"/>
                <w:sz w:val="24"/>
                <w:szCs w:val="24"/>
                <w:highlight w:val="none"/>
                <w:lang w:val="zh-CN" w:eastAsia="zh-CN" w:bidi="ar-SA"/>
              </w:rPr>
              <w:t xml:space="preserve">地址：新疆阿拉尔市大学生创业园1号楼321室  </w:t>
            </w:r>
          </w:p>
          <w:p w14:paraId="58DF6D74">
            <w:pPr>
              <w:pStyle w:val="60"/>
              <w:keepNext w:val="0"/>
              <w:keepLines w:val="0"/>
              <w:pageBreakBefore w:val="0"/>
              <w:widowControl w:val="0"/>
              <w:kinsoku/>
              <w:wordWrap/>
              <w:overflowPunct/>
              <w:topLinePunct w:val="0"/>
              <w:autoSpaceDE w:val="0"/>
              <w:autoSpaceDN w:val="0"/>
              <w:bidi w:val="0"/>
              <w:adjustRightInd w:val="0"/>
              <w:snapToGrid/>
              <w:spacing w:line="380" w:lineRule="exact"/>
              <w:textAlignment w:val="auto"/>
              <w:rPr>
                <w:rFonts w:hint="eastAsia" w:ascii="宋体" w:hAnsi="宋体" w:eastAsia="宋体" w:cs="宋体"/>
                <w:i w:val="0"/>
                <w:iCs w:val="0"/>
                <w:color w:val="auto"/>
                <w:kern w:val="2"/>
                <w:sz w:val="24"/>
                <w:szCs w:val="24"/>
                <w:highlight w:val="none"/>
                <w:lang w:val="zh-CN" w:eastAsia="zh-CN" w:bidi="ar-SA"/>
              </w:rPr>
            </w:pPr>
            <w:r>
              <w:rPr>
                <w:rFonts w:hint="eastAsia" w:ascii="宋体" w:hAnsi="宋体" w:eastAsia="宋体" w:cs="宋体"/>
                <w:i w:val="0"/>
                <w:iCs w:val="0"/>
                <w:color w:val="auto"/>
                <w:kern w:val="2"/>
                <w:sz w:val="24"/>
                <w:szCs w:val="24"/>
                <w:highlight w:val="none"/>
                <w:lang w:val="zh-CN" w:eastAsia="zh-CN" w:bidi="ar-SA"/>
              </w:rPr>
              <w:t>联系人：</w:t>
            </w:r>
            <w:r>
              <w:rPr>
                <w:rFonts w:hint="eastAsia" w:ascii="宋体" w:hAnsi="宋体" w:cs="宋体"/>
                <w:i w:val="0"/>
                <w:iCs w:val="0"/>
                <w:color w:val="auto"/>
                <w:kern w:val="2"/>
                <w:sz w:val="24"/>
                <w:szCs w:val="24"/>
                <w:highlight w:val="none"/>
                <w:lang w:val="en-US" w:eastAsia="zh-CN" w:bidi="ar-SA"/>
              </w:rPr>
              <w:t>李丽</w:t>
            </w:r>
            <w:r>
              <w:rPr>
                <w:rFonts w:hint="eastAsia" w:ascii="宋体" w:hAnsi="宋体" w:eastAsia="宋体" w:cs="宋体"/>
                <w:i w:val="0"/>
                <w:iCs w:val="0"/>
                <w:color w:val="auto"/>
                <w:kern w:val="2"/>
                <w:sz w:val="24"/>
                <w:szCs w:val="24"/>
                <w:highlight w:val="none"/>
                <w:lang w:val="zh-CN" w:eastAsia="zh-CN" w:bidi="ar-SA"/>
              </w:rPr>
              <w:t xml:space="preserve"> </w:t>
            </w:r>
          </w:p>
          <w:p w14:paraId="4328EC26">
            <w:pPr>
              <w:pStyle w:val="60"/>
              <w:keepNext w:val="0"/>
              <w:keepLines w:val="0"/>
              <w:pageBreakBefore w:val="0"/>
              <w:widowControl w:val="0"/>
              <w:kinsoku/>
              <w:wordWrap/>
              <w:overflowPunct/>
              <w:topLinePunct w:val="0"/>
              <w:autoSpaceDE w:val="0"/>
              <w:autoSpaceDN w:val="0"/>
              <w:bidi w:val="0"/>
              <w:adjustRightInd w:val="0"/>
              <w:snapToGrid/>
              <w:spacing w:line="380" w:lineRule="exact"/>
              <w:textAlignment w:val="auto"/>
              <w:rPr>
                <w:rFonts w:hint="eastAsia" w:ascii="宋体" w:hAnsi="宋体" w:eastAsia="宋体" w:cs="宋体"/>
                <w:i w:val="0"/>
                <w:iCs w:val="0"/>
                <w:color w:val="auto"/>
                <w:kern w:val="2"/>
                <w:sz w:val="24"/>
                <w:szCs w:val="24"/>
                <w:highlight w:val="none"/>
                <w:lang w:val="zh-CN" w:eastAsia="zh-CN" w:bidi="ar-SA"/>
              </w:rPr>
            </w:pPr>
            <w:r>
              <w:rPr>
                <w:rFonts w:hint="eastAsia" w:ascii="宋体" w:hAnsi="宋体" w:eastAsia="宋体" w:cs="宋体"/>
                <w:i w:val="0"/>
                <w:iCs w:val="0"/>
                <w:color w:val="auto"/>
                <w:kern w:val="2"/>
                <w:sz w:val="24"/>
                <w:szCs w:val="24"/>
                <w:highlight w:val="none"/>
                <w:lang w:val="zh-CN" w:eastAsia="zh-CN" w:bidi="ar-SA"/>
              </w:rPr>
              <w:t>联系电话：</w:t>
            </w:r>
            <w:r>
              <w:rPr>
                <w:rFonts w:hint="eastAsia" w:ascii="宋体" w:hAnsi="宋体" w:cs="宋体"/>
                <w:color w:val="auto"/>
                <w:kern w:val="2"/>
                <w:sz w:val="24"/>
                <w:szCs w:val="24"/>
                <w:lang w:val="en-US" w:eastAsia="zh-CN" w:bidi="ar-SA"/>
              </w:rPr>
              <w:t>19390203555</w:t>
            </w:r>
            <w:r>
              <w:rPr>
                <w:rFonts w:hint="eastAsia" w:ascii="宋体" w:hAnsi="宋体" w:eastAsia="宋体" w:cs="宋体"/>
                <w:i w:val="0"/>
                <w:iCs w:val="0"/>
                <w:color w:val="auto"/>
                <w:kern w:val="2"/>
                <w:sz w:val="24"/>
                <w:szCs w:val="24"/>
                <w:highlight w:val="none"/>
                <w:lang w:val="zh-CN" w:eastAsia="zh-CN" w:bidi="ar-SA"/>
              </w:rPr>
              <w:t xml:space="preserve">  </w:t>
            </w:r>
          </w:p>
          <w:p w14:paraId="5F7AE69B">
            <w:pPr>
              <w:pStyle w:val="60"/>
              <w:keepNext w:val="0"/>
              <w:keepLines w:val="0"/>
              <w:pageBreakBefore w:val="0"/>
              <w:widowControl w:val="0"/>
              <w:kinsoku/>
              <w:wordWrap/>
              <w:overflowPunct/>
              <w:topLinePunct w:val="0"/>
              <w:autoSpaceDE w:val="0"/>
              <w:autoSpaceDN w:val="0"/>
              <w:bidi w:val="0"/>
              <w:adjustRightInd w:val="0"/>
              <w:snapToGrid/>
              <w:spacing w:line="380" w:lineRule="exact"/>
              <w:textAlignment w:val="auto"/>
              <w:rPr>
                <w:rFonts w:hint="eastAsia" w:ascii="宋体" w:hAnsi="宋体" w:eastAsia="宋体" w:cs="宋体"/>
                <w:i w:val="0"/>
                <w:iCs w:val="0"/>
                <w:color w:val="auto"/>
                <w:kern w:val="2"/>
                <w:sz w:val="24"/>
                <w:szCs w:val="24"/>
                <w:highlight w:val="none"/>
                <w:lang w:val="zh-CN" w:eastAsia="zh-CN" w:bidi="ar-SA"/>
              </w:rPr>
            </w:pPr>
            <w:r>
              <w:rPr>
                <w:rFonts w:hint="eastAsia" w:ascii="宋体" w:hAnsi="宋体" w:eastAsia="宋体" w:cs="宋体"/>
                <w:i w:val="0"/>
                <w:iCs w:val="0"/>
                <w:color w:val="auto"/>
                <w:kern w:val="2"/>
                <w:sz w:val="24"/>
                <w:szCs w:val="24"/>
                <w:highlight w:val="none"/>
                <w:lang w:val="zh-CN" w:eastAsia="zh-CN" w:bidi="ar-SA"/>
              </w:rPr>
              <w:t>注：根据《中华人民共和国政府采购法》的规定，供应商质疑不得超出招标文件、采购过程、采购结果的范围。依据《政府采购质疑和投诉办法94号令》的规定：供应商提出质疑应当提交质疑函和必要的证明材料。</w:t>
            </w:r>
          </w:p>
          <w:p w14:paraId="535A3DD4">
            <w:pPr>
              <w:pStyle w:val="60"/>
              <w:keepNext w:val="0"/>
              <w:keepLines w:val="0"/>
              <w:pageBreakBefore w:val="0"/>
              <w:widowControl w:val="0"/>
              <w:kinsoku/>
              <w:wordWrap/>
              <w:overflowPunct/>
              <w:topLinePunct w:val="0"/>
              <w:autoSpaceDE w:val="0"/>
              <w:autoSpaceDN w:val="0"/>
              <w:bidi w:val="0"/>
              <w:adjustRightInd w:val="0"/>
              <w:snapToGrid/>
              <w:spacing w:line="380" w:lineRule="exact"/>
              <w:textAlignment w:val="auto"/>
              <w:rPr>
                <w:rFonts w:hint="eastAsia" w:ascii="宋体" w:hAnsi="宋体" w:eastAsia="宋体" w:cs="宋体"/>
                <w:i w:val="0"/>
                <w:iCs w:val="0"/>
                <w:color w:val="auto"/>
                <w:kern w:val="2"/>
                <w:sz w:val="24"/>
                <w:szCs w:val="24"/>
                <w:highlight w:val="none"/>
                <w:lang w:val="zh-CN" w:eastAsia="zh-CN" w:bidi="ar-SA"/>
              </w:rPr>
            </w:pPr>
            <w:r>
              <w:rPr>
                <w:rFonts w:hint="eastAsia" w:ascii="宋体" w:hAnsi="宋体" w:eastAsia="宋体" w:cs="宋体"/>
                <w:i w:val="0"/>
                <w:iCs w:val="0"/>
                <w:color w:val="auto"/>
                <w:kern w:val="2"/>
                <w:sz w:val="24"/>
                <w:szCs w:val="24"/>
                <w:highlight w:val="none"/>
                <w:lang w:val="zh-CN" w:eastAsia="zh-CN" w:bidi="ar-SA"/>
              </w:rPr>
              <w:t>质疑函应当包括下列内容： 　</w:t>
            </w:r>
          </w:p>
          <w:p w14:paraId="776B0CD5">
            <w:pPr>
              <w:pStyle w:val="60"/>
              <w:keepNext w:val="0"/>
              <w:keepLines w:val="0"/>
              <w:pageBreakBefore w:val="0"/>
              <w:widowControl w:val="0"/>
              <w:numPr>
                <w:ilvl w:val="0"/>
                <w:numId w:val="6"/>
              </w:numPr>
              <w:kinsoku/>
              <w:wordWrap/>
              <w:overflowPunct/>
              <w:topLinePunct w:val="0"/>
              <w:autoSpaceDE w:val="0"/>
              <w:autoSpaceDN w:val="0"/>
              <w:bidi w:val="0"/>
              <w:adjustRightInd w:val="0"/>
              <w:snapToGrid/>
              <w:spacing w:line="380" w:lineRule="exact"/>
              <w:ind w:left="240" w:leftChars="0" w:firstLine="0" w:firstLineChars="0"/>
              <w:textAlignment w:val="auto"/>
              <w:rPr>
                <w:rFonts w:hint="eastAsia" w:ascii="宋体" w:hAnsi="宋体" w:eastAsia="宋体" w:cs="宋体"/>
                <w:i w:val="0"/>
                <w:iCs w:val="0"/>
                <w:color w:val="auto"/>
                <w:kern w:val="2"/>
                <w:sz w:val="24"/>
                <w:szCs w:val="24"/>
                <w:highlight w:val="none"/>
                <w:lang w:val="zh-CN" w:eastAsia="zh-CN" w:bidi="ar-SA"/>
              </w:rPr>
            </w:pPr>
            <w:r>
              <w:rPr>
                <w:rFonts w:hint="eastAsia" w:ascii="宋体" w:hAnsi="宋体" w:eastAsia="宋体" w:cs="宋体"/>
                <w:i w:val="0"/>
                <w:iCs w:val="0"/>
                <w:color w:val="auto"/>
                <w:kern w:val="2"/>
                <w:sz w:val="24"/>
                <w:szCs w:val="24"/>
                <w:highlight w:val="none"/>
                <w:lang w:val="zh-CN" w:eastAsia="zh-CN" w:bidi="ar-SA"/>
              </w:rPr>
              <w:t>供应商的姓名或者名称、地址、邮编、联系人及联系电话； 　</w:t>
            </w:r>
          </w:p>
          <w:p w14:paraId="545DFE7A">
            <w:pPr>
              <w:pStyle w:val="60"/>
              <w:keepNext w:val="0"/>
              <w:keepLines w:val="0"/>
              <w:pageBreakBefore w:val="0"/>
              <w:widowControl w:val="0"/>
              <w:numPr>
                <w:ilvl w:val="0"/>
                <w:numId w:val="6"/>
              </w:numPr>
              <w:kinsoku/>
              <w:wordWrap/>
              <w:overflowPunct/>
              <w:topLinePunct w:val="0"/>
              <w:autoSpaceDE w:val="0"/>
              <w:autoSpaceDN w:val="0"/>
              <w:bidi w:val="0"/>
              <w:adjustRightInd w:val="0"/>
              <w:snapToGrid/>
              <w:spacing w:line="380" w:lineRule="exact"/>
              <w:ind w:left="240" w:leftChars="0" w:firstLine="0" w:firstLineChars="0"/>
              <w:textAlignment w:val="auto"/>
              <w:rPr>
                <w:rFonts w:hint="eastAsia" w:ascii="宋体" w:hAnsi="宋体" w:eastAsia="宋体" w:cs="宋体"/>
                <w:i w:val="0"/>
                <w:iCs w:val="0"/>
                <w:color w:val="auto"/>
                <w:kern w:val="2"/>
                <w:sz w:val="24"/>
                <w:szCs w:val="24"/>
                <w:highlight w:val="none"/>
                <w:lang w:val="zh-CN" w:eastAsia="zh-CN" w:bidi="ar-SA"/>
              </w:rPr>
            </w:pPr>
            <w:r>
              <w:rPr>
                <w:rFonts w:hint="eastAsia" w:ascii="宋体" w:hAnsi="宋体" w:eastAsia="宋体" w:cs="宋体"/>
                <w:i w:val="0"/>
                <w:iCs w:val="0"/>
                <w:color w:val="auto"/>
                <w:kern w:val="2"/>
                <w:sz w:val="24"/>
                <w:szCs w:val="24"/>
                <w:highlight w:val="none"/>
                <w:lang w:val="zh-CN" w:eastAsia="zh-CN" w:bidi="ar-SA"/>
              </w:rPr>
              <w:t>质疑项目的名称、编号； 　</w:t>
            </w:r>
          </w:p>
          <w:p w14:paraId="20350F0A">
            <w:pPr>
              <w:pStyle w:val="60"/>
              <w:keepNext w:val="0"/>
              <w:keepLines w:val="0"/>
              <w:pageBreakBefore w:val="0"/>
              <w:widowControl w:val="0"/>
              <w:numPr>
                <w:ilvl w:val="0"/>
                <w:numId w:val="6"/>
              </w:numPr>
              <w:kinsoku/>
              <w:wordWrap/>
              <w:overflowPunct/>
              <w:topLinePunct w:val="0"/>
              <w:autoSpaceDE w:val="0"/>
              <w:autoSpaceDN w:val="0"/>
              <w:bidi w:val="0"/>
              <w:adjustRightInd w:val="0"/>
              <w:snapToGrid/>
              <w:spacing w:line="380" w:lineRule="exact"/>
              <w:ind w:left="240" w:leftChars="0" w:firstLine="0" w:firstLineChars="0"/>
              <w:textAlignment w:val="auto"/>
              <w:rPr>
                <w:rFonts w:hint="eastAsia" w:ascii="宋体" w:hAnsi="宋体" w:eastAsia="宋体" w:cs="宋体"/>
                <w:i w:val="0"/>
                <w:iCs w:val="0"/>
                <w:color w:val="auto"/>
                <w:kern w:val="2"/>
                <w:sz w:val="24"/>
                <w:szCs w:val="24"/>
                <w:highlight w:val="none"/>
                <w:lang w:val="zh-CN" w:eastAsia="zh-CN" w:bidi="ar-SA"/>
              </w:rPr>
            </w:pPr>
            <w:r>
              <w:rPr>
                <w:rFonts w:hint="eastAsia" w:ascii="宋体" w:hAnsi="宋体" w:eastAsia="宋体" w:cs="宋体"/>
                <w:i w:val="0"/>
                <w:iCs w:val="0"/>
                <w:color w:val="auto"/>
                <w:kern w:val="2"/>
                <w:sz w:val="24"/>
                <w:szCs w:val="24"/>
                <w:highlight w:val="none"/>
                <w:lang w:val="zh-CN" w:eastAsia="zh-CN" w:bidi="ar-SA"/>
              </w:rPr>
              <w:t>具体、明确的质疑事项和与质疑事项相关的请求； 　　（四）事实依据； 　　</w:t>
            </w:r>
          </w:p>
          <w:p w14:paraId="5A736379">
            <w:pPr>
              <w:pStyle w:val="60"/>
              <w:keepNext w:val="0"/>
              <w:keepLines w:val="0"/>
              <w:pageBreakBefore w:val="0"/>
              <w:widowControl w:val="0"/>
              <w:numPr>
                <w:ilvl w:val="0"/>
                <w:numId w:val="0"/>
              </w:numPr>
              <w:kinsoku/>
              <w:wordWrap/>
              <w:overflowPunct/>
              <w:topLinePunct w:val="0"/>
              <w:autoSpaceDE w:val="0"/>
              <w:autoSpaceDN w:val="0"/>
              <w:bidi w:val="0"/>
              <w:adjustRightInd w:val="0"/>
              <w:snapToGrid/>
              <w:spacing w:line="380" w:lineRule="exact"/>
              <w:ind w:left="240" w:leftChars="0"/>
              <w:textAlignment w:val="auto"/>
              <w:rPr>
                <w:rFonts w:hint="eastAsia" w:ascii="宋体" w:hAnsi="宋体" w:eastAsia="宋体" w:cs="宋体"/>
                <w:i w:val="0"/>
                <w:iCs w:val="0"/>
                <w:color w:val="auto"/>
                <w:kern w:val="2"/>
                <w:sz w:val="24"/>
                <w:szCs w:val="24"/>
                <w:highlight w:val="none"/>
                <w:lang w:val="zh-CN" w:eastAsia="zh-CN" w:bidi="ar-SA"/>
              </w:rPr>
            </w:pPr>
            <w:r>
              <w:rPr>
                <w:rFonts w:hint="eastAsia" w:ascii="宋体" w:hAnsi="宋体" w:eastAsia="宋体" w:cs="宋体"/>
                <w:i w:val="0"/>
                <w:iCs w:val="0"/>
                <w:color w:val="auto"/>
                <w:kern w:val="2"/>
                <w:sz w:val="24"/>
                <w:szCs w:val="24"/>
                <w:highlight w:val="none"/>
                <w:lang w:val="zh-CN" w:eastAsia="zh-CN" w:bidi="ar-SA"/>
              </w:rPr>
              <w:t>（五）必要的法律依据； 　　</w:t>
            </w:r>
          </w:p>
          <w:p w14:paraId="5DBDB97C">
            <w:pPr>
              <w:pStyle w:val="60"/>
              <w:keepNext w:val="0"/>
              <w:keepLines w:val="0"/>
              <w:pageBreakBefore w:val="0"/>
              <w:widowControl w:val="0"/>
              <w:numPr>
                <w:ilvl w:val="0"/>
                <w:numId w:val="0"/>
              </w:numPr>
              <w:kinsoku/>
              <w:wordWrap/>
              <w:overflowPunct/>
              <w:topLinePunct w:val="0"/>
              <w:autoSpaceDE w:val="0"/>
              <w:autoSpaceDN w:val="0"/>
              <w:bidi w:val="0"/>
              <w:adjustRightInd w:val="0"/>
              <w:snapToGrid/>
              <w:spacing w:line="380" w:lineRule="exact"/>
              <w:ind w:left="240" w:leftChars="0"/>
              <w:textAlignment w:val="auto"/>
              <w:rPr>
                <w:rFonts w:hint="eastAsia" w:ascii="宋体" w:hAnsi="宋体" w:eastAsia="宋体" w:cs="宋体"/>
                <w:i w:val="0"/>
                <w:iCs w:val="0"/>
                <w:color w:val="auto"/>
                <w:kern w:val="2"/>
                <w:sz w:val="24"/>
                <w:szCs w:val="24"/>
                <w:highlight w:val="none"/>
                <w:lang w:val="zh-CN" w:eastAsia="zh-CN" w:bidi="ar-SA"/>
              </w:rPr>
            </w:pPr>
            <w:r>
              <w:rPr>
                <w:rFonts w:hint="eastAsia" w:ascii="宋体" w:hAnsi="宋体" w:eastAsia="宋体" w:cs="宋体"/>
                <w:i w:val="0"/>
                <w:iCs w:val="0"/>
                <w:color w:val="auto"/>
                <w:kern w:val="2"/>
                <w:sz w:val="24"/>
                <w:szCs w:val="24"/>
                <w:highlight w:val="none"/>
                <w:lang w:val="zh-CN" w:eastAsia="zh-CN" w:bidi="ar-SA"/>
              </w:rPr>
              <w:t xml:space="preserve">（六）提出质疑的日期。 </w:t>
            </w:r>
          </w:p>
          <w:p w14:paraId="30211831">
            <w:pPr>
              <w:pStyle w:val="60"/>
              <w:keepNext w:val="0"/>
              <w:keepLines w:val="0"/>
              <w:pageBreakBefore w:val="0"/>
              <w:widowControl w:val="0"/>
              <w:numPr>
                <w:ilvl w:val="0"/>
                <w:numId w:val="0"/>
              </w:numPr>
              <w:kinsoku/>
              <w:wordWrap/>
              <w:overflowPunct/>
              <w:topLinePunct w:val="0"/>
              <w:autoSpaceDE w:val="0"/>
              <w:autoSpaceDN w:val="0"/>
              <w:bidi w:val="0"/>
              <w:adjustRightInd w:val="0"/>
              <w:snapToGrid/>
              <w:spacing w:line="380" w:lineRule="exact"/>
              <w:textAlignment w:val="auto"/>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i w:val="0"/>
                <w:iCs w:val="0"/>
                <w:color w:val="auto"/>
                <w:kern w:val="2"/>
                <w:sz w:val="24"/>
                <w:szCs w:val="24"/>
                <w:highlight w:val="none"/>
                <w:lang w:val="zh-CN" w:eastAsia="zh-CN" w:bidi="ar-SA"/>
              </w:rPr>
              <w:t>供应商为自然人的，应当由本人签字；供应商为法人或者其他组织的，应当由法定代表人、主要负责人，或者其授权代表签字或者盖章，并加盖公章；代理人提出质疑和投诉，应当提交供应商签署的授权委托书。</w:t>
            </w:r>
          </w:p>
        </w:tc>
      </w:tr>
      <w:tr w14:paraId="3C8ED12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204" w:hRule="atLeast"/>
        </w:trPr>
        <w:tc>
          <w:tcPr>
            <w:tcW w:w="975" w:type="dxa"/>
            <w:vAlign w:val="center"/>
          </w:tcPr>
          <w:p w14:paraId="422A3CDD">
            <w:pPr>
              <w:pStyle w:val="49"/>
              <w:keepNext w:val="0"/>
              <w:keepLines w:val="0"/>
              <w:pageBreakBefore w:val="0"/>
              <w:kinsoku/>
              <w:wordWrap/>
              <w:overflowPunct/>
              <w:topLinePunct w:val="0"/>
              <w:bidi w:val="0"/>
              <w:snapToGrid/>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.1</w:t>
            </w:r>
          </w:p>
        </w:tc>
        <w:tc>
          <w:tcPr>
            <w:tcW w:w="1764" w:type="dxa"/>
            <w:vAlign w:val="center"/>
          </w:tcPr>
          <w:p w14:paraId="1782DE51">
            <w:pPr>
              <w:pStyle w:val="49"/>
              <w:keepNext w:val="0"/>
              <w:keepLines w:val="0"/>
              <w:pageBreakBefore w:val="0"/>
              <w:kinsoku/>
              <w:wordWrap/>
              <w:overflowPunct/>
              <w:topLinePunct w:val="0"/>
              <w:bidi w:val="0"/>
              <w:snapToGrid/>
              <w:spacing w:line="39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采购代理服务费</w:t>
            </w:r>
          </w:p>
        </w:tc>
        <w:tc>
          <w:tcPr>
            <w:tcW w:w="6720" w:type="dxa"/>
            <w:vAlign w:val="center"/>
          </w:tcPr>
          <w:p w14:paraId="3C3C6E6B">
            <w:pPr>
              <w:pStyle w:val="49"/>
              <w:keepNext w:val="0"/>
              <w:keepLines w:val="0"/>
              <w:pageBreakBefore w:val="0"/>
              <w:numPr>
                <w:ilvl w:val="0"/>
                <w:numId w:val="7"/>
              </w:numPr>
              <w:kinsoku/>
              <w:wordWrap/>
              <w:overflowPunct/>
              <w:topLinePunct w:val="0"/>
              <w:bidi w:val="0"/>
              <w:snapToGrid/>
              <w:spacing w:line="390" w:lineRule="exac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收</w:t>
            </w:r>
            <w:r>
              <w:rPr>
                <w:rFonts w:hint="eastAsia" w:ascii="宋体" w:hAnsi="宋体" w:eastAsia="宋体" w:cs="宋体"/>
                <w:i w:val="0"/>
                <w:iCs w:val="0"/>
                <w:color w:val="auto"/>
                <w:sz w:val="24"/>
                <w:szCs w:val="24"/>
                <w:highlight w:val="none"/>
              </w:rPr>
              <w:t>费</w:t>
            </w:r>
            <w:r>
              <w:rPr>
                <w:rFonts w:hint="eastAsia" w:ascii="宋体" w:hAnsi="宋体" w:eastAsia="宋体" w:cs="宋体"/>
                <w:i w:val="0"/>
                <w:iCs w:val="0"/>
                <w:color w:val="auto"/>
                <w:sz w:val="24"/>
                <w:szCs w:val="24"/>
                <w:highlight w:val="none"/>
                <w:lang w:val="en-US" w:eastAsia="zh-CN"/>
              </w:rPr>
              <w:t>对象</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rPr>
              <w:sym w:font="Wingdings" w:char="00A8"/>
            </w:r>
            <w:r>
              <w:rPr>
                <w:rFonts w:hint="eastAsia" w:ascii="宋体" w:hAnsi="宋体" w:eastAsia="宋体" w:cs="宋体"/>
                <w:i w:val="0"/>
                <w:iCs w:val="0"/>
                <w:color w:val="auto"/>
                <w:sz w:val="24"/>
                <w:szCs w:val="24"/>
                <w:highlight w:val="none"/>
              </w:rPr>
              <w:t xml:space="preserve">采购人支付 </w:t>
            </w:r>
            <w:r>
              <w:rPr>
                <w:rFonts w:hint="eastAsia" w:ascii="宋体" w:hAnsi="宋体" w:eastAsia="宋体" w:cs="宋体"/>
                <w:i w:val="0"/>
                <w:iCs w:val="0"/>
                <w:color w:val="auto"/>
                <w:sz w:val="24"/>
                <w:szCs w:val="24"/>
                <w:highlight w:val="none"/>
              </w:rPr>
              <w:sym w:font="Wingdings" w:char="00FE"/>
            </w:r>
            <w:r>
              <w:rPr>
                <w:rFonts w:hint="eastAsia" w:cs="宋体"/>
                <w:i w:val="0"/>
                <w:iCs w:val="0"/>
                <w:color w:val="auto"/>
                <w:sz w:val="24"/>
                <w:szCs w:val="24"/>
                <w:highlight w:val="none"/>
                <w:lang w:val="en-US" w:eastAsia="zh-CN"/>
              </w:rPr>
              <w:t>中标</w:t>
            </w:r>
            <w:r>
              <w:rPr>
                <w:rFonts w:hint="eastAsia" w:ascii="宋体" w:hAnsi="宋体" w:eastAsia="宋体" w:cs="宋体"/>
                <w:i w:val="0"/>
                <w:iCs w:val="0"/>
                <w:color w:val="auto"/>
                <w:sz w:val="24"/>
                <w:szCs w:val="24"/>
                <w:highlight w:val="none"/>
              </w:rPr>
              <w:t xml:space="preserve">人支付 </w:t>
            </w:r>
          </w:p>
          <w:p w14:paraId="70CF16D9">
            <w:pPr>
              <w:pStyle w:val="49"/>
              <w:keepNext w:val="0"/>
              <w:keepLines w:val="0"/>
              <w:pageBreakBefore w:val="0"/>
              <w:numPr>
                <w:ilvl w:val="0"/>
                <w:numId w:val="7"/>
              </w:numPr>
              <w:kinsoku/>
              <w:wordWrap/>
              <w:overflowPunct/>
              <w:topLinePunct w:val="0"/>
              <w:bidi w:val="0"/>
              <w:snapToGrid/>
              <w:spacing w:line="390" w:lineRule="exac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收费</w:t>
            </w:r>
            <w:r>
              <w:rPr>
                <w:rFonts w:hint="eastAsia" w:ascii="宋体" w:hAnsi="宋体" w:eastAsia="宋体" w:cs="宋体"/>
                <w:i w:val="0"/>
                <w:iCs w:val="0"/>
                <w:color w:val="auto"/>
                <w:sz w:val="24"/>
                <w:szCs w:val="24"/>
                <w:highlight w:val="none"/>
              </w:rPr>
              <w:t>标准：</w:t>
            </w:r>
            <w:r>
              <w:rPr>
                <w:rFonts w:hint="eastAsia" w:ascii="宋体" w:hAnsi="宋体" w:eastAsia="宋体" w:cs="宋体"/>
                <w:bCs/>
                <w:color w:val="auto"/>
                <w:sz w:val="24"/>
                <w:szCs w:val="24"/>
                <w:lang w:val="en-US" w:eastAsia="zh-CN"/>
              </w:rPr>
              <w:t>以预算金额为计算基数，按照发改价格〔2015〕299号文</w:t>
            </w:r>
            <w:r>
              <w:rPr>
                <w:rFonts w:hint="eastAsia" w:cs="宋体"/>
                <w:bCs/>
                <w:color w:val="auto"/>
                <w:sz w:val="24"/>
                <w:szCs w:val="24"/>
                <w:lang w:val="en-US" w:eastAsia="zh-CN"/>
              </w:rPr>
              <w:t>*70%</w:t>
            </w:r>
            <w:r>
              <w:rPr>
                <w:rFonts w:hint="eastAsia" w:ascii="宋体" w:hAnsi="宋体" w:eastAsia="宋体" w:cs="宋体"/>
                <w:bCs/>
                <w:color w:val="auto"/>
                <w:sz w:val="24"/>
                <w:szCs w:val="24"/>
                <w:lang w:val="en-US" w:eastAsia="zh-CN"/>
              </w:rPr>
              <w:t>计取，按差额定率累进法计算，计算标准如下：</w:t>
            </w:r>
          </w:p>
          <w:tbl>
            <w:tblPr>
              <w:tblStyle w:val="83"/>
              <w:tblW w:w="4996" w:type="pct"/>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51"/>
              <w:gridCol w:w="1283"/>
              <w:gridCol w:w="1626"/>
              <w:gridCol w:w="1632"/>
            </w:tblGrid>
            <w:tr w14:paraId="636D29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1502" w:type="pct"/>
                  <w:tcBorders>
                    <w:right w:val="single" w:color="auto" w:sz="4" w:space="0"/>
                  </w:tcBorders>
                  <w:noWrap w:val="0"/>
                  <w:vAlign w:val="top"/>
                </w:tcPr>
                <w:p w14:paraId="20AF9510">
                  <w:pPr>
                    <w:keepNext w:val="0"/>
                    <w:keepLines w:val="0"/>
                    <w:pageBreakBefore w:val="0"/>
                    <w:widowControl w:val="0"/>
                    <w:kinsoku/>
                    <w:wordWrap/>
                    <w:overflowPunct/>
                    <w:topLinePunct w:val="0"/>
                    <w:autoSpaceDE/>
                    <w:autoSpaceDN/>
                    <w:bidi w:val="0"/>
                    <w:adjustRightInd/>
                    <w:snapToGrid/>
                    <w:spacing w:line="300" w:lineRule="exact"/>
                    <w:ind w:left="420" w:hanging="420" w:hangingChars="20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drawing>
                      <wp:anchor distT="0" distB="0" distL="114300" distR="114300" simplePos="0" relativeHeight="251661312" behindDoc="1" locked="0" layoutInCell="1" allowOverlap="1">
                        <wp:simplePos x="0" y="0"/>
                        <wp:positionH relativeFrom="column">
                          <wp:posOffset>14605</wp:posOffset>
                        </wp:positionH>
                        <wp:positionV relativeFrom="paragraph">
                          <wp:posOffset>27940</wp:posOffset>
                        </wp:positionV>
                        <wp:extent cx="1186815" cy="918210"/>
                        <wp:effectExtent l="0" t="0" r="13335" b="15240"/>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1"/>
                                <a:stretch>
                                  <a:fillRect/>
                                </a:stretch>
                              </pic:blipFill>
                              <pic:spPr>
                                <a:xfrm>
                                  <a:off x="0" y="0"/>
                                  <a:ext cx="1186815" cy="918210"/>
                                </a:xfrm>
                                <a:prstGeom prst="rect">
                                  <a:avLst/>
                                </a:prstGeom>
                                <a:noFill/>
                                <a:ln>
                                  <a:noFill/>
                                </a:ln>
                              </pic:spPr>
                            </pic:pic>
                          </a:graphicData>
                        </a:graphic>
                      </wp:anchor>
                    </w:drawing>
                  </w:r>
                  <w:r>
                    <w:rPr>
                      <w:rFonts w:hint="eastAsia" w:ascii="宋体" w:hAnsi="宋体" w:eastAsia="宋体" w:cs="宋体"/>
                      <w:color w:val="auto"/>
                      <w:sz w:val="21"/>
                      <w:szCs w:val="21"/>
                      <w:lang w:val="en-US" w:eastAsia="zh-CN"/>
                    </w:rPr>
                    <w:t xml:space="preserve">          服务</w:t>
                  </w:r>
                </w:p>
                <w:p w14:paraId="7505AFDA">
                  <w:pPr>
                    <w:keepNext w:val="0"/>
                    <w:keepLines w:val="0"/>
                    <w:pageBreakBefore w:val="0"/>
                    <w:widowControl w:val="0"/>
                    <w:kinsoku/>
                    <w:wordWrap/>
                    <w:overflowPunct/>
                    <w:topLinePunct w:val="0"/>
                    <w:autoSpaceDE/>
                    <w:autoSpaceDN/>
                    <w:bidi w:val="0"/>
                    <w:adjustRightInd/>
                    <w:snapToGrid/>
                    <w:spacing w:line="300" w:lineRule="exact"/>
                    <w:ind w:firstLine="1260" w:firstLineChars="600"/>
                    <w:jc w:val="both"/>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类型</w:t>
                  </w:r>
                </w:p>
                <w:p w14:paraId="672DF6DE">
                  <w:pPr>
                    <w:keepNext w:val="0"/>
                    <w:keepLines w:val="0"/>
                    <w:pageBreakBefore w:val="0"/>
                    <w:widowControl w:val="0"/>
                    <w:kinsoku/>
                    <w:wordWrap/>
                    <w:overflowPunct/>
                    <w:topLinePunct w:val="0"/>
                    <w:autoSpaceDE/>
                    <w:autoSpaceDN/>
                    <w:bidi w:val="0"/>
                    <w:adjustRightInd/>
                    <w:snapToGrid/>
                    <w:spacing w:line="300" w:lineRule="exact"/>
                    <w:ind w:firstLine="630" w:firstLineChars="300"/>
                    <w:jc w:val="both"/>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费率</w:t>
                  </w:r>
                </w:p>
                <w:p w14:paraId="12090DB4">
                  <w:pPr>
                    <w:keepNext w:val="0"/>
                    <w:keepLines w:val="0"/>
                    <w:pageBreakBefore w:val="0"/>
                    <w:widowControl w:val="0"/>
                    <w:kinsoku/>
                    <w:wordWrap/>
                    <w:overflowPunct/>
                    <w:topLinePunct w:val="0"/>
                    <w:autoSpaceDE/>
                    <w:autoSpaceDN/>
                    <w:bidi w:val="0"/>
                    <w:adjustRightInd/>
                    <w:snapToGrid/>
                    <w:spacing w:line="300" w:lineRule="exact"/>
                    <w:ind w:left="0" w:firstLine="0" w:firstLineChars="0"/>
                    <w:jc w:val="both"/>
                    <w:textAlignment w:val="auto"/>
                    <w:rPr>
                      <w:rFonts w:hint="eastAsia" w:ascii="宋体" w:hAnsi="宋体" w:eastAsia="宋体" w:cs="宋体"/>
                      <w:color w:val="auto"/>
                      <w:spacing w:val="-10"/>
                      <w:sz w:val="21"/>
                      <w:szCs w:val="21"/>
                    </w:rPr>
                  </w:pPr>
                  <w:r>
                    <w:rPr>
                      <w:rFonts w:hint="eastAsia" w:ascii="宋体" w:hAnsi="宋体" w:eastAsia="宋体" w:cs="宋体"/>
                      <w:color w:val="auto"/>
                      <w:spacing w:val="-10"/>
                      <w:sz w:val="21"/>
                      <w:szCs w:val="21"/>
                    </w:rPr>
                    <w:t>金额</w:t>
                  </w:r>
                </w:p>
                <w:p w14:paraId="0F4560E6">
                  <w:pPr>
                    <w:keepNext w:val="0"/>
                    <w:keepLines w:val="0"/>
                    <w:pageBreakBefore w:val="0"/>
                    <w:widowControl w:val="0"/>
                    <w:kinsoku/>
                    <w:wordWrap/>
                    <w:overflowPunct/>
                    <w:topLinePunct w:val="0"/>
                    <w:autoSpaceDE/>
                    <w:autoSpaceDN/>
                    <w:bidi w:val="0"/>
                    <w:adjustRightInd/>
                    <w:snapToGrid/>
                    <w:spacing w:line="300" w:lineRule="exact"/>
                    <w:ind w:left="0" w:firstLine="0" w:firstLineChars="0"/>
                    <w:jc w:val="both"/>
                    <w:textAlignment w:val="auto"/>
                    <w:rPr>
                      <w:rFonts w:hint="eastAsia" w:ascii="宋体" w:hAnsi="宋体" w:eastAsia="宋体" w:cs="宋体"/>
                      <w:color w:val="auto"/>
                      <w:sz w:val="21"/>
                      <w:szCs w:val="21"/>
                    </w:rPr>
                  </w:pPr>
                  <w:r>
                    <w:rPr>
                      <w:rFonts w:hint="eastAsia" w:ascii="宋体" w:hAnsi="宋体" w:eastAsia="宋体" w:cs="宋体"/>
                      <w:color w:val="auto"/>
                      <w:spacing w:val="-10"/>
                      <w:sz w:val="21"/>
                      <w:szCs w:val="21"/>
                    </w:rPr>
                    <w:t>（万元）</w:t>
                  </w:r>
                </w:p>
              </w:tc>
              <w:tc>
                <w:tcPr>
                  <w:tcW w:w="988" w:type="pct"/>
                  <w:tcBorders>
                    <w:top w:val="single" w:color="auto" w:sz="4" w:space="0"/>
                    <w:left w:val="single" w:color="auto" w:sz="4" w:space="0"/>
                    <w:bottom w:val="single" w:color="auto" w:sz="4" w:space="0"/>
                    <w:right w:val="single" w:color="auto" w:sz="4" w:space="0"/>
                  </w:tcBorders>
                  <w:noWrap w:val="0"/>
                  <w:vAlign w:val="center"/>
                </w:tcPr>
                <w:p w14:paraId="5A5B8F8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pacing w:val="-4"/>
                      <w:sz w:val="21"/>
                      <w:szCs w:val="21"/>
                    </w:rPr>
                    <w:t>货物招标</w:t>
                  </w:r>
                </w:p>
              </w:tc>
              <w:tc>
                <w:tcPr>
                  <w:tcW w:w="1252" w:type="pct"/>
                  <w:tcBorders>
                    <w:top w:val="single" w:color="auto" w:sz="4" w:space="0"/>
                    <w:left w:val="single" w:color="auto" w:sz="4" w:space="0"/>
                    <w:bottom w:val="single" w:color="auto" w:sz="4" w:space="0"/>
                    <w:right w:val="single" w:color="auto" w:sz="4" w:space="0"/>
                  </w:tcBorders>
                  <w:noWrap w:val="0"/>
                  <w:vAlign w:val="center"/>
                </w:tcPr>
                <w:p w14:paraId="2EEF8E4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pacing w:val="-2"/>
                      <w:sz w:val="21"/>
                      <w:szCs w:val="21"/>
                    </w:rPr>
                    <w:t>服务招标</w:t>
                  </w:r>
                </w:p>
              </w:tc>
              <w:tc>
                <w:tcPr>
                  <w:tcW w:w="1256" w:type="pct"/>
                  <w:tcBorders>
                    <w:top w:val="single" w:color="auto" w:sz="4" w:space="0"/>
                    <w:left w:val="single" w:color="auto" w:sz="4" w:space="0"/>
                    <w:bottom w:val="single" w:color="auto" w:sz="4" w:space="0"/>
                    <w:right w:val="single" w:color="auto" w:sz="4" w:space="0"/>
                  </w:tcBorders>
                  <w:noWrap w:val="0"/>
                  <w:vAlign w:val="center"/>
                </w:tcPr>
                <w:p w14:paraId="4B7CDD4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pacing w:val="-3"/>
                      <w:sz w:val="21"/>
                      <w:szCs w:val="21"/>
                    </w:rPr>
                    <w:t>工程招标</w:t>
                  </w:r>
                </w:p>
              </w:tc>
            </w:tr>
            <w:tr w14:paraId="550871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 w:hRule="atLeast"/>
              </w:trPr>
              <w:tc>
                <w:tcPr>
                  <w:tcW w:w="1502" w:type="pct"/>
                  <w:noWrap w:val="0"/>
                  <w:vAlign w:val="center"/>
                </w:tcPr>
                <w:p w14:paraId="6ACC4BF4">
                  <w:pPr>
                    <w:pStyle w:val="84"/>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pacing w:val="-15"/>
                      <w:sz w:val="21"/>
                      <w:szCs w:val="21"/>
                    </w:rPr>
                    <w:t>100以下</w:t>
                  </w:r>
                </w:p>
              </w:tc>
              <w:tc>
                <w:tcPr>
                  <w:tcW w:w="988" w:type="pct"/>
                  <w:tcBorders>
                    <w:top w:val="single" w:color="auto" w:sz="4" w:space="0"/>
                  </w:tcBorders>
                  <w:noWrap w:val="0"/>
                  <w:vAlign w:val="center"/>
                </w:tcPr>
                <w:p w14:paraId="44DDCD58">
                  <w:pPr>
                    <w:pStyle w:val="84"/>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宋体" w:hAnsi="宋体" w:eastAsia="宋体" w:cs="宋体"/>
                      <w:color w:val="auto"/>
                      <w:sz w:val="21"/>
                      <w:szCs w:val="21"/>
                    </w:rPr>
                  </w:pPr>
                  <w:r>
                    <w:rPr>
                      <w:rFonts w:hint="eastAsia" w:ascii="宋体" w:hAnsi="宋体" w:eastAsia="宋体" w:cs="宋体"/>
                      <w:color w:val="auto"/>
                      <w:spacing w:val="-4"/>
                      <w:position w:val="2"/>
                      <w:sz w:val="21"/>
                      <w:szCs w:val="21"/>
                    </w:rPr>
                    <w:t>1.5%</w:t>
                  </w:r>
                </w:p>
              </w:tc>
              <w:tc>
                <w:tcPr>
                  <w:tcW w:w="1252" w:type="pct"/>
                  <w:tcBorders>
                    <w:top w:val="single" w:color="auto" w:sz="4" w:space="0"/>
                  </w:tcBorders>
                  <w:noWrap w:val="0"/>
                  <w:vAlign w:val="center"/>
                </w:tcPr>
                <w:p w14:paraId="7E5177B0">
                  <w:pPr>
                    <w:pStyle w:val="84"/>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宋体" w:hAnsi="宋体" w:eastAsia="宋体" w:cs="宋体"/>
                      <w:color w:val="auto"/>
                      <w:sz w:val="21"/>
                      <w:szCs w:val="21"/>
                    </w:rPr>
                  </w:pPr>
                  <w:r>
                    <w:rPr>
                      <w:rFonts w:hint="eastAsia" w:ascii="宋体" w:hAnsi="宋体" w:eastAsia="宋体" w:cs="宋体"/>
                      <w:color w:val="auto"/>
                      <w:spacing w:val="-4"/>
                      <w:position w:val="2"/>
                      <w:sz w:val="21"/>
                      <w:szCs w:val="21"/>
                    </w:rPr>
                    <w:t>1.5%</w:t>
                  </w:r>
                </w:p>
              </w:tc>
              <w:tc>
                <w:tcPr>
                  <w:tcW w:w="1256" w:type="pct"/>
                  <w:tcBorders>
                    <w:top w:val="single" w:color="auto" w:sz="4" w:space="0"/>
                  </w:tcBorders>
                  <w:noWrap w:val="0"/>
                  <w:vAlign w:val="center"/>
                </w:tcPr>
                <w:p w14:paraId="47610622">
                  <w:pPr>
                    <w:pStyle w:val="84"/>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宋体" w:hAnsi="宋体" w:eastAsia="宋体" w:cs="宋体"/>
                      <w:color w:val="auto"/>
                      <w:sz w:val="21"/>
                      <w:szCs w:val="21"/>
                    </w:rPr>
                  </w:pPr>
                  <w:r>
                    <w:rPr>
                      <w:rFonts w:hint="eastAsia" w:ascii="宋体" w:hAnsi="宋体" w:eastAsia="宋体" w:cs="宋体"/>
                      <w:color w:val="auto"/>
                      <w:spacing w:val="-4"/>
                      <w:position w:val="2"/>
                      <w:sz w:val="21"/>
                      <w:szCs w:val="21"/>
                    </w:rPr>
                    <w:t>1.0%</w:t>
                  </w:r>
                </w:p>
              </w:tc>
            </w:tr>
            <w:tr w14:paraId="3967D7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 w:hRule="atLeast"/>
              </w:trPr>
              <w:tc>
                <w:tcPr>
                  <w:tcW w:w="1502" w:type="pct"/>
                  <w:noWrap w:val="0"/>
                  <w:vAlign w:val="center"/>
                </w:tcPr>
                <w:p w14:paraId="57AACD8B">
                  <w:pPr>
                    <w:pStyle w:val="84"/>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pacing w:val="-5"/>
                      <w:sz w:val="21"/>
                      <w:szCs w:val="21"/>
                    </w:rPr>
                    <w:t>100-500</w:t>
                  </w:r>
                </w:p>
              </w:tc>
              <w:tc>
                <w:tcPr>
                  <w:tcW w:w="988" w:type="pct"/>
                  <w:noWrap w:val="0"/>
                  <w:vAlign w:val="center"/>
                </w:tcPr>
                <w:p w14:paraId="4CB56FBE">
                  <w:pPr>
                    <w:pStyle w:val="84"/>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宋体" w:hAnsi="宋体" w:eastAsia="宋体" w:cs="宋体"/>
                      <w:color w:val="auto"/>
                      <w:sz w:val="21"/>
                      <w:szCs w:val="21"/>
                    </w:rPr>
                  </w:pPr>
                  <w:r>
                    <w:rPr>
                      <w:rFonts w:hint="eastAsia" w:ascii="宋体" w:hAnsi="宋体" w:eastAsia="宋体" w:cs="宋体"/>
                      <w:color w:val="auto"/>
                      <w:spacing w:val="-4"/>
                      <w:position w:val="2"/>
                      <w:sz w:val="21"/>
                      <w:szCs w:val="21"/>
                    </w:rPr>
                    <w:t>1.1%</w:t>
                  </w:r>
                </w:p>
              </w:tc>
              <w:tc>
                <w:tcPr>
                  <w:tcW w:w="1252" w:type="pct"/>
                  <w:noWrap w:val="0"/>
                  <w:vAlign w:val="center"/>
                </w:tcPr>
                <w:p w14:paraId="6D6EBE3C">
                  <w:pPr>
                    <w:pStyle w:val="84"/>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宋体" w:hAnsi="宋体" w:eastAsia="宋体" w:cs="宋体"/>
                      <w:color w:val="auto"/>
                      <w:sz w:val="21"/>
                      <w:szCs w:val="21"/>
                    </w:rPr>
                  </w:pPr>
                  <w:r>
                    <w:rPr>
                      <w:rFonts w:hint="eastAsia" w:ascii="宋体" w:hAnsi="宋体" w:eastAsia="宋体" w:cs="宋体"/>
                      <w:color w:val="auto"/>
                      <w:spacing w:val="1"/>
                      <w:position w:val="2"/>
                      <w:sz w:val="21"/>
                      <w:szCs w:val="21"/>
                    </w:rPr>
                    <w:t>0.8%</w:t>
                  </w:r>
                </w:p>
              </w:tc>
              <w:tc>
                <w:tcPr>
                  <w:tcW w:w="1256" w:type="pct"/>
                  <w:noWrap w:val="0"/>
                  <w:vAlign w:val="center"/>
                </w:tcPr>
                <w:p w14:paraId="4689B8B8">
                  <w:pPr>
                    <w:pStyle w:val="84"/>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宋体" w:hAnsi="宋体" w:eastAsia="宋体" w:cs="宋体"/>
                      <w:color w:val="auto"/>
                      <w:sz w:val="21"/>
                      <w:szCs w:val="21"/>
                    </w:rPr>
                  </w:pPr>
                  <w:r>
                    <w:rPr>
                      <w:rFonts w:hint="eastAsia" w:ascii="宋体" w:hAnsi="宋体" w:eastAsia="宋体" w:cs="宋体"/>
                      <w:color w:val="auto"/>
                      <w:spacing w:val="1"/>
                      <w:position w:val="2"/>
                      <w:sz w:val="21"/>
                      <w:szCs w:val="21"/>
                    </w:rPr>
                    <w:t>0.7%</w:t>
                  </w:r>
                </w:p>
              </w:tc>
            </w:tr>
            <w:tr w14:paraId="03A4AC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 w:hRule="atLeast"/>
              </w:trPr>
              <w:tc>
                <w:tcPr>
                  <w:tcW w:w="1502" w:type="pct"/>
                  <w:noWrap w:val="0"/>
                  <w:vAlign w:val="center"/>
                </w:tcPr>
                <w:p w14:paraId="0FBA1054">
                  <w:pPr>
                    <w:pStyle w:val="84"/>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pacing w:val="-2"/>
                      <w:sz w:val="21"/>
                      <w:szCs w:val="21"/>
                    </w:rPr>
                    <w:t>500-1000</w:t>
                  </w:r>
                </w:p>
              </w:tc>
              <w:tc>
                <w:tcPr>
                  <w:tcW w:w="988" w:type="pct"/>
                  <w:noWrap w:val="0"/>
                  <w:vAlign w:val="center"/>
                </w:tcPr>
                <w:p w14:paraId="7454D570">
                  <w:pPr>
                    <w:pStyle w:val="84"/>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宋体" w:hAnsi="宋体" w:eastAsia="宋体" w:cs="宋体"/>
                      <w:color w:val="auto"/>
                      <w:sz w:val="21"/>
                      <w:szCs w:val="21"/>
                    </w:rPr>
                  </w:pPr>
                  <w:r>
                    <w:rPr>
                      <w:rFonts w:hint="eastAsia" w:ascii="宋体" w:hAnsi="宋体" w:eastAsia="宋体" w:cs="宋体"/>
                      <w:color w:val="auto"/>
                      <w:spacing w:val="1"/>
                      <w:position w:val="2"/>
                      <w:sz w:val="21"/>
                      <w:szCs w:val="21"/>
                    </w:rPr>
                    <w:t>0.8%</w:t>
                  </w:r>
                </w:p>
              </w:tc>
              <w:tc>
                <w:tcPr>
                  <w:tcW w:w="1252" w:type="pct"/>
                  <w:noWrap w:val="0"/>
                  <w:vAlign w:val="center"/>
                </w:tcPr>
                <w:p w14:paraId="40C747C3">
                  <w:pPr>
                    <w:pStyle w:val="84"/>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宋体" w:hAnsi="宋体" w:eastAsia="宋体" w:cs="宋体"/>
                      <w:color w:val="auto"/>
                      <w:sz w:val="21"/>
                      <w:szCs w:val="21"/>
                    </w:rPr>
                  </w:pPr>
                  <w:r>
                    <w:rPr>
                      <w:rFonts w:hint="eastAsia" w:ascii="宋体" w:hAnsi="宋体" w:eastAsia="宋体" w:cs="宋体"/>
                      <w:color w:val="auto"/>
                      <w:spacing w:val="-2"/>
                      <w:position w:val="2"/>
                      <w:sz w:val="21"/>
                      <w:szCs w:val="21"/>
                    </w:rPr>
                    <w:t>0.45%</w:t>
                  </w:r>
                </w:p>
              </w:tc>
              <w:tc>
                <w:tcPr>
                  <w:tcW w:w="1256" w:type="pct"/>
                  <w:noWrap w:val="0"/>
                  <w:vAlign w:val="center"/>
                </w:tcPr>
                <w:p w14:paraId="3AD3DD21">
                  <w:pPr>
                    <w:pStyle w:val="84"/>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宋体" w:hAnsi="宋体" w:eastAsia="宋体" w:cs="宋体"/>
                      <w:color w:val="auto"/>
                      <w:sz w:val="21"/>
                      <w:szCs w:val="21"/>
                    </w:rPr>
                  </w:pPr>
                  <w:r>
                    <w:rPr>
                      <w:rFonts w:hint="eastAsia" w:ascii="宋体" w:hAnsi="宋体" w:eastAsia="宋体" w:cs="宋体"/>
                      <w:color w:val="auto"/>
                      <w:spacing w:val="-2"/>
                      <w:position w:val="2"/>
                      <w:sz w:val="21"/>
                      <w:szCs w:val="21"/>
                    </w:rPr>
                    <w:t>0.55%</w:t>
                  </w:r>
                </w:p>
              </w:tc>
            </w:tr>
            <w:tr w14:paraId="4E424E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 w:hRule="atLeast"/>
              </w:trPr>
              <w:tc>
                <w:tcPr>
                  <w:tcW w:w="1502" w:type="pct"/>
                  <w:noWrap w:val="0"/>
                  <w:vAlign w:val="center"/>
                </w:tcPr>
                <w:p w14:paraId="75327A97">
                  <w:pPr>
                    <w:pStyle w:val="84"/>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pacing w:val="-4"/>
                      <w:sz w:val="21"/>
                      <w:szCs w:val="21"/>
                    </w:rPr>
                    <w:t>1000-5000</w:t>
                  </w:r>
                </w:p>
              </w:tc>
              <w:tc>
                <w:tcPr>
                  <w:tcW w:w="988" w:type="pct"/>
                  <w:noWrap w:val="0"/>
                  <w:vAlign w:val="center"/>
                </w:tcPr>
                <w:p w14:paraId="25CBB211">
                  <w:pPr>
                    <w:pStyle w:val="84"/>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宋体" w:hAnsi="宋体" w:eastAsia="宋体" w:cs="宋体"/>
                      <w:color w:val="auto"/>
                      <w:sz w:val="21"/>
                      <w:szCs w:val="21"/>
                    </w:rPr>
                  </w:pPr>
                  <w:r>
                    <w:rPr>
                      <w:rFonts w:hint="eastAsia" w:ascii="宋体" w:hAnsi="宋体" w:eastAsia="宋体" w:cs="宋体"/>
                      <w:color w:val="auto"/>
                      <w:spacing w:val="1"/>
                      <w:position w:val="2"/>
                      <w:sz w:val="21"/>
                      <w:szCs w:val="21"/>
                    </w:rPr>
                    <w:t>0.5%</w:t>
                  </w:r>
                </w:p>
              </w:tc>
              <w:tc>
                <w:tcPr>
                  <w:tcW w:w="1252" w:type="pct"/>
                  <w:noWrap w:val="0"/>
                  <w:vAlign w:val="center"/>
                </w:tcPr>
                <w:p w14:paraId="65B2C997">
                  <w:pPr>
                    <w:pStyle w:val="84"/>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宋体" w:hAnsi="宋体" w:eastAsia="宋体" w:cs="宋体"/>
                      <w:color w:val="auto"/>
                      <w:sz w:val="21"/>
                      <w:szCs w:val="21"/>
                    </w:rPr>
                  </w:pPr>
                  <w:r>
                    <w:rPr>
                      <w:rFonts w:hint="eastAsia" w:ascii="宋体" w:hAnsi="宋体" w:eastAsia="宋体" w:cs="宋体"/>
                      <w:color w:val="auto"/>
                      <w:spacing w:val="-2"/>
                      <w:position w:val="2"/>
                      <w:sz w:val="21"/>
                      <w:szCs w:val="21"/>
                    </w:rPr>
                    <w:t>0.25%</w:t>
                  </w:r>
                </w:p>
              </w:tc>
              <w:tc>
                <w:tcPr>
                  <w:tcW w:w="1256" w:type="pct"/>
                  <w:noWrap w:val="0"/>
                  <w:vAlign w:val="center"/>
                </w:tcPr>
                <w:p w14:paraId="02796ADF">
                  <w:pPr>
                    <w:pStyle w:val="84"/>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宋体" w:hAnsi="宋体" w:eastAsia="宋体" w:cs="宋体"/>
                      <w:color w:val="auto"/>
                      <w:sz w:val="21"/>
                      <w:szCs w:val="21"/>
                    </w:rPr>
                  </w:pPr>
                  <w:r>
                    <w:rPr>
                      <w:rFonts w:hint="eastAsia" w:ascii="宋体" w:hAnsi="宋体" w:eastAsia="宋体" w:cs="宋体"/>
                      <w:color w:val="auto"/>
                      <w:spacing w:val="-2"/>
                      <w:position w:val="2"/>
                      <w:sz w:val="21"/>
                      <w:szCs w:val="21"/>
                    </w:rPr>
                    <w:t>0.35%</w:t>
                  </w:r>
                </w:p>
              </w:tc>
            </w:tr>
            <w:tr w14:paraId="1CDD11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502" w:type="pct"/>
                  <w:noWrap w:val="0"/>
                  <w:vAlign w:val="center"/>
                </w:tcPr>
                <w:p w14:paraId="69550DF2">
                  <w:pPr>
                    <w:pStyle w:val="84"/>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pacing w:val="-2"/>
                      <w:sz w:val="21"/>
                      <w:szCs w:val="21"/>
                    </w:rPr>
                    <w:t>5000-10000</w:t>
                  </w:r>
                </w:p>
              </w:tc>
              <w:tc>
                <w:tcPr>
                  <w:tcW w:w="988" w:type="pct"/>
                  <w:noWrap w:val="0"/>
                  <w:vAlign w:val="center"/>
                </w:tcPr>
                <w:p w14:paraId="7F0B9129">
                  <w:pPr>
                    <w:pStyle w:val="84"/>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宋体" w:hAnsi="宋体" w:eastAsia="宋体" w:cs="宋体"/>
                      <w:color w:val="auto"/>
                      <w:sz w:val="21"/>
                      <w:szCs w:val="21"/>
                    </w:rPr>
                  </w:pPr>
                  <w:r>
                    <w:rPr>
                      <w:rFonts w:hint="eastAsia" w:ascii="宋体" w:hAnsi="宋体" w:eastAsia="宋体" w:cs="宋体"/>
                      <w:color w:val="auto"/>
                      <w:spacing w:val="-2"/>
                      <w:position w:val="2"/>
                      <w:sz w:val="21"/>
                      <w:szCs w:val="21"/>
                    </w:rPr>
                    <w:t>0.25%</w:t>
                  </w:r>
                </w:p>
              </w:tc>
              <w:tc>
                <w:tcPr>
                  <w:tcW w:w="1252" w:type="pct"/>
                  <w:noWrap w:val="0"/>
                  <w:vAlign w:val="center"/>
                </w:tcPr>
                <w:p w14:paraId="1312349A">
                  <w:pPr>
                    <w:pStyle w:val="84"/>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宋体" w:hAnsi="宋体" w:eastAsia="宋体" w:cs="宋体"/>
                      <w:color w:val="auto"/>
                      <w:sz w:val="21"/>
                      <w:szCs w:val="21"/>
                    </w:rPr>
                  </w:pPr>
                  <w:r>
                    <w:rPr>
                      <w:rFonts w:hint="eastAsia" w:ascii="宋体" w:hAnsi="宋体" w:eastAsia="宋体" w:cs="宋体"/>
                      <w:color w:val="auto"/>
                      <w:spacing w:val="1"/>
                      <w:position w:val="2"/>
                      <w:sz w:val="21"/>
                      <w:szCs w:val="21"/>
                    </w:rPr>
                    <w:t>0.1%</w:t>
                  </w:r>
                </w:p>
              </w:tc>
              <w:tc>
                <w:tcPr>
                  <w:tcW w:w="1256" w:type="pct"/>
                  <w:noWrap w:val="0"/>
                  <w:vAlign w:val="center"/>
                </w:tcPr>
                <w:p w14:paraId="49DBD76D">
                  <w:pPr>
                    <w:pStyle w:val="84"/>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宋体" w:hAnsi="宋体" w:eastAsia="宋体" w:cs="宋体"/>
                      <w:color w:val="auto"/>
                      <w:sz w:val="21"/>
                      <w:szCs w:val="21"/>
                    </w:rPr>
                  </w:pPr>
                  <w:r>
                    <w:rPr>
                      <w:rFonts w:hint="eastAsia" w:ascii="宋体" w:hAnsi="宋体" w:eastAsia="宋体" w:cs="宋体"/>
                      <w:color w:val="auto"/>
                      <w:spacing w:val="1"/>
                      <w:position w:val="2"/>
                      <w:sz w:val="21"/>
                      <w:szCs w:val="21"/>
                    </w:rPr>
                    <w:t>0.2%</w:t>
                  </w:r>
                </w:p>
              </w:tc>
            </w:tr>
            <w:tr w14:paraId="46A84B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 w:hRule="atLeast"/>
              </w:trPr>
              <w:tc>
                <w:tcPr>
                  <w:tcW w:w="1502" w:type="pct"/>
                  <w:noWrap w:val="0"/>
                  <w:vAlign w:val="center"/>
                </w:tcPr>
                <w:p w14:paraId="1B4E0E6A">
                  <w:pPr>
                    <w:pStyle w:val="84"/>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pacing w:val="-3"/>
                      <w:sz w:val="21"/>
                      <w:szCs w:val="21"/>
                    </w:rPr>
                    <w:t>10000-100000</w:t>
                  </w:r>
                </w:p>
              </w:tc>
              <w:tc>
                <w:tcPr>
                  <w:tcW w:w="988" w:type="pct"/>
                  <w:noWrap w:val="0"/>
                  <w:vAlign w:val="center"/>
                </w:tcPr>
                <w:p w14:paraId="7FB25264">
                  <w:pPr>
                    <w:pStyle w:val="84"/>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宋体" w:hAnsi="宋体" w:eastAsia="宋体" w:cs="宋体"/>
                      <w:color w:val="auto"/>
                      <w:sz w:val="21"/>
                      <w:szCs w:val="21"/>
                    </w:rPr>
                  </w:pPr>
                  <w:r>
                    <w:rPr>
                      <w:rFonts w:hint="eastAsia" w:ascii="宋体" w:hAnsi="宋体" w:eastAsia="宋体" w:cs="宋体"/>
                      <w:color w:val="auto"/>
                      <w:spacing w:val="-2"/>
                      <w:position w:val="2"/>
                      <w:sz w:val="21"/>
                      <w:szCs w:val="21"/>
                    </w:rPr>
                    <w:t>0.05%</w:t>
                  </w:r>
                </w:p>
              </w:tc>
              <w:tc>
                <w:tcPr>
                  <w:tcW w:w="1252" w:type="pct"/>
                  <w:noWrap w:val="0"/>
                  <w:vAlign w:val="center"/>
                </w:tcPr>
                <w:p w14:paraId="0B7E1631">
                  <w:pPr>
                    <w:pStyle w:val="84"/>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宋体" w:hAnsi="宋体" w:eastAsia="宋体" w:cs="宋体"/>
                      <w:color w:val="auto"/>
                      <w:sz w:val="21"/>
                      <w:szCs w:val="21"/>
                    </w:rPr>
                  </w:pPr>
                  <w:r>
                    <w:rPr>
                      <w:rFonts w:hint="eastAsia" w:ascii="宋体" w:hAnsi="宋体" w:eastAsia="宋体" w:cs="宋体"/>
                      <w:color w:val="auto"/>
                      <w:spacing w:val="-2"/>
                      <w:position w:val="2"/>
                      <w:sz w:val="21"/>
                      <w:szCs w:val="21"/>
                    </w:rPr>
                    <w:t>0.05%</w:t>
                  </w:r>
                </w:p>
              </w:tc>
              <w:tc>
                <w:tcPr>
                  <w:tcW w:w="1256" w:type="pct"/>
                  <w:noWrap w:val="0"/>
                  <w:vAlign w:val="center"/>
                </w:tcPr>
                <w:p w14:paraId="23F58987">
                  <w:pPr>
                    <w:pStyle w:val="84"/>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宋体" w:hAnsi="宋体" w:eastAsia="宋体" w:cs="宋体"/>
                      <w:color w:val="auto"/>
                      <w:sz w:val="21"/>
                      <w:szCs w:val="21"/>
                    </w:rPr>
                  </w:pPr>
                  <w:r>
                    <w:rPr>
                      <w:rFonts w:hint="eastAsia" w:ascii="宋体" w:hAnsi="宋体" w:eastAsia="宋体" w:cs="宋体"/>
                      <w:color w:val="auto"/>
                      <w:spacing w:val="-2"/>
                      <w:position w:val="2"/>
                      <w:sz w:val="21"/>
                      <w:szCs w:val="21"/>
                    </w:rPr>
                    <w:t>0.05%</w:t>
                  </w:r>
                </w:p>
              </w:tc>
            </w:tr>
            <w:tr w14:paraId="148ADC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0" w:hRule="atLeast"/>
              </w:trPr>
              <w:tc>
                <w:tcPr>
                  <w:tcW w:w="1502" w:type="pct"/>
                  <w:noWrap w:val="0"/>
                  <w:vAlign w:val="center"/>
                </w:tcPr>
                <w:p w14:paraId="433E04B6">
                  <w:pPr>
                    <w:pStyle w:val="84"/>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pacing w:val="-8"/>
                      <w:sz w:val="21"/>
                      <w:szCs w:val="21"/>
                    </w:rPr>
                    <w:t>1000000以上</w:t>
                  </w:r>
                </w:p>
              </w:tc>
              <w:tc>
                <w:tcPr>
                  <w:tcW w:w="988" w:type="pct"/>
                  <w:noWrap w:val="0"/>
                  <w:vAlign w:val="center"/>
                </w:tcPr>
                <w:p w14:paraId="1C132A14">
                  <w:pPr>
                    <w:pStyle w:val="84"/>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宋体" w:hAnsi="宋体" w:eastAsia="宋体" w:cs="宋体"/>
                      <w:color w:val="auto"/>
                      <w:sz w:val="21"/>
                      <w:szCs w:val="21"/>
                    </w:rPr>
                  </w:pPr>
                  <w:r>
                    <w:rPr>
                      <w:rFonts w:hint="eastAsia" w:ascii="宋体" w:hAnsi="宋体" w:eastAsia="宋体" w:cs="宋体"/>
                      <w:color w:val="auto"/>
                      <w:spacing w:val="-2"/>
                      <w:position w:val="2"/>
                      <w:sz w:val="21"/>
                      <w:szCs w:val="21"/>
                    </w:rPr>
                    <w:t>0.01%</w:t>
                  </w:r>
                </w:p>
              </w:tc>
              <w:tc>
                <w:tcPr>
                  <w:tcW w:w="1252" w:type="pct"/>
                  <w:noWrap w:val="0"/>
                  <w:vAlign w:val="center"/>
                </w:tcPr>
                <w:p w14:paraId="65755547">
                  <w:pPr>
                    <w:pStyle w:val="84"/>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宋体" w:hAnsi="宋体" w:eastAsia="宋体" w:cs="宋体"/>
                      <w:color w:val="auto"/>
                      <w:sz w:val="21"/>
                      <w:szCs w:val="21"/>
                    </w:rPr>
                  </w:pPr>
                  <w:r>
                    <w:rPr>
                      <w:rFonts w:hint="eastAsia" w:ascii="宋体" w:hAnsi="宋体" w:eastAsia="宋体" w:cs="宋体"/>
                      <w:color w:val="auto"/>
                      <w:spacing w:val="-2"/>
                      <w:position w:val="2"/>
                      <w:sz w:val="21"/>
                      <w:szCs w:val="21"/>
                    </w:rPr>
                    <w:t>0.01%</w:t>
                  </w:r>
                </w:p>
              </w:tc>
              <w:tc>
                <w:tcPr>
                  <w:tcW w:w="1256" w:type="pct"/>
                  <w:noWrap w:val="0"/>
                  <w:vAlign w:val="center"/>
                </w:tcPr>
                <w:p w14:paraId="2745D7CC">
                  <w:pPr>
                    <w:pStyle w:val="84"/>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宋体" w:hAnsi="宋体" w:eastAsia="宋体" w:cs="宋体"/>
                      <w:color w:val="auto"/>
                      <w:sz w:val="21"/>
                      <w:szCs w:val="21"/>
                    </w:rPr>
                  </w:pPr>
                  <w:r>
                    <w:rPr>
                      <w:rFonts w:hint="eastAsia" w:ascii="宋体" w:hAnsi="宋体" w:eastAsia="宋体" w:cs="宋体"/>
                      <w:color w:val="auto"/>
                      <w:spacing w:val="-2"/>
                      <w:position w:val="2"/>
                      <w:sz w:val="21"/>
                      <w:szCs w:val="21"/>
                    </w:rPr>
                    <w:t>0.01%</w:t>
                  </w:r>
                </w:p>
              </w:tc>
            </w:tr>
          </w:tbl>
          <w:p w14:paraId="093B2938">
            <w:pPr>
              <w:pStyle w:val="49"/>
              <w:keepNext w:val="0"/>
              <w:keepLines w:val="0"/>
              <w:pageBreakBefore w:val="0"/>
              <w:kinsoku/>
              <w:wordWrap/>
              <w:overflowPunct/>
              <w:topLinePunct w:val="0"/>
              <w:bidi w:val="0"/>
              <w:snapToGrid/>
              <w:spacing w:line="390" w:lineRule="exact"/>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rPr>
              <w:t>3.</w:t>
            </w:r>
            <w:r>
              <w:rPr>
                <w:rFonts w:hint="eastAsia" w:ascii="宋体" w:hAnsi="宋体" w:eastAsia="宋体" w:cs="宋体"/>
                <w:i w:val="0"/>
                <w:iCs w:val="0"/>
                <w:color w:val="auto"/>
                <w:sz w:val="24"/>
                <w:szCs w:val="24"/>
                <w:highlight w:val="none"/>
                <w:lang w:val="en-US" w:eastAsia="zh-CN"/>
              </w:rPr>
              <w:t>收取</w:t>
            </w:r>
            <w:r>
              <w:rPr>
                <w:rFonts w:hint="eastAsia" w:ascii="宋体" w:hAnsi="宋体" w:eastAsia="宋体" w:cs="宋体"/>
                <w:i w:val="0"/>
                <w:iCs w:val="0"/>
                <w:color w:val="auto"/>
                <w:sz w:val="24"/>
                <w:szCs w:val="24"/>
                <w:highlight w:val="none"/>
              </w:rPr>
              <w:t>时间：</w:t>
            </w:r>
            <w:r>
              <w:rPr>
                <w:rFonts w:hint="eastAsia" w:cs="宋体"/>
                <w:i w:val="0"/>
                <w:iCs w:val="0"/>
                <w:color w:val="auto"/>
                <w:sz w:val="24"/>
                <w:szCs w:val="24"/>
                <w:highlight w:val="none"/>
                <w:lang w:val="en-US" w:eastAsia="zh-CN"/>
              </w:rPr>
              <w:t>/</w:t>
            </w:r>
          </w:p>
          <w:p w14:paraId="5BAAA18E">
            <w:pPr>
              <w:pStyle w:val="49"/>
              <w:keepNext w:val="0"/>
              <w:keepLines w:val="0"/>
              <w:pageBreakBefore w:val="0"/>
              <w:kinsoku/>
              <w:wordWrap/>
              <w:overflowPunct/>
              <w:topLinePunct w:val="0"/>
              <w:bidi w:val="0"/>
              <w:snapToGrid/>
              <w:spacing w:line="390" w:lineRule="exact"/>
              <w:textAlignment w:val="auto"/>
              <w:rPr>
                <w:rFonts w:hint="eastAsia" w:ascii="宋体" w:hAnsi="宋体" w:eastAsia="宋体" w:cs="宋体"/>
                <w:color w:val="auto"/>
                <w:sz w:val="24"/>
                <w:szCs w:val="24"/>
                <w:highlight w:val="none"/>
              </w:rPr>
            </w:pPr>
            <w:r>
              <w:rPr>
                <w:rFonts w:hint="eastAsia" w:ascii="宋体" w:hAnsi="宋体" w:eastAsia="宋体" w:cs="宋体"/>
                <w:i w:val="0"/>
                <w:iCs w:val="0"/>
                <w:color w:val="auto"/>
                <w:sz w:val="24"/>
                <w:szCs w:val="24"/>
                <w:highlight w:val="none"/>
              </w:rPr>
              <w:t>4.</w:t>
            </w:r>
            <w:r>
              <w:rPr>
                <w:rFonts w:hint="eastAsia" w:ascii="宋体" w:hAnsi="宋体" w:eastAsia="宋体" w:cs="宋体"/>
                <w:i w:val="0"/>
                <w:iCs w:val="0"/>
                <w:color w:val="auto"/>
                <w:sz w:val="24"/>
                <w:szCs w:val="24"/>
                <w:highlight w:val="none"/>
                <w:lang w:val="en-US" w:eastAsia="zh-CN"/>
              </w:rPr>
              <w:t>收取</w:t>
            </w:r>
            <w:r>
              <w:rPr>
                <w:rFonts w:hint="eastAsia" w:ascii="宋体" w:hAnsi="宋体" w:eastAsia="宋体" w:cs="宋体"/>
                <w:i w:val="0"/>
                <w:iCs w:val="0"/>
                <w:color w:val="auto"/>
                <w:sz w:val="24"/>
                <w:szCs w:val="24"/>
                <w:highlight w:val="none"/>
              </w:rPr>
              <w:t>方式：</w:t>
            </w:r>
            <w:r>
              <w:rPr>
                <w:rFonts w:hint="eastAsia" w:cs="宋体"/>
                <w:i w:val="0"/>
                <w:iCs w:val="0"/>
                <w:color w:val="auto"/>
                <w:sz w:val="24"/>
                <w:szCs w:val="24"/>
                <w:highlight w:val="none"/>
                <w:lang w:val="en-US" w:eastAsia="zh-CN"/>
              </w:rPr>
              <w:t>电汇</w:t>
            </w:r>
          </w:p>
        </w:tc>
      </w:tr>
      <w:tr w14:paraId="30DE59A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742" w:hRule="atLeast"/>
        </w:trPr>
        <w:tc>
          <w:tcPr>
            <w:tcW w:w="975" w:type="dxa"/>
            <w:vAlign w:val="center"/>
          </w:tcPr>
          <w:p w14:paraId="6F1BF374">
            <w:pPr>
              <w:pStyle w:val="49"/>
              <w:keepNext w:val="0"/>
              <w:keepLines w:val="0"/>
              <w:pageBreakBefore w:val="0"/>
              <w:kinsoku/>
              <w:wordWrap/>
              <w:overflowPunct/>
              <w:topLinePunct w:val="0"/>
              <w:bidi w:val="0"/>
              <w:snapToGrid/>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.1</w:t>
            </w:r>
          </w:p>
        </w:tc>
        <w:tc>
          <w:tcPr>
            <w:tcW w:w="1764" w:type="dxa"/>
            <w:vAlign w:val="center"/>
          </w:tcPr>
          <w:p w14:paraId="5D860FC6">
            <w:pPr>
              <w:pStyle w:val="49"/>
              <w:keepNext w:val="0"/>
              <w:keepLines w:val="0"/>
              <w:pageBreakBefore w:val="0"/>
              <w:kinsoku/>
              <w:wordWrap/>
              <w:overflowPunct/>
              <w:topLinePunct w:val="0"/>
              <w:bidi w:val="0"/>
              <w:snapToGrid/>
              <w:spacing w:line="39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是否接受进口产品</w:t>
            </w:r>
          </w:p>
        </w:tc>
        <w:tc>
          <w:tcPr>
            <w:tcW w:w="6720" w:type="dxa"/>
            <w:vAlign w:val="center"/>
          </w:tcPr>
          <w:p w14:paraId="438B47DA">
            <w:pPr>
              <w:pStyle w:val="49"/>
              <w:keepNext w:val="0"/>
              <w:keepLines w:val="0"/>
              <w:pageBreakBefore w:val="0"/>
              <w:kinsoku/>
              <w:wordWrap/>
              <w:overflowPunct/>
              <w:topLinePunct w:val="0"/>
              <w:bidi w:val="0"/>
              <w:snapToGrid/>
              <w:spacing w:line="39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不接受</w:t>
            </w:r>
          </w:p>
          <w:p w14:paraId="1481386A">
            <w:pPr>
              <w:pStyle w:val="49"/>
              <w:keepNext w:val="0"/>
              <w:keepLines w:val="0"/>
              <w:pageBreakBefore w:val="0"/>
              <w:kinsoku/>
              <w:wordWrap/>
              <w:overflowPunct/>
              <w:topLinePunct w:val="0"/>
              <w:autoSpaceDE/>
              <w:autoSpaceDN/>
              <w:bidi w:val="0"/>
              <w:adjustRightInd/>
              <w:snapToGrid/>
              <w:spacing w:line="380" w:lineRule="exac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lang w:val="zh-CN"/>
              </w:rPr>
              <w:t>接受</w:t>
            </w:r>
          </w:p>
          <w:p w14:paraId="6C0D50F2">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auto"/>
              <w:rPr>
                <w:color w:val="auto"/>
              </w:rPr>
            </w:pPr>
            <w:r>
              <w:rPr>
                <w:rFonts w:hint="eastAsia" w:ascii="宋体" w:hAnsi="宋体" w:eastAsia="宋体" w:cs="宋体"/>
                <w:color w:val="auto"/>
                <w:kern w:val="0"/>
                <w:sz w:val="24"/>
                <w:szCs w:val="24"/>
                <w:lang w:val="en-US" w:eastAsia="zh-CN" w:bidi="ar"/>
              </w:rPr>
              <w:t xml:space="preserve">根据兵财库[2025]78号文《关于贯彻实施本国产品标准及相关政策的通知》其中国产产品的界定如下： </w:t>
            </w:r>
          </w:p>
          <w:p w14:paraId="24358F98">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auto"/>
              <w:rPr>
                <w:color w:val="auto"/>
              </w:rPr>
            </w:pPr>
            <w:r>
              <w:rPr>
                <w:rFonts w:hint="eastAsia" w:ascii="宋体" w:hAnsi="宋体" w:eastAsia="宋体" w:cs="宋体"/>
                <w:color w:val="auto"/>
                <w:kern w:val="0"/>
                <w:sz w:val="24"/>
                <w:szCs w:val="24"/>
                <w:lang w:val="en-US" w:eastAsia="zh-CN" w:bidi="ar"/>
              </w:rPr>
              <w:t xml:space="preserve">1.境内生产界定。产品需在中华人民共和国关境内(含保税区、综合保税区等海关特殊监管区域)完成从原材料、组件到成品的制造、加工或组装，从而产生新的产品属性。仅进行包装、贴牌、简单处理等不改变产品核心属性的操作，不视为境内生产。 </w:t>
            </w:r>
          </w:p>
          <w:p w14:paraId="673B4559">
            <w:pPr>
              <w:pStyle w:val="49"/>
              <w:keepNext w:val="0"/>
              <w:keepLines w:val="0"/>
              <w:pageBreakBefore w:val="0"/>
              <w:kinsoku/>
              <w:wordWrap/>
              <w:overflowPunct/>
              <w:topLinePunct w:val="0"/>
              <w:autoSpaceDE/>
              <w:autoSpaceDN/>
              <w:bidi w:val="0"/>
              <w:adjustRightInd/>
              <w:snapToGrid/>
              <w:spacing w:line="380" w:lineRule="exac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kern w:val="0"/>
                <w:sz w:val="24"/>
                <w:szCs w:val="24"/>
                <w:lang w:val="en-US" w:eastAsia="zh-CN" w:bidi="ar"/>
              </w:rPr>
              <w:t>2.组件成本占比要求。产品在境内生产的组件成本应达到财政部会同相关部门确定的总成本规定比例(具体产品目录及比例标准按国家后续发布的规定执行)。在分产品目录及比例标准正式实施前的过渡期内，符合境内生产条件的产品，可视同本国产品。</w:t>
            </w:r>
          </w:p>
        </w:tc>
      </w:tr>
      <w:tr w14:paraId="2539FC1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trPr>
        <w:tc>
          <w:tcPr>
            <w:tcW w:w="975" w:type="dxa"/>
            <w:vAlign w:val="center"/>
          </w:tcPr>
          <w:p w14:paraId="06648806">
            <w:pPr>
              <w:pStyle w:val="49"/>
              <w:keepNext w:val="0"/>
              <w:keepLines w:val="0"/>
              <w:pageBreakBefore w:val="0"/>
              <w:kinsoku/>
              <w:wordWrap/>
              <w:overflowPunct/>
              <w:topLinePunct w:val="0"/>
              <w:bidi w:val="0"/>
              <w:snapToGrid/>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2</w:t>
            </w:r>
          </w:p>
        </w:tc>
        <w:tc>
          <w:tcPr>
            <w:tcW w:w="1764" w:type="dxa"/>
            <w:vAlign w:val="center"/>
          </w:tcPr>
          <w:p w14:paraId="34AA4482">
            <w:pPr>
              <w:pStyle w:val="49"/>
              <w:keepNext w:val="0"/>
              <w:keepLines w:val="0"/>
              <w:pageBreakBefore w:val="0"/>
              <w:kinsoku/>
              <w:wordWrap/>
              <w:overflowPunct/>
              <w:topLinePunct w:val="0"/>
              <w:bidi w:val="0"/>
              <w:snapToGrid/>
              <w:spacing w:line="39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支持中小企业政策</w:t>
            </w:r>
            <w:r>
              <w:rPr>
                <w:rStyle w:val="33"/>
                <w:rFonts w:hint="eastAsia" w:ascii="宋体" w:hAnsi="宋体" w:eastAsia="宋体" w:cs="宋体"/>
                <w:b w:val="0"/>
                <w:color w:val="auto"/>
                <w:sz w:val="24"/>
                <w:szCs w:val="24"/>
                <w:highlight w:val="none"/>
                <w:lang w:val="en-US" w:eastAsia="zh-CN"/>
              </w:rPr>
              <w:t>（非专门面向中小企业采购项目适用）</w:t>
            </w:r>
          </w:p>
        </w:tc>
        <w:tc>
          <w:tcPr>
            <w:tcW w:w="6720" w:type="dxa"/>
            <w:vAlign w:val="center"/>
          </w:tcPr>
          <w:p w14:paraId="627D07F9">
            <w:pPr>
              <w:pStyle w:val="73"/>
              <w:keepNext w:val="0"/>
              <w:keepLines w:val="0"/>
              <w:pageBreakBefore w:val="0"/>
              <w:widowControl w:val="0"/>
              <w:numPr>
                <w:ilvl w:val="0"/>
                <w:numId w:val="8"/>
              </w:numPr>
              <w:kinsoku/>
              <w:wordWrap/>
              <w:overflowPunct/>
              <w:topLinePunct w:val="0"/>
              <w:autoSpaceDE/>
              <w:autoSpaceDN/>
              <w:bidi w:val="0"/>
              <w:adjustRightInd/>
              <w:snapToGrid/>
              <w:spacing w:before="0" w:beforeAutospacing="0" w:after="0" w:afterAutospacing="0" w:line="380" w:lineRule="exact"/>
              <w:jc w:val="both"/>
              <w:textAlignment w:val="auto"/>
              <w:rPr>
                <w:rFonts w:hint="eastAsia" w:ascii="宋体" w:hAnsi="宋体" w:eastAsia="宋体" w:cs="宋体"/>
                <w:b w:val="0"/>
                <w:i w:val="0"/>
                <w:iCs w:val="0"/>
                <w:color w:val="auto"/>
                <w:sz w:val="24"/>
                <w:szCs w:val="24"/>
                <w:highlight w:val="none"/>
              </w:rPr>
            </w:pPr>
            <w:r>
              <w:rPr>
                <w:rFonts w:hint="eastAsia" w:ascii="宋体" w:hAnsi="宋体" w:eastAsia="宋体" w:cs="宋体"/>
                <w:b w:val="0"/>
                <w:i w:val="0"/>
                <w:iCs w:val="0"/>
                <w:color w:val="auto"/>
                <w:sz w:val="24"/>
                <w:szCs w:val="24"/>
                <w:highlight w:val="none"/>
              </w:rPr>
              <w:t>小型和微型企业价格扣除：</w:t>
            </w:r>
            <w:r>
              <w:rPr>
                <w:rFonts w:hint="eastAsia" w:ascii="宋体" w:hAnsi="宋体" w:eastAsia="宋体" w:cs="宋体"/>
                <w:b w:val="0"/>
                <w:i w:val="0"/>
                <w:iCs w:val="0"/>
                <w:color w:val="auto"/>
                <w:sz w:val="24"/>
                <w:szCs w:val="24"/>
                <w:highlight w:val="none"/>
                <w:u w:val="single"/>
                <w:lang w:val="en-US" w:eastAsia="zh-CN"/>
              </w:rPr>
              <w:t xml:space="preserve"> </w:t>
            </w:r>
            <w:r>
              <w:rPr>
                <w:rFonts w:hint="eastAsia" w:cs="宋体"/>
                <w:b w:val="0"/>
                <w:i w:val="0"/>
                <w:iCs w:val="0"/>
                <w:color w:val="auto"/>
                <w:sz w:val="24"/>
                <w:szCs w:val="24"/>
                <w:highlight w:val="none"/>
                <w:u w:val="single"/>
                <w:lang w:val="en-US" w:eastAsia="zh-CN"/>
              </w:rPr>
              <w:t>/</w:t>
            </w:r>
            <w:r>
              <w:rPr>
                <w:rFonts w:hint="eastAsia" w:ascii="宋体" w:hAnsi="宋体" w:eastAsia="宋体" w:cs="宋体"/>
                <w:b w:val="0"/>
                <w:i w:val="0"/>
                <w:iCs w:val="0"/>
                <w:color w:val="auto"/>
                <w:sz w:val="24"/>
                <w:szCs w:val="24"/>
                <w:highlight w:val="none"/>
                <w:u w:val="single"/>
                <w:lang w:val="en-US" w:eastAsia="zh-CN"/>
              </w:rPr>
              <w:t xml:space="preserve">  </w:t>
            </w:r>
            <w:r>
              <w:rPr>
                <w:rFonts w:hint="eastAsia" w:ascii="宋体" w:hAnsi="宋体" w:eastAsia="宋体" w:cs="宋体"/>
                <w:b w:val="0"/>
                <w:i w:val="0"/>
                <w:iCs w:val="0"/>
                <w:color w:val="auto"/>
                <w:sz w:val="24"/>
                <w:szCs w:val="24"/>
                <w:highlight w:val="none"/>
              </w:rPr>
              <w:t>。</w:t>
            </w:r>
          </w:p>
          <w:p w14:paraId="5F92AAAE">
            <w:pPr>
              <w:pStyle w:val="73"/>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80" w:lineRule="exact"/>
              <w:jc w:val="both"/>
              <w:textAlignment w:val="auto"/>
              <w:rPr>
                <w:rFonts w:hint="eastAsia" w:ascii="宋体" w:hAnsi="宋体" w:eastAsia="宋体" w:cs="宋体"/>
                <w:b w:val="0"/>
                <w:i w:val="0"/>
                <w:iCs w:val="0"/>
                <w:color w:val="auto"/>
                <w:sz w:val="24"/>
                <w:szCs w:val="24"/>
                <w:highlight w:val="none"/>
              </w:rPr>
            </w:pPr>
            <w:r>
              <w:rPr>
                <w:rFonts w:hint="eastAsia" w:ascii="宋体" w:hAnsi="宋体" w:eastAsia="宋体" w:cs="宋体"/>
                <w:b w:val="0"/>
                <w:i w:val="0"/>
                <w:iCs w:val="0"/>
                <w:color w:val="auto"/>
                <w:sz w:val="24"/>
                <w:szCs w:val="24"/>
                <w:highlight w:val="none"/>
              </w:rPr>
              <w:t>2</w:t>
            </w:r>
            <w:r>
              <w:rPr>
                <w:rFonts w:hint="eastAsia" w:ascii="宋体" w:hAnsi="宋体" w:eastAsia="宋体" w:cs="宋体"/>
                <w:b w:val="0"/>
                <w:i w:val="0"/>
                <w:iCs w:val="0"/>
                <w:color w:val="auto"/>
                <w:sz w:val="24"/>
                <w:szCs w:val="24"/>
                <w:highlight w:val="none"/>
                <w:lang w:val="en-US" w:eastAsia="zh-CN"/>
              </w:rPr>
              <w:t>.</w:t>
            </w:r>
            <w:r>
              <w:rPr>
                <w:rFonts w:hint="eastAsia" w:ascii="宋体" w:hAnsi="宋体" w:eastAsia="宋体" w:cs="宋体"/>
                <w:b w:val="0"/>
                <w:i w:val="0"/>
                <w:iCs w:val="0"/>
                <w:color w:val="auto"/>
                <w:sz w:val="24"/>
                <w:szCs w:val="24"/>
                <w:highlight w:val="none"/>
              </w:rPr>
              <w:t>监狱企业价格扣除：</w:t>
            </w:r>
            <w:r>
              <w:rPr>
                <w:rFonts w:hint="eastAsia" w:ascii="宋体" w:hAnsi="宋体" w:eastAsia="宋体" w:cs="宋体"/>
                <w:b w:val="0"/>
                <w:i w:val="0"/>
                <w:iCs w:val="0"/>
                <w:color w:val="auto"/>
                <w:sz w:val="24"/>
                <w:szCs w:val="24"/>
                <w:highlight w:val="none"/>
                <w:u w:val="none"/>
              </w:rPr>
              <w:t>同小型和微型企业</w:t>
            </w:r>
            <w:r>
              <w:rPr>
                <w:rFonts w:hint="eastAsia" w:ascii="宋体" w:hAnsi="宋体" w:eastAsia="宋体" w:cs="宋体"/>
                <w:b w:val="0"/>
                <w:i w:val="0"/>
                <w:iCs w:val="0"/>
                <w:color w:val="auto"/>
                <w:sz w:val="24"/>
                <w:szCs w:val="24"/>
                <w:highlight w:val="none"/>
              </w:rPr>
              <w:t>。</w:t>
            </w:r>
          </w:p>
          <w:p w14:paraId="4BF5278E">
            <w:pPr>
              <w:pStyle w:val="73"/>
              <w:keepNext w:val="0"/>
              <w:keepLines w:val="0"/>
              <w:pageBreakBefore w:val="0"/>
              <w:widowControl w:val="0"/>
              <w:kinsoku/>
              <w:wordWrap/>
              <w:overflowPunct/>
              <w:topLinePunct w:val="0"/>
              <w:autoSpaceDE/>
              <w:autoSpaceDN/>
              <w:bidi w:val="0"/>
              <w:adjustRightInd/>
              <w:snapToGrid/>
              <w:spacing w:before="0" w:beforeAutospacing="0" w:after="0" w:afterAutospacing="0" w:line="380" w:lineRule="exact"/>
              <w:jc w:val="both"/>
              <w:textAlignment w:val="auto"/>
              <w:rPr>
                <w:rFonts w:hint="eastAsia" w:ascii="宋体" w:hAnsi="宋体" w:eastAsia="宋体" w:cs="宋体"/>
                <w:b w:val="0"/>
                <w:i w:val="0"/>
                <w:iCs w:val="0"/>
                <w:color w:val="auto"/>
                <w:sz w:val="24"/>
                <w:szCs w:val="24"/>
                <w:highlight w:val="none"/>
              </w:rPr>
            </w:pPr>
            <w:r>
              <w:rPr>
                <w:rFonts w:hint="eastAsia" w:ascii="宋体" w:hAnsi="宋体" w:eastAsia="宋体" w:cs="宋体"/>
                <w:b w:val="0"/>
                <w:i w:val="0"/>
                <w:iCs w:val="0"/>
                <w:color w:val="auto"/>
                <w:sz w:val="24"/>
                <w:szCs w:val="24"/>
                <w:highlight w:val="none"/>
              </w:rPr>
              <w:t>3</w:t>
            </w:r>
            <w:r>
              <w:rPr>
                <w:rFonts w:hint="eastAsia" w:ascii="宋体" w:hAnsi="宋体" w:eastAsia="宋体" w:cs="宋体"/>
                <w:b w:val="0"/>
                <w:i w:val="0"/>
                <w:iCs w:val="0"/>
                <w:color w:val="auto"/>
                <w:sz w:val="24"/>
                <w:szCs w:val="24"/>
                <w:highlight w:val="none"/>
                <w:lang w:val="en-US" w:eastAsia="zh-CN"/>
              </w:rPr>
              <w:t>.</w:t>
            </w:r>
            <w:r>
              <w:rPr>
                <w:rFonts w:hint="eastAsia" w:ascii="宋体" w:hAnsi="宋体" w:eastAsia="宋体" w:cs="宋体"/>
                <w:b w:val="0"/>
                <w:i w:val="0"/>
                <w:iCs w:val="0"/>
                <w:color w:val="auto"/>
                <w:sz w:val="24"/>
                <w:szCs w:val="24"/>
                <w:highlight w:val="none"/>
              </w:rPr>
              <w:t>残疾人福利性单位价格扣除：</w:t>
            </w:r>
            <w:r>
              <w:rPr>
                <w:rFonts w:hint="eastAsia" w:ascii="宋体" w:hAnsi="宋体" w:eastAsia="宋体" w:cs="宋体"/>
                <w:b w:val="0"/>
                <w:i w:val="0"/>
                <w:iCs w:val="0"/>
                <w:color w:val="auto"/>
                <w:sz w:val="24"/>
                <w:szCs w:val="24"/>
                <w:highlight w:val="none"/>
                <w:u w:val="none"/>
              </w:rPr>
              <w:t>同小型和微型企业</w:t>
            </w:r>
            <w:r>
              <w:rPr>
                <w:rFonts w:hint="eastAsia" w:ascii="宋体" w:hAnsi="宋体" w:eastAsia="宋体" w:cs="宋体"/>
                <w:b w:val="0"/>
                <w:i w:val="0"/>
                <w:iCs w:val="0"/>
                <w:color w:val="auto"/>
                <w:sz w:val="24"/>
                <w:szCs w:val="24"/>
                <w:highlight w:val="none"/>
              </w:rPr>
              <w:t>。</w:t>
            </w:r>
          </w:p>
          <w:p w14:paraId="3FFD21DC">
            <w:pPr>
              <w:pStyle w:val="73"/>
              <w:keepNext w:val="0"/>
              <w:keepLines w:val="0"/>
              <w:pageBreakBefore w:val="0"/>
              <w:widowControl w:val="0"/>
              <w:kinsoku/>
              <w:wordWrap/>
              <w:overflowPunct/>
              <w:topLinePunct w:val="0"/>
              <w:autoSpaceDE/>
              <w:autoSpaceDN/>
              <w:bidi w:val="0"/>
              <w:adjustRightInd/>
              <w:snapToGrid/>
              <w:spacing w:before="0" w:beforeAutospacing="0" w:after="0" w:afterAutospacing="0" w:line="380" w:lineRule="exact"/>
              <w:jc w:val="both"/>
              <w:textAlignment w:val="auto"/>
              <w:rPr>
                <w:rFonts w:hint="eastAsia" w:ascii="宋体" w:hAnsi="宋体" w:eastAsia="宋体" w:cs="宋体"/>
                <w:b w:val="0"/>
                <w:i w:val="0"/>
                <w:iCs w:val="0"/>
                <w:color w:val="auto"/>
                <w:sz w:val="24"/>
                <w:szCs w:val="24"/>
                <w:highlight w:val="none"/>
              </w:rPr>
            </w:pPr>
            <w:r>
              <w:rPr>
                <w:rFonts w:hint="eastAsia" w:ascii="宋体" w:hAnsi="宋体" w:eastAsia="宋体" w:cs="宋体"/>
                <w:b w:val="0"/>
                <w:i w:val="0"/>
                <w:iCs w:val="0"/>
                <w:color w:val="auto"/>
                <w:sz w:val="24"/>
                <w:szCs w:val="24"/>
                <w:highlight w:val="none"/>
              </w:rPr>
              <w:t>4</w:t>
            </w:r>
            <w:r>
              <w:rPr>
                <w:rFonts w:hint="eastAsia" w:ascii="宋体" w:hAnsi="宋体" w:eastAsia="宋体" w:cs="宋体"/>
                <w:b w:val="0"/>
                <w:i w:val="0"/>
                <w:iCs w:val="0"/>
                <w:color w:val="auto"/>
                <w:sz w:val="24"/>
                <w:szCs w:val="24"/>
                <w:highlight w:val="none"/>
                <w:lang w:val="en-US" w:eastAsia="zh-CN"/>
              </w:rPr>
              <w:t>.</w:t>
            </w:r>
            <w:r>
              <w:rPr>
                <w:rFonts w:hint="eastAsia" w:ascii="宋体" w:hAnsi="宋体" w:eastAsia="宋体" w:cs="宋体"/>
                <w:b w:val="0"/>
                <w:i w:val="0"/>
                <w:iCs w:val="0"/>
                <w:color w:val="auto"/>
                <w:sz w:val="24"/>
                <w:szCs w:val="24"/>
                <w:highlight w:val="none"/>
              </w:rPr>
              <w:t>符合条件的联合体价格扣除：</w:t>
            </w:r>
            <w:r>
              <w:rPr>
                <w:rFonts w:hint="eastAsia" w:ascii="宋体" w:hAnsi="宋体" w:eastAsia="宋体" w:cs="宋体"/>
                <w:b w:val="0"/>
                <w:i w:val="0"/>
                <w:iCs w:val="0"/>
                <w:color w:val="auto"/>
                <w:sz w:val="24"/>
                <w:szCs w:val="24"/>
                <w:highlight w:val="none"/>
                <w:u w:val="single"/>
                <w:lang w:val="en-US" w:eastAsia="zh-CN"/>
              </w:rPr>
              <w:t xml:space="preserve"> </w:t>
            </w:r>
            <w:r>
              <w:rPr>
                <w:rFonts w:hint="eastAsia" w:cs="宋体"/>
                <w:b w:val="0"/>
                <w:i w:val="0"/>
                <w:iCs w:val="0"/>
                <w:color w:val="auto"/>
                <w:sz w:val="24"/>
                <w:szCs w:val="24"/>
                <w:highlight w:val="none"/>
                <w:u w:val="single"/>
                <w:lang w:val="en-US" w:eastAsia="zh-CN"/>
              </w:rPr>
              <w:t>/</w:t>
            </w:r>
            <w:r>
              <w:rPr>
                <w:rFonts w:hint="eastAsia" w:ascii="宋体" w:hAnsi="宋体" w:eastAsia="宋体" w:cs="宋体"/>
                <w:b w:val="0"/>
                <w:i w:val="0"/>
                <w:iCs w:val="0"/>
                <w:color w:val="auto"/>
                <w:sz w:val="24"/>
                <w:szCs w:val="24"/>
                <w:highlight w:val="none"/>
                <w:u w:val="single"/>
                <w:lang w:val="en-US" w:eastAsia="zh-CN"/>
              </w:rPr>
              <w:t xml:space="preserve">  </w:t>
            </w:r>
            <w:r>
              <w:rPr>
                <w:rFonts w:hint="eastAsia" w:ascii="宋体" w:hAnsi="宋体" w:eastAsia="宋体" w:cs="宋体"/>
                <w:b w:val="0"/>
                <w:i w:val="0"/>
                <w:iCs w:val="0"/>
                <w:color w:val="auto"/>
                <w:sz w:val="24"/>
                <w:szCs w:val="24"/>
                <w:highlight w:val="none"/>
              </w:rPr>
              <w:t>。</w:t>
            </w:r>
          </w:p>
          <w:p w14:paraId="56419FDC">
            <w:pPr>
              <w:pStyle w:val="73"/>
              <w:keepNext w:val="0"/>
              <w:keepLines w:val="0"/>
              <w:pageBreakBefore w:val="0"/>
              <w:widowControl w:val="0"/>
              <w:kinsoku/>
              <w:wordWrap/>
              <w:overflowPunct/>
              <w:topLinePunct w:val="0"/>
              <w:autoSpaceDE/>
              <w:autoSpaceDN/>
              <w:bidi w:val="0"/>
              <w:adjustRightInd/>
              <w:snapToGrid/>
              <w:spacing w:before="0" w:beforeAutospacing="0" w:after="0" w:afterAutospacing="0" w:line="380" w:lineRule="exact"/>
              <w:jc w:val="both"/>
              <w:textAlignment w:val="auto"/>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i w:val="0"/>
                <w:iCs w:val="0"/>
                <w:color w:val="auto"/>
                <w:sz w:val="24"/>
                <w:szCs w:val="24"/>
                <w:highlight w:val="none"/>
              </w:rPr>
              <w:t>5</w:t>
            </w:r>
            <w:r>
              <w:rPr>
                <w:rFonts w:hint="eastAsia" w:ascii="宋体" w:hAnsi="宋体" w:eastAsia="宋体" w:cs="宋体"/>
                <w:b w:val="0"/>
                <w:i w:val="0"/>
                <w:iCs w:val="0"/>
                <w:color w:val="auto"/>
                <w:sz w:val="24"/>
                <w:szCs w:val="24"/>
                <w:highlight w:val="none"/>
                <w:lang w:val="en-US" w:eastAsia="zh-CN"/>
              </w:rPr>
              <w:t>.</w:t>
            </w:r>
            <w:r>
              <w:rPr>
                <w:rFonts w:hint="eastAsia" w:ascii="宋体" w:hAnsi="宋体" w:eastAsia="宋体" w:cs="宋体"/>
                <w:b w:val="0"/>
                <w:i w:val="0"/>
                <w:iCs w:val="0"/>
                <w:color w:val="auto"/>
                <w:sz w:val="24"/>
                <w:szCs w:val="24"/>
                <w:highlight w:val="none"/>
              </w:rPr>
              <w:t>符合条件的向小微企业分包的大中型企业价格扣除：</w:t>
            </w:r>
            <w:r>
              <w:rPr>
                <w:rFonts w:hint="eastAsia" w:ascii="宋体" w:hAnsi="宋体" w:eastAsia="宋体" w:cs="宋体"/>
                <w:b w:val="0"/>
                <w:i w:val="0"/>
                <w:iCs w:val="0"/>
                <w:color w:val="auto"/>
                <w:sz w:val="24"/>
                <w:szCs w:val="24"/>
                <w:highlight w:val="none"/>
                <w:u w:val="single"/>
                <w:lang w:val="en-US" w:eastAsia="zh-CN"/>
              </w:rPr>
              <w:t xml:space="preserve">  </w:t>
            </w:r>
            <w:r>
              <w:rPr>
                <w:rFonts w:hint="eastAsia" w:cs="宋体"/>
                <w:b w:val="0"/>
                <w:i w:val="0"/>
                <w:iCs w:val="0"/>
                <w:color w:val="auto"/>
                <w:sz w:val="24"/>
                <w:szCs w:val="24"/>
                <w:highlight w:val="none"/>
                <w:u w:val="single"/>
                <w:lang w:val="en-US" w:eastAsia="zh-CN"/>
              </w:rPr>
              <w:t>/</w:t>
            </w:r>
            <w:r>
              <w:rPr>
                <w:rFonts w:hint="eastAsia" w:ascii="宋体" w:hAnsi="宋体" w:eastAsia="宋体" w:cs="宋体"/>
                <w:b w:val="0"/>
                <w:i w:val="0"/>
                <w:iCs w:val="0"/>
                <w:color w:val="auto"/>
                <w:sz w:val="24"/>
                <w:szCs w:val="24"/>
                <w:highlight w:val="none"/>
                <w:u w:val="single"/>
                <w:lang w:val="en-US" w:eastAsia="zh-CN"/>
              </w:rPr>
              <w:t xml:space="preserve">  </w:t>
            </w:r>
            <w:r>
              <w:rPr>
                <w:rFonts w:hint="eastAsia" w:ascii="宋体" w:hAnsi="宋体" w:eastAsia="宋体" w:cs="宋体"/>
                <w:b w:val="0"/>
                <w:i w:val="0"/>
                <w:iCs w:val="0"/>
                <w:color w:val="auto"/>
                <w:sz w:val="24"/>
                <w:szCs w:val="24"/>
                <w:highlight w:val="none"/>
              </w:rPr>
              <w:t>。（允许大中型企业向小微企业分包的项目适用）</w:t>
            </w:r>
          </w:p>
        </w:tc>
      </w:tr>
      <w:tr w14:paraId="707AAB8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384" w:hRule="atLeast"/>
        </w:trPr>
        <w:tc>
          <w:tcPr>
            <w:tcW w:w="975" w:type="dxa"/>
            <w:vAlign w:val="center"/>
          </w:tcPr>
          <w:p w14:paraId="3AAFC5B3">
            <w:pPr>
              <w:pStyle w:val="49"/>
              <w:keepNext w:val="0"/>
              <w:keepLines w:val="0"/>
              <w:pageBreakBefore w:val="0"/>
              <w:kinsoku/>
              <w:wordWrap/>
              <w:overflowPunct/>
              <w:topLinePunct w:val="0"/>
              <w:bidi w:val="0"/>
              <w:snapToGrid/>
              <w:spacing w:line="39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42.5</w:t>
            </w:r>
          </w:p>
        </w:tc>
        <w:tc>
          <w:tcPr>
            <w:tcW w:w="1764" w:type="dxa"/>
            <w:vAlign w:val="center"/>
          </w:tcPr>
          <w:p w14:paraId="59931474">
            <w:pPr>
              <w:pStyle w:val="49"/>
              <w:keepNext w:val="0"/>
              <w:keepLines w:val="0"/>
              <w:pageBreakBefore w:val="0"/>
              <w:kinsoku/>
              <w:wordWrap/>
              <w:overflowPunct/>
              <w:topLinePunct w:val="0"/>
              <w:bidi w:val="0"/>
              <w:snapToGrid/>
              <w:spacing w:line="39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标的所属行业</w:t>
            </w:r>
          </w:p>
          <w:p w14:paraId="27995733">
            <w:pPr>
              <w:pStyle w:val="49"/>
              <w:keepNext w:val="0"/>
              <w:keepLines w:val="0"/>
              <w:pageBreakBefore w:val="0"/>
              <w:kinsoku/>
              <w:wordWrap/>
              <w:overflowPunct/>
              <w:topLinePunct w:val="0"/>
              <w:bidi w:val="0"/>
              <w:snapToGrid/>
              <w:spacing w:line="390" w:lineRule="exact"/>
              <w:textAlignment w:val="auto"/>
              <w:rPr>
                <w:rFonts w:hint="eastAsia" w:ascii="宋体" w:hAnsi="宋体" w:eastAsia="宋体" w:cs="宋体"/>
                <w:color w:val="auto"/>
                <w:sz w:val="24"/>
                <w:szCs w:val="24"/>
                <w:highlight w:val="none"/>
                <w:lang w:val="en-US" w:eastAsia="zh-CN"/>
              </w:rPr>
            </w:pPr>
            <w:r>
              <w:rPr>
                <w:rStyle w:val="33"/>
                <w:rFonts w:hint="eastAsia" w:ascii="宋体" w:hAnsi="宋体" w:eastAsia="宋体" w:cs="宋体"/>
                <w:b w:val="0"/>
                <w:color w:val="auto"/>
                <w:sz w:val="24"/>
                <w:szCs w:val="24"/>
                <w:highlight w:val="none"/>
                <w:lang w:val="en-US" w:eastAsia="zh-CN"/>
              </w:rPr>
              <w:t>参照后附</w:t>
            </w:r>
            <w:r>
              <w:rPr>
                <w:rStyle w:val="33"/>
                <w:rFonts w:hint="eastAsia" w:ascii="宋体" w:hAnsi="宋体" w:eastAsia="宋体" w:cs="宋体"/>
                <w:b w:val="0"/>
                <w:color w:val="auto"/>
                <w:sz w:val="24"/>
                <w:szCs w:val="24"/>
                <w:highlight w:val="none"/>
                <w:lang w:eastAsia="zh-CN"/>
              </w:rPr>
              <w:t>《</w:t>
            </w:r>
            <w:r>
              <w:rPr>
                <w:rStyle w:val="33"/>
                <w:rFonts w:hint="eastAsia" w:ascii="宋体" w:hAnsi="宋体" w:eastAsia="宋体" w:cs="宋体"/>
                <w:b w:val="0"/>
                <w:color w:val="auto"/>
                <w:sz w:val="24"/>
                <w:szCs w:val="24"/>
                <w:highlight w:val="none"/>
              </w:rPr>
              <w:t>工信部联企业〔2011〕300号</w:t>
            </w:r>
            <w:r>
              <w:rPr>
                <w:rStyle w:val="33"/>
                <w:rFonts w:hint="eastAsia" w:ascii="宋体" w:hAnsi="宋体" w:eastAsia="宋体" w:cs="宋体"/>
                <w:b w:val="0"/>
                <w:color w:val="auto"/>
                <w:sz w:val="24"/>
                <w:szCs w:val="24"/>
                <w:highlight w:val="none"/>
                <w:lang w:eastAsia="zh-CN"/>
              </w:rPr>
              <w:t>》</w:t>
            </w:r>
          </w:p>
        </w:tc>
        <w:tc>
          <w:tcPr>
            <w:tcW w:w="6720" w:type="dxa"/>
            <w:vAlign w:val="center"/>
          </w:tcPr>
          <w:p w14:paraId="6804F69E">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本项目采购标的对应的中小企业划分标准所属行业： </w:t>
            </w:r>
          </w:p>
          <w:tbl>
            <w:tblPr>
              <w:tblStyle w:val="31"/>
              <w:tblW w:w="59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64"/>
              <w:gridCol w:w="2515"/>
            </w:tblGrid>
            <w:tr w14:paraId="1CAAD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3464" w:type="dxa"/>
                  <w:vAlign w:val="center"/>
                </w:tcPr>
                <w:p w14:paraId="334359A5">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4"/>
                      <w:szCs w:val="24"/>
                      <w:highlight w:val="none"/>
                      <w:vertAlign w:val="baseline"/>
                      <w:lang w:val="en-US" w:eastAsia="zh-CN" w:bidi="ar"/>
                    </w:rPr>
                  </w:pPr>
                  <w:r>
                    <w:rPr>
                      <w:rFonts w:hint="eastAsia" w:ascii="宋体" w:hAnsi="宋体" w:eastAsia="宋体" w:cs="宋体"/>
                      <w:color w:val="auto"/>
                      <w:kern w:val="0"/>
                      <w:sz w:val="24"/>
                      <w:szCs w:val="24"/>
                      <w:highlight w:val="none"/>
                      <w:lang w:val="en-US" w:eastAsia="zh-CN" w:bidi="ar"/>
                    </w:rPr>
                    <w:t>标的名称</w:t>
                  </w:r>
                </w:p>
              </w:tc>
              <w:tc>
                <w:tcPr>
                  <w:tcW w:w="2515" w:type="dxa"/>
                  <w:vAlign w:val="center"/>
                </w:tcPr>
                <w:p w14:paraId="6E9115BA">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4"/>
                      <w:szCs w:val="24"/>
                      <w:highlight w:val="none"/>
                      <w:vertAlign w:val="baseline"/>
                      <w:lang w:val="en-US" w:eastAsia="zh-CN" w:bidi="ar"/>
                    </w:rPr>
                  </w:pPr>
                  <w:r>
                    <w:rPr>
                      <w:rFonts w:hint="eastAsia" w:ascii="宋体" w:hAnsi="宋体" w:eastAsia="宋体" w:cs="宋体"/>
                      <w:color w:val="auto"/>
                      <w:kern w:val="0"/>
                      <w:sz w:val="24"/>
                      <w:szCs w:val="24"/>
                      <w:highlight w:val="none"/>
                      <w:lang w:val="en-US" w:eastAsia="zh-CN" w:bidi="ar"/>
                    </w:rPr>
                    <w:t>中小企业划分标准所属行业</w:t>
                  </w:r>
                </w:p>
              </w:tc>
            </w:tr>
            <w:tr w14:paraId="585F9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3464" w:type="dxa"/>
                  <w:vAlign w:val="center"/>
                </w:tcPr>
                <w:p w14:paraId="402B250B">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4"/>
                      <w:szCs w:val="24"/>
                      <w:highlight w:val="none"/>
                      <w:vertAlign w:val="baseline"/>
                      <w:lang w:val="en-US" w:eastAsia="zh-CN" w:bidi="ar"/>
                    </w:rPr>
                  </w:pPr>
                  <w:r>
                    <w:rPr>
                      <w:rFonts w:hint="eastAsia" w:ascii="宋体" w:hAnsi="宋体" w:eastAsia="宋体" w:cs="宋体"/>
                      <w:color w:val="auto"/>
                      <w:kern w:val="0"/>
                      <w:sz w:val="24"/>
                      <w:szCs w:val="24"/>
                      <w:highlight w:val="none"/>
                      <w:vertAlign w:val="baseline"/>
                      <w:lang w:val="en-US" w:eastAsia="zh-CN" w:bidi="ar"/>
                    </w:rPr>
                    <w:t>全自动喷气织样机</w:t>
                  </w:r>
                </w:p>
              </w:tc>
              <w:tc>
                <w:tcPr>
                  <w:tcW w:w="2515" w:type="dxa"/>
                  <w:vAlign w:val="center"/>
                </w:tcPr>
                <w:p w14:paraId="6A9C8731">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4"/>
                      <w:szCs w:val="24"/>
                      <w:highlight w:val="none"/>
                      <w:vertAlign w:val="baseline"/>
                      <w:lang w:val="en-US" w:eastAsia="zh-CN" w:bidi="ar"/>
                    </w:rPr>
                  </w:pPr>
                  <w:r>
                    <w:rPr>
                      <w:rFonts w:hint="eastAsia" w:ascii="宋体" w:hAnsi="宋体" w:eastAsia="宋体" w:cs="宋体"/>
                      <w:color w:val="auto"/>
                      <w:kern w:val="0"/>
                      <w:sz w:val="24"/>
                      <w:szCs w:val="24"/>
                      <w:highlight w:val="none"/>
                      <w:vertAlign w:val="baseline"/>
                      <w:lang w:val="en-US" w:eastAsia="zh-CN" w:bidi="ar"/>
                    </w:rPr>
                    <w:t>工业</w:t>
                  </w:r>
                </w:p>
              </w:tc>
            </w:tr>
            <w:tr w14:paraId="12394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3464" w:type="dxa"/>
                  <w:vAlign w:val="center"/>
                </w:tcPr>
                <w:p w14:paraId="1C0A0773">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4"/>
                      <w:szCs w:val="24"/>
                      <w:highlight w:val="none"/>
                      <w:vertAlign w:val="baseline"/>
                      <w:lang w:val="en-US" w:eastAsia="zh-CN" w:bidi="ar"/>
                    </w:rPr>
                  </w:pPr>
                  <w:r>
                    <w:rPr>
                      <w:rFonts w:hint="eastAsia" w:ascii="宋体" w:hAnsi="宋体" w:eastAsia="宋体" w:cs="宋体"/>
                      <w:color w:val="auto"/>
                      <w:kern w:val="0"/>
                      <w:sz w:val="24"/>
                      <w:szCs w:val="24"/>
                      <w:highlight w:val="none"/>
                      <w:vertAlign w:val="baseline"/>
                      <w:lang w:val="en-US" w:eastAsia="zh-CN" w:bidi="ar"/>
                    </w:rPr>
                    <w:t>全自动喷气织机</w:t>
                  </w:r>
                </w:p>
              </w:tc>
              <w:tc>
                <w:tcPr>
                  <w:tcW w:w="2515" w:type="dxa"/>
                  <w:vAlign w:val="center"/>
                </w:tcPr>
                <w:p w14:paraId="22AB6EE5">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4"/>
                      <w:szCs w:val="24"/>
                      <w:highlight w:val="none"/>
                      <w:vertAlign w:val="baseline"/>
                      <w:lang w:val="en-US" w:eastAsia="zh-CN" w:bidi="ar"/>
                    </w:rPr>
                  </w:pPr>
                  <w:r>
                    <w:rPr>
                      <w:rFonts w:hint="eastAsia" w:ascii="宋体" w:hAnsi="宋体" w:eastAsia="宋体" w:cs="宋体"/>
                      <w:color w:val="auto"/>
                      <w:kern w:val="0"/>
                      <w:sz w:val="24"/>
                      <w:szCs w:val="24"/>
                      <w:highlight w:val="none"/>
                      <w:vertAlign w:val="baseline"/>
                      <w:lang w:val="en-US" w:eastAsia="zh-CN" w:bidi="ar"/>
                    </w:rPr>
                    <w:t>工业</w:t>
                  </w:r>
                </w:p>
              </w:tc>
            </w:tr>
            <w:tr w14:paraId="7590C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3464" w:type="dxa"/>
                  <w:vAlign w:val="center"/>
                </w:tcPr>
                <w:p w14:paraId="7A3AF910">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4"/>
                      <w:szCs w:val="24"/>
                      <w:highlight w:val="none"/>
                      <w:vertAlign w:val="baseline"/>
                      <w:lang w:val="en-US" w:eastAsia="zh-CN" w:bidi="ar"/>
                    </w:rPr>
                  </w:pPr>
                  <w:r>
                    <w:rPr>
                      <w:rFonts w:hint="eastAsia" w:ascii="宋体" w:hAnsi="宋体" w:eastAsia="宋体" w:cs="宋体"/>
                      <w:color w:val="auto"/>
                      <w:kern w:val="0"/>
                      <w:sz w:val="24"/>
                      <w:szCs w:val="24"/>
                      <w:highlight w:val="none"/>
                      <w:vertAlign w:val="baseline"/>
                      <w:lang w:val="en-US" w:eastAsia="zh-CN" w:bidi="ar"/>
                    </w:rPr>
                    <w:t>全自动多臂剑杆织机</w:t>
                  </w:r>
                </w:p>
              </w:tc>
              <w:tc>
                <w:tcPr>
                  <w:tcW w:w="2515" w:type="dxa"/>
                  <w:vAlign w:val="center"/>
                </w:tcPr>
                <w:p w14:paraId="0A50D077">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4"/>
                      <w:szCs w:val="24"/>
                      <w:highlight w:val="none"/>
                      <w:vertAlign w:val="baseline"/>
                      <w:lang w:val="en-US" w:eastAsia="zh-CN" w:bidi="ar"/>
                    </w:rPr>
                  </w:pPr>
                  <w:r>
                    <w:rPr>
                      <w:rFonts w:hint="eastAsia" w:ascii="宋体" w:hAnsi="宋体" w:eastAsia="宋体" w:cs="宋体"/>
                      <w:color w:val="auto"/>
                      <w:kern w:val="0"/>
                      <w:sz w:val="24"/>
                      <w:szCs w:val="24"/>
                      <w:highlight w:val="none"/>
                      <w:vertAlign w:val="baseline"/>
                      <w:lang w:val="en-US" w:eastAsia="zh-CN" w:bidi="ar"/>
                    </w:rPr>
                    <w:t>工业</w:t>
                  </w:r>
                </w:p>
              </w:tc>
            </w:tr>
            <w:tr w14:paraId="61FB4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3464" w:type="dxa"/>
                  <w:vAlign w:val="center"/>
                </w:tcPr>
                <w:p w14:paraId="368602DF">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4"/>
                      <w:szCs w:val="24"/>
                      <w:highlight w:val="none"/>
                      <w:vertAlign w:val="baseline"/>
                      <w:lang w:val="en-US" w:eastAsia="zh-CN" w:bidi="ar"/>
                    </w:rPr>
                  </w:pPr>
                  <w:r>
                    <w:rPr>
                      <w:rFonts w:hint="eastAsia" w:ascii="宋体" w:hAnsi="宋体" w:eastAsia="宋体" w:cs="宋体"/>
                      <w:color w:val="auto"/>
                      <w:kern w:val="0"/>
                      <w:sz w:val="24"/>
                      <w:szCs w:val="24"/>
                      <w:highlight w:val="none"/>
                      <w:vertAlign w:val="baseline"/>
                      <w:lang w:val="en-US" w:eastAsia="zh-CN" w:bidi="ar"/>
                    </w:rPr>
                    <w:t>全自动大提花剑杆织布样机</w:t>
                  </w:r>
                </w:p>
              </w:tc>
              <w:tc>
                <w:tcPr>
                  <w:tcW w:w="2515" w:type="dxa"/>
                  <w:vAlign w:val="center"/>
                </w:tcPr>
                <w:p w14:paraId="6FDB6023">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4"/>
                      <w:szCs w:val="24"/>
                      <w:highlight w:val="none"/>
                      <w:vertAlign w:val="baseline"/>
                      <w:lang w:val="en-US" w:eastAsia="zh-CN" w:bidi="ar"/>
                    </w:rPr>
                  </w:pPr>
                  <w:r>
                    <w:rPr>
                      <w:rFonts w:hint="eastAsia" w:ascii="宋体" w:hAnsi="宋体" w:eastAsia="宋体" w:cs="宋体"/>
                      <w:color w:val="auto"/>
                      <w:kern w:val="0"/>
                      <w:sz w:val="24"/>
                      <w:szCs w:val="24"/>
                      <w:highlight w:val="none"/>
                      <w:vertAlign w:val="baseline"/>
                      <w:lang w:val="en-US" w:eastAsia="zh-CN" w:bidi="ar"/>
                    </w:rPr>
                    <w:t>工业</w:t>
                  </w:r>
                </w:p>
              </w:tc>
            </w:tr>
            <w:tr w14:paraId="6200B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3464" w:type="dxa"/>
                  <w:vAlign w:val="center"/>
                </w:tcPr>
                <w:p w14:paraId="6487938D">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4"/>
                      <w:szCs w:val="24"/>
                      <w:highlight w:val="none"/>
                      <w:vertAlign w:val="baseline"/>
                      <w:lang w:val="en-US" w:eastAsia="zh-CN" w:bidi="ar"/>
                    </w:rPr>
                  </w:pPr>
                  <w:r>
                    <w:rPr>
                      <w:rFonts w:hint="eastAsia" w:ascii="宋体" w:hAnsi="宋体" w:eastAsia="宋体" w:cs="宋体"/>
                      <w:color w:val="auto"/>
                      <w:kern w:val="0"/>
                      <w:sz w:val="24"/>
                      <w:szCs w:val="24"/>
                      <w:highlight w:val="none"/>
                      <w:vertAlign w:val="baseline"/>
                      <w:lang w:val="en-US" w:eastAsia="zh-CN" w:bidi="ar"/>
                    </w:rPr>
                    <w:t>数字式单纱整经机</w:t>
                  </w:r>
                </w:p>
              </w:tc>
              <w:tc>
                <w:tcPr>
                  <w:tcW w:w="2515" w:type="dxa"/>
                  <w:vAlign w:val="center"/>
                </w:tcPr>
                <w:p w14:paraId="5505C2B3">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4"/>
                      <w:szCs w:val="24"/>
                      <w:highlight w:val="none"/>
                      <w:vertAlign w:val="baseline"/>
                      <w:lang w:val="en-US" w:eastAsia="zh-CN" w:bidi="ar"/>
                    </w:rPr>
                  </w:pPr>
                  <w:r>
                    <w:rPr>
                      <w:rFonts w:hint="eastAsia" w:ascii="宋体" w:hAnsi="宋体" w:eastAsia="宋体" w:cs="宋体"/>
                      <w:color w:val="auto"/>
                      <w:kern w:val="0"/>
                      <w:sz w:val="24"/>
                      <w:szCs w:val="24"/>
                      <w:highlight w:val="none"/>
                      <w:vertAlign w:val="baseline"/>
                      <w:lang w:val="en-US" w:eastAsia="zh-CN" w:bidi="ar"/>
                    </w:rPr>
                    <w:t>工业</w:t>
                  </w:r>
                </w:p>
              </w:tc>
            </w:tr>
            <w:tr w14:paraId="60742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3464" w:type="dxa"/>
                  <w:vAlign w:val="center"/>
                </w:tcPr>
                <w:p w14:paraId="66362E65">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4"/>
                      <w:szCs w:val="24"/>
                      <w:highlight w:val="none"/>
                      <w:vertAlign w:val="baseline"/>
                      <w:lang w:val="en-US" w:eastAsia="zh-CN" w:bidi="ar"/>
                    </w:rPr>
                  </w:pPr>
                  <w:r>
                    <w:rPr>
                      <w:rFonts w:hint="eastAsia" w:ascii="宋体" w:hAnsi="宋体" w:eastAsia="宋体" w:cs="宋体"/>
                      <w:color w:val="auto"/>
                      <w:kern w:val="0"/>
                      <w:sz w:val="24"/>
                      <w:szCs w:val="24"/>
                      <w:highlight w:val="none"/>
                      <w:vertAlign w:val="baseline"/>
                      <w:lang w:val="en-US" w:eastAsia="zh-CN" w:bidi="ar"/>
                    </w:rPr>
                    <w:t>数字式单纱浆纱机</w:t>
                  </w:r>
                </w:p>
              </w:tc>
              <w:tc>
                <w:tcPr>
                  <w:tcW w:w="2515" w:type="dxa"/>
                  <w:vAlign w:val="center"/>
                </w:tcPr>
                <w:p w14:paraId="7833C1E3">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4"/>
                      <w:szCs w:val="24"/>
                      <w:highlight w:val="none"/>
                      <w:vertAlign w:val="baseline"/>
                      <w:lang w:val="en-US" w:eastAsia="zh-CN" w:bidi="ar"/>
                    </w:rPr>
                  </w:pPr>
                  <w:r>
                    <w:rPr>
                      <w:rFonts w:hint="eastAsia" w:ascii="宋体" w:hAnsi="宋体" w:eastAsia="宋体" w:cs="宋体"/>
                      <w:color w:val="auto"/>
                      <w:kern w:val="0"/>
                      <w:sz w:val="24"/>
                      <w:szCs w:val="24"/>
                      <w:highlight w:val="none"/>
                      <w:vertAlign w:val="baseline"/>
                      <w:lang w:val="en-US" w:eastAsia="zh-CN" w:bidi="ar"/>
                    </w:rPr>
                    <w:t>工业</w:t>
                  </w:r>
                </w:p>
              </w:tc>
            </w:tr>
            <w:tr w14:paraId="6A510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3464" w:type="dxa"/>
                  <w:vAlign w:val="center"/>
                </w:tcPr>
                <w:p w14:paraId="38323FBD">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4"/>
                      <w:szCs w:val="24"/>
                      <w:highlight w:val="none"/>
                      <w:vertAlign w:val="baseline"/>
                      <w:lang w:val="en-US" w:eastAsia="zh-CN" w:bidi="ar"/>
                    </w:rPr>
                  </w:pPr>
                  <w:r>
                    <w:rPr>
                      <w:rFonts w:hint="eastAsia" w:cs="宋体"/>
                      <w:color w:val="auto"/>
                      <w:kern w:val="0"/>
                      <w:sz w:val="24"/>
                      <w:szCs w:val="24"/>
                      <w:highlight w:val="none"/>
                      <w:vertAlign w:val="baseline"/>
                      <w:lang w:val="en-US" w:eastAsia="zh-CN" w:bidi="ar"/>
                    </w:rPr>
                    <w:t>数字式小样清梳联合制条机</w:t>
                  </w:r>
                </w:p>
              </w:tc>
              <w:tc>
                <w:tcPr>
                  <w:tcW w:w="2515" w:type="dxa"/>
                  <w:vAlign w:val="center"/>
                </w:tcPr>
                <w:p w14:paraId="2A662EFF">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4"/>
                      <w:szCs w:val="24"/>
                      <w:highlight w:val="none"/>
                      <w:vertAlign w:val="baseline"/>
                      <w:lang w:val="en-US" w:eastAsia="zh-CN" w:bidi="ar"/>
                    </w:rPr>
                  </w:pPr>
                  <w:r>
                    <w:rPr>
                      <w:rFonts w:hint="eastAsia" w:ascii="宋体" w:hAnsi="宋体" w:eastAsia="宋体" w:cs="宋体"/>
                      <w:color w:val="auto"/>
                      <w:kern w:val="0"/>
                      <w:sz w:val="24"/>
                      <w:szCs w:val="24"/>
                      <w:highlight w:val="none"/>
                      <w:vertAlign w:val="baseline"/>
                      <w:lang w:val="en-US" w:eastAsia="zh-CN" w:bidi="ar"/>
                    </w:rPr>
                    <w:t>工业</w:t>
                  </w:r>
                </w:p>
              </w:tc>
            </w:tr>
            <w:tr w14:paraId="6806E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3464" w:type="dxa"/>
                  <w:vAlign w:val="center"/>
                </w:tcPr>
                <w:p w14:paraId="141E8FC6">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4"/>
                      <w:szCs w:val="24"/>
                      <w:highlight w:val="none"/>
                      <w:vertAlign w:val="baseline"/>
                      <w:lang w:val="en-US" w:eastAsia="zh-CN" w:bidi="ar"/>
                    </w:rPr>
                  </w:pPr>
                  <w:r>
                    <w:rPr>
                      <w:rFonts w:hint="eastAsia" w:ascii="宋体" w:hAnsi="宋体" w:eastAsia="宋体" w:cs="宋体"/>
                      <w:color w:val="auto"/>
                      <w:kern w:val="0"/>
                      <w:sz w:val="24"/>
                      <w:szCs w:val="24"/>
                      <w:highlight w:val="none"/>
                      <w:vertAlign w:val="baseline"/>
                      <w:lang w:val="en-US" w:eastAsia="zh-CN" w:bidi="ar"/>
                    </w:rPr>
                    <w:t>空气压缩机</w:t>
                  </w:r>
                </w:p>
              </w:tc>
              <w:tc>
                <w:tcPr>
                  <w:tcW w:w="2515" w:type="dxa"/>
                  <w:vAlign w:val="center"/>
                </w:tcPr>
                <w:p w14:paraId="72D19351">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4"/>
                      <w:szCs w:val="24"/>
                      <w:highlight w:val="none"/>
                      <w:vertAlign w:val="baseline"/>
                      <w:lang w:val="en-US" w:eastAsia="zh-CN" w:bidi="ar"/>
                    </w:rPr>
                  </w:pPr>
                  <w:r>
                    <w:rPr>
                      <w:rFonts w:hint="eastAsia" w:ascii="宋体" w:hAnsi="宋体" w:eastAsia="宋体" w:cs="宋体"/>
                      <w:color w:val="auto"/>
                      <w:kern w:val="0"/>
                      <w:sz w:val="24"/>
                      <w:szCs w:val="24"/>
                      <w:highlight w:val="none"/>
                      <w:vertAlign w:val="baseline"/>
                      <w:lang w:val="en-US" w:eastAsia="zh-CN" w:bidi="ar"/>
                    </w:rPr>
                    <w:t>工业</w:t>
                  </w:r>
                </w:p>
              </w:tc>
            </w:tr>
            <w:tr w14:paraId="1019A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3464" w:type="dxa"/>
                  <w:vAlign w:val="center"/>
                </w:tcPr>
                <w:p w14:paraId="0FA9F43C">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4"/>
                      <w:szCs w:val="24"/>
                      <w:highlight w:val="none"/>
                      <w:vertAlign w:val="baseline"/>
                      <w:lang w:val="en-US" w:eastAsia="zh-CN" w:bidi="ar"/>
                    </w:rPr>
                  </w:pPr>
                  <w:r>
                    <w:rPr>
                      <w:rFonts w:hint="eastAsia" w:ascii="宋体" w:hAnsi="宋体" w:eastAsia="宋体" w:cs="宋体"/>
                      <w:color w:val="auto"/>
                      <w:kern w:val="0"/>
                      <w:sz w:val="24"/>
                      <w:szCs w:val="24"/>
                      <w:highlight w:val="none"/>
                      <w:vertAlign w:val="baseline"/>
                      <w:lang w:val="en-US" w:eastAsia="zh-CN" w:bidi="ar"/>
                    </w:rPr>
                    <w:t>超声波工业加湿器</w:t>
                  </w:r>
                </w:p>
              </w:tc>
              <w:tc>
                <w:tcPr>
                  <w:tcW w:w="2515" w:type="dxa"/>
                  <w:vAlign w:val="center"/>
                </w:tcPr>
                <w:p w14:paraId="71382C31">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4"/>
                      <w:szCs w:val="24"/>
                      <w:highlight w:val="none"/>
                      <w:vertAlign w:val="baseline"/>
                      <w:lang w:val="en-US" w:eastAsia="zh-CN" w:bidi="ar"/>
                    </w:rPr>
                  </w:pPr>
                  <w:r>
                    <w:rPr>
                      <w:rFonts w:hint="eastAsia" w:ascii="宋体" w:hAnsi="宋体" w:eastAsia="宋体" w:cs="宋体"/>
                      <w:color w:val="auto"/>
                      <w:kern w:val="0"/>
                      <w:sz w:val="24"/>
                      <w:szCs w:val="24"/>
                      <w:highlight w:val="none"/>
                      <w:vertAlign w:val="baseline"/>
                      <w:lang w:val="en-US" w:eastAsia="zh-CN" w:bidi="ar"/>
                    </w:rPr>
                    <w:t>工业</w:t>
                  </w:r>
                </w:p>
              </w:tc>
            </w:tr>
            <w:tr w14:paraId="39D4A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3464" w:type="dxa"/>
                  <w:vAlign w:val="center"/>
                </w:tcPr>
                <w:p w14:paraId="7C497907">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4"/>
                      <w:szCs w:val="24"/>
                      <w:highlight w:val="none"/>
                      <w:vertAlign w:val="baseline"/>
                      <w:lang w:val="en-US" w:eastAsia="zh-CN" w:bidi="ar"/>
                    </w:rPr>
                  </w:pPr>
                  <w:r>
                    <w:rPr>
                      <w:rFonts w:hint="eastAsia" w:ascii="宋体" w:hAnsi="宋体" w:eastAsia="宋体" w:cs="宋体"/>
                      <w:color w:val="auto"/>
                      <w:kern w:val="0"/>
                      <w:sz w:val="24"/>
                      <w:szCs w:val="24"/>
                      <w:highlight w:val="none"/>
                      <w:vertAlign w:val="baseline"/>
                      <w:lang w:val="en-US" w:eastAsia="zh-CN" w:bidi="ar"/>
                    </w:rPr>
                    <w:t>实训室综合布线</w:t>
                  </w:r>
                </w:p>
              </w:tc>
              <w:tc>
                <w:tcPr>
                  <w:tcW w:w="2515" w:type="dxa"/>
                  <w:vAlign w:val="center"/>
                </w:tcPr>
                <w:p w14:paraId="39B5846E">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4"/>
                      <w:szCs w:val="24"/>
                      <w:highlight w:val="none"/>
                      <w:vertAlign w:val="baseline"/>
                      <w:lang w:val="en-US" w:eastAsia="zh-CN" w:bidi="ar"/>
                    </w:rPr>
                  </w:pPr>
                  <w:r>
                    <w:rPr>
                      <w:rFonts w:hint="eastAsia" w:ascii="宋体" w:hAnsi="宋体" w:eastAsia="宋体" w:cs="宋体"/>
                      <w:color w:val="auto"/>
                      <w:kern w:val="0"/>
                      <w:sz w:val="24"/>
                      <w:szCs w:val="24"/>
                      <w:highlight w:val="none"/>
                      <w:vertAlign w:val="baseline"/>
                      <w:lang w:val="en-US" w:eastAsia="zh-CN" w:bidi="ar"/>
                    </w:rPr>
                    <w:t>工业</w:t>
                  </w:r>
                </w:p>
              </w:tc>
            </w:tr>
          </w:tbl>
          <w:p w14:paraId="4F6480A4">
            <w:pPr>
              <w:pStyle w:val="49"/>
              <w:keepNext w:val="0"/>
              <w:keepLines w:val="0"/>
              <w:pageBreakBefore w:val="0"/>
              <w:kinsoku/>
              <w:wordWrap/>
              <w:overflowPunct/>
              <w:topLinePunct w:val="0"/>
              <w:autoSpaceDE/>
              <w:autoSpaceDN/>
              <w:bidi w:val="0"/>
              <w:adjustRightInd/>
              <w:snapToGrid/>
              <w:spacing w:line="380" w:lineRule="exact"/>
              <w:textAlignment w:val="auto"/>
              <w:rPr>
                <w:rFonts w:hint="eastAsia" w:ascii="宋体" w:hAnsi="宋体" w:eastAsia="宋体" w:cs="宋体"/>
                <w:color w:val="auto"/>
                <w:sz w:val="24"/>
                <w:szCs w:val="24"/>
                <w:highlight w:val="none"/>
              </w:rPr>
            </w:pPr>
          </w:p>
        </w:tc>
      </w:tr>
      <w:tr w14:paraId="545B049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206" w:hRule="atLeast"/>
        </w:trPr>
        <w:tc>
          <w:tcPr>
            <w:tcW w:w="975" w:type="dxa"/>
            <w:shd w:val="clear" w:color="auto" w:fill="auto"/>
            <w:vAlign w:val="center"/>
          </w:tcPr>
          <w:p w14:paraId="18792692">
            <w:pPr>
              <w:pStyle w:val="49"/>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43.5</w:t>
            </w:r>
          </w:p>
        </w:tc>
        <w:tc>
          <w:tcPr>
            <w:tcW w:w="1764" w:type="dxa"/>
            <w:shd w:val="clear" w:color="auto" w:fill="auto"/>
            <w:vAlign w:val="center"/>
          </w:tcPr>
          <w:p w14:paraId="69CF29E9">
            <w:pPr>
              <w:pStyle w:val="49"/>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优先采购创新节能环保产品</w:t>
            </w:r>
          </w:p>
        </w:tc>
        <w:tc>
          <w:tcPr>
            <w:tcW w:w="6720" w:type="dxa"/>
            <w:shd w:val="clear" w:color="auto" w:fill="auto"/>
            <w:vAlign w:val="center"/>
          </w:tcPr>
          <w:p w14:paraId="299F639F">
            <w:pPr>
              <w:pStyle w:val="49"/>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所投产品纳入创新产品应用示范推荐目录内企业、所投产品获得节能产品或环境标志产品认证证书的</w:t>
            </w:r>
            <w:r>
              <w:rPr>
                <w:rFonts w:hint="eastAsia" w:cs="宋体"/>
                <w:color w:val="auto"/>
                <w:sz w:val="24"/>
                <w:szCs w:val="24"/>
                <w:highlight w:val="none"/>
                <w:lang w:val="en-US" w:eastAsia="zh-CN"/>
              </w:rPr>
              <w:t>供应商</w:t>
            </w:r>
            <w:r>
              <w:rPr>
                <w:rFonts w:hint="eastAsia" w:ascii="宋体" w:hAnsi="宋体" w:eastAsia="宋体" w:cs="宋体"/>
                <w:color w:val="auto"/>
                <w:sz w:val="24"/>
                <w:szCs w:val="24"/>
                <w:highlight w:val="none"/>
              </w:rPr>
              <w:t>给予</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lang w:val="en-US" w:eastAsia="zh-CN"/>
              </w:rPr>
              <w:t>评审优惠</w:t>
            </w:r>
            <w:r>
              <w:rPr>
                <w:rFonts w:hint="eastAsia" w:ascii="宋体" w:hAnsi="宋体" w:eastAsia="宋体" w:cs="宋体"/>
                <w:color w:val="auto"/>
                <w:sz w:val="24"/>
                <w:szCs w:val="24"/>
                <w:highlight w:val="none"/>
              </w:rPr>
              <w:t>。</w:t>
            </w:r>
          </w:p>
        </w:tc>
      </w:tr>
      <w:tr w14:paraId="140D50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166" w:hRule="atLeast"/>
        </w:trPr>
        <w:tc>
          <w:tcPr>
            <w:tcW w:w="975" w:type="dxa"/>
            <w:tcBorders>
              <w:right w:val="single" w:color="auto" w:sz="4" w:space="0"/>
            </w:tcBorders>
            <w:vAlign w:val="center"/>
          </w:tcPr>
          <w:p w14:paraId="08D3F63A">
            <w:pPr>
              <w:pStyle w:val="49"/>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.1</w:t>
            </w:r>
          </w:p>
        </w:tc>
        <w:tc>
          <w:tcPr>
            <w:tcW w:w="1764" w:type="dxa"/>
            <w:tcBorders>
              <w:left w:val="single" w:color="auto" w:sz="4" w:space="0"/>
              <w:right w:val="single" w:color="auto" w:sz="4" w:space="0"/>
            </w:tcBorders>
            <w:vAlign w:val="center"/>
          </w:tcPr>
          <w:p w14:paraId="651753DB">
            <w:pPr>
              <w:pStyle w:val="49"/>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政府采购</w:t>
            </w:r>
          </w:p>
          <w:p w14:paraId="5E3751DF">
            <w:pPr>
              <w:pStyle w:val="49"/>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合同融资政策</w:t>
            </w:r>
          </w:p>
        </w:tc>
        <w:tc>
          <w:tcPr>
            <w:tcW w:w="6720" w:type="dxa"/>
            <w:tcBorders>
              <w:left w:val="single" w:color="auto" w:sz="4" w:space="0"/>
            </w:tcBorders>
            <w:vAlign w:val="center"/>
          </w:tcPr>
          <w:p w14:paraId="4C8FFC9B">
            <w:pPr>
              <w:pStyle w:val="49"/>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i w:val="0"/>
                <w:iCs w:val="0"/>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i w:val="0"/>
                <w:iCs w:val="0"/>
                <w:color w:val="auto"/>
                <w:sz w:val="24"/>
                <w:szCs w:val="24"/>
                <w:highlight w:val="none"/>
                <w:lang w:val="en-US" w:eastAsia="zh-CN"/>
              </w:rPr>
              <w:t>1.</w:t>
            </w:r>
            <w:r>
              <w:rPr>
                <w:rFonts w:hint="eastAsia" w:ascii="宋体" w:hAnsi="宋体" w:eastAsia="宋体" w:cs="宋体"/>
                <w:i w:val="0"/>
                <w:iCs w:val="0"/>
                <w:color w:val="auto"/>
                <w:sz w:val="24"/>
                <w:szCs w:val="24"/>
                <w:highlight w:val="none"/>
              </w:rPr>
              <w:t>有融资需求的</w:t>
            </w:r>
            <w:r>
              <w:rPr>
                <w:rFonts w:hint="eastAsia" w:cs="宋体"/>
                <w:i w:val="0"/>
                <w:iCs w:val="0"/>
                <w:color w:val="auto"/>
                <w:sz w:val="24"/>
                <w:szCs w:val="24"/>
                <w:highlight w:val="none"/>
                <w:lang w:val="en-US" w:eastAsia="zh-CN"/>
              </w:rPr>
              <w:t>中标</w:t>
            </w:r>
            <w:r>
              <w:rPr>
                <w:rFonts w:hint="eastAsia" w:ascii="宋体" w:hAnsi="宋体" w:eastAsia="宋体" w:cs="宋体"/>
                <w:i w:val="0"/>
                <w:iCs w:val="0"/>
                <w:color w:val="auto"/>
                <w:sz w:val="24"/>
                <w:szCs w:val="24"/>
                <w:highlight w:val="none"/>
              </w:rPr>
              <w:t>人在获得政府采购</w:t>
            </w:r>
            <w:r>
              <w:rPr>
                <w:rFonts w:hint="eastAsia" w:cs="宋体"/>
                <w:i w:val="0"/>
                <w:iCs w:val="0"/>
                <w:color w:val="auto"/>
                <w:sz w:val="24"/>
                <w:szCs w:val="24"/>
                <w:highlight w:val="none"/>
                <w:lang w:val="en-US" w:eastAsia="zh-CN"/>
              </w:rPr>
              <w:t>中标</w:t>
            </w:r>
            <w:r>
              <w:rPr>
                <w:rFonts w:hint="eastAsia" w:ascii="宋体" w:hAnsi="宋体" w:eastAsia="宋体" w:cs="宋体"/>
                <w:i w:val="0"/>
                <w:iCs w:val="0"/>
                <w:color w:val="auto"/>
                <w:sz w:val="24"/>
                <w:szCs w:val="24"/>
                <w:highlight w:val="none"/>
              </w:rPr>
              <w:t>通知书后，即可向开展“政采贷”业务的金融机构提出申请，金融机构依据政府采购</w:t>
            </w:r>
            <w:r>
              <w:rPr>
                <w:rFonts w:hint="eastAsia" w:cs="宋体"/>
                <w:i w:val="0"/>
                <w:iCs w:val="0"/>
                <w:color w:val="auto"/>
                <w:sz w:val="24"/>
                <w:szCs w:val="24"/>
                <w:highlight w:val="none"/>
                <w:lang w:val="en-US" w:eastAsia="zh-CN"/>
              </w:rPr>
              <w:t>中标</w:t>
            </w:r>
            <w:r>
              <w:rPr>
                <w:rFonts w:hint="eastAsia" w:ascii="宋体" w:hAnsi="宋体" w:eastAsia="宋体" w:cs="宋体"/>
                <w:i w:val="0"/>
                <w:iCs w:val="0"/>
                <w:color w:val="auto"/>
                <w:sz w:val="24"/>
                <w:szCs w:val="24"/>
                <w:highlight w:val="none"/>
              </w:rPr>
              <w:t>通知书和政府采购合同，为中小微企业提供融资服务。</w:t>
            </w:r>
          </w:p>
          <w:p w14:paraId="2C2F5517">
            <w:pPr>
              <w:pStyle w:val="49"/>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渠道和方式：</w:t>
            </w:r>
            <w:r>
              <w:rPr>
                <w:rFonts w:hint="eastAsia" w:ascii="宋体" w:hAnsi="宋体" w:eastAsia="宋体" w:cs="宋体"/>
                <w:i w:val="0"/>
                <w:iCs w:val="0"/>
                <w:color w:val="auto"/>
                <w:sz w:val="24"/>
                <w:szCs w:val="24"/>
                <w:highlight w:val="none"/>
                <w:u w:val="single"/>
                <w:lang w:val="en-US" w:eastAsia="zh-CN"/>
              </w:rPr>
              <w:t>详见政采云平台相关通知</w:t>
            </w:r>
            <w:r>
              <w:rPr>
                <w:rFonts w:hint="eastAsia" w:cs="宋体"/>
                <w:i w:val="0"/>
                <w:iCs w:val="0"/>
                <w:color w:val="auto"/>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rPr>
              <w:t>。</w:t>
            </w:r>
          </w:p>
          <w:p w14:paraId="78CB8D24">
            <w:pPr>
              <w:pStyle w:val="49"/>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4"/>
                <w:szCs w:val="24"/>
                <w:highlight w:val="none"/>
              </w:rPr>
            </w:pPr>
            <w:r>
              <w:rPr>
                <w:rFonts w:hint="eastAsia" w:ascii="宋体" w:hAnsi="宋体" w:eastAsia="宋体" w:cs="宋体"/>
                <w:i w:val="0"/>
                <w:iCs w:val="0"/>
                <w:color w:val="auto"/>
                <w:sz w:val="24"/>
                <w:szCs w:val="24"/>
                <w:highlight w:val="none"/>
                <w:lang w:val="en-US" w:eastAsia="zh-CN"/>
              </w:rPr>
              <w:t xml:space="preserve"> 2.</w:t>
            </w:r>
            <w:r>
              <w:rPr>
                <w:rFonts w:hint="eastAsia" w:ascii="宋体" w:hAnsi="宋体" w:eastAsia="宋体" w:cs="宋体"/>
                <w:i w:val="0"/>
                <w:iCs w:val="0"/>
                <w:color w:val="auto"/>
                <w:sz w:val="24"/>
                <w:szCs w:val="24"/>
                <w:highlight w:val="none"/>
                <w:lang w:eastAsia="zh-CN"/>
              </w:rPr>
              <w:t>“政采贷”融资指引：在取得政府采购</w:t>
            </w:r>
            <w:r>
              <w:rPr>
                <w:rFonts w:hint="eastAsia" w:cs="宋体"/>
                <w:i w:val="0"/>
                <w:iCs w:val="0"/>
                <w:color w:val="auto"/>
                <w:sz w:val="24"/>
                <w:szCs w:val="24"/>
                <w:highlight w:val="none"/>
                <w:lang w:val="en-US" w:eastAsia="zh-CN"/>
              </w:rPr>
              <w:t>中标</w:t>
            </w:r>
            <w:r>
              <w:rPr>
                <w:rFonts w:hint="eastAsia" w:ascii="宋体" w:hAnsi="宋体" w:eastAsia="宋体" w:cs="宋体"/>
                <w:i w:val="0"/>
                <w:iCs w:val="0"/>
                <w:color w:val="auto"/>
                <w:sz w:val="24"/>
                <w:szCs w:val="24"/>
                <w:highlight w:val="none"/>
                <w:lang w:eastAsia="zh-CN"/>
              </w:rPr>
              <w:t>通知书后，可访问“</w:t>
            </w:r>
            <w:r>
              <w:rPr>
                <w:rFonts w:hint="eastAsia" w:ascii="宋体" w:hAnsi="宋体" w:eastAsia="宋体" w:cs="宋体"/>
                <w:i w:val="0"/>
                <w:iCs w:val="0"/>
                <w:color w:val="auto"/>
                <w:sz w:val="24"/>
                <w:szCs w:val="24"/>
                <w:highlight w:val="none"/>
                <w:lang w:val="en-US" w:eastAsia="zh-CN"/>
              </w:rPr>
              <w:t>兵团</w:t>
            </w:r>
            <w:r>
              <w:rPr>
                <w:rFonts w:hint="eastAsia" w:ascii="宋体" w:hAnsi="宋体" w:eastAsia="宋体" w:cs="宋体"/>
                <w:i w:val="0"/>
                <w:iCs w:val="0"/>
                <w:color w:val="auto"/>
                <w:sz w:val="24"/>
                <w:szCs w:val="24"/>
                <w:highlight w:val="none"/>
                <w:lang w:eastAsia="zh-CN"/>
              </w:rPr>
              <w:t>政采贷</w:t>
            </w:r>
            <w:r>
              <w:rPr>
                <w:rFonts w:hint="eastAsia" w:ascii="宋体" w:hAnsi="宋体" w:eastAsia="宋体" w:cs="宋体"/>
                <w:i w:val="0"/>
                <w:iCs w:val="0"/>
                <w:color w:val="auto"/>
                <w:sz w:val="24"/>
                <w:szCs w:val="24"/>
                <w:highlight w:val="none"/>
                <w:lang w:val="en-US" w:eastAsia="zh-CN"/>
              </w:rPr>
              <w:t>融资服务平台”</w:t>
            </w:r>
            <w:r>
              <w:rPr>
                <w:rFonts w:hint="eastAsia" w:ascii="宋体" w:hAnsi="宋体" w:eastAsia="宋体" w:cs="宋体"/>
                <w:i w:val="0"/>
                <w:iCs w:val="0"/>
                <w:color w:val="auto"/>
                <w:sz w:val="24"/>
                <w:szCs w:val="24"/>
                <w:highlight w:val="none"/>
                <w:lang w:eastAsia="zh-CN"/>
              </w:rPr>
              <w:t>，查看和联系第三方平台或者金融机构，商洽融资事项，确定融资意向。</w:t>
            </w:r>
            <w:r>
              <w:rPr>
                <w:rFonts w:hint="eastAsia" w:cs="宋体"/>
                <w:i w:val="0"/>
                <w:iCs w:val="0"/>
                <w:color w:val="auto"/>
                <w:sz w:val="24"/>
                <w:szCs w:val="24"/>
                <w:highlight w:val="none"/>
                <w:lang w:val="en-US" w:eastAsia="zh-CN"/>
              </w:rPr>
              <w:t>中标</w:t>
            </w:r>
            <w:r>
              <w:rPr>
                <w:rFonts w:hint="eastAsia" w:ascii="宋体" w:hAnsi="宋体" w:eastAsia="宋体" w:cs="宋体"/>
                <w:i w:val="0"/>
                <w:iCs w:val="0"/>
                <w:color w:val="auto"/>
                <w:sz w:val="24"/>
                <w:szCs w:val="24"/>
                <w:highlight w:val="none"/>
                <w:lang w:eastAsia="zh-CN"/>
              </w:rPr>
              <w:t>人签署政府采购</w:t>
            </w:r>
            <w:r>
              <w:rPr>
                <w:rFonts w:hint="eastAsia" w:ascii="宋体" w:hAnsi="宋体" w:eastAsia="宋体" w:cs="宋体"/>
                <w:i w:val="0"/>
                <w:iCs w:val="0"/>
                <w:color w:val="auto"/>
                <w:sz w:val="24"/>
                <w:szCs w:val="24"/>
                <w:highlight w:val="none"/>
                <w:lang w:val="en-US" w:eastAsia="zh-CN"/>
              </w:rPr>
              <w:t>成交</w:t>
            </w:r>
            <w:r>
              <w:rPr>
                <w:rFonts w:hint="eastAsia" w:ascii="宋体" w:hAnsi="宋体" w:eastAsia="宋体" w:cs="宋体"/>
                <w:i w:val="0"/>
                <w:iCs w:val="0"/>
                <w:color w:val="auto"/>
                <w:sz w:val="24"/>
                <w:szCs w:val="24"/>
                <w:highlight w:val="none"/>
                <w:lang w:eastAsia="zh-CN"/>
              </w:rPr>
              <w:t>合同后，登录“</w:t>
            </w:r>
            <w:r>
              <w:rPr>
                <w:rFonts w:hint="eastAsia" w:ascii="宋体" w:hAnsi="宋体" w:eastAsia="宋体" w:cs="宋体"/>
                <w:i w:val="0"/>
                <w:iCs w:val="0"/>
                <w:color w:val="auto"/>
                <w:sz w:val="24"/>
                <w:szCs w:val="24"/>
                <w:highlight w:val="none"/>
                <w:lang w:val="en-US" w:eastAsia="zh-CN"/>
              </w:rPr>
              <w:t>兵团</w:t>
            </w:r>
            <w:r>
              <w:rPr>
                <w:rFonts w:hint="eastAsia" w:ascii="宋体" w:hAnsi="宋体" w:eastAsia="宋体" w:cs="宋体"/>
                <w:i w:val="0"/>
                <w:iCs w:val="0"/>
                <w:color w:val="auto"/>
                <w:sz w:val="24"/>
                <w:szCs w:val="24"/>
                <w:highlight w:val="none"/>
                <w:lang w:eastAsia="zh-CN"/>
              </w:rPr>
              <w:t>政采贷</w:t>
            </w:r>
            <w:r>
              <w:rPr>
                <w:rFonts w:hint="eastAsia" w:ascii="宋体" w:hAnsi="宋体" w:eastAsia="宋体" w:cs="宋体"/>
                <w:i w:val="0"/>
                <w:iCs w:val="0"/>
                <w:color w:val="auto"/>
                <w:sz w:val="24"/>
                <w:szCs w:val="24"/>
                <w:highlight w:val="none"/>
                <w:lang w:val="en-US" w:eastAsia="zh-CN"/>
              </w:rPr>
              <w:t>融资服务平台”</w:t>
            </w:r>
            <w:r>
              <w:rPr>
                <w:rFonts w:hint="eastAsia" w:ascii="宋体" w:hAnsi="宋体" w:eastAsia="宋体" w:cs="宋体"/>
                <w:i w:val="0"/>
                <w:iCs w:val="0"/>
                <w:color w:val="auto"/>
                <w:sz w:val="24"/>
                <w:szCs w:val="24"/>
                <w:highlight w:val="none"/>
                <w:lang w:eastAsia="zh-CN"/>
              </w:rPr>
              <w:t>，选择意向产品进行申请，并填写相关信息，“</w:t>
            </w:r>
            <w:r>
              <w:rPr>
                <w:rFonts w:hint="eastAsia" w:ascii="宋体" w:hAnsi="宋体" w:eastAsia="宋体" w:cs="宋体"/>
                <w:i w:val="0"/>
                <w:iCs w:val="0"/>
                <w:color w:val="auto"/>
                <w:sz w:val="24"/>
                <w:szCs w:val="24"/>
                <w:highlight w:val="none"/>
                <w:lang w:val="en-US" w:eastAsia="zh-CN"/>
              </w:rPr>
              <w:t>兵团</w:t>
            </w:r>
            <w:r>
              <w:rPr>
                <w:rFonts w:hint="eastAsia" w:ascii="宋体" w:hAnsi="宋体" w:eastAsia="宋体" w:cs="宋体"/>
                <w:i w:val="0"/>
                <w:iCs w:val="0"/>
                <w:color w:val="auto"/>
                <w:sz w:val="24"/>
                <w:szCs w:val="24"/>
                <w:highlight w:val="none"/>
                <w:lang w:eastAsia="zh-CN"/>
              </w:rPr>
              <w:t>政采贷</w:t>
            </w:r>
            <w:r>
              <w:rPr>
                <w:rFonts w:hint="eastAsia" w:ascii="宋体" w:hAnsi="宋体" w:eastAsia="宋体" w:cs="宋体"/>
                <w:i w:val="0"/>
                <w:iCs w:val="0"/>
                <w:color w:val="auto"/>
                <w:sz w:val="24"/>
                <w:szCs w:val="24"/>
                <w:highlight w:val="none"/>
                <w:lang w:val="en-US" w:eastAsia="zh-CN"/>
              </w:rPr>
              <w:t>融资服务平台”</w:t>
            </w:r>
            <w:r>
              <w:rPr>
                <w:rFonts w:hint="eastAsia" w:ascii="宋体" w:hAnsi="宋体" w:eastAsia="宋体" w:cs="宋体"/>
                <w:i w:val="0"/>
                <w:iCs w:val="0"/>
                <w:color w:val="auto"/>
                <w:sz w:val="24"/>
                <w:szCs w:val="24"/>
                <w:highlight w:val="none"/>
                <w:lang w:eastAsia="zh-CN"/>
              </w:rPr>
              <w:t>将中标人融资申请信息推送第三方平台、意向金融机构。</w:t>
            </w:r>
          </w:p>
        </w:tc>
      </w:tr>
      <w:tr w14:paraId="48C9FD1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trPr>
        <w:tc>
          <w:tcPr>
            <w:tcW w:w="975" w:type="dxa"/>
            <w:vMerge w:val="restart"/>
            <w:tcBorders>
              <w:right w:val="single" w:color="auto" w:sz="4" w:space="0"/>
            </w:tcBorders>
            <w:vAlign w:val="center"/>
          </w:tcPr>
          <w:p w14:paraId="59449E7E">
            <w:pPr>
              <w:pStyle w:val="49"/>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.1</w:t>
            </w:r>
          </w:p>
        </w:tc>
        <w:tc>
          <w:tcPr>
            <w:tcW w:w="1764" w:type="dxa"/>
            <w:vMerge w:val="restart"/>
            <w:tcBorders>
              <w:right w:val="single" w:color="auto" w:sz="4" w:space="0"/>
            </w:tcBorders>
            <w:vAlign w:val="center"/>
          </w:tcPr>
          <w:p w14:paraId="7068A1E1">
            <w:pPr>
              <w:pStyle w:val="49"/>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需要补充的其他内容</w:t>
            </w:r>
          </w:p>
        </w:tc>
        <w:tc>
          <w:tcPr>
            <w:tcW w:w="6720" w:type="dxa"/>
            <w:tcBorders>
              <w:left w:val="single" w:color="auto" w:sz="4" w:space="0"/>
            </w:tcBorders>
            <w:vAlign w:val="center"/>
          </w:tcPr>
          <w:p w14:paraId="2CE3F6B6">
            <w:pPr>
              <w:pStyle w:val="49"/>
              <w:keepNext w:val="0"/>
              <w:keepLines w:val="0"/>
              <w:pageBreakBefore w:val="0"/>
              <w:kinsoku/>
              <w:wordWrap/>
              <w:overflowPunct/>
              <w:topLinePunct w:val="0"/>
              <w:autoSpaceDE/>
              <w:autoSpaceDN/>
              <w:bidi w:val="0"/>
              <w:adjustRightInd/>
              <w:snapToGrid/>
              <w:spacing w:line="320" w:lineRule="exact"/>
              <w:textAlignment w:val="auto"/>
              <w:rPr>
                <w:rFonts w:hint="eastAsia"/>
                <w:color w:val="auto"/>
                <w:sz w:val="24"/>
                <w:szCs w:val="24"/>
                <w:highlight w:val="white"/>
                <w:lang w:val="en-US" w:eastAsia="zh-CN"/>
              </w:rPr>
            </w:pPr>
            <w:r>
              <w:rPr>
                <w:rFonts w:hint="eastAsia" w:cs="宋体"/>
                <w:b/>
                <w:bCs/>
                <w:i w:val="0"/>
                <w:iCs w:val="0"/>
                <w:color w:val="auto"/>
                <w:sz w:val="24"/>
                <w:szCs w:val="24"/>
                <w:highlight w:val="none"/>
                <w:lang w:val="en-US" w:eastAsia="zh-CN"/>
              </w:rPr>
              <w:t>1.最高限价:¥</w:t>
            </w:r>
            <w:r>
              <w:rPr>
                <w:rFonts w:hint="default" w:cs="宋体"/>
                <w:b/>
                <w:bCs/>
                <w:i w:val="0"/>
                <w:iCs w:val="0"/>
                <w:color w:val="auto"/>
                <w:sz w:val="24"/>
                <w:szCs w:val="24"/>
                <w:highlight w:val="none"/>
                <w:lang w:val="en-US" w:eastAsia="zh-CN"/>
              </w:rPr>
              <w:t>1990000</w:t>
            </w:r>
            <w:r>
              <w:rPr>
                <w:rFonts w:hint="eastAsia"/>
                <w:b/>
                <w:bCs/>
                <w:color w:val="auto"/>
                <w:sz w:val="24"/>
                <w:szCs w:val="24"/>
                <w:highlight w:val="white"/>
                <w:lang w:val="en-US" w:eastAsia="zh-CN"/>
              </w:rPr>
              <w:t>（大写：壹佰玖拾玖万元整）</w:t>
            </w:r>
          </w:p>
          <w:p w14:paraId="27792090">
            <w:pPr>
              <w:pStyle w:val="49"/>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4"/>
                <w:szCs w:val="24"/>
                <w:highlight w:val="none"/>
                <w:lang w:eastAsia="zh-CN"/>
              </w:rPr>
            </w:pPr>
            <w:r>
              <w:rPr>
                <w:rFonts w:hint="eastAsia" w:ascii="宋体" w:hAnsi="宋体"/>
                <w:b/>
                <w:bCs/>
                <w:color w:val="auto"/>
                <w:sz w:val="24"/>
                <w:szCs w:val="24"/>
                <w:highlight w:val="white"/>
                <w:lang w:val="zh-CN" w:eastAsia="zh-CN"/>
              </w:rPr>
              <w:t>供应商投标总价不可超出项目最高限价，否则按无效标处理。</w:t>
            </w:r>
          </w:p>
        </w:tc>
      </w:tr>
      <w:tr w14:paraId="3C47441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356" w:hRule="atLeast"/>
        </w:trPr>
        <w:tc>
          <w:tcPr>
            <w:tcW w:w="975" w:type="dxa"/>
            <w:vMerge w:val="continue"/>
            <w:tcBorders>
              <w:right w:val="single" w:color="auto" w:sz="4" w:space="0"/>
            </w:tcBorders>
            <w:vAlign w:val="center"/>
          </w:tcPr>
          <w:p w14:paraId="6A96EC05">
            <w:pPr>
              <w:pStyle w:val="49"/>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4"/>
                <w:szCs w:val="24"/>
                <w:highlight w:val="none"/>
              </w:rPr>
            </w:pPr>
          </w:p>
        </w:tc>
        <w:tc>
          <w:tcPr>
            <w:tcW w:w="1764" w:type="dxa"/>
            <w:vMerge w:val="continue"/>
            <w:tcBorders>
              <w:right w:val="single" w:color="auto" w:sz="4" w:space="0"/>
            </w:tcBorders>
            <w:vAlign w:val="center"/>
          </w:tcPr>
          <w:p w14:paraId="01859B67">
            <w:pPr>
              <w:pStyle w:val="49"/>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4"/>
                <w:szCs w:val="24"/>
                <w:highlight w:val="none"/>
              </w:rPr>
            </w:pPr>
          </w:p>
        </w:tc>
        <w:tc>
          <w:tcPr>
            <w:tcW w:w="6720" w:type="dxa"/>
            <w:tcBorders>
              <w:left w:val="single" w:color="auto" w:sz="4" w:space="0"/>
            </w:tcBorders>
            <w:vAlign w:val="center"/>
          </w:tcPr>
          <w:p w14:paraId="779B2EB5">
            <w:pPr>
              <w:pStyle w:val="49"/>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i w:val="0"/>
                <w:iCs w:val="0"/>
                <w:color w:val="auto"/>
                <w:sz w:val="24"/>
                <w:szCs w:val="24"/>
                <w:highlight w:val="none"/>
                <w:lang w:val="en-US" w:eastAsia="zh-CN"/>
              </w:rPr>
            </w:pPr>
            <w:r>
              <w:rPr>
                <w:rFonts w:hint="eastAsia" w:cs="宋体"/>
                <w:i w:val="0"/>
                <w:iCs w:val="0"/>
                <w:color w:val="auto"/>
                <w:sz w:val="24"/>
                <w:szCs w:val="24"/>
                <w:highlight w:val="none"/>
                <w:lang w:val="en-US" w:eastAsia="zh-CN"/>
              </w:rPr>
              <w:t>2.</w:t>
            </w:r>
            <w:r>
              <w:rPr>
                <w:rFonts w:hint="eastAsia" w:ascii="宋体" w:hAnsi="宋体" w:eastAsia="宋体" w:cs="宋体"/>
                <w:i w:val="0"/>
                <w:iCs w:val="0"/>
                <w:color w:val="auto"/>
                <w:sz w:val="24"/>
                <w:szCs w:val="24"/>
                <w:highlight w:val="none"/>
                <w:lang w:val="en-US" w:eastAsia="zh-CN"/>
              </w:rPr>
              <w:t>评审小组的组建及评审专家的确定方式：采购单位依法组建评审小组共</w:t>
            </w:r>
            <w:r>
              <w:rPr>
                <w:rFonts w:hint="eastAsia" w:ascii="宋体" w:hAnsi="宋体" w:eastAsia="宋体" w:cs="宋体"/>
                <w:i w:val="0"/>
                <w:iCs w:val="0"/>
                <w:color w:val="auto"/>
                <w:sz w:val="24"/>
                <w:szCs w:val="24"/>
                <w:highlight w:val="none"/>
                <w:u w:val="none"/>
                <w:lang w:val="en-US" w:eastAsia="zh-CN"/>
              </w:rPr>
              <w:t>5</w:t>
            </w:r>
            <w:r>
              <w:rPr>
                <w:rFonts w:hint="eastAsia" w:ascii="宋体" w:hAnsi="宋体" w:eastAsia="宋体" w:cs="宋体"/>
                <w:i w:val="0"/>
                <w:iCs w:val="0"/>
                <w:color w:val="auto"/>
                <w:sz w:val="24"/>
                <w:szCs w:val="24"/>
                <w:highlight w:val="none"/>
                <w:lang w:val="en-US" w:eastAsia="zh-CN"/>
              </w:rPr>
              <w:t>人组成，其中采购人代表</w:t>
            </w:r>
            <w:r>
              <w:rPr>
                <w:rFonts w:hint="eastAsia" w:ascii="宋体" w:hAnsi="宋体" w:eastAsia="宋体" w:cs="宋体"/>
                <w:i w:val="0"/>
                <w:iCs w:val="0"/>
                <w:color w:val="auto"/>
                <w:sz w:val="24"/>
                <w:szCs w:val="24"/>
                <w:highlight w:val="none"/>
                <w:u w:val="none"/>
                <w:lang w:val="en-US" w:eastAsia="zh-CN"/>
              </w:rPr>
              <w:t>1</w:t>
            </w:r>
            <w:r>
              <w:rPr>
                <w:rFonts w:hint="eastAsia" w:ascii="宋体" w:hAnsi="宋体" w:eastAsia="宋体" w:cs="宋体"/>
                <w:i w:val="0"/>
                <w:iCs w:val="0"/>
                <w:color w:val="auto"/>
                <w:sz w:val="24"/>
                <w:szCs w:val="24"/>
                <w:highlight w:val="none"/>
                <w:lang w:val="en-US" w:eastAsia="zh-CN"/>
              </w:rPr>
              <w:t>人和专家评委</w:t>
            </w:r>
            <w:r>
              <w:rPr>
                <w:rFonts w:hint="eastAsia" w:ascii="宋体" w:hAnsi="宋体" w:eastAsia="宋体" w:cs="宋体"/>
                <w:i w:val="0"/>
                <w:iCs w:val="0"/>
                <w:color w:val="auto"/>
                <w:sz w:val="24"/>
                <w:szCs w:val="24"/>
                <w:highlight w:val="none"/>
                <w:u w:val="none"/>
                <w:lang w:val="en-US" w:eastAsia="zh-CN"/>
              </w:rPr>
              <w:t>4</w:t>
            </w:r>
            <w:r>
              <w:rPr>
                <w:rFonts w:hint="eastAsia" w:ascii="宋体" w:hAnsi="宋体" w:eastAsia="宋体" w:cs="宋体"/>
                <w:i w:val="0"/>
                <w:iCs w:val="0"/>
                <w:color w:val="auto"/>
                <w:sz w:val="24"/>
                <w:szCs w:val="24"/>
                <w:highlight w:val="none"/>
                <w:lang w:val="en-US" w:eastAsia="zh-CN"/>
              </w:rPr>
              <w:t>人。</w:t>
            </w:r>
          </w:p>
          <w:p w14:paraId="4F2D1C7C">
            <w:pPr>
              <w:pStyle w:val="49"/>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i w:val="0"/>
                <w:iCs w:val="0"/>
                <w:color w:val="auto"/>
                <w:sz w:val="24"/>
                <w:szCs w:val="24"/>
                <w:highlight w:val="none"/>
                <w:lang w:eastAsia="zh-CN"/>
              </w:rPr>
            </w:pPr>
            <w:r>
              <w:rPr>
                <w:rFonts w:hint="eastAsia" w:ascii="宋体" w:hAnsi="宋体" w:eastAsia="宋体" w:cs="宋体"/>
                <w:i w:val="0"/>
                <w:iCs w:val="0"/>
                <w:color w:val="auto"/>
                <w:sz w:val="24"/>
                <w:szCs w:val="24"/>
                <w:highlight w:val="none"/>
                <w:lang w:val="en-US" w:eastAsia="zh-CN"/>
              </w:rPr>
              <w:t xml:space="preserve">☑计算机随机抽取语音通知方式 </w:t>
            </w:r>
          </w:p>
          <w:p w14:paraId="2663329C">
            <w:pPr>
              <w:pStyle w:val="49"/>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i w:val="0"/>
                <w:iCs w:val="0"/>
                <w:color w:val="auto"/>
                <w:sz w:val="24"/>
                <w:szCs w:val="24"/>
                <w:highlight w:val="none"/>
                <w:lang w:val="en-US" w:eastAsia="zh-CN"/>
              </w:rPr>
              <w:t>□其他方式： /</w:t>
            </w:r>
          </w:p>
        </w:tc>
      </w:tr>
      <w:tr w14:paraId="20C492A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trPr>
        <w:tc>
          <w:tcPr>
            <w:tcW w:w="975" w:type="dxa"/>
            <w:vMerge w:val="continue"/>
            <w:tcBorders>
              <w:right w:val="single" w:color="auto" w:sz="4" w:space="0"/>
            </w:tcBorders>
            <w:vAlign w:val="center"/>
          </w:tcPr>
          <w:p w14:paraId="6CE7CD42">
            <w:pPr>
              <w:pStyle w:val="49"/>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4"/>
                <w:szCs w:val="24"/>
                <w:highlight w:val="none"/>
              </w:rPr>
            </w:pPr>
          </w:p>
        </w:tc>
        <w:tc>
          <w:tcPr>
            <w:tcW w:w="1764" w:type="dxa"/>
            <w:vMerge w:val="continue"/>
            <w:tcBorders>
              <w:right w:val="single" w:color="auto" w:sz="4" w:space="0"/>
            </w:tcBorders>
            <w:vAlign w:val="center"/>
          </w:tcPr>
          <w:p w14:paraId="474A9315">
            <w:pPr>
              <w:pStyle w:val="49"/>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4"/>
                <w:szCs w:val="24"/>
                <w:highlight w:val="none"/>
              </w:rPr>
            </w:pPr>
          </w:p>
        </w:tc>
        <w:tc>
          <w:tcPr>
            <w:tcW w:w="6720" w:type="dxa"/>
            <w:tcBorders>
              <w:left w:val="single" w:color="auto" w:sz="4" w:space="0"/>
            </w:tcBorders>
            <w:vAlign w:val="center"/>
          </w:tcPr>
          <w:p w14:paraId="056802B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auto"/>
              <w:rPr>
                <w:rFonts w:hint="default" w:ascii="宋体" w:hAnsi="宋体" w:eastAsia="宋体" w:cs="宋体"/>
                <w:color w:val="auto"/>
                <w:sz w:val="24"/>
                <w:szCs w:val="24"/>
                <w:highlight w:val="none"/>
                <w:lang w:val="en-US" w:eastAsia="zh-CN"/>
              </w:rPr>
            </w:pPr>
            <w:r>
              <w:rPr>
                <w:rFonts w:hint="eastAsia" w:cs="宋体"/>
                <w:color w:val="auto"/>
                <w:sz w:val="24"/>
                <w:szCs w:val="24"/>
                <w:u w:val="none"/>
                <w:lang w:val="en-US" w:eastAsia="zh-CN"/>
              </w:rPr>
              <w:t>3.</w:t>
            </w:r>
            <w:r>
              <w:rPr>
                <w:rFonts w:hint="eastAsia" w:ascii="宋体" w:hAnsi="宋体" w:eastAsia="宋体" w:cs="宋体"/>
                <w:color w:val="auto"/>
                <w:sz w:val="24"/>
                <w:szCs w:val="24"/>
                <w:u w:val="none"/>
                <w:lang w:val="en-US" w:eastAsia="zh-CN"/>
              </w:rPr>
              <w:t>付款方式：</w:t>
            </w:r>
            <w:r>
              <w:rPr>
                <w:rFonts w:hint="eastAsia" w:ascii="宋体" w:hAnsi="宋体" w:eastAsia="宋体" w:cs="宋体"/>
                <w:color w:val="auto"/>
                <w:sz w:val="24"/>
                <w:szCs w:val="24"/>
                <w:lang w:val="en-US" w:eastAsia="zh-CN"/>
              </w:rPr>
              <w:t>合同签订后支付合同总价的30%预付款，供应商需提供金融机构出具的等额预付款保函，财务见保函后予以支付</w:t>
            </w:r>
            <w:r>
              <w:rPr>
                <w:rFonts w:hint="eastAsia" w:cs="宋体"/>
                <w:color w:val="auto"/>
                <w:sz w:val="24"/>
                <w:szCs w:val="24"/>
                <w:lang w:val="en-US" w:eastAsia="zh-CN"/>
              </w:rPr>
              <w:t>；</w:t>
            </w:r>
            <w:r>
              <w:rPr>
                <w:rFonts w:hint="eastAsia" w:ascii="宋体" w:hAnsi="宋体" w:eastAsia="宋体" w:cs="宋体"/>
                <w:color w:val="auto"/>
                <w:sz w:val="24"/>
                <w:szCs w:val="24"/>
                <w:lang w:val="en-US" w:eastAsia="zh-CN"/>
              </w:rPr>
              <w:t>货物全部到校开箱验收后，支付合同总价的50%进度款，经验收合格后，由乙方向甲方提供合同总金额全额的增值税专用发票，甲方见票支付20%尾款至合同约定账户。</w:t>
            </w:r>
          </w:p>
        </w:tc>
      </w:tr>
      <w:tr w14:paraId="3FC855B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trPr>
        <w:tc>
          <w:tcPr>
            <w:tcW w:w="975" w:type="dxa"/>
            <w:vMerge w:val="continue"/>
            <w:tcBorders>
              <w:right w:val="single" w:color="auto" w:sz="4" w:space="0"/>
            </w:tcBorders>
            <w:vAlign w:val="center"/>
          </w:tcPr>
          <w:p w14:paraId="7B978575">
            <w:pPr>
              <w:pStyle w:val="49"/>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4"/>
                <w:szCs w:val="24"/>
                <w:highlight w:val="none"/>
              </w:rPr>
            </w:pPr>
          </w:p>
        </w:tc>
        <w:tc>
          <w:tcPr>
            <w:tcW w:w="1764" w:type="dxa"/>
            <w:vMerge w:val="continue"/>
            <w:tcBorders>
              <w:right w:val="single" w:color="auto" w:sz="4" w:space="0"/>
            </w:tcBorders>
            <w:vAlign w:val="center"/>
          </w:tcPr>
          <w:p w14:paraId="4279CB2A">
            <w:pPr>
              <w:pStyle w:val="49"/>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4"/>
                <w:szCs w:val="24"/>
                <w:highlight w:val="none"/>
              </w:rPr>
            </w:pPr>
          </w:p>
        </w:tc>
        <w:tc>
          <w:tcPr>
            <w:tcW w:w="6720" w:type="dxa"/>
            <w:tcBorders>
              <w:left w:val="single" w:color="auto" w:sz="4" w:space="0"/>
            </w:tcBorders>
            <w:vAlign w:val="center"/>
          </w:tcPr>
          <w:p w14:paraId="3545A65F">
            <w:pPr>
              <w:pStyle w:val="49"/>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4"/>
                <w:szCs w:val="24"/>
                <w:highlight w:val="none"/>
                <w:lang w:eastAsia="zh-CN"/>
              </w:rPr>
            </w:pPr>
            <w:r>
              <w:rPr>
                <w:rFonts w:hint="eastAsia" w:cs="宋体"/>
                <w:i w:val="0"/>
                <w:iCs w:val="0"/>
                <w:color w:val="auto"/>
                <w:sz w:val="24"/>
                <w:szCs w:val="24"/>
                <w:highlight w:val="none"/>
                <w:lang w:val="en-US" w:eastAsia="zh-CN"/>
              </w:rPr>
              <w:t>4.</w:t>
            </w:r>
            <w:r>
              <w:rPr>
                <w:rFonts w:hint="eastAsia" w:ascii="宋体" w:hAnsi="宋体" w:eastAsia="宋体" w:cs="宋体"/>
                <w:i w:val="0"/>
                <w:iCs w:val="0"/>
                <w:color w:val="auto"/>
                <w:sz w:val="24"/>
                <w:szCs w:val="24"/>
                <w:highlight w:val="none"/>
                <w:lang w:val="en-US" w:eastAsia="zh-CN"/>
              </w:rPr>
              <w:t>中标供应商须按采购人要求进行结算。</w:t>
            </w:r>
          </w:p>
        </w:tc>
      </w:tr>
      <w:tr w14:paraId="0683CEB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770" w:hRule="atLeast"/>
        </w:trPr>
        <w:tc>
          <w:tcPr>
            <w:tcW w:w="975" w:type="dxa"/>
            <w:vMerge w:val="continue"/>
            <w:tcBorders>
              <w:right w:val="single" w:color="auto" w:sz="4" w:space="0"/>
            </w:tcBorders>
            <w:vAlign w:val="center"/>
          </w:tcPr>
          <w:p w14:paraId="7EABF394">
            <w:pPr>
              <w:pStyle w:val="49"/>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4"/>
                <w:szCs w:val="24"/>
                <w:highlight w:val="none"/>
              </w:rPr>
            </w:pPr>
          </w:p>
        </w:tc>
        <w:tc>
          <w:tcPr>
            <w:tcW w:w="1764" w:type="dxa"/>
            <w:vMerge w:val="continue"/>
            <w:tcBorders>
              <w:right w:val="single" w:color="auto" w:sz="4" w:space="0"/>
            </w:tcBorders>
            <w:vAlign w:val="center"/>
          </w:tcPr>
          <w:p w14:paraId="292E79A2">
            <w:pPr>
              <w:pStyle w:val="49"/>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4"/>
                <w:szCs w:val="24"/>
                <w:highlight w:val="none"/>
              </w:rPr>
            </w:pPr>
          </w:p>
        </w:tc>
        <w:tc>
          <w:tcPr>
            <w:tcW w:w="6720" w:type="dxa"/>
            <w:tcBorders>
              <w:left w:val="single" w:color="auto" w:sz="4" w:space="0"/>
            </w:tcBorders>
            <w:vAlign w:val="center"/>
          </w:tcPr>
          <w:p w14:paraId="15CC7FB6">
            <w:pPr>
              <w:pStyle w:val="49"/>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4"/>
                <w:szCs w:val="24"/>
                <w:highlight w:val="none"/>
                <w:lang w:eastAsia="zh-CN"/>
              </w:rPr>
            </w:pPr>
            <w:r>
              <w:rPr>
                <w:rFonts w:hint="eastAsia" w:cs="宋体"/>
                <w:i w:val="0"/>
                <w:iCs w:val="0"/>
                <w:color w:val="auto"/>
                <w:sz w:val="24"/>
                <w:szCs w:val="24"/>
                <w:highlight w:val="none"/>
                <w:lang w:val="en-US" w:eastAsia="zh-CN"/>
              </w:rPr>
              <w:t>5.</w:t>
            </w:r>
            <w:r>
              <w:rPr>
                <w:rFonts w:hint="eastAsia" w:ascii="宋体" w:hAnsi="宋体" w:eastAsia="宋体" w:cs="宋体"/>
                <w:i w:val="0"/>
                <w:iCs w:val="0"/>
                <w:color w:val="auto"/>
                <w:sz w:val="24"/>
                <w:szCs w:val="24"/>
                <w:highlight w:val="none"/>
                <w:lang w:val="en-US" w:eastAsia="zh-CN"/>
              </w:rPr>
              <w:t>供应商以他人名义投标或者以其他方式弄虚作假，骗取中标的，中标无效，给采购人造成损失的，依法承担赔偿责任；构成犯罪的，依法追究刑事责任。（依据《中华人民共和国政府采购法》第八章第七十七条：“供应商有下列情形之一的，处以采购金额千分之五以上千分之十以下的罚款，列入不良行为记录名单，在一至三年内禁止参加政府采购活动，有违法所得的，并处没收违法所得，情节严重的，由工商行政管理机关吊销营业执造；构成犯罪的，依法追究刑事责任；（一）提供虚假材料谋取中标、成交的……”之规定）。</w:t>
            </w:r>
          </w:p>
        </w:tc>
      </w:tr>
      <w:tr w14:paraId="2B2F829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trPr>
        <w:tc>
          <w:tcPr>
            <w:tcW w:w="975" w:type="dxa"/>
            <w:vMerge w:val="continue"/>
            <w:tcBorders>
              <w:right w:val="single" w:color="auto" w:sz="4" w:space="0"/>
            </w:tcBorders>
            <w:vAlign w:val="center"/>
          </w:tcPr>
          <w:p w14:paraId="1AD61C21">
            <w:pPr>
              <w:pStyle w:val="49"/>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4"/>
                <w:szCs w:val="24"/>
                <w:highlight w:val="none"/>
              </w:rPr>
            </w:pPr>
          </w:p>
        </w:tc>
        <w:tc>
          <w:tcPr>
            <w:tcW w:w="1764" w:type="dxa"/>
            <w:vMerge w:val="continue"/>
            <w:tcBorders>
              <w:right w:val="single" w:color="auto" w:sz="4" w:space="0"/>
            </w:tcBorders>
            <w:vAlign w:val="center"/>
          </w:tcPr>
          <w:p w14:paraId="4B1BE2EA">
            <w:pPr>
              <w:pStyle w:val="49"/>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4"/>
                <w:szCs w:val="24"/>
                <w:highlight w:val="none"/>
              </w:rPr>
            </w:pPr>
          </w:p>
        </w:tc>
        <w:tc>
          <w:tcPr>
            <w:tcW w:w="6720" w:type="dxa"/>
            <w:tcBorders>
              <w:left w:val="single" w:color="auto" w:sz="4" w:space="0"/>
            </w:tcBorders>
            <w:vAlign w:val="center"/>
          </w:tcPr>
          <w:p w14:paraId="755F534A">
            <w:pPr>
              <w:pStyle w:val="49"/>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4"/>
                <w:szCs w:val="24"/>
                <w:highlight w:val="none"/>
                <w:lang w:eastAsia="zh-CN"/>
              </w:rPr>
            </w:pPr>
            <w:r>
              <w:rPr>
                <w:rFonts w:hint="eastAsia" w:cs="宋体"/>
                <w:i w:val="0"/>
                <w:iCs w:val="0"/>
                <w:color w:val="auto"/>
                <w:sz w:val="24"/>
                <w:szCs w:val="24"/>
                <w:highlight w:val="none"/>
                <w:lang w:val="en-US" w:eastAsia="zh-CN"/>
              </w:rPr>
              <w:t>6.采购人根据评标委员会推荐的有排序的中标候选人情况，确定排名第一的中标候选人为中标供应商。排名第一的中标候选人放弃中标、因不可抗力提出不能履行合同,或者招标文件规定应当提交履约保证金而在规定的期限内未能提交，或者被查实存在影响中标结果的违法行为等情形，不符合成交条件的，采购人可以按照评标委员会提出的成交候选人名单排序依次确定其他中标候选人为中标供应商。</w:t>
            </w:r>
          </w:p>
        </w:tc>
      </w:tr>
      <w:tr w14:paraId="4CF64C3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99" w:hRule="atLeast"/>
        </w:trPr>
        <w:tc>
          <w:tcPr>
            <w:tcW w:w="975" w:type="dxa"/>
            <w:vMerge w:val="continue"/>
            <w:tcBorders>
              <w:right w:val="single" w:color="auto" w:sz="4" w:space="0"/>
            </w:tcBorders>
            <w:vAlign w:val="center"/>
          </w:tcPr>
          <w:p w14:paraId="6EB86575">
            <w:pPr>
              <w:pStyle w:val="49"/>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4"/>
                <w:szCs w:val="24"/>
                <w:highlight w:val="none"/>
              </w:rPr>
            </w:pPr>
          </w:p>
        </w:tc>
        <w:tc>
          <w:tcPr>
            <w:tcW w:w="1764" w:type="dxa"/>
            <w:vMerge w:val="continue"/>
            <w:tcBorders>
              <w:right w:val="single" w:color="auto" w:sz="4" w:space="0"/>
            </w:tcBorders>
            <w:vAlign w:val="center"/>
          </w:tcPr>
          <w:p w14:paraId="508759DE">
            <w:pPr>
              <w:pStyle w:val="49"/>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4"/>
                <w:szCs w:val="24"/>
                <w:highlight w:val="none"/>
              </w:rPr>
            </w:pPr>
          </w:p>
        </w:tc>
        <w:tc>
          <w:tcPr>
            <w:tcW w:w="6720" w:type="dxa"/>
            <w:tcBorders>
              <w:left w:val="single" w:color="auto" w:sz="4" w:space="0"/>
            </w:tcBorders>
            <w:vAlign w:val="center"/>
          </w:tcPr>
          <w:p w14:paraId="1A6B9556">
            <w:pPr>
              <w:pStyle w:val="49"/>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4"/>
                <w:szCs w:val="24"/>
                <w:highlight w:val="none"/>
                <w:lang w:eastAsia="zh-CN"/>
              </w:rPr>
            </w:pPr>
            <w:r>
              <w:rPr>
                <w:rFonts w:hint="eastAsia" w:cs="宋体"/>
                <w:i w:val="0"/>
                <w:iCs w:val="0"/>
                <w:color w:val="auto"/>
                <w:sz w:val="24"/>
                <w:szCs w:val="24"/>
                <w:highlight w:val="none"/>
                <w:lang w:val="en-US" w:eastAsia="zh-CN"/>
              </w:rPr>
              <w:t>7.招标文件中要求投标人提供的所有证明材料均为电子件，放置投标文件内，且清晰可辩。投标人提供的证明材料模糊或有瑕疵的自行承担评审后果。</w:t>
            </w:r>
          </w:p>
        </w:tc>
      </w:tr>
      <w:tr w14:paraId="68C694B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71" w:hRule="atLeast"/>
        </w:trPr>
        <w:tc>
          <w:tcPr>
            <w:tcW w:w="975" w:type="dxa"/>
            <w:vMerge w:val="continue"/>
            <w:tcBorders>
              <w:right w:val="single" w:color="auto" w:sz="4" w:space="0"/>
            </w:tcBorders>
            <w:vAlign w:val="center"/>
          </w:tcPr>
          <w:p w14:paraId="5FE07B2A">
            <w:pPr>
              <w:pStyle w:val="49"/>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4"/>
                <w:szCs w:val="24"/>
                <w:highlight w:val="none"/>
              </w:rPr>
            </w:pPr>
          </w:p>
        </w:tc>
        <w:tc>
          <w:tcPr>
            <w:tcW w:w="1764" w:type="dxa"/>
            <w:vMerge w:val="continue"/>
            <w:tcBorders>
              <w:right w:val="single" w:color="auto" w:sz="4" w:space="0"/>
            </w:tcBorders>
            <w:vAlign w:val="center"/>
          </w:tcPr>
          <w:p w14:paraId="5EF5B551">
            <w:pPr>
              <w:pStyle w:val="49"/>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4"/>
                <w:szCs w:val="24"/>
                <w:highlight w:val="none"/>
              </w:rPr>
            </w:pPr>
          </w:p>
        </w:tc>
        <w:tc>
          <w:tcPr>
            <w:tcW w:w="6720" w:type="dxa"/>
            <w:tcBorders>
              <w:left w:val="single" w:color="auto" w:sz="4" w:space="0"/>
            </w:tcBorders>
            <w:vAlign w:val="center"/>
          </w:tcPr>
          <w:p w14:paraId="08CA31E1">
            <w:pPr>
              <w:pStyle w:val="49"/>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4"/>
                <w:szCs w:val="24"/>
                <w:highlight w:val="none"/>
                <w:lang w:eastAsia="zh-CN"/>
              </w:rPr>
            </w:pPr>
            <w:r>
              <w:rPr>
                <w:rFonts w:hint="eastAsia" w:cs="宋体"/>
                <w:i w:val="0"/>
                <w:iCs w:val="0"/>
                <w:color w:val="auto"/>
                <w:sz w:val="24"/>
                <w:szCs w:val="24"/>
                <w:highlight w:val="none"/>
                <w:lang w:val="en-US" w:eastAsia="zh-CN"/>
              </w:rPr>
              <w:t>8.</w:t>
            </w:r>
            <w:r>
              <w:rPr>
                <w:rFonts w:hint="eastAsia" w:ascii="宋体" w:hAnsi="宋体" w:eastAsia="宋体" w:cs="宋体"/>
                <w:i w:val="0"/>
                <w:iCs w:val="0"/>
                <w:color w:val="auto"/>
                <w:sz w:val="24"/>
                <w:szCs w:val="24"/>
                <w:highlight w:val="none"/>
                <w:lang w:val="en-US" w:eastAsia="zh-CN"/>
              </w:rPr>
              <w:t>评标委员会认为</w:t>
            </w:r>
            <w:r>
              <w:rPr>
                <w:rFonts w:hint="eastAsia" w:cs="宋体"/>
                <w:i w:val="0"/>
                <w:iCs w:val="0"/>
                <w:color w:val="auto"/>
                <w:sz w:val="24"/>
                <w:szCs w:val="24"/>
                <w:highlight w:val="none"/>
                <w:lang w:val="en-US" w:eastAsia="zh-CN"/>
              </w:rPr>
              <w:t>投标人</w:t>
            </w:r>
            <w:r>
              <w:rPr>
                <w:rFonts w:hint="eastAsia" w:ascii="宋体" w:hAnsi="宋体" w:eastAsia="宋体" w:cs="宋体"/>
                <w:i w:val="0"/>
                <w:iCs w:val="0"/>
                <w:color w:val="auto"/>
                <w:sz w:val="24"/>
                <w:szCs w:val="24"/>
                <w:highlight w:val="none"/>
                <w:lang w:val="en-US" w:eastAsia="zh-CN"/>
              </w:rPr>
              <w:t>的报价明显低于其他通过符合性审查</w:t>
            </w:r>
            <w:r>
              <w:rPr>
                <w:rFonts w:hint="eastAsia" w:cs="宋体"/>
                <w:i w:val="0"/>
                <w:iCs w:val="0"/>
                <w:color w:val="auto"/>
                <w:sz w:val="24"/>
                <w:szCs w:val="24"/>
                <w:highlight w:val="none"/>
                <w:lang w:val="en-US" w:eastAsia="zh-CN"/>
              </w:rPr>
              <w:t>投标人</w:t>
            </w:r>
            <w:r>
              <w:rPr>
                <w:rFonts w:hint="eastAsia" w:ascii="宋体" w:hAnsi="宋体" w:eastAsia="宋体" w:cs="宋体"/>
                <w:i w:val="0"/>
                <w:iCs w:val="0"/>
                <w:color w:val="auto"/>
                <w:sz w:val="24"/>
                <w:szCs w:val="24"/>
                <w:highlight w:val="none"/>
                <w:lang w:val="en-US" w:eastAsia="zh-CN"/>
              </w:rPr>
              <w:t>的报价，有可能影响产品质量或者不能诚信履约的，应当要求其在评标现场合理的时间内提供书面说明，必要时提交相关证明材料；</w:t>
            </w:r>
            <w:r>
              <w:rPr>
                <w:rFonts w:hint="eastAsia" w:cs="宋体"/>
                <w:i w:val="0"/>
                <w:iCs w:val="0"/>
                <w:color w:val="auto"/>
                <w:sz w:val="24"/>
                <w:szCs w:val="24"/>
                <w:highlight w:val="none"/>
                <w:lang w:val="en-US" w:eastAsia="zh-CN"/>
              </w:rPr>
              <w:t>投标人</w:t>
            </w:r>
            <w:r>
              <w:rPr>
                <w:rFonts w:hint="eastAsia" w:ascii="宋体" w:hAnsi="宋体" w:eastAsia="宋体" w:cs="宋体"/>
                <w:i w:val="0"/>
                <w:iCs w:val="0"/>
                <w:color w:val="auto"/>
                <w:sz w:val="24"/>
                <w:szCs w:val="24"/>
                <w:highlight w:val="none"/>
                <w:lang w:val="en-US" w:eastAsia="zh-CN"/>
              </w:rPr>
              <w:t>不能证明其报价合理性的，评标委员会应当将其作为无效投标处理。</w:t>
            </w:r>
          </w:p>
        </w:tc>
      </w:tr>
      <w:tr w14:paraId="602975A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94" w:hRule="atLeast"/>
        </w:trPr>
        <w:tc>
          <w:tcPr>
            <w:tcW w:w="975" w:type="dxa"/>
            <w:vMerge w:val="continue"/>
            <w:tcBorders>
              <w:right w:val="single" w:color="auto" w:sz="4" w:space="0"/>
            </w:tcBorders>
            <w:vAlign w:val="center"/>
          </w:tcPr>
          <w:p w14:paraId="3943A5C4">
            <w:pPr>
              <w:pStyle w:val="49"/>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4"/>
                <w:szCs w:val="24"/>
                <w:highlight w:val="none"/>
              </w:rPr>
            </w:pPr>
          </w:p>
        </w:tc>
        <w:tc>
          <w:tcPr>
            <w:tcW w:w="1764" w:type="dxa"/>
            <w:vMerge w:val="continue"/>
            <w:tcBorders>
              <w:right w:val="single" w:color="auto" w:sz="4" w:space="0"/>
            </w:tcBorders>
            <w:vAlign w:val="center"/>
          </w:tcPr>
          <w:p w14:paraId="441226DC">
            <w:pPr>
              <w:pStyle w:val="49"/>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4"/>
                <w:szCs w:val="24"/>
                <w:highlight w:val="none"/>
              </w:rPr>
            </w:pPr>
          </w:p>
        </w:tc>
        <w:tc>
          <w:tcPr>
            <w:tcW w:w="6720" w:type="dxa"/>
            <w:tcBorders>
              <w:left w:val="single" w:color="auto" w:sz="4" w:space="0"/>
            </w:tcBorders>
            <w:vAlign w:val="center"/>
          </w:tcPr>
          <w:p w14:paraId="5EE95838">
            <w:pPr>
              <w:pStyle w:val="49"/>
              <w:keepNext w:val="0"/>
              <w:keepLines w:val="0"/>
              <w:pageBreakBefore w:val="0"/>
              <w:kinsoku/>
              <w:wordWrap/>
              <w:overflowPunct/>
              <w:topLinePunct w:val="0"/>
              <w:autoSpaceDE/>
              <w:autoSpaceDN/>
              <w:bidi w:val="0"/>
              <w:adjustRightInd/>
              <w:snapToGrid/>
              <w:spacing w:line="320" w:lineRule="exact"/>
              <w:textAlignment w:val="auto"/>
              <w:rPr>
                <w:rFonts w:hint="eastAsia"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9.本项目所述时间以政采云平台服务器时间为准。</w:t>
            </w:r>
          </w:p>
        </w:tc>
      </w:tr>
      <w:tr w14:paraId="0CDB3F6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trPr>
        <w:tc>
          <w:tcPr>
            <w:tcW w:w="975" w:type="dxa"/>
            <w:vMerge w:val="continue"/>
            <w:tcBorders>
              <w:right w:val="single" w:color="auto" w:sz="4" w:space="0"/>
            </w:tcBorders>
            <w:vAlign w:val="center"/>
          </w:tcPr>
          <w:p w14:paraId="5B401823">
            <w:pPr>
              <w:pStyle w:val="49"/>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4"/>
                <w:szCs w:val="24"/>
                <w:highlight w:val="none"/>
              </w:rPr>
            </w:pPr>
          </w:p>
        </w:tc>
        <w:tc>
          <w:tcPr>
            <w:tcW w:w="1764" w:type="dxa"/>
            <w:vMerge w:val="continue"/>
            <w:tcBorders>
              <w:right w:val="single" w:color="auto" w:sz="4" w:space="0"/>
            </w:tcBorders>
            <w:vAlign w:val="center"/>
          </w:tcPr>
          <w:p w14:paraId="2B68E1FC">
            <w:pPr>
              <w:pStyle w:val="49"/>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4"/>
                <w:szCs w:val="24"/>
                <w:highlight w:val="none"/>
              </w:rPr>
            </w:pPr>
          </w:p>
        </w:tc>
        <w:tc>
          <w:tcPr>
            <w:tcW w:w="6720" w:type="dxa"/>
            <w:tcBorders>
              <w:left w:val="single" w:color="auto" w:sz="4" w:space="0"/>
            </w:tcBorders>
            <w:vAlign w:val="center"/>
          </w:tcPr>
          <w:p w14:paraId="7E8E205D">
            <w:pPr>
              <w:pStyle w:val="49"/>
              <w:keepNext w:val="0"/>
              <w:keepLines w:val="0"/>
              <w:pageBreakBefore w:val="0"/>
              <w:kinsoku/>
              <w:wordWrap/>
              <w:overflowPunct/>
              <w:topLinePunct w:val="0"/>
              <w:autoSpaceDE/>
              <w:autoSpaceDN/>
              <w:bidi w:val="0"/>
              <w:adjustRightInd/>
              <w:snapToGrid/>
              <w:spacing w:line="320" w:lineRule="exact"/>
              <w:textAlignment w:val="auto"/>
              <w:rPr>
                <w:rFonts w:hint="eastAsia" w:cs="宋体"/>
                <w:b/>
                <w:bCs/>
                <w:i w:val="0"/>
                <w:iCs w:val="0"/>
                <w:color w:val="auto"/>
                <w:sz w:val="24"/>
                <w:szCs w:val="24"/>
                <w:highlight w:val="none"/>
                <w:lang w:val="en-US" w:eastAsia="zh-CN"/>
              </w:rPr>
            </w:pPr>
            <w:r>
              <w:rPr>
                <w:rFonts w:hint="eastAsia" w:cs="宋体"/>
                <w:i w:val="0"/>
                <w:iCs w:val="0"/>
                <w:color w:val="auto"/>
                <w:sz w:val="24"/>
                <w:szCs w:val="24"/>
                <w:highlight w:val="none"/>
                <w:lang w:val="en-US" w:eastAsia="zh-CN"/>
              </w:rPr>
              <w:t>10.中标</w:t>
            </w:r>
            <w:r>
              <w:rPr>
                <w:rFonts w:hint="eastAsia" w:ascii="宋体" w:hAnsi="宋体" w:eastAsia="宋体" w:cs="宋体"/>
                <w:i w:val="0"/>
                <w:iCs w:val="0"/>
                <w:color w:val="auto"/>
                <w:sz w:val="24"/>
                <w:szCs w:val="24"/>
                <w:highlight w:val="none"/>
                <w:lang w:val="en-US" w:eastAsia="zh-CN"/>
              </w:rPr>
              <w:t>供应商需提供纸质版</w:t>
            </w:r>
            <w:r>
              <w:rPr>
                <w:rFonts w:hint="eastAsia" w:cs="宋体"/>
                <w:i w:val="0"/>
                <w:iCs w:val="0"/>
                <w:color w:val="auto"/>
                <w:sz w:val="24"/>
                <w:szCs w:val="24"/>
                <w:highlight w:val="none"/>
                <w:lang w:val="en-US" w:eastAsia="zh-CN"/>
              </w:rPr>
              <w:t>投标</w:t>
            </w:r>
            <w:r>
              <w:rPr>
                <w:rFonts w:hint="eastAsia" w:ascii="宋体" w:hAnsi="宋体" w:eastAsia="宋体" w:cs="宋体"/>
                <w:i w:val="0"/>
                <w:iCs w:val="0"/>
                <w:color w:val="auto"/>
                <w:sz w:val="24"/>
                <w:szCs w:val="24"/>
                <w:highlight w:val="none"/>
                <w:lang w:val="en-US" w:eastAsia="zh-CN"/>
              </w:rPr>
              <w:t>文件1正1副。（与政采云平台上传响应文件内容一致）。</w:t>
            </w:r>
          </w:p>
        </w:tc>
      </w:tr>
      <w:tr w14:paraId="0551130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trPr>
        <w:tc>
          <w:tcPr>
            <w:tcW w:w="975" w:type="dxa"/>
            <w:vMerge w:val="continue"/>
            <w:tcBorders>
              <w:right w:val="single" w:color="auto" w:sz="4" w:space="0"/>
            </w:tcBorders>
            <w:vAlign w:val="center"/>
          </w:tcPr>
          <w:p w14:paraId="260F3654">
            <w:pPr>
              <w:pStyle w:val="49"/>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4"/>
                <w:szCs w:val="24"/>
                <w:highlight w:val="none"/>
              </w:rPr>
            </w:pPr>
          </w:p>
        </w:tc>
        <w:tc>
          <w:tcPr>
            <w:tcW w:w="1764" w:type="dxa"/>
            <w:vMerge w:val="continue"/>
            <w:tcBorders>
              <w:right w:val="single" w:color="auto" w:sz="4" w:space="0"/>
            </w:tcBorders>
            <w:vAlign w:val="center"/>
          </w:tcPr>
          <w:p w14:paraId="77478445">
            <w:pPr>
              <w:pStyle w:val="49"/>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4"/>
                <w:szCs w:val="24"/>
                <w:highlight w:val="none"/>
              </w:rPr>
            </w:pPr>
          </w:p>
        </w:tc>
        <w:tc>
          <w:tcPr>
            <w:tcW w:w="6720" w:type="dxa"/>
            <w:tcBorders>
              <w:left w:val="single" w:color="auto" w:sz="4" w:space="0"/>
            </w:tcBorders>
            <w:vAlign w:val="center"/>
          </w:tcPr>
          <w:p w14:paraId="6A801412">
            <w:pPr>
              <w:pStyle w:val="49"/>
              <w:keepNext w:val="0"/>
              <w:keepLines w:val="0"/>
              <w:pageBreakBefore w:val="0"/>
              <w:numPr>
                <w:ilvl w:val="0"/>
                <w:numId w:val="9"/>
              </w:numPr>
              <w:kinsoku/>
              <w:wordWrap/>
              <w:overflowPunct/>
              <w:topLinePunct w:val="0"/>
              <w:autoSpaceDE/>
              <w:autoSpaceDN/>
              <w:bidi w:val="0"/>
              <w:adjustRightInd/>
              <w:snapToGrid/>
              <w:spacing w:line="320" w:lineRule="exact"/>
              <w:textAlignment w:val="auto"/>
              <w:rPr>
                <w:rFonts w:hint="eastAsia" w:cs="宋体"/>
                <w:i w:val="0"/>
                <w:iCs w:val="0"/>
                <w:color w:val="auto"/>
                <w:sz w:val="24"/>
                <w:szCs w:val="24"/>
                <w:highlight w:val="none"/>
                <w:lang w:val="en-US" w:eastAsia="zh-CN"/>
              </w:rPr>
            </w:pPr>
            <w:r>
              <w:rPr>
                <w:rFonts w:ascii="宋体" w:hAnsi="宋体" w:eastAsia="宋体" w:cs="宋体"/>
                <w:b/>
                <w:bCs/>
                <w:color w:val="auto"/>
                <w:sz w:val="24"/>
                <w:szCs w:val="24"/>
              </w:rPr>
              <w:t>根据《财库〔2026〕2号》规定，投标供应商不得以低于成本价进行报价竞争，评审中出现下列情形之一的，评审委员会应当启动异常低价投标（响应）审查程序：</w:t>
            </w:r>
          </w:p>
          <w:p w14:paraId="4F6A6643">
            <w:pPr>
              <w:pStyle w:val="49"/>
              <w:keepNext w:val="0"/>
              <w:keepLines w:val="0"/>
              <w:pageBreakBefore w:val="0"/>
              <w:numPr>
                <w:ilvl w:val="0"/>
                <w:numId w:val="10"/>
              </w:numPr>
              <w:kinsoku/>
              <w:wordWrap/>
              <w:overflowPunct/>
              <w:topLinePunct w:val="0"/>
              <w:autoSpaceDE/>
              <w:autoSpaceDN/>
              <w:bidi w:val="0"/>
              <w:adjustRightInd/>
              <w:snapToGrid/>
              <w:spacing w:line="320" w:lineRule="exact"/>
              <w:ind w:left="120" w:leftChars="0" w:firstLine="0" w:firstLineChars="0"/>
              <w:textAlignment w:val="auto"/>
              <w:rPr>
                <w:rFonts w:ascii="宋体" w:hAnsi="宋体" w:eastAsia="宋体" w:cs="宋体"/>
                <w:color w:val="auto"/>
                <w:sz w:val="24"/>
                <w:szCs w:val="24"/>
              </w:rPr>
            </w:pPr>
            <w:r>
              <w:rPr>
                <w:rFonts w:ascii="宋体" w:hAnsi="宋体" w:eastAsia="宋体" w:cs="宋体"/>
                <w:color w:val="auto"/>
                <w:sz w:val="24"/>
                <w:szCs w:val="24"/>
              </w:rPr>
              <w:t>投标（响应）报价低于全部通过符合性审查供应商投标（响应）报价平均值50%的，即投标（响应）报价&lt;全部通过符合性审查供应商投标（响应）报价平均值×50%；</w:t>
            </w:r>
          </w:p>
          <w:p w14:paraId="204246B4">
            <w:pPr>
              <w:pStyle w:val="49"/>
              <w:keepNext w:val="0"/>
              <w:keepLines w:val="0"/>
              <w:pageBreakBefore w:val="0"/>
              <w:numPr>
                <w:ilvl w:val="0"/>
                <w:numId w:val="10"/>
              </w:numPr>
              <w:kinsoku/>
              <w:wordWrap/>
              <w:overflowPunct/>
              <w:topLinePunct w:val="0"/>
              <w:autoSpaceDE/>
              <w:autoSpaceDN/>
              <w:bidi w:val="0"/>
              <w:adjustRightInd/>
              <w:snapToGrid/>
              <w:spacing w:line="320" w:lineRule="exact"/>
              <w:ind w:left="120" w:leftChars="0" w:firstLine="0" w:firstLineChars="0"/>
              <w:textAlignment w:val="auto"/>
              <w:rPr>
                <w:rFonts w:ascii="宋体" w:hAnsi="宋体" w:eastAsia="宋体" w:cs="宋体"/>
                <w:color w:val="auto"/>
                <w:sz w:val="24"/>
                <w:szCs w:val="24"/>
              </w:rPr>
            </w:pPr>
            <w:r>
              <w:rPr>
                <w:rFonts w:ascii="宋体" w:hAnsi="宋体" w:eastAsia="宋体" w:cs="宋体"/>
                <w:color w:val="auto"/>
                <w:sz w:val="24"/>
                <w:szCs w:val="24"/>
              </w:rPr>
              <w:t>投标（响应）报价低于通过符合性审查的次低报价供应商投标（响应）报价50%的，即投标（响应）报价&lt;通过符合性审查的次低报价供应商投标（响应）报价×50%；</w:t>
            </w:r>
          </w:p>
          <w:p w14:paraId="561B3930">
            <w:pPr>
              <w:pStyle w:val="49"/>
              <w:keepNext w:val="0"/>
              <w:keepLines w:val="0"/>
              <w:pageBreakBefore w:val="0"/>
              <w:numPr>
                <w:ilvl w:val="0"/>
                <w:numId w:val="10"/>
              </w:numPr>
              <w:kinsoku/>
              <w:wordWrap/>
              <w:overflowPunct/>
              <w:topLinePunct w:val="0"/>
              <w:autoSpaceDE/>
              <w:autoSpaceDN/>
              <w:bidi w:val="0"/>
              <w:adjustRightInd/>
              <w:snapToGrid/>
              <w:spacing w:line="320" w:lineRule="exact"/>
              <w:ind w:left="120" w:leftChars="0" w:firstLine="0" w:firstLineChars="0"/>
              <w:textAlignment w:val="auto"/>
              <w:rPr>
                <w:rFonts w:ascii="宋体" w:hAnsi="宋体" w:eastAsia="宋体" w:cs="宋体"/>
                <w:color w:val="auto"/>
                <w:sz w:val="24"/>
                <w:szCs w:val="24"/>
              </w:rPr>
            </w:pPr>
            <w:r>
              <w:rPr>
                <w:rFonts w:ascii="宋体" w:hAnsi="宋体" w:eastAsia="宋体" w:cs="宋体"/>
                <w:color w:val="auto"/>
                <w:sz w:val="24"/>
                <w:szCs w:val="24"/>
              </w:rPr>
              <w:t>投标（响应）报价低于采购项目最高限价45%的，即投标（响应）报价&lt;采购项目最高限价×45%；</w:t>
            </w:r>
          </w:p>
          <w:p w14:paraId="00B16785">
            <w:pPr>
              <w:pStyle w:val="49"/>
              <w:keepNext w:val="0"/>
              <w:keepLines w:val="0"/>
              <w:pageBreakBefore w:val="0"/>
              <w:numPr>
                <w:ilvl w:val="0"/>
                <w:numId w:val="0"/>
              </w:numPr>
              <w:kinsoku/>
              <w:wordWrap/>
              <w:overflowPunct/>
              <w:topLinePunct w:val="0"/>
              <w:autoSpaceDE/>
              <w:autoSpaceDN/>
              <w:bidi w:val="0"/>
              <w:adjustRightInd/>
              <w:snapToGrid/>
              <w:spacing w:line="320" w:lineRule="exact"/>
              <w:textAlignment w:val="auto"/>
              <w:rPr>
                <w:rFonts w:hint="eastAsia" w:cs="宋体"/>
                <w:i w:val="0"/>
                <w:iCs w:val="0"/>
                <w:color w:val="auto"/>
                <w:sz w:val="24"/>
                <w:szCs w:val="24"/>
                <w:highlight w:val="none"/>
                <w:lang w:val="en-US" w:eastAsia="zh-CN"/>
              </w:rPr>
            </w:pPr>
            <w:r>
              <w:rPr>
                <w:rFonts w:ascii="宋体" w:hAnsi="宋体" w:eastAsia="宋体" w:cs="宋体"/>
                <w:color w:val="auto"/>
                <w:sz w:val="24"/>
                <w:szCs w:val="24"/>
              </w:rPr>
              <w:t xml:space="preserve"> 4.评审委员会基于专业判断，认为供应商报价过低，有可能影响产品质量或者不能诚信履约的其他情形。</w:t>
            </w:r>
          </w:p>
        </w:tc>
      </w:tr>
      <w:tr w14:paraId="02FB322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trPr>
        <w:tc>
          <w:tcPr>
            <w:tcW w:w="975" w:type="dxa"/>
            <w:vMerge w:val="continue"/>
            <w:tcBorders>
              <w:right w:val="single" w:color="auto" w:sz="4" w:space="0"/>
            </w:tcBorders>
            <w:vAlign w:val="center"/>
          </w:tcPr>
          <w:p w14:paraId="639ECDEF">
            <w:pPr>
              <w:pStyle w:val="49"/>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4"/>
                <w:szCs w:val="24"/>
                <w:highlight w:val="none"/>
              </w:rPr>
            </w:pPr>
          </w:p>
        </w:tc>
        <w:tc>
          <w:tcPr>
            <w:tcW w:w="1764" w:type="dxa"/>
            <w:vMerge w:val="continue"/>
            <w:tcBorders>
              <w:right w:val="single" w:color="auto" w:sz="4" w:space="0"/>
            </w:tcBorders>
            <w:vAlign w:val="center"/>
          </w:tcPr>
          <w:p w14:paraId="21A90462">
            <w:pPr>
              <w:pStyle w:val="49"/>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4"/>
                <w:szCs w:val="24"/>
                <w:highlight w:val="none"/>
              </w:rPr>
            </w:pPr>
          </w:p>
        </w:tc>
        <w:tc>
          <w:tcPr>
            <w:tcW w:w="6720" w:type="dxa"/>
            <w:tcBorders>
              <w:left w:val="single" w:color="auto" w:sz="4" w:space="0"/>
            </w:tcBorders>
            <w:vAlign w:val="center"/>
          </w:tcPr>
          <w:p w14:paraId="26A86AE6">
            <w:pPr>
              <w:pStyle w:val="49"/>
              <w:keepNext w:val="0"/>
              <w:keepLines w:val="0"/>
              <w:pageBreakBefore w:val="0"/>
              <w:kinsoku/>
              <w:wordWrap/>
              <w:overflowPunct/>
              <w:topLinePunct w:val="0"/>
              <w:autoSpaceDE/>
              <w:autoSpaceDN/>
              <w:bidi w:val="0"/>
              <w:adjustRightInd/>
              <w:snapToGrid/>
              <w:spacing w:line="320" w:lineRule="exact"/>
              <w:textAlignment w:val="auto"/>
              <w:rPr>
                <w:rFonts w:hint="eastAsia" w:cs="宋体"/>
                <w:i w:val="0"/>
                <w:iCs w:val="0"/>
                <w:color w:val="auto"/>
                <w:sz w:val="24"/>
                <w:szCs w:val="24"/>
                <w:highlight w:val="none"/>
                <w:lang w:val="en-US" w:eastAsia="zh-CN"/>
              </w:rPr>
            </w:pPr>
            <w:r>
              <w:rPr>
                <w:rFonts w:hint="eastAsia" w:cs="宋体"/>
                <w:i w:val="0"/>
                <w:iCs w:val="0"/>
                <w:color w:val="auto"/>
                <w:sz w:val="24"/>
                <w:szCs w:val="24"/>
                <w:highlight w:val="none"/>
                <w:lang w:val="en-US" w:eastAsia="zh-CN"/>
              </w:rPr>
              <w:t>1</w:t>
            </w:r>
            <w:r>
              <w:rPr>
                <w:rFonts w:hint="default" w:cs="宋体"/>
                <w:i w:val="0"/>
                <w:iCs w:val="0"/>
                <w:color w:val="auto"/>
                <w:sz w:val="24"/>
                <w:szCs w:val="24"/>
                <w:highlight w:val="none"/>
                <w:lang w:val="en-US" w:eastAsia="zh-CN"/>
              </w:rPr>
              <w:t>2</w:t>
            </w:r>
            <w:r>
              <w:rPr>
                <w:rFonts w:hint="eastAsia" w:cs="宋体"/>
                <w:i w:val="0"/>
                <w:iCs w:val="0"/>
                <w:color w:val="auto"/>
                <w:sz w:val="24"/>
                <w:szCs w:val="24"/>
                <w:highlight w:val="none"/>
                <w:lang w:val="en-US" w:eastAsia="zh-CN"/>
              </w:rPr>
              <w:t>.</w:t>
            </w:r>
            <w:r>
              <w:rPr>
                <w:rFonts w:hint="eastAsia" w:ascii="宋体" w:hAnsi="宋体" w:eastAsia="宋体" w:cs="宋体"/>
                <w:i w:val="0"/>
                <w:iCs w:val="0"/>
                <w:color w:val="auto"/>
                <w:sz w:val="24"/>
                <w:szCs w:val="24"/>
                <w:highlight w:val="none"/>
                <w:lang w:val="en-US" w:eastAsia="zh-CN"/>
              </w:rPr>
              <w:t>特别声明：</w:t>
            </w:r>
            <w:r>
              <w:rPr>
                <w:rFonts w:hint="eastAsia" w:cs="宋体"/>
                <w:i w:val="0"/>
                <w:iCs w:val="0"/>
                <w:color w:val="auto"/>
                <w:sz w:val="24"/>
                <w:szCs w:val="24"/>
                <w:highlight w:val="none"/>
                <w:lang w:val="en-US" w:eastAsia="zh-CN"/>
              </w:rPr>
              <w:t>投标人</w:t>
            </w:r>
            <w:r>
              <w:rPr>
                <w:rFonts w:hint="eastAsia" w:ascii="宋体" w:hAnsi="宋体" w:eastAsia="宋体" w:cs="宋体"/>
                <w:i w:val="0"/>
                <w:iCs w:val="0"/>
                <w:color w:val="auto"/>
                <w:sz w:val="24"/>
                <w:szCs w:val="24"/>
                <w:highlight w:val="none"/>
                <w:lang w:val="en-US" w:eastAsia="zh-CN"/>
              </w:rPr>
              <w:t>在制作投标文件时，不得弄虚作假，不得使用各种手段伪造、变造本不属于供应商自身的响应材料。（如假证书、假业绩、假合同、假授权、故意隐瞒不良行为记录、夸大荣誉、使用非供应商在职员工的相关证件及其他不符合《中华人民共和国政府采购法》等规定的条款）；如在采购过程中发现有</w:t>
            </w:r>
            <w:r>
              <w:rPr>
                <w:rFonts w:hint="eastAsia" w:cs="宋体"/>
                <w:i w:val="0"/>
                <w:iCs w:val="0"/>
                <w:color w:val="auto"/>
                <w:sz w:val="24"/>
                <w:szCs w:val="24"/>
                <w:highlight w:val="none"/>
                <w:lang w:val="en-US" w:eastAsia="zh-CN"/>
              </w:rPr>
              <w:t>投标人</w:t>
            </w:r>
            <w:r>
              <w:rPr>
                <w:rFonts w:hint="eastAsia" w:ascii="宋体" w:hAnsi="宋体" w:eastAsia="宋体" w:cs="宋体"/>
                <w:i w:val="0"/>
                <w:iCs w:val="0"/>
                <w:color w:val="auto"/>
                <w:sz w:val="24"/>
                <w:szCs w:val="24"/>
                <w:highlight w:val="none"/>
                <w:lang w:val="en-US" w:eastAsia="zh-CN"/>
              </w:rPr>
              <w:t>出现此类问题，将按照《中华人民共和国政府采购法》等相关规定进行处理，并将违法违规行为上报财政主管部门进行通报。</w:t>
            </w:r>
          </w:p>
        </w:tc>
      </w:tr>
      <w:tr w14:paraId="22D8E60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004" w:hRule="atLeast"/>
        </w:trPr>
        <w:tc>
          <w:tcPr>
            <w:tcW w:w="2739" w:type="dxa"/>
            <w:gridSpan w:val="2"/>
            <w:tcBorders>
              <w:right w:val="single" w:color="auto" w:sz="4" w:space="0"/>
            </w:tcBorders>
            <w:vAlign w:val="center"/>
          </w:tcPr>
          <w:p w14:paraId="7368578C">
            <w:pPr>
              <w:pStyle w:val="49"/>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4"/>
                <w:szCs w:val="24"/>
                <w:highlight w:val="none"/>
              </w:rPr>
            </w:pPr>
            <w:r>
              <w:rPr>
                <w:rFonts w:ascii="宋体" w:hAnsi="宋体" w:eastAsia="宋体" w:cs="宋体"/>
                <w:color w:val="auto"/>
                <w:sz w:val="24"/>
                <w:szCs w:val="24"/>
              </w:rPr>
              <w:t>关于在政府采购中实施 本国产品标准及相关政 策</w:t>
            </w:r>
          </w:p>
        </w:tc>
        <w:tc>
          <w:tcPr>
            <w:tcW w:w="6720" w:type="dxa"/>
            <w:tcBorders>
              <w:left w:val="single" w:color="auto" w:sz="4" w:space="0"/>
            </w:tcBorders>
            <w:vAlign w:val="center"/>
          </w:tcPr>
          <w:p w14:paraId="161D7F04">
            <w:pPr>
              <w:pStyle w:val="49"/>
              <w:keepNext w:val="0"/>
              <w:keepLines w:val="0"/>
              <w:pageBreakBefore w:val="0"/>
              <w:numPr>
                <w:ilvl w:val="0"/>
                <w:numId w:val="11"/>
              </w:numPr>
              <w:kinsoku/>
              <w:wordWrap/>
              <w:overflowPunct/>
              <w:topLinePunct w:val="0"/>
              <w:autoSpaceDE/>
              <w:autoSpaceDN/>
              <w:bidi w:val="0"/>
              <w:adjustRightInd/>
              <w:snapToGrid/>
              <w:spacing w:line="320" w:lineRule="exact"/>
              <w:textAlignment w:val="auto"/>
              <w:rPr>
                <w:rFonts w:ascii="宋体" w:hAnsi="宋体" w:eastAsia="宋体" w:cs="宋体"/>
                <w:color w:val="auto"/>
                <w:sz w:val="24"/>
                <w:szCs w:val="24"/>
              </w:rPr>
            </w:pPr>
            <w:r>
              <w:rPr>
                <w:rFonts w:ascii="宋体" w:hAnsi="宋体" w:eastAsia="宋体" w:cs="宋体"/>
                <w:color w:val="auto"/>
                <w:sz w:val="24"/>
                <w:szCs w:val="24"/>
              </w:rPr>
              <w:t xml:space="preserve">根据《关于在政府采购中实施本国产品标准及相关政策的 通知》及相关法律法规规定，本项目所采购的产品属于必须采 购本国产品的范围。 </w:t>
            </w:r>
          </w:p>
          <w:p w14:paraId="47F44AB9">
            <w:pPr>
              <w:pStyle w:val="49"/>
              <w:keepNext w:val="0"/>
              <w:keepLines w:val="0"/>
              <w:pageBreakBefore w:val="0"/>
              <w:numPr>
                <w:ilvl w:val="0"/>
                <w:numId w:val="11"/>
              </w:numPr>
              <w:kinsoku/>
              <w:wordWrap/>
              <w:overflowPunct/>
              <w:topLinePunct w:val="0"/>
              <w:autoSpaceDE/>
              <w:autoSpaceDN/>
              <w:bidi w:val="0"/>
              <w:adjustRightInd/>
              <w:snapToGrid/>
              <w:spacing w:line="320" w:lineRule="exact"/>
              <w:ind w:left="0" w:leftChars="0" w:firstLine="0" w:firstLineChars="0"/>
              <w:textAlignment w:val="auto"/>
              <w:rPr>
                <w:rFonts w:ascii="宋体" w:hAnsi="宋体" w:eastAsia="宋体" w:cs="宋体"/>
                <w:b/>
                <w:bCs/>
                <w:color w:val="auto"/>
                <w:sz w:val="24"/>
                <w:szCs w:val="24"/>
              </w:rPr>
            </w:pPr>
            <w:r>
              <w:rPr>
                <w:rFonts w:ascii="宋体" w:hAnsi="宋体" w:eastAsia="宋体" w:cs="宋体"/>
                <w:b/>
                <w:bCs/>
                <w:color w:val="auto"/>
                <w:sz w:val="24"/>
                <w:szCs w:val="24"/>
              </w:rPr>
              <w:t xml:space="preserve">投标人须提供加盖单位公章的《关于符合本国产品标准的 声明函》。 </w:t>
            </w:r>
          </w:p>
          <w:p w14:paraId="53993DD9">
            <w:pPr>
              <w:pStyle w:val="49"/>
              <w:keepNext w:val="0"/>
              <w:keepLines w:val="0"/>
              <w:pageBreakBefore w:val="0"/>
              <w:numPr>
                <w:ilvl w:val="0"/>
                <w:numId w:val="11"/>
              </w:numPr>
              <w:kinsoku/>
              <w:wordWrap/>
              <w:overflowPunct/>
              <w:topLinePunct w:val="0"/>
              <w:autoSpaceDE/>
              <w:autoSpaceDN/>
              <w:bidi w:val="0"/>
              <w:adjustRightInd/>
              <w:snapToGrid/>
              <w:spacing w:line="320" w:lineRule="exact"/>
              <w:ind w:left="0" w:leftChars="0" w:firstLine="0" w:firstLineChars="0"/>
              <w:textAlignment w:val="auto"/>
              <w:rPr>
                <w:rFonts w:ascii="宋体" w:hAnsi="宋体" w:eastAsia="宋体" w:cs="宋体"/>
                <w:color w:val="auto"/>
                <w:sz w:val="24"/>
                <w:szCs w:val="24"/>
              </w:rPr>
            </w:pPr>
            <w:r>
              <w:rPr>
                <w:rFonts w:ascii="宋体" w:hAnsi="宋体" w:eastAsia="宋体" w:cs="宋体"/>
                <w:color w:val="auto"/>
                <w:sz w:val="24"/>
                <w:szCs w:val="24"/>
              </w:rPr>
              <w:t>投标人提供的产品是否属于“本国产品”，将依据《关于在政府采购中实施本国产品标准及相关政策的通知》中规定的标准进行认定。若在评审或履约过程中发现投标人虚假应标，其投标将被视为无效，并可能依法承担相应的法律责任。</w:t>
            </w:r>
          </w:p>
          <w:p w14:paraId="4ADDF857">
            <w:pPr>
              <w:pStyle w:val="49"/>
              <w:keepNext w:val="0"/>
              <w:keepLines w:val="0"/>
              <w:pageBreakBefore w:val="0"/>
              <w:numPr>
                <w:ilvl w:val="0"/>
                <w:numId w:val="11"/>
              </w:numPr>
              <w:kinsoku/>
              <w:wordWrap/>
              <w:overflowPunct/>
              <w:topLinePunct w:val="0"/>
              <w:autoSpaceDE/>
              <w:autoSpaceDN/>
              <w:bidi w:val="0"/>
              <w:adjustRightInd/>
              <w:snapToGrid/>
              <w:spacing w:line="320" w:lineRule="exact"/>
              <w:ind w:left="0" w:leftChars="0" w:firstLine="0" w:firstLineChars="0"/>
              <w:textAlignment w:val="auto"/>
              <w:rPr>
                <w:rFonts w:ascii="宋体" w:hAnsi="宋体" w:eastAsia="宋体" w:cs="宋体"/>
                <w:color w:val="auto"/>
                <w:sz w:val="24"/>
                <w:szCs w:val="24"/>
              </w:rPr>
            </w:pPr>
            <w:r>
              <w:rPr>
                <w:rFonts w:ascii="宋体" w:hAnsi="宋体" w:eastAsia="宋体" w:cs="宋体"/>
                <w:color w:val="auto"/>
                <w:sz w:val="24"/>
                <w:szCs w:val="24"/>
              </w:rPr>
              <w:t>鉴于本项目依据政策要求仅采购本国产品，不接受进口产品，因此在价格评审中不执行对本国产品的价格扣除优惠，所有通过资格审查的投标人均以其投标报价进行价格评分。</w:t>
            </w:r>
          </w:p>
          <w:p w14:paraId="0737E5CD">
            <w:pPr>
              <w:pStyle w:val="49"/>
              <w:keepNext w:val="0"/>
              <w:keepLines w:val="0"/>
              <w:pageBreakBefore w:val="0"/>
              <w:numPr>
                <w:ilvl w:val="0"/>
                <w:numId w:val="0"/>
              </w:numPr>
              <w:kinsoku/>
              <w:wordWrap/>
              <w:overflowPunct/>
              <w:topLinePunct w:val="0"/>
              <w:autoSpaceDE/>
              <w:autoSpaceDN/>
              <w:bidi w:val="0"/>
              <w:adjustRightInd/>
              <w:snapToGrid/>
              <w:spacing w:line="320" w:lineRule="exact"/>
              <w:ind w:leftChars="0"/>
              <w:textAlignment w:val="auto"/>
              <w:rPr>
                <w:rFonts w:hint="eastAsia" w:cs="宋体"/>
                <w:i w:val="0"/>
                <w:iCs w:val="0"/>
                <w:color w:val="auto"/>
                <w:sz w:val="24"/>
                <w:szCs w:val="24"/>
                <w:highlight w:val="none"/>
                <w:lang w:val="en-US" w:eastAsia="zh-CN"/>
              </w:rPr>
            </w:pPr>
            <w:r>
              <w:rPr>
                <w:rFonts w:ascii="宋体" w:hAnsi="宋体" w:eastAsia="宋体" w:cs="宋体"/>
                <w:color w:val="auto"/>
                <w:sz w:val="24"/>
                <w:szCs w:val="24"/>
              </w:rPr>
              <w:t>6、投标人所出具的《关于符合本国产品标准的声明函》（以下简称《声明函》）的完整性、准确性进行审查的要求，评审中发现《声明函》内容含义不明确、同类事项与投标（响应）文件表述不一致或者有明显文字错误等情况的，应当以书面形式要求投标人作出必要的澄清、说明或者补正。经澄清、说明或者补正的《声明函》仍然不符合《通知》规定要求的，投标人提供的相关产品视为不符合本国产品标准。</w:t>
            </w:r>
          </w:p>
        </w:tc>
      </w:tr>
      <w:tr w14:paraId="0C2269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459" w:type="dxa"/>
            <w:gridSpan w:val="3"/>
            <w:vAlign w:val="center"/>
          </w:tcPr>
          <w:p w14:paraId="16CF3F9F">
            <w:pPr>
              <w:pStyle w:val="49"/>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备注:</w:t>
            </w:r>
          </w:p>
          <w:p w14:paraId="1ECD6A03">
            <w:pPr>
              <w:pStyle w:val="49"/>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除本招标文件另有规定外，招标文件中出现的类似于“近三年”或“前三年”、“近五年”或“前五年”均指递交投标文件</w:t>
            </w:r>
            <w:r>
              <w:rPr>
                <w:rFonts w:hint="eastAsia" w:ascii="宋体" w:hAnsi="宋体" w:eastAsia="宋体" w:cs="宋体"/>
                <w:color w:val="auto"/>
                <w:sz w:val="24"/>
                <w:szCs w:val="24"/>
                <w:highlight w:val="none"/>
                <w:lang w:val="en-US" w:eastAsia="zh-CN"/>
              </w:rPr>
              <w:t>截止</w:t>
            </w:r>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none"/>
                <w:lang w:val="en-US" w:eastAsia="zh-CN"/>
              </w:rPr>
              <w:t>之</w:t>
            </w:r>
            <w:r>
              <w:rPr>
                <w:rFonts w:hint="eastAsia" w:ascii="宋体" w:hAnsi="宋体" w:eastAsia="宋体" w:cs="宋体"/>
                <w:color w:val="auto"/>
                <w:sz w:val="24"/>
                <w:szCs w:val="24"/>
                <w:highlight w:val="none"/>
              </w:rPr>
              <w:t>前三年或前五年，以此类推。如：递交投标文件时间为  年  月  日，则“近三年”是指  年  月  日至  年  月  日。</w:t>
            </w:r>
          </w:p>
          <w:p w14:paraId="6F66C892">
            <w:pPr>
              <w:pStyle w:val="49"/>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本招标文件所称的“以上”、“以下”、“内”、“以内”，包括本数；所称的“不足”，不包括本数。</w:t>
            </w:r>
          </w:p>
        </w:tc>
      </w:tr>
    </w:tbl>
    <w:p w14:paraId="452C548F">
      <w:pPr>
        <w:rPr>
          <w:color w:val="auto"/>
          <w:highlight w:val="none"/>
        </w:rPr>
      </w:pPr>
      <w:r>
        <w:rPr>
          <w:color w:val="auto"/>
          <w:highlight w:val="none"/>
        </w:rPr>
        <w:br w:type="page"/>
      </w:r>
    </w:p>
    <w:p w14:paraId="410914FC">
      <w:pPr>
        <w:pStyle w:val="3"/>
        <w:keepNext/>
        <w:keepLines/>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textAlignment w:val="auto"/>
        <w:rPr>
          <w:rFonts w:hint="eastAsia" w:eastAsia="宋体" w:asciiTheme="majorHAnsi" w:hAnsiTheme="majorHAnsi" w:cstheme="majorBidi"/>
          <w:b/>
          <w:bCs/>
          <w:color w:val="auto"/>
          <w:kern w:val="2"/>
          <w:sz w:val="28"/>
          <w:szCs w:val="28"/>
          <w:highlight w:val="none"/>
          <w:lang w:val="en-US" w:eastAsia="zh-CN" w:bidi="ar-SA"/>
        </w:rPr>
      </w:pPr>
      <w:bookmarkStart w:id="107" w:name="_Toc12209"/>
      <w:bookmarkStart w:id="108" w:name="_Toc155185869"/>
      <w:bookmarkStart w:id="109" w:name="_Toc163492821"/>
      <w:r>
        <w:rPr>
          <w:rFonts w:hint="eastAsia" w:eastAsia="宋体" w:asciiTheme="majorHAnsi" w:hAnsiTheme="majorHAnsi" w:cstheme="majorBidi"/>
          <w:b/>
          <w:bCs/>
          <w:color w:val="auto"/>
          <w:kern w:val="2"/>
          <w:sz w:val="28"/>
          <w:szCs w:val="28"/>
          <w:highlight w:val="none"/>
          <w:lang w:val="en-US" w:eastAsia="zh-CN" w:bidi="ar-SA"/>
        </w:rPr>
        <w:t>二、投标人须知</w:t>
      </w:r>
      <w:bookmarkEnd w:id="107"/>
      <w:bookmarkEnd w:id="108"/>
      <w:bookmarkEnd w:id="109"/>
    </w:p>
    <w:p w14:paraId="604D77A9">
      <w:pPr>
        <w:pStyle w:val="4"/>
        <w:keepNext w:val="0"/>
        <w:keepLines w:val="0"/>
        <w:pageBreakBefore w:val="0"/>
        <w:widowControl w:val="0"/>
        <w:numPr>
          <w:ilvl w:val="0"/>
          <w:numId w:val="0"/>
        </w:numPr>
        <w:kinsoku/>
        <w:wordWrap/>
        <w:overflowPunct/>
        <w:topLinePunct w:val="0"/>
        <w:autoSpaceDE/>
        <w:autoSpaceDN/>
        <w:bidi w:val="0"/>
        <w:adjustRightInd/>
        <w:snapToGrid/>
        <w:spacing w:before="180" w:after="180" w:line="240" w:lineRule="auto"/>
        <w:ind w:left="420" w:leftChars="0" w:hanging="420" w:firstLineChars="0"/>
        <w:textAlignment w:val="auto"/>
        <w:rPr>
          <w:rFonts w:hint="eastAsia" w:ascii="宋体" w:hAnsi="宋体" w:eastAsia="宋体" w:cs="宋体"/>
          <w:b/>
          <w:bCs/>
          <w:color w:val="auto"/>
          <w:kern w:val="2"/>
          <w:sz w:val="24"/>
          <w:szCs w:val="32"/>
          <w:highlight w:val="none"/>
          <w:lang w:val="en-US" w:eastAsia="zh-CN" w:bidi="ar-SA"/>
        </w:rPr>
      </w:pPr>
      <w:bookmarkStart w:id="110" w:name="_Toc163492822"/>
      <w:bookmarkStart w:id="111" w:name="_Toc155185870"/>
      <w:r>
        <w:rPr>
          <w:rFonts w:hint="eastAsia" w:ascii="宋体" w:hAnsi="宋体" w:eastAsia="宋体" w:cs="宋体"/>
          <w:b/>
          <w:bCs/>
          <w:color w:val="auto"/>
          <w:kern w:val="2"/>
          <w:sz w:val="24"/>
          <w:szCs w:val="32"/>
          <w:highlight w:val="none"/>
          <w:lang w:val="en-US" w:eastAsia="zh-CN" w:bidi="ar-SA"/>
        </w:rPr>
        <w:t>（一）总则</w:t>
      </w:r>
      <w:bookmarkEnd w:id="110"/>
      <w:bookmarkEnd w:id="111"/>
    </w:p>
    <w:p w14:paraId="788765C9">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112" w:name="_Toc109897532"/>
      <w:bookmarkStart w:id="113" w:name="_Toc163492823"/>
      <w:bookmarkStart w:id="114" w:name="_Toc109900050"/>
      <w:bookmarkStart w:id="115" w:name="_Toc109899631"/>
      <w:bookmarkStart w:id="116" w:name="_Toc31233"/>
      <w:bookmarkStart w:id="117" w:name="_Toc155095689"/>
      <w:bookmarkStart w:id="118" w:name="_Toc109900469"/>
      <w:r>
        <w:rPr>
          <w:rFonts w:hint="eastAsia" w:ascii="宋体" w:hAnsi="宋体" w:eastAsia="宋体" w:cs="宋体"/>
          <w:b/>
          <w:bCs/>
          <w:color w:val="auto"/>
          <w:kern w:val="2"/>
          <w:sz w:val="24"/>
          <w:szCs w:val="28"/>
          <w:highlight w:val="none"/>
          <w:lang w:val="en-US" w:eastAsia="zh-CN" w:bidi="ar-SA"/>
        </w:rPr>
        <w:t>1.适用范围</w:t>
      </w:r>
      <w:bookmarkEnd w:id="112"/>
      <w:bookmarkEnd w:id="113"/>
      <w:bookmarkEnd w:id="114"/>
      <w:bookmarkEnd w:id="115"/>
      <w:bookmarkEnd w:id="116"/>
      <w:bookmarkEnd w:id="117"/>
      <w:bookmarkEnd w:id="118"/>
    </w:p>
    <w:p w14:paraId="38963635">
      <w:pPr>
        <w:pStyle w:val="37"/>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highlight w:val="none"/>
        </w:rPr>
      </w:pPr>
      <w:r>
        <w:rPr>
          <w:rFonts w:hint="eastAsia" w:ascii="宋体" w:hAnsi="宋体" w:eastAsia="宋体" w:cs="宋体"/>
          <w:snapToGrid w:val="0"/>
          <w:color w:val="auto"/>
          <w:sz w:val="24"/>
          <w:highlight w:val="none"/>
        </w:rPr>
        <w:t>1.1本招标文件仅适用于本项目的采购活动。</w:t>
      </w:r>
    </w:p>
    <w:p w14:paraId="34F08411">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119" w:name="_Toc163492824"/>
      <w:r>
        <w:rPr>
          <w:rFonts w:hint="eastAsia" w:ascii="宋体" w:hAnsi="宋体" w:eastAsia="宋体" w:cs="宋体"/>
          <w:b/>
          <w:bCs/>
          <w:color w:val="auto"/>
          <w:kern w:val="2"/>
          <w:sz w:val="24"/>
          <w:szCs w:val="28"/>
          <w:highlight w:val="none"/>
          <w:lang w:val="en-US" w:eastAsia="zh-CN" w:bidi="ar-SA"/>
        </w:rPr>
        <w:t>2.基本定义</w:t>
      </w:r>
      <w:bookmarkEnd w:id="119"/>
    </w:p>
    <w:p w14:paraId="768D70C2">
      <w:pPr>
        <w:pStyle w:val="37"/>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2.1根据《中华人民共和国政府采购法》及其实施条例等有关法律、法规和规章的规定，制定本招标文件。</w:t>
      </w:r>
    </w:p>
    <w:p w14:paraId="342EC44E">
      <w:pPr>
        <w:keepNext w:val="0"/>
        <w:keepLines w:val="0"/>
        <w:pageBreakBefore w:val="0"/>
        <w:widowControl w:val="0"/>
        <w:suppressLineNumbers w:val="0"/>
        <w:kinsoku/>
        <w:overflowPunct/>
        <w:topLinePunct w:val="0"/>
        <w:autoSpaceDE/>
        <w:autoSpaceDN/>
        <w:bidi w:val="0"/>
        <w:adjustRightInd/>
        <w:ind w:firstLine="480" w:firstLineChars="200"/>
        <w:jc w:val="left"/>
        <w:textAlignment w:val="auto"/>
        <w:rPr>
          <w:rFonts w:hint="eastAsia" w:eastAsia="宋体"/>
          <w:color w:val="auto"/>
          <w:sz w:val="24"/>
          <w:highlight w:val="none"/>
        </w:rPr>
      </w:pPr>
      <w:r>
        <w:rPr>
          <w:rFonts w:hint="eastAsia" w:eastAsia="宋体"/>
          <w:color w:val="auto"/>
          <w:sz w:val="24"/>
          <w:highlight w:val="none"/>
        </w:rPr>
        <w:t>2.2采购人：</w:t>
      </w:r>
      <w:r>
        <w:rPr>
          <w:rFonts w:hint="eastAsia" w:ascii="宋体" w:hAnsi="宋体" w:eastAsia="宋体" w:cs="宋体"/>
          <w:color w:val="auto"/>
          <w:kern w:val="0"/>
          <w:sz w:val="24"/>
          <w:szCs w:val="24"/>
          <w:highlight w:val="none"/>
          <w:lang w:val="en-US" w:eastAsia="zh-CN" w:bidi="ar"/>
        </w:rPr>
        <w:t>指依法进行政府采购的国家机关、事业单位、团体组织</w:t>
      </w:r>
      <w:r>
        <w:rPr>
          <w:rFonts w:hint="eastAsia" w:eastAsia="宋体"/>
          <w:color w:val="auto"/>
          <w:sz w:val="24"/>
          <w:highlight w:val="none"/>
        </w:rPr>
        <w:t>。</w:t>
      </w:r>
    </w:p>
    <w:p w14:paraId="429A3EF6">
      <w:pPr>
        <w:keepNext w:val="0"/>
        <w:keepLines w:val="0"/>
        <w:pageBreakBefore w:val="0"/>
        <w:widowControl w:val="0"/>
        <w:suppressLineNumbers w:val="0"/>
        <w:kinsoku/>
        <w:overflowPunct/>
        <w:topLinePunct w:val="0"/>
        <w:autoSpaceDE/>
        <w:autoSpaceDN/>
        <w:bidi w:val="0"/>
        <w:adjustRightInd/>
        <w:ind w:firstLine="480" w:firstLineChars="200"/>
        <w:jc w:val="left"/>
        <w:textAlignment w:val="auto"/>
        <w:rPr>
          <w:rFonts w:eastAsia="宋体"/>
          <w:color w:val="auto"/>
          <w:sz w:val="24"/>
          <w:highlight w:val="none"/>
        </w:rPr>
      </w:pPr>
      <w:r>
        <w:rPr>
          <w:rFonts w:hint="eastAsia" w:eastAsia="宋体"/>
          <w:color w:val="auto"/>
          <w:sz w:val="24"/>
          <w:highlight w:val="none"/>
        </w:rPr>
        <w:t>2.3采购代理机构：</w:t>
      </w:r>
      <w:r>
        <w:rPr>
          <w:rFonts w:hint="eastAsia" w:ascii="宋体" w:hAnsi="宋体" w:eastAsia="宋体" w:cs="宋体"/>
          <w:color w:val="auto"/>
          <w:kern w:val="0"/>
          <w:sz w:val="24"/>
          <w:szCs w:val="24"/>
          <w:highlight w:val="none"/>
          <w:lang w:val="en-US" w:eastAsia="zh-CN" w:bidi="ar"/>
        </w:rPr>
        <w:t>指依法进行政府采购的国家机关、事业单位、团体组织</w:t>
      </w:r>
      <w:r>
        <w:rPr>
          <w:rFonts w:hint="eastAsia" w:eastAsia="宋体"/>
          <w:color w:val="auto"/>
          <w:sz w:val="24"/>
          <w:highlight w:val="none"/>
          <w:lang w:val="en-US" w:eastAsia="zh-CN"/>
        </w:rPr>
        <w:t>委托的采购代理机构</w:t>
      </w:r>
      <w:r>
        <w:rPr>
          <w:rFonts w:hint="eastAsia" w:eastAsia="宋体"/>
          <w:color w:val="auto"/>
          <w:sz w:val="24"/>
          <w:highlight w:val="none"/>
        </w:rPr>
        <w:t>。</w:t>
      </w:r>
    </w:p>
    <w:p w14:paraId="26D50742">
      <w:pPr>
        <w:pStyle w:val="37"/>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2.4政府采购监督管理部门：各级人民政府财政部门是负责政府采购监督管理的部门，依法履行对政府采购活动的监督管理职责。各级人民政府其他有关部门依法履行与政府采购活动有关的监督管理职责。</w:t>
      </w:r>
    </w:p>
    <w:p w14:paraId="18E21DAA">
      <w:pPr>
        <w:pStyle w:val="37"/>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2.5 核心产品见</w:t>
      </w:r>
      <w:r>
        <w:rPr>
          <w:rFonts w:hint="eastAsia" w:eastAsia="宋体"/>
          <w:color w:val="auto"/>
          <w:sz w:val="24"/>
          <w:highlight w:val="none"/>
        </w:rPr>
        <w:t>“投标人须知前附表”</w:t>
      </w:r>
      <w:r>
        <w:rPr>
          <w:rFonts w:hint="eastAsia" w:eastAsia="宋体"/>
          <w:color w:val="auto"/>
          <w:sz w:val="24"/>
          <w:highlight w:val="none"/>
          <w:lang w:val="en-US" w:eastAsia="zh-CN"/>
        </w:rPr>
        <w:t>。</w:t>
      </w:r>
    </w:p>
    <w:p w14:paraId="6557BF30">
      <w:pPr>
        <w:pStyle w:val="37"/>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2.6是否属于</w:t>
      </w:r>
      <w:r>
        <w:rPr>
          <w:rFonts w:ascii="FZShuSong-Z01" w:hAnsi="FZShuSong-Z01" w:eastAsia="宋体" w:cs="FZShuSong-Z01"/>
          <w:color w:val="auto"/>
          <w:kern w:val="0"/>
          <w:sz w:val="24"/>
          <w:szCs w:val="24"/>
          <w:highlight w:val="none"/>
          <w:lang w:val="en-US" w:eastAsia="zh-CN" w:bidi="ar"/>
        </w:rPr>
        <w:t>科研仪器设备</w:t>
      </w:r>
      <w:r>
        <w:rPr>
          <w:rFonts w:hint="eastAsia" w:ascii="FZShuSong-Z01" w:hAnsi="FZShuSong-Z01" w:eastAsia="宋体" w:cs="FZShuSong-Z01"/>
          <w:color w:val="auto"/>
          <w:kern w:val="0"/>
          <w:sz w:val="24"/>
          <w:szCs w:val="24"/>
          <w:highlight w:val="none"/>
          <w:lang w:val="en-US" w:eastAsia="zh-CN" w:bidi="ar"/>
        </w:rPr>
        <w:t>采购</w:t>
      </w:r>
      <w:r>
        <w:rPr>
          <w:rFonts w:hint="eastAsia" w:eastAsia="宋体"/>
          <w:color w:val="auto"/>
          <w:sz w:val="24"/>
          <w:highlight w:val="none"/>
          <w:lang w:val="en-US" w:eastAsia="zh-CN"/>
        </w:rPr>
        <w:t>见</w:t>
      </w:r>
      <w:r>
        <w:rPr>
          <w:rFonts w:hint="eastAsia" w:eastAsia="宋体"/>
          <w:color w:val="auto"/>
          <w:sz w:val="24"/>
          <w:highlight w:val="none"/>
        </w:rPr>
        <w:t>“</w:t>
      </w:r>
      <w:r>
        <w:rPr>
          <w:rFonts w:hint="eastAsia" w:eastAsia="宋体"/>
          <w:color w:val="auto"/>
          <w:sz w:val="24"/>
          <w:highlight w:val="none"/>
          <w:lang w:val="en-US" w:eastAsia="zh-CN"/>
        </w:rPr>
        <w:t>投标人</w:t>
      </w:r>
      <w:r>
        <w:rPr>
          <w:rFonts w:hint="eastAsia" w:eastAsia="宋体"/>
          <w:color w:val="auto"/>
          <w:sz w:val="24"/>
          <w:highlight w:val="none"/>
        </w:rPr>
        <w:t>须知前附表”</w:t>
      </w:r>
      <w:r>
        <w:rPr>
          <w:rFonts w:hint="eastAsia" w:eastAsia="宋体"/>
          <w:color w:val="auto"/>
          <w:sz w:val="24"/>
          <w:highlight w:val="none"/>
          <w:lang w:val="en-US" w:eastAsia="zh-CN"/>
        </w:rPr>
        <w:t>。</w:t>
      </w:r>
    </w:p>
    <w:p w14:paraId="214DD75F">
      <w:pPr>
        <w:ind w:firstLine="480" w:firstLineChars="200"/>
        <w:rPr>
          <w:rFonts w:eastAsia="宋体"/>
          <w:color w:val="auto"/>
          <w:sz w:val="24"/>
          <w:highlight w:val="none"/>
        </w:rPr>
      </w:pPr>
      <w:r>
        <w:rPr>
          <w:rFonts w:hint="eastAsia" w:eastAsia="宋体"/>
          <w:iCs/>
          <w:color w:val="auto"/>
          <w:sz w:val="24"/>
          <w:highlight w:val="none"/>
          <w:shd w:val="clear" w:color="auto" w:fill="FFFFFF" w:themeFill="background1"/>
        </w:rPr>
        <w:t>2.</w:t>
      </w:r>
      <w:r>
        <w:rPr>
          <w:rFonts w:hint="eastAsia" w:eastAsia="宋体"/>
          <w:iCs/>
          <w:color w:val="auto"/>
          <w:sz w:val="24"/>
          <w:highlight w:val="none"/>
          <w:shd w:val="clear" w:color="auto" w:fill="FFFFFF" w:themeFill="background1"/>
          <w:lang w:val="en-US" w:eastAsia="zh-CN"/>
        </w:rPr>
        <w:t>7</w:t>
      </w:r>
      <w:r>
        <w:rPr>
          <w:rFonts w:hint="eastAsia" w:eastAsia="宋体"/>
          <w:iCs/>
          <w:color w:val="auto"/>
          <w:sz w:val="24"/>
          <w:highlight w:val="none"/>
          <w:shd w:val="clear" w:color="auto" w:fill="FFFFFF" w:themeFill="background1"/>
        </w:rPr>
        <w:t>投标人（也称“供应商”、“申请人”）：指向采购人提供货物、工程或者服务的法人、其他组织或者自然人。</w:t>
      </w:r>
      <w:r>
        <w:rPr>
          <w:rFonts w:hint="eastAsia" w:eastAsia="宋体"/>
          <w:color w:val="auto"/>
          <w:sz w:val="24"/>
          <w:highlight w:val="none"/>
        </w:rPr>
        <w:t>分支机构不得参加政府采购活动，但银行、保险、石油石化、电力、电信等</w:t>
      </w:r>
      <w:r>
        <w:rPr>
          <w:rFonts w:hint="eastAsia" w:eastAsia="宋体"/>
          <w:color w:val="auto"/>
          <w:sz w:val="24"/>
          <w:highlight w:val="none"/>
          <w:lang w:val="en-US" w:eastAsia="zh-CN"/>
        </w:rPr>
        <w:t>有</w:t>
      </w:r>
      <w:r>
        <w:rPr>
          <w:rFonts w:hint="eastAsia" w:eastAsia="宋体"/>
          <w:color w:val="auto"/>
          <w:sz w:val="24"/>
          <w:highlight w:val="none"/>
        </w:rPr>
        <w:t>行业特殊</w:t>
      </w:r>
      <w:r>
        <w:rPr>
          <w:rFonts w:hint="eastAsia" w:eastAsia="宋体"/>
          <w:color w:val="auto"/>
          <w:sz w:val="24"/>
          <w:highlight w:val="none"/>
          <w:lang w:val="en-US" w:eastAsia="zh-CN"/>
        </w:rPr>
        <w:t>情况的</w:t>
      </w:r>
      <w:r>
        <w:rPr>
          <w:rFonts w:hint="eastAsia" w:eastAsia="宋体"/>
          <w:color w:val="auto"/>
          <w:sz w:val="24"/>
          <w:highlight w:val="none"/>
        </w:rPr>
        <w:t>除外。</w:t>
      </w:r>
      <w:r>
        <w:rPr>
          <w:rFonts w:eastAsia="宋体"/>
          <w:color w:val="auto"/>
          <w:sz w:val="24"/>
          <w:highlight w:val="none"/>
        </w:rPr>
        <w:t>本项目的投标人须满足以下条件：</w:t>
      </w:r>
    </w:p>
    <w:p w14:paraId="2518C535">
      <w:pPr>
        <w:ind w:firstLine="480" w:firstLineChars="200"/>
        <w:rPr>
          <w:rFonts w:eastAsia="宋体"/>
          <w:color w:val="auto"/>
          <w:sz w:val="24"/>
          <w:highlight w:val="none"/>
        </w:rPr>
      </w:pPr>
      <w:r>
        <w:rPr>
          <w:rFonts w:hint="eastAsia" w:eastAsia="宋体"/>
          <w:color w:val="auto"/>
          <w:sz w:val="24"/>
          <w:highlight w:val="none"/>
        </w:rPr>
        <w:t>2.</w:t>
      </w:r>
      <w:r>
        <w:rPr>
          <w:rFonts w:hint="eastAsia" w:eastAsia="宋体"/>
          <w:color w:val="auto"/>
          <w:sz w:val="24"/>
          <w:highlight w:val="none"/>
          <w:lang w:val="en-US" w:eastAsia="zh-CN"/>
        </w:rPr>
        <w:t>7</w:t>
      </w:r>
      <w:r>
        <w:rPr>
          <w:rFonts w:eastAsia="宋体"/>
          <w:color w:val="auto"/>
          <w:sz w:val="24"/>
          <w:highlight w:val="none"/>
        </w:rPr>
        <w:t>.</w:t>
      </w:r>
      <w:r>
        <w:rPr>
          <w:rFonts w:hint="eastAsia" w:eastAsia="宋体"/>
          <w:color w:val="auto"/>
          <w:sz w:val="24"/>
          <w:highlight w:val="none"/>
        </w:rPr>
        <w:t>1</w:t>
      </w:r>
      <w:r>
        <w:rPr>
          <w:rFonts w:eastAsia="宋体"/>
          <w:color w:val="auto"/>
          <w:sz w:val="24"/>
          <w:highlight w:val="none"/>
        </w:rPr>
        <w:t>具备《中华人民共和国政府采购法》第二十二条规定的</w:t>
      </w:r>
      <w:r>
        <w:rPr>
          <w:rFonts w:hint="eastAsia" w:eastAsia="宋体"/>
          <w:color w:val="auto"/>
          <w:sz w:val="24"/>
          <w:highlight w:val="none"/>
        </w:rPr>
        <w:t>条件</w:t>
      </w:r>
      <w:r>
        <w:rPr>
          <w:rFonts w:eastAsia="宋体"/>
          <w:color w:val="auto"/>
          <w:sz w:val="24"/>
          <w:highlight w:val="none"/>
        </w:rPr>
        <w:t>，遵守本项目采购人本级和上级财政部门政府采购的有关规定。</w:t>
      </w:r>
    </w:p>
    <w:p w14:paraId="76745163">
      <w:pPr>
        <w:ind w:firstLine="480" w:firstLineChars="200"/>
        <w:rPr>
          <w:rFonts w:hint="eastAsia" w:eastAsia="宋体"/>
          <w:color w:val="auto"/>
          <w:sz w:val="24"/>
          <w:highlight w:val="none"/>
        </w:rPr>
      </w:pPr>
      <w:r>
        <w:rPr>
          <w:rFonts w:hint="eastAsia" w:eastAsia="宋体"/>
          <w:color w:val="auto"/>
          <w:sz w:val="24"/>
          <w:highlight w:val="none"/>
        </w:rPr>
        <w:t>2.</w:t>
      </w:r>
      <w:r>
        <w:rPr>
          <w:rFonts w:hint="eastAsia" w:eastAsia="宋体"/>
          <w:color w:val="auto"/>
          <w:sz w:val="24"/>
          <w:highlight w:val="none"/>
          <w:lang w:val="en-US" w:eastAsia="zh-CN"/>
        </w:rPr>
        <w:t>7</w:t>
      </w:r>
      <w:r>
        <w:rPr>
          <w:rFonts w:hint="eastAsia" w:eastAsia="宋体"/>
          <w:color w:val="auto"/>
          <w:sz w:val="24"/>
          <w:highlight w:val="none"/>
        </w:rPr>
        <w:t>.2以招标公告中发布的方式依法获得了本项目的招标文件。</w:t>
      </w:r>
    </w:p>
    <w:p w14:paraId="0DE24F0D">
      <w:pPr>
        <w:ind w:firstLine="480" w:firstLineChars="200"/>
        <w:rPr>
          <w:rFonts w:hint="eastAsia" w:eastAsia="宋体"/>
          <w:color w:val="auto"/>
          <w:sz w:val="24"/>
          <w:highlight w:val="none"/>
          <w:lang w:val="en-US" w:eastAsia="zh-CN"/>
        </w:rPr>
      </w:pPr>
      <w:r>
        <w:rPr>
          <w:rFonts w:hint="eastAsia" w:eastAsia="宋体"/>
          <w:color w:val="auto"/>
          <w:sz w:val="24"/>
          <w:highlight w:val="none"/>
          <w:lang w:val="en-US" w:eastAsia="zh-CN"/>
        </w:rPr>
        <w:t>2.7.3符合本招标文件规定并参加投标的供应商。</w:t>
      </w:r>
    </w:p>
    <w:p w14:paraId="5FC27D1B">
      <w:pPr>
        <w:spacing w:line="360" w:lineRule="auto"/>
        <w:ind w:firstLine="480" w:firstLineChars="200"/>
        <w:rPr>
          <w:rFonts w:hint="default" w:eastAsia="宋体"/>
          <w:color w:val="auto"/>
          <w:sz w:val="24"/>
          <w:highlight w:val="none"/>
          <w:lang w:val="en-US" w:eastAsia="zh-CN"/>
        </w:rPr>
      </w:pPr>
      <w:r>
        <w:rPr>
          <w:rFonts w:hint="eastAsia" w:eastAsia="宋体"/>
          <w:color w:val="auto"/>
          <w:sz w:val="24"/>
          <w:highlight w:val="none"/>
          <w:lang w:val="en-US" w:eastAsia="zh-CN"/>
        </w:rPr>
        <w:t>2.8</w:t>
      </w:r>
      <w:r>
        <w:rPr>
          <w:rFonts w:hint="eastAsia" w:eastAsia="宋体"/>
          <w:iCs/>
          <w:color w:val="auto"/>
          <w:sz w:val="24"/>
          <w:highlight w:val="none"/>
          <w:shd w:val="clear" w:color="auto" w:fill="FFFFFF" w:themeFill="background1"/>
        </w:rPr>
        <w:t>潜在投标人、潜在供应商</w:t>
      </w:r>
      <w:r>
        <w:rPr>
          <w:rFonts w:hint="eastAsia" w:eastAsia="宋体"/>
          <w:iCs/>
          <w:color w:val="auto"/>
          <w:sz w:val="24"/>
          <w:highlight w:val="none"/>
          <w:shd w:val="clear" w:color="auto" w:fill="FFFFFF" w:themeFill="background1"/>
          <w:lang w:eastAsia="zh-CN"/>
        </w:rPr>
        <w:t>：</w:t>
      </w:r>
      <w:r>
        <w:rPr>
          <w:rFonts w:hint="eastAsia" w:eastAsia="宋体"/>
          <w:iCs/>
          <w:color w:val="auto"/>
          <w:sz w:val="24"/>
          <w:highlight w:val="none"/>
          <w:shd w:val="clear" w:color="auto" w:fill="FFFFFF" w:themeFill="background1"/>
          <w:lang w:val="en-US" w:eastAsia="zh-CN"/>
        </w:rPr>
        <w:t>指</w:t>
      </w:r>
      <w:r>
        <w:rPr>
          <w:rFonts w:hint="eastAsia" w:eastAsia="宋体"/>
          <w:color w:val="auto"/>
          <w:sz w:val="24"/>
          <w:highlight w:val="none"/>
          <w:lang w:val="en-US" w:eastAsia="zh-CN"/>
        </w:rPr>
        <w:t>符合本招标文件规定的供应商。</w:t>
      </w:r>
    </w:p>
    <w:p w14:paraId="7BECD896">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120" w:name="_Toc163492825"/>
      <w:bookmarkStart w:id="121" w:name="_Toc140132758"/>
      <w:r>
        <w:rPr>
          <w:rFonts w:hint="eastAsia" w:ascii="宋体" w:hAnsi="宋体" w:eastAsia="宋体" w:cs="宋体"/>
          <w:b/>
          <w:bCs/>
          <w:color w:val="auto"/>
          <w:kern w:val="2"/>
          <w:sz w:val="24"/>
          <w:szCs w:val="28"/>
          <w:highlight w:val="none"/>
          <w:lang w:val="en-US" w:eastAsia="zh-CN" w:bidi="ar-SA"/>
        </w:rPr>
        <w:t>3.资金来源</w:t>
      </w:r>
      <w:bookmarkEnd w:id="120"/>
      <w:bookmarkEnd w:id="121"/>
    </w:p>
    <w:p w14:paraId="76E8C14F">
      <w:pPr>
        <w:pStyle w:val="37"/>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3.1资金来源：</w:t>
      </w:r>
      <w:r>
        <w:rPr>
          <w:rFonts w:hint="eastAsia" w:eastAsia="宋体"/>
          <w:color w:val="auto"/>
          <w:sz w:val="24"/>
          <w:highlight w:val="none"/>
          <w:lang w:val="en-US" w:eastAsia="zh-CN"/>
        </w:rPr>
        <w:t>为财政性资金即</w:t>
      </w:r>
      <w:r>
        <w:rPr>
          <w:rFonts w:hint="eastAsia" w:eastAsia="宋体"/>
          <w:color w:val="auto"/>
          <w:sz w:val="24"/>
          <w:highlight w:val="none"/>
        </w:rPr>
        <w:t>纳入预算管理的资金</w:t>
      </w:r>
      <w:r>
        <w:rPr>
          <w:rFonts w:hint="eastAsia" w:eastAsia="宋体"/>
          <w:color w:val="auto"/>
          <w:sz w:val="24"/>
          <w:highlight w:val="none"/>
          <w:lang w:eastAsia="zh-CN"/>
        </w:rPr>
        <w:t>。</w:t>
      </w:r>
      <w:r>
        <w:rPr>
          <w:rFonts w:hint="eastAsia" w:eastAsia="宋体"/>
          <w:color w:val="auto"/>
          <w:sz w:val="24"/>
          <w:highlight w:val="none"/>
        </w:rPr>
        <w:t>以财政性资金作为还款来源的借贷资金，视同财政性资金。财政性资金与非财政性资金无法分割采购的，统一适用《中华人民共和国政府采购法》及其实施条例。</w:t>
      </w:r>
    </w:p>
    <w:p w14:paraId="17722C40">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122" w:name="_Toc163492826"/>
      <w:bookmarkStart w:id="123" w:name="_Toc140132760"/>
      <w:r>
        <w:rPr>
          <w:rFonts w:hint="eastAsia" w:ascii="宋体" w:hAnsi="宋体" w:eastAsia="宋体" w:cs="宋体"/>
          <w:b/>
          <w:bCs/>
          <w:color w:val="auto"/>
          <w:kern w:val="2"/>
          <w:sz w:val="24"/>
          <w:szCs w:val="28"/>
          <w:highlight w:val="none"/>
          <w:lang w:val="en-US" w:eastAsia="zh-CN" w:bidi="ar-SA"/>
        </w:rPr>
        <w:t>4.投标人资格要求</w:t>
      </w:r>
      <w:bookmarkEnd w:id="122"/>
      <w:bookmarkEnd w:id="123"/>
    </w:p>
    <w:p w14:paraId="522AD9C1">
      <w:pPr>
        <w:pStyle w:val="37"/>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4.1投标人资格要求：见“</w:t>
      </w:r>
      <w:r>
        <w:rPr>
          <w:rFonts w:hint="eastAsia" w:eastAsia="宋体"/>
          <w:color w:val="auto"/>
          <w:sz w:val="24"/>
          <w:highlight w:val="none"/>
          <w:lang w:val="en-US" w:eastAsia="zh-CN"/>
        </w:rPr>
        <w:t>第一章 招标公告</w:t>
      </w:r>
      <w:r>
        <w:rPr>
          <w:rFonts w:hint="eastAsia" w:eastAsia="宋体"/>
          <w:color w:val="auto"/>
          <w:sz w:val="24"/>
          <w:highlight w:val="none"/>
        </w:rPr>
        <w:t>”；</w:t>
      </w:r>
    </w:p>
    <w:p w14:paraId="3B57853B">
      <w:pPr>
        <w:pStyle w:val="37"/>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zh-CN" w:eastAsia="zh-CN"/>
        </w:rPr>
      </w:pPr>
      <w:r>
        <w:rPr>
          <w:rFonts w:hint="eastAsia" w:eastAsia="宋体"/>
          <w:color w:val="auto"/>
          <w:sz w:val="24"/>
          <w:highlight w:val="none"/>
          <w:lang w:val="en-US" w:eastAsia="zh-CN"/>
        </w:rPr>
        <w:t>4</w:t>
      </w:r>
      <w:r>
        <w:rPr>
          <w:rFonts w:hint="eastAsia" w:eastAsia="宋体"/>
          <w:color w:val="auto"/>
          <w:sz w:val="24"/>
          <w:highlight w:val="none"/>
          <w:lang w:val="zh-CN" w:eastAsia="zh-CN"/>
        </w:rPr>
        <w:t>.</w:t>
      </w:r>
      <w:r>
        <w:rPr>
          <w:rFonts w:hint="eastAsia" w:eastAsia="宋体"/>
          <w:color w:val="auto"/>
          <w:sz w:val="24"/>
          <w:highlight w:val="none"/>
          <w:lang w:val="en-US" w:eastAsia="zh-CN"/>
        </w:rPr>
        <w:t>2</w:t>
      </w:r>
      <w:r>
        <w:rPr>
          <w:rFonts w:hint="eastAsia" w:eastAsia="宋体"/>
          <w:color w:val="auto"/>
          <w:sz w:val="24"/>
          <w:highlight w:val="none"/>
          <w:lang w:val="zh-CN" w:eastAsia="zh-CN"/>
        </w:rPr>
        <w:t>“</w:t>
      </w:r>
      <w:r>
        <w:rPr>
          <w:rFonts w:hint="eastAsia" w:eastAsia="宋体"/>
          <w:color w:val="auto"/>
          <w:sz w:val="24"/>
          <w:highlight w:val="none"/>
          <w:lang w:val="en-US" w:eastAsia="zh-CN"/>
        </w:rPr>
        <w:t>第一章 招标公告</w:t>
      </w:r>
      <w:r>
        <w:rPr>
          <w:rFonts w:hint="eastAsia" w:eastAsia="宋体"/>
          <w:color w:val="auto"/>
          <w:sz w:val="24"/>
          <w:highlight w:val="none"/>
          <w:lang w:val="zh-CN" w:eastAsia="zh-CN"/>
        </w:rPr>
        <w:t>”规定接受联合体投标的，还应遵守以下规定：</w:t>
      </w:r>
    </w:p>
    <w:p w14:paraId="512308FF">
      <w:pPr>
        <w:pStyle w:val="37"/>
        <w:keepNext w:val="0"/>
        <w:keepLines w:val="0"/>
        <w:pageBreakBefore w:val="0"/>
        <w:widowControl w:val="0"/>
        <w:kinsoku/>
        <w:overflowPunct/>
        <w:topLinePunct w:val="0"/>
        <w:autoSpaceDE/>
        <w:autoSpaceDN/>
        <w:bidi w:val="0"/>
        <w:adjustRightInd/>
        <w:textAlignment w:val="auto"/>
        <w:rPr>
          <w:rFonts w:hint="eastAsia" w:ascii="宋体" w:hAnsi="宋体" w:eastAsia="宋体" w:cstheme="minorBidi"/>
          <w:iCs/>
          <w:color w:val="auto"/>
          <w:kern w:val="2"/>
          <w:sz w:val="24"/>
          <w:szCs w:val="22"/>
          <w:highlight w:val="none"/>
          <w:shd w:val="clear" w:color="auto" w:fill="FFFFFF" w:themeFill="background1"/>
          <w:lang w:val="zh-CN" w:eastAsia="zh-CN" w:bidi="ar-SA"/>
        </w:rPr>
      </w:pPr>
      <w:r>
        <w:rPr>
          <w:rFonts w:hint="eastAsia" w:eastAsia="宋体"/>
          <w:color w:val="auto"/>
          <w:sz w:val="24"/>
          <w:highlight w:val="none"/>
          <w:lang w:val="en-US" w:eastAsia="zh-CN"/>
        </w:rPr>
        <w:t>4</w:t>
      </w:r>
      <w:r>
        <w:rPr>
          <w:rFonts w:hint="eastAsia" w:eastAsia="宋体"/>
          <w:color w:val="auto"/>
          <w:sz w:val="24"/>
          <w:highlight w:val="none"/>
          <w:lang w:val="zh-CN" w:eastAsia="zh-CN"/>
        </w:rPr>
        <w:t>.</w:t>
      </w:r>
      <w:r>
        <w:rPr>
          <w:rFonts w:hint="eastAsia" w:eastAsia="宋体"/>
          <w:color w:val="auto"/>
          <w:sz w:val="24"/>
          <w:highlight w:val="none"/>
          <w:lang w:val="en-US" w:eastAsia="zh-CN"/>
        </w:rPr>
        <w:t>2.</w:t>
      </w:r>
      <w:r>
        <w:rPr>
          <w:rFonts w:hint="eastAsia" w:eastAsia="宋体"/>
          <w:color w:val="auto"/>
          <w:sz w:val="24"/>
          <w:highlight w:val="none"/>
          <w:lang w:val="zh-CN" w:eastAsia="zh-CN"/>
        </w:rPr>
        <w:t>1两个以上的自然人、法人或者其他组织可以组成一个联合体，以一个</w:t>
      </w:r>
      <w:r>
        <w:rPr>
          <w:rFonts w:hint="eastAsia" w:eastAsia="宋体"/>
          <w:color w:val="auto"/>
          <w:sz w:val="24"/>
          <w:highlight w:val="none"/>
          <w:lang w:val="en-US" w:eastAsia="zh-CN"/>
        </w:rPr>
        <w:t>投标人</w:t>
      </w:r>
      <w:r>
        <w:rPr>
          <w:rFonts w:hint="eastAsia" w:eastAsia="宋体"/>
          <w:color w:val="auto"/>
          <w:sz w:val="24"/>
          <w:highlight w:val="none"/>
          <w:lang w:val="zh-CN" w:eastAsia="zh-CN"/>
        </w:rPr>
        <w:t>的身份共同参加政府采购。</w:t>
      </w:r>
      <w:r>
        <w:rPr>
          <w:rFonts w:hint="eastAsia" w:ascii="宋体" w:hAnsi="宋体" w:eastAsia="宋体" w:cstheme="minorBidi"/>
          <w:iCs/>
          <w:color w:val="auto"/>
          <w:kern w:val="2"/>
          <w:sz w:val="24"/>
          <w:szCs w:val="22"/>
          <w:highlight w:val="none"/>
          <w:shd w:val="clear" w:color="auto" w:fill="FFFFFF" w:themeFill="background1"/>
          <w:lang w:val="zh-CN" w:eastAsia="zh-CN" w:bidi="ar-SA"/>
        </w:rPr>
        <w:t>以联合体形式进行政府采购的，参加联合体的供应商均应当具备《</w:t>
      </w:r>
      <w:r>
        <w:rPr>
          <w:rFonts w:hint="eastAsia" w:eastAsia="宋体"/>
          <w:color w:val="auto"/>
          <w:sz w:val="24"/>
          <w:highlight w:val="none"/>
        </w:rPr>
        <w:t>中华人民共和国政府采购法</w:t>
      </w:r>
      <w:r>
        <w:rPr>
          <w:rFonts w:hint="eastAsia" w:ascii="宋体" w:hAnsi="宋体" w:eastAsia="宋体" w:cstheme="minorBidi"/>
          <w:iCs/>
          <w:color w:val="auto"/>
          <w:kern w:val="2"/>
          <w:sz w:val="24"/>
          <w:szCs w:val="22"/>
          <w:highlight w:val="none"/>
          <w:shd w:val="clear" w:color="auto" w:fill="FFFFFF" w:themeFill="background1"/>
          <w:lang w:val="zh-CN" w:eastAsia="zh-CN" w:bidi="ar-SA"/>
        </w:rPr>
        <w:t>》第二十二条规定的条件。</w:t>
      </w:r>
    </w:p>
    <w:p w14:paraId="7EFB49B3">
      <w:pPr>
        <w:pStyle w:val="37"/>
        <w:keepNext w:val="0"/>
        <w:keepLines w:val="0"/>
        <w:pageBreakBefore w:val="0"/>
        <w:widowControl w:val="0"/>
        <w:kinsoku/>
        <w:overflowPunct/>
        <w:topLinePunct w:val="0"/>
        <w:autoSpaceDE/>
        <w:autoSpaceDN/>
        <w:bidi w:val="0"/>
        <w:adjustRightInd/>
        <w:textAlignment w:val="auto"/>
        <w:rPr>
          <w:rFonts w:hint="eastAsia" w:ascii="宋体" w:hAnsi="宋体" w:eastAsia="宋体" w:cstheme="minorBidi"/>
          <w:iCs/>
          <w:color w:val="auto"/>
          <w:kern w:val="2"/>
          <w:sz w:val="24"/>
          <w:szCs w:val="22"/>
          <w:highlight w:val="none"/>
          <w:shd w:val="clear" w:color="auto" w:fill="FFFFFF" w:themeFill="background1"/>
          <w:lang w:val="zh-CN"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4</w:t>
      </w:r>
      <w:r>
        <w:rPr>
          <w:rFonts w:hint="eastAsia" w:ascii="宋体" w:hAnsi="宋体" w:eastAsia="宋体" w:cstheme="minorBidi"/>
          <w:iCs/>
          <w:color w:val="auto"/>
          <w:kern w:val="2"/>
          <w:sz w:val="24"/>
          <w:szCs w:val="22"/>
          <w:highlight w:val="none"/>
          <w:shd w:val="clear" w:color="auto" w:fill="FFFFFF" w:themeFill="background1"/>
          <w:lang w:val="zh-CN" w:eastAsia="zh-CN" w:bidi="ar-SA"/>
        </w:rPr>
        <w:t>.</w:t>
      </w:r>
      <w:r>
        <w:rPr>
          <w:rFonts w:hint="eastAsia" w:ascii="宋体" w:hAnsi="宋体" w:eastAsia="宋体" w:cstheme="minorBidi"/>
          <w:iCs/>
          <w:color w:val="auto"/>
          <w:kern w:val="2"/>
          <w:sz w:val="24"/>
          <w:szCs w:val="22"/>
          <w:highlight w:val="none"/>
          <w:shd w:val="clear" w:color="auto" w:fill="FFFFFF" w:themeFill="background1"/>
          <w:lang w:val="en-US" w:eastAsia="zh-CN" w:bidi="ar-SA"/>
        </w:rPr>
        <w:t>2.</w:t>
      </w:r>
      <w:r>
        <w:rPr>
          <w:rFonts w:hint="eastAsia" w:eastAsia="宋体" w:cstheme="minorBidi"/>
          <w:iCs/>
          <w:color w:val="auto"/>
          <w:kern w:val="2"/>
          <w:sz w:val="24"/>
          <w:szCs w:val="22"/>
          <w:highlight w:val="none"/>
          <w:shd w:val="clear" w:color="auto" w:fill="FFFFFF" w:themeFill="background1"/>
          <w:lang w:val="en-US" w:eastAsia="zh-CN" w:bidi="ar-SA"/>
        </w:rPr>
        <w:t>2</w:t>
      </w:r>
      <w:r>
        <w:rPr>
          <w:rFonts w:hint="eastAsia" w:ascii="宋体" w:hAnsi="宋体" w:eastAsia="宋体" w:cstheme="minorBidi"/>
          <w:iCs/>
          <w:color w:val="auto"/>
          <w:kern w:val="2"/>
          <w:sz w:val="24"/>
          <w:szCs w:val="22"/>
          <w:highlight w:val="none"/>
          <w:shd w:val="clear" w:color="auto" w:fill="FFFFFF" w:themeFill="background1"/>
          <w:lang w:val="zh-CN" w:eastAsia="zh-CN" w:bidi="ar-SA"/>
        </w:rPr>
        <w:t>联合体各方应按招标文件提供的格式签订联合</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体</w:t>
      </w:r>
      <w:r>
        <w:rPr>
          <w:rFonts w:hint="eastAsia" w:ascii="宋体" w:hAnsi="宋体" w:eastAsia="宋体" w:cstheme="minorBidi"/>
          <w:iCs/>
          <w:color w:val="auto"/>
          <w:kern w:val="2"/>
          <w:sz w:val="24"/>
          <w:szCs w:val="22"/>
          <w:highlight w:val="none"/>
          <w:shd w:val="clear" w:color="auto" w:fill="FFFFFF" w:themeFill="background1"/>
          <w:lang w:val="zh-CN" w:eastAsia="zh-CN" w:bidi="ar-SA"/>
        </w:rPr>
        <w:t>协议</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书</w:t>
      </w:r>
      <w:r>
        <w:rPr>
          <w:rFonts w:hint="eastAsia" w:ascii="宋体" w:hAnsi="宋体" w:eastAsia="宋体" w:cstheme="minorBidi"/>
          <w:iCs/>
          <w:color w:val="auto"/>
          <w:kern w:val="2"/>
          <w:sz w:val="24"/>
          <w:szCs w:val="22"/>
          <w:highlight w:val="none"/>
          <w:shd w:val="clear" w:color="auto" w:fill="FFFFFF" w:themeFill="background1"/>
          <w:lang w:val="zh-CN" w:eastAsia="zh-CN" w:bidi="ar-SA"/>
        </w:rPr>
        <w:t>，明确约定联合体各方承担的工作和相应的责任，并将联合</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体</w:t>
      </w:r>
      <w:r>
        <w:rPr>
          <w:rFonts w:hint="eastAsia" w:ascii="宋体" w:hAnsi="宋体" w:eastAsia="宋体" w:cstheme="minorBidi"/>
          <w:iCs/>
          <w:color w:val="auto"/>
          <w:kern w:val="2"/>
          <w:sz w:val="24"/>
          <w:szCs w:val="22"/>
          <w:highlight w:val="none"/>
          <w:shd w:val="clear" w:color="auto" w:fill="FFFFFF" w:themeFill="background1"/>
          <w:lang w:val="zh-CN" w:eastAsia="zh-CN" w:bidi="ar-SA"/>
        </w:rPr>
        <w:t>协议</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书</w:t>
      </w:r>
      <w:r>
        <w:rPr>
          <w:rFonts w:hint="eastAsia" w:ascii="宋体" w:hAnsi="宋体" w:eastAsia="宋体" w:cstheme="minorBidi"/>
          <w:iCs/>
          <w:color w:val="auto"/>
          <w:kern w:val="2"/>
          <w:sz w:val="24"/>
          <w:szCs w:val="22"/>
          <w:highlight w:val="none"/>
          <w:shd w:val="clear" w:color="auto" w:fill="FFFFFF" w:themeFill="background1"/>
          <w:lang w:val="zh-CN" w:eastAsia="zh-CN" w:bidi="ar-SA"/>
        </w:rPr>
        <w:t>作为投标文件的一部分提交，该协议书对联合</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体所有成员</w:t>
      </w:r>
      <w:r>
        <w:rPr>
          <w:rFonts w:hint="eastAsia" w:ascii="宋体" w:hAnsi="宋体" w:eastAsia="宋体" w:cstheme="minorBidi"/>
          <w:iCs/>
          <w:color w:val="auto"/>
          <w:kern w:val="2"/>
          <w:sz w:val="24"/>
          <w:szCs w:val="22"/>
          <w:highlight w:val="none"/>
          <w:shd w:val="clear" w:color="auto" w:fill="FFFFFF" w:themeFill="background1"/>
          <w:lang w:val="zh-CN" w:eastAsia="zh-CN" w:bidi="ar-SA"/>
        </w:rPr>
        <w:t>均具有法律约束力。</w:t>
      </w:r>
    </w:p>
    <w:p w14:paraId="5343E5B5">
      <w:pPr>
        <w:pStyle w:val="37"/>
        <w:keepNext w:val="0"/>
        <w:keepLines w:val="0"/>
        <w:pageBreakBefore w:val="0"/>
        <w:widowControl w:val="0"/>
        <w:kinsoku/>
        <w:overflowPunct/>
        <w:topLinePunct w:val="0"/>
        <w:autoSpaceDE/>
        <w:autoSpaceDN/>
        <w:bidi w:val="0"/>
        <w:adjustRightInd/>
        <w:textAlignment w:val="auto"/>
        <w:rPr>
          <w:rFonts w:hint="eastAsia" w:ascii="宋体" w:hAnsi="宋体" w:eastAsia="宋体" w:cstheme="minorBidi"/>
          <w:iCs/>
          <w:color w:val="auto"/>
          <w:kern w:val="2"/>
          <w:sz w:val="24"/>
          <w:szCs w:val="22"/>
          <w:highlight w:val="none"/>
          <w:shd w:val="clear" w:color="auto" w:fill="FFFFFF" w:themeFill="background1"/>
          <w:lang w:val="zh-CN"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4.2.</w:t>
      </w:r>
      <w:r>
        <w:rPr>
          <w:rFonts w:hint="eastAsia" w:eastAsia="宋体" w:cstheme="minorBidi"/>
          <w:iCs/>
          <w:color w:val="auto"/>
          <w:kern w:val="2"/>
          <w:sz w:val="24"/>
          <w:szCs w:val="22"/>
          <w:highlight w:val="none"/>
          <w:shd w:val="clear" w:color="auto" w:fill="FFFFFF" w:themeFill="background1"/>
          <w:lang w:val="en-US" w:eastAsia="zh-CN" w:bidi="ar-SA"/>
        </w:rPr>
        <w:t>3</w:t>
      </w:r>
      <w:r>
        <w:rPr>
          <w:rFonts w:hint="eastAsia" w:ascii="宋体" w:hAnsi="宋体" w:eastAsia="宋体" w:cstheme="minorBidi"/>
          <w:iCs/>
          <w:color w:val="auto"/>
          <w:kern w:val="2"/>
          <w:sz w:val="24"/>
          <w:szCs w:val="22"/>
          <w:highlight w:val="none"/>
          <w:shd w:val="clear" w:color="auto" w:fill="FFFFFF" w:themeFill="background1"/>
          <w:lang w:val="zh-CN" w:eastAsia="zh-CN" w:bidi="ar-SA"/>
        </w:rPr>
        <w:t>联合体中有同类资质的供应商按照联合体分工承担相同工作的，应当按照资质等级较低的供应商确定资质等级。</w:t>
      </w:r>
    </w:p>
    <w:p w14:paraId="21D444C4">
      <w:pPr>
        <w:pStyle w:val="37"/>
        <w:keepNext w:val="0"/>
        <w:keepLines w:val="0"/>
        <w:pageBreakBefore w:val="0"/>
        <w:widowControl w:val="0"/>
        <w:kinsoku/>
        <w:overflowPunct/>
        <w:topLinePunct w:val="0"/>
        <w:autoSpaceDE/>
        <w:autoSpaceDN/>
        <w:bidi w:val="0"/>
        <w:adjustRightInd/>
        <w:textAlignment w:val="auto"/>
        <w:rPr>
          <w:rFonts w:hint="eastAsia" w:ascii="宋体" w:hAnsi="宋体" w:eastAsia="宋体" w:cstheme="minorBidi"/>
          <w:iCs/>
          <w:color w:val="auto"/>
          <w:kern w:val="2"/>
          <w:sz w:val="24"/>
          <w:szCs w:val="22"/>
          <w:highlight w:val="none"/>
          <w:shd w:val="clear" w:color="auto" w:fill="FFFFFF" w:themeFill="background1"/>
          <w:lang w:val="zh-CN"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4.2</w:t>
      </w:r>
      <w:r>
        <w:rPr>
          <w:rFonts w:hint="eastAsia" w:ascii="宋体" w:hAnsi="宋体" w:eastAsia="宋体" w:cstheme="minorBidi"/>
          <w:iCs/>
          <w:color w:val="auto"/>
          <w:kern w:val="2"/>
          <w:sz w:val="24"/>
          <w:szCs w:val="22"/>
          <w:highlight w:val="none"/>
          <w:shd w:val="clear" w:color="auto" w:fill="FFFFFF" w:themeFill="background1"/>
          <w:lang w:val="zh-CN" w:eastAsia="zh-CN" w:bidi="ar-SA"/>
        </w:rPr>
        <w:t>.</w:t>
      </w:r>
      <w:r>
        <w:rPr>
          <w:rFonts w:hint="eastAsia" w:eastAsia="宋体" w:cstheme="minorBidi"/>
          <w:iCs/>
          <w:color w:val="auto"/>
          <w:kern w:val="2"/>
          <w:sz w:val="24"/>
          <w:szCs w:val="22"/>
          <w:highlight w:val="none"/>
          <w:shd w:val="clear" w:color="auto" w:fill="FFFFFF" w:themeFill="background1"/>
          <w:lang w:val="en-US" w:eastAsia="zh-CN" w:bidi="ar-SA"/>
        </w:rPr>
        <w:t>4</w:t>
      </w:r>
      <w:r>
        <w:rPr>
          <w:rFonts w:hint="eastAsia" w:ascii="宋体" w:hAnsi="宋体" w:eastAsia="宋体" w:cstheme="minorBidi"/>
          <w:iCs/>
          <w:color w:val="auto"/>
          <w:kern w:val="2"/>
          <w:sz w:val="24"/>
          <w:szCs w:val="22"/>
          <w:highlight w:val="none"/>
          <w:shd w:val="clear" w:color="auto" w:fill="FFFFFF" w:themeFill="background1"/>
          <w:lang w:val="zh-CN" w:eastAsia="zh-CN" w:bidi="ar-SA"/>
        </w:rPr>
        <w:t>以联合体形式参加政府采购活动的，联合体各方不得再单独参加或者与其他供应商另外组成联合体参加</w:t>
      </w:r>
      <w:r>
        <w:rPr>
          <w:rFonts w:hint="eastAsia" w:ascii="宋体" w:hAnsi="宋体" w:eastAsia="宋体" w:cstheme="minorBidi"/>
          <w:iCs/>
          <w:color w:val="auto"/>
          <w:kern w:val="2"/>
          <w:sz w:val="24"/>
          <w:szCs w:val="22"/>
          <w:highlight w:val="none"/>
          <w:shd w:val="clear" w:color="auto" w:fill="FFFFFF" w:themeFill="background1"/>
          <w:lang w:val="en-US" w:eastAsia="zh-CN" w:bidi="ar-SA"/>
        </w:rPr>
        <w:t>同一合同项下的</w:t>
      </w:r>
      <w:r>
        <w:rPr>
          <w:rFonts w:hint="eastAsia" w:ascii="宋体" w:hAnsi="宋体" w:eastAsia="宋体" w:cstheme="minorBidi"/>
          <w:iCs/>
          <w:color w:val="auto"/>
          <w:kern w:val="2"/>
          <w:sz w:val="24"/>
          <w:szCs w:val="22"/>
          <w:highlight w:val="none"/>
          <w:shd w:val="clear" w:color="auto" w:fill="FFFFFF" w:themeFill="background1"/>
          <w:lang w:val="zh-CN" w:eastAsia="zh-CN" w:bidi="ar-SA"/>
        </w:rPr>
        <w:t>投标，否则相关投标将被认定为</w:t>
      </w:r>
      <w:r>
        <w:rPr>
          <w:rFonts w:hint="eastAsia" w:ascii="宋体" w:hAnsi="宋体" w:eastAsia="宋体" w:cstheme="minorBidi"/>
          <w:b/>
          <w:bCs/>
          <w:iCs/>
          <w:color w:val="auto"/>
          <w:kern w:val="2"/>
          <w:sz w:val="24"/>
          <w:szCs w:val="22"/>
          <w:highlight w:val="none"/>
          <w:shd w:val="clear" w:color="auto" w:fill="FFFFFF" w:themeFill="background1"/>
          <w:lang w:val="zh-CN" w:eastAsia="zh-CN" w:bidi="ar-SA"/>
        </w:rPr>
        <w:t>投标无效</w:t>
      </w:r>
      <w:r>
        <w:rPr>
          <w:rFonts w:hint="eastAsia" w:ascii="宋体" w:hAnsi="宋体" w:eastAsia="宋体" w:cstheme="minorBidi"/>
          <w:iCs/>
          <w:color w:val="auto"/>
          <w:kern w:val="2"/>
          <w:sz w:val="24"/>
          <w:szCs w:val="22"/>
          <w:highlight w:val="none"/>
          <w:shd w:val="clear" w:color="auto" w:fill="FFFFFF" w:themeFill="background1"/>
          <w:lang w:val="zh-CN" w:eastAsia="zh-CN" w:bidi="ar-SA"/>
        </w:rPr>
        <w:t>。</w:t>
      </w:r>
    </w:p>
    <w:p w14:paraId="2E60D00D">
      <w:pPr>
        <w:pStyle w:val="37"/>
        <w:keepNext w:val="0"/>
        <w:keepLines w:val="0"/>
        <w:pageBreakBefore w:val="0"/>
        <w:widowControl w:val="0"/>
        <w:kinsoku/>
        <w:overflowPunct/>
        <w:topLinePunct w:val="0"/>
        <w:autoSpaceDE/>
        <w:autoSpaceDN/>
        <w:bidi w:val="0"/>
        <w:adjustRightInd/>
        <w:textAlignment w:val="auto"/>
        <w:rPr>
          <w:rFonts w:hint="eastAsia" w:ascii="宋体" w:hAnsi="宋体" w:eastAsia="宋体" w:cstheme="minorBidi"/>
          <w:iCs/>
          <w:color w:val="auto"/>
          <w:kern w:val="2"/>
          <w:sz w:val="24"/>
          <w:szCs w:val="22"/>
          <w:highlight w:val="none"/>
          <w:shd w:val="clear" w:color="auto" w:fill="FFFFFF" w:themeFill="background1"/>
          <w:lang w:val="zh-CN"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4.2</w:t>
      </w:r>
      <w:r>
        <w:rPr>
          <w:rFonts w:hint="eastAsia" w:ascii="宋体" w:hAnsi="宋体" w:eastAsia="宋体" w:cstheme="minorBidi"/>
          <w:iCs/>
          <w:color w:val="auto"/>
          <w:kern w:val="2"/>
          <w:sz w:val="24"/>
          <w:szCs w:val="22"/>
          <w:highlight w:val="none"/>
          <w:shd w:val="clear" w:color="auto" w:fill="FFFFFF" w:themeFill="background1"/>
          <w:lang w:val="zh-CN" w:eastAsia="zh-CN" w:bidi="ar-SA"/>
        </w:rPr>
        <w:t>.5大中型企业、其他自然人、法人或者非法人组织与小型、微型企业组成联合体共同参加投标</w:t>
      </w:r>
      <w:r>
        <w:rPr>
          <w:rFonts w:hint="eastAsia" w:ascii="宋体" w:hAnsi="宋体" w:eastAsia="宋体" w:cstheme="minorBidi"/>
          <w:iCs/>
          <w:color w:val="auto"/>
          <w:kern w:val="2"/>
          <w:sz w:val="24"/>
          <w:szCs w:val="22"/>
          <w:highlight w:val="none"/>
          <w:shd w:val="clear" w:color="auto" w:fill="FFFFFF" w:themeFill="background1"/>
          <w:lang w:val="en-US" w:eastAsia="zh-CN" w:bidi="ar-SA"/>
        </w:rPr>
        <w:t>的</w:t>
      </w:r>
      <w:r>
        <w:rPr>
          <w:rFonts w:hint="eastAsia" w:ascii="宋体" w:hAnsi="宋体" w:eastAsia="宋体" w:cstheme="minorBidi"/>
          <w:iCs/>
          <w:color w:val="auto"/>
          <w:kern w:val="2"/>
          <w:sz w:val="24"/>
          <w:szCs w:val="22"/>
          <w:highlight w:val="none"/>
          <w:shd w:val="clear" w:color="auto" w:fill="FFFFFF" w:themeFill="background1"/>
          <w:lang w:val="zh-CN" w:eastAsia="zh-CN" w:bidi="ar-SA"/>
        </w:rPr>
        <w:t>，联合</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体</w:t>
      </w:r>
      <w:r>
        <w:rPr>
          <w:rFonts w:hint="eastAsia" w:ascii="宋体" w:hAnsi="宋体" w:eastAsia="宋体" w:cstheme="minorBidi"/>
          <w:iCs/>
          <w:color w:val="auto"/>
          <w:kern w:val="2"/>
          <w:sz w:val="24"/>
          <w:szCs w:val="22"/>
          <w:highlight w:val="none"/>
          <w:shd w:val="clear" w:color="auto" w:fill="FFFFFF" w:themeFill="background1"/>
          <w:lang w:val="zh-CN" w:eastAsia="zh-CN" w:bidi="ar-SA"/>
        </w:rPr>
        <w:t>协议</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书</w:t>
      </w:r>
      <w:r>
        <w:rPr>
          <w:rFonts w:hint="eastAsia" w:ascii="宋体" w:hAnsi="宋体" w:eastAsia="宋体" w:cstheme="minorBidi"/>
          <w:iCs/>
          <w:color w:val="auto"/>
          <w:kern w:val="2"/>
          <w:sz w:val="24"/>
          <w:szCs w:val="22"/>
          <w:highlight w:val="none"/>
          <w:shd w:val="clear" w:color="auto" w:fill="FFFFFF" w:themeFill="background1"/>
          <w:lang w:val="zh-CN" w:eastAsia="zh-CN" w:bidi="ar-SA"/>
        </w:rPr>
        <w:t>中应写明小型、微型企业的合同金额占到联合</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体</w:t>
      </w:r>
      <w:r>
        <w:rPr>
          <w:rFonts w:hint="eastAsia" w:ascii="宋体" w:hAnsi="宋体" w:eastAsia="宋体" w:cstheme="minorBidi"/>
          <w:iCs/>
          <w:color w:val="auto"/>
          <w:kern w:val="2"/>
          <w:sz w:val="24"/>
          <w:szCs w:val="22"/>
          <w:highlight w:val="none"/>
          <w:shd w:val="clear" w:color="auto" w:fill="FFFFFF" w:themeFill="background1"/>
          <w:lang w:val="zh-CN" w:eastAsia="zh-CN" w:bidi="ar-SA"/>
        </w:rPr>
        <w:t>投标</w:t>
      </w:r>
      <w:r>
        <w:rPr>
          <w:rFonts w:hint="eastAsia" w:ascii="宋体" w:hAnsi="宋体" w:eastAsia="宋体" w:cstheme="minorBidi"/>
          <w:iCs/>
          <w:color w:val="auto"/>
          <w:kern w:val="2"/>
          <w:sz w:val="24"/>
          <w:szCs w:val="22"/>
          <w:highlight w:val="none"/>
          <w:shd w:val="clear" w:color="auto" w:fill="FFFFFF" w:themeFill="background1"/>
          <w:lang w:val="en-US" w:eastAsia="zh-CN" w:bidi="ar-SA"/>
        </w:rPr>
        <w:t>合同</w:t>
      </w:r>
      <w:r>
        <w:rPr>
          <w:rFonts w:hint="eastAsia" w:ascii="宋体" w:hAnsi="宋体" w:eastAsia="宋体" w:cstheme="minorBidi"/>
          <w:iCs/>
          <w:color w:val="auto"/>
          <w:kern w:val="2"/>
          <w:sz w:val="24"/>
          <w:szCs w:val="22"/>
          <w:highlight w:val="none"/>
          <w:shd w:val="clear" w:color="auto" w:fill="FFFFFF" w:themeFill="background1"/>
          <w:lang w:val="zh-CN" w:eastAsia="zh-CN" w:bidi="ar-SA"/>
        </w:rPr>
        <w:t>总金额的比例。</w:t>
      </w:r>
    </w:p>
    <w:p w14:paraId="7127D169">
      <w:pPr>
        <w:pStyle w:val="37"/>
        <w:keepNext w:val="0"/>
        <w:keepLines w:val="0"/>
        <w:pageBreakBefore w:val="0"/>
        <w:widowControl w:val="0"/>
        <w:kinsoku/>
        <w:overflowPunct/>
        <w:topLinePunct w:val="0"/>
        <w:autoSpaceDE/>
        <w:autoSpaceDN/>
        <w:bidi w:val="0"/>
        <w:adjustRightInd/>
        <w:textAlignment w:val="auto"/>
        <w:rPr>
          <w:rFonts w:hint="eastAsia" w:ascii="宋体" w:hAnsi="宋体" w:eastAsia="宋体" w:cstheme="minorBidi"/>
          <w:iCs/>
          <w:color w:val="auto"/>
          <w:kern w:val="2"/>
          <w:sz w:val="24"/>
          <w:szCs w:val="22"/>
          <w:highlight w:val="none"/>
          <w:shd w:val="clear" w:color="auto" w:fill="FFFFFF" w:themeFill="background1"/>
          <w:lang w:val="zh-CN" w:eastAsia="zh-CN" w:bidi="ar-SA"/>
        </w:rPr>
      </w:pPr>
      <w:r>
        <w:rPr>
          <w:rFonts w:hint="eastAsia" w:ascii="宋体" w:hAnsi="宋体" w:eastAsia="宋体" w:cstheme="minorBidi"/>
          <w:iCs/>
          <w:color w:val="auto"/>
          <w:kern w:val="2"/>
          <w:sz w:val="24"/>
          <w:szCs w:val="22"/>
          <w:highlight w:val="none"/>
          <w:shd w:val="clear" w:color="auto" w:fill="FFFFFF" w:themeFill="background1"/>
          <w:lang w:val="zh-CN" w:eastAsia="zh-CN" w:bidi="ar-SA"/>
        </w:rPr>
        <w:t>4.2</w:t>
      </w:r>
      <w:r>
        <w:rPr>
          <w:rFonts w:hint="eastAsia" w:ascii="宋体" w:hAnsi="宋体" w:eastAsia="宋体" w:cstheme="minorBidi"/>
          <w:iCs/>
          <w:color w:val="auto"/>
          <w:kern w:val="2"/>
          <w:sz w:val="24"/>
          <w:szCs w:val="22"/>
          <w:highlight w:val="none"/>
          <w:shd w:val="clear" w:color="auto" w:fill="FFFFFF" w:themeFill="background1"/>
          <w:lang w:val="en-US" w:eastAsia="zh-CN" w:bidi="ar-SA"/>
        </w:rPr>
        <w:t>.</w:t>
      </w:r>
      <w:r>
        <w:rPr>
          <w:rFonts w:hint="eastAsia" w:eastAsia="宋体" w:cstheme="minorBidi"/>
          <w:iCs/>
          <w:color w:val="auto"/>
          <w:kern w:val="2"/>
          <w:sz w:val="24"/>
          <w:szCs w:val="22"/>
          <w:highlight w:val="none"/>
          <w:shd w:val="clear" w:color="auto" w:fill="FFFFFF" w:themeFill="background1"/>
          <w:lang w:val="en-US" w:eastAsia="zh-CN" w:bidi="ar-SA"/>
        </w:rPr>
        <w:t>6</w:t>
      </w:r>
      <w:r>
        <w:rPr>
          <w:rFonts w:hint="eastAsia" w:ascii="宋体" w:hAnsi="宋体" w:eastAsia="宋体" w:cstheme="minorBidi"/>
          <w:iCs/>
          <w:color w:val="auto"/>
          <w:kern w:val="2"/>
          <w:sz w:val="24"/>
          <w:szCs w:val="22"/>
          <w:highlight w:val="none"/>
          <w:shd w:val="clear" w:color="auto" w:fill="FFFFFF" w:themeFill="background1"/>
          <w:lang w:val="zh-CN" w:eastAsia="zh-CN" w:bidi="ar-SA"/>
        </w:rPr>
        <w:t>联合体中标</w:t>
      </w:r>
      <w:r>
        <w:rPr>
          <w:rFonts w:hint="eastAsia" w:eastAsia="宋体" w:cstheme="minorBidi"/>
          <w:iCs/>
          <w:color w:val="auto"/>
          <w:kern w:val="2"/>
          <w:sz w:val="24"/>
          <w:szCs w:val="22"/>
          <w:highlight w:val="none"/>
          <w:shd w:val="clear" w:color="auto" w:fill="FFFFFF" w:themeFill="background1"/>
          <w:lang w:val="en-US" w:eastAsia="zh-CN" w:bidi="ar-SA"/>
        </w:rPr>
        <w:t>的</w:t>
      </w:r>
      <w:r>
        <w:rPr>
          <w:rFonts w:hint="eastAsia" w:ascii="宋体" w:hAnsi="宋体" w:eastAsia="宋体" w:cstheme="minorBidi"/>
          <w:iCs/>
          <w:color w:val="auto"/>
          <w:kern w:val="2"/>
          <w:sz w:val="24"/>
          <w:szCs w:val="22"/>
          <w:highlight w:val="none"/>
          <w:shd w:val="clear" w:color="auto" w:fill="FFFFFF" w:themeFill="background1"/>
          <w:lang w:val="zh-CN" w:eastAsia="zh-CN" w:bidi="ar-SA"/>
        </w:rPr>
        <w:t>，</w:t>
      </w:r>
      <w:r>
        <w:rPr>
          <w:rFonts w:hint="eastAsia" w:ascii="宋体" w:hAnsi="宋体" w:eastAsia="宋体" w:cstheme="minorBidi"/>
          <w:iCs/>
          <w:color w:val="auto"/>
          <w:kern w:val="2"/>
          <w:sz w:val="24"/>
          <w:szCs w:val="22"/>
          <w:highlight w:val="none"/>
          <w:shd w:val="clear" w:color="auto" w:fill="FFFFFF" w:themeFill="background1"/>
          <w:lang w:val="en-US" w:eastAsia="zh-CN" w:bidi="ar-SA"/>
        </w:rPr>
        <w:t>采购</w:t>
      </w:r>
      <w:r>
        <w:rPr>
          <w:rFonts w:hint="eastAsia" w:ascii="宋体" w:hAnsi="宋体" w:eastAsia="宋体" w:cstheme="minorBidi"/>
          <w:iCs/>
          <w:color w:val="auto"/>
          <w:kern w:val="2"/>
          <w:sz w:val="24"/>
          <w:szCs w:val="22"/>
          <w:highlight w:val="none"/>
          <w:shd w:val="clear" w:color="auto" w:fill="FFFFFF" w:themeFill="background1"/>
          <w:lang w:val="zh-CN" w:eastAsia="zh-CN" w:bidi="ar-SA"/>
        </w:rPr>
        <w:t>合同应由</w:t>
      </w:r>
      <w:r>
        <w:rPr>
          <w:rFonts w:hint="eastAsia" w:ascii="宋体" w:hAnsi="宋体" w:eastAsia="宋体" w:cstheme="minorBidi"/>
          <w:iCs/>
          <w:color w:val="auto"/>
          <w:kern w:val="2"/>
          <w:sz w:val="24"/>
          <w:szCs w:val="22"/>
          <w:highlight w:val="none"/>
          <w:shd w:val="clear" w:color="auto" w:fill="FFFFFF" w:themeFill="background1"/>
          <w:lang w:val="en-US" w:eastAsia="zh-CN" w:bidi="ar-SA"/>
        </w:rPr>
        <w:t>联合体</w:t>
      </w:r>
      <w:r>
        <w:rPr>
          <w:rFonts w:hint="eastAsia" w:ascii="宋体" w:hAnsi="宋体" w:eastAsia="宋体" w:cstheme="minorBidi"/>
          <w:iCs/>
          <w:color w:val="auto"/>
          <w:kern w:val="2"/>
          <w:sz w:val="24"/>
          <w:szCs w:val="22"/>
          <w:highlight w:val="none"/>
          <w:shd w:val="clear" w:color="auto" w:fill="FFFFFF" w:themeFill="background1"/>
          <w:lang w:val="zh-CN" w:eastAsia="zh-CN" w:bidi="ar-SA"/>
        </w:rPr>
        <w:t>各成员的合法授权代表签字</w:t>
      </w:r>
      <w:r>
        <w:rPr>
          <w:rFonts w:hint="eastAsia" w:eastAsia="宋体" w:cstheme="minorBidi"/>
          <w:iCs/>
          <w:color w:val="auto"/>
          <w:kern w:val="2"/>
          <w:sz w:val="24"/>
          <w:szCs w:val="22"/>
          <w:highlight w:val="none"/>
          <w:shd w:val="clear" w:color="auto" w:fill="FFFFFF" w:themeFill="background1"/>
          <w:lang w:val="en-US" w:eastAsia="zh-CN" w:bidi="ar-SA"/>
        </w:rPr>
        <w:t>及</w:t>
      </w:r>
      <w:r>
        <w:rPr>
          <w:rFonts w:hint="eastAsia" w:ascii="宋体" w:hAnsi="宋体" w:eastAsia="宋体" w:cstheme="minorBidi"/>
          <w:iCs/>
          <w:color w:val="auto"/>
          <w:kern w:val="2"/>
          <w:sz w:val="24"/>
          <w:szCs w:val="22"/>
          <w:highlight w:val="none"/>
          <w:shd w:val="clear" w:color="auto" w:fill="FFFFFF" w:themeFill="background1"/>
          <w:lang w:val="zh-CN" w:eastAsia="zh-CN" w:bidi="ar-SA"/>
        </w:rPr>
        <w:t>加盖</w:t>
      </w:r>
      <w:r>
        <w:rPr>
          <w:rFonts w:hint="eastAsia" w:ascii="宋体" w:hAnsi="宋体" w:eastAsia="宋体" w:cstheme="minorBidi"/>
          <w:iCs/>
          <w:color w:val="auto"/>
          <w:kern w:val="2"/>
          <w:sz w:val="24"/>
          <w:szCs w:val="22"/>
          <w:highlight w:val="none"/>
          <w:shd w:val="clear" w:color="auto" w:fill="FFFFFF" w:themeFill="background1"/>
          <w:lang w:val="en-US" w:eastAsia="zh-CN" w:bidi="ar-SA"/>
        </w:rPr>
        <w:t>联合体</w:t>
      </w:r>
      <w:r>
        <w:rPr>
          <w:rFonts w:hint="eastAsia" w:ascii="宋体" w:hAnsi="宋体" w:eastAsia="宋体" w:cstheme="minorBidi"/>
          <w:iCs/>
          <w:color w:val="auto"/>
          <w:kern w:val="2"/>
          <w:sz w:val="24"/>
          <w:szCs w:val="22"/>
          <w:highlight w:val="none"/>
          <w:shd w:val="clear" w:color="auto" w:fill="FFFFFF" w:themeFill="background1"/>
          <w:lang w:val="zh-CN" w:eastAsia="zh-CN" w:bidi="ar-SA"/>
        </w:rPr>
        <w:t>各成员公章，</w:t>
      </w:r>
      <w:r>
        <w:rPr>
          <w:rFonts w:hint="eastAsia" w:eastAsia="宋体" w:cstheme="minorBidi"/>
          <w:iCs/>
          <w:color w:val="auto"/>
          <w:kern w:val="2"/>
          <w:sz w:val="24"/>
          <w:szCs w:val="22"/>
          <w:highlight w:val="none"/>
          <w:shd w:val="clear" w:color="auto" w:fill="FFFFFF" w:themeFill="background1"/>
          <w:lang w:val="en-US" w:eastAsia="zh-CN" w:bidi="ar-SA"/>
        </w:rPr>
        <w:t>并</w:t>
      </w:r>
      <w:r>
        <w:rPr>
          <w:rFonts w:hint="eastAsia" w:ascii="宋体" w:hAnsi="宋体" w:eastAsia="宋体" w:cstheme="minorBidi"/>
          <w:iCs/>
          <w:color w:val="auto"/>
          <w:kern w:val="2"/>
          <w:sz w:val="24"/>
          <w:szCs w:val="22"/>
          <w:highlight w:val="none"/>
          <w:shd w:val="clear" w:color="auto" w:fill="FFFFFF" w:themeFill="background1"/>
          <w:lang w:val="zh-CN" w:eastAsia="zh-CN" w:bidi="ar-SA"/>
        </w:rPr>
        <w:t>对联合体成员作为整体和他们各自作为独立体均具有法律约束力，但若该签字或公章不齐全或缺乏，该联合体的牵头人的签署或类似的意思表示人具有代表该联合体的签署或意思表示的法律效力，并且据此各成员为履行合同应向采购人与采购代理机构承担连带责任。</w:t>
      </w:r>
    </w:p>
    <w:p w14:paraId="72C3CFE0">
      <w:pPr>
        <w:pStyle w:val="37"/>
        <w:keepNext w:val="0"/>
        <w:keepLines w:val="0"/>
        <w:pageBreakBefore w:val="0"/>
        <w:widowControl w:val="0"/>
        <w:kinsoku/>
        <w:overflowPunct/>
        <w:topLinePunct w:val="0"/>
        <w:autoSpaceDE/>
        <w:autoSpaceDN/>
        <w:bidi w:val="0"/>
        <w:adjustRightInd/>
        <w:textAlignment w:val="auto"/>
        <w:rPr>
          <w:rFonts w:hint="eastAsia" w:ascii="宋体" w:hAnsi="宋体" w:eastAsia="宋体" w:cstheme="minorBidi"/>
          <w:iCs/>
          <w:color w:val="auto"/>
          <w:kern w:val="2"/>
          <w:sz w:val="24"/>
          <w:szCs w:val="22"/>
          <w:highlight w:val="none"/>
          <w:shd w:val="clear" w:color="auto" w:fill="FFFFFF" w:themeFill="background1"/>
          <w:lang w:val="zh-CN" w:eastAsia="zh-CN" w:bidi="ar-SA"/>
        </w:rPr>
      </w:pPr>
      <w:r>
        <w:rPr>
          <w:rFonts w:hint="eastAsia" w:ascii="宋体" w:hAnsi="宋体" w:eastAsia="宋体" w:cstheme="minorBidi"/>
          <w:iCs/>
          <w:color w:val="auto"/>
          <w:kern w:val="2"/>
          <w:sz w:val="24"/>
          <w:szCs w:val="22"/>
          <w:highlight w:val="none"/>
          <w:shd w:val="clear" w:color="auto" w:fill="FFFFFF" w:themeFill="background1"/>
          <w:lang w:val="zh-CN" w:eastAsia="zh-CN" w:bidi="ar-SA"/>
        </w:rPr>
        <w:t>4.2</w:t>
      </w:r>
      <w:r>
        <w:rPr>
          <w:rFonts w:hint="eastAsia" w:ascii="宋体" w:hAnsi="宋体" w:eastAsia="宋体" w:cstheme="minorBidi"/>
          <w:iCs/>
          <w:color w:val="auto"/>
          <w:kern w:val="2"/>
          <w:sz w:val="24"/>
          <w:szCs w:val="22"/>
          <w:highlight w:val="none"/>
          <w:shd w:val="clear" w:color="auto" w:fill="FFFFFF" w:themeFill="background1"/>
          <w:lang w:val="en-US" w:eastAsia="zh-CN" w:bidi="ar-SA"/>
        </w:rPr>
        <w:t>.</w:t>
      </w:r>
      <w:r>
        <w:rPr>
          <w:rFonts w:hint="eastAsia" w:eastAsia="宋体" w:cstheme="minorBidi"/>
          <w:iCs/>
          <w:color w:val="auto"/>
          <w:kern w:val="2"/>
          <w:sz w:val="24"/>
          <w:szCs w:val="22"/>
          <w:highlight w:val="none"/>
          <w:shd w:val="clear" w:color="auto" w:fill="FFFFFF" w:themeFill="background1"/>
          <w:lang w:val="en-US" w:eastAsia="zh-CN" w:bidi="ar-SA"/>
        </w:rPr>
        <w:t>7</w:t>
      </w:r>
      <w:r>
        <w:rPr>
          <w:rFonts w:hint="eastAsia" w:ascii="宋体" w:hAnsi="宋体" w:eastAsia="宋体" w:cstheme="minorBidi"/>
          <w:iCs/>
          <w:color w:val="auto"/>
          <w:kern w:val="2"/>
          <w:sz w:val="24"/>
          <w:szCs w:val="22"/>
          <w:highlight w:val="none"/>
          <w:shd w:val="clear" w:color="auto" w:fill="FFFFFF" w:themeFill="background1"/>
          <w:lang w:val="zh-CN" w:eastAsia="zh-CN" w:bidi="ar-SA"/>
        </w:rPr>
        <w:t>联合体或其成员不得将其在合同项下的权利或义务全部或部分转让给第三人，有关分包事项须事先取得采购</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人</w:t>
      </w:r>
      <w:r>
        <w:rPr>
          <w:rFonts w:hint="eastAsia" w:ascii="宋体" w:hAnsi="宋体" w:eastAsia="宋体" w:cstheme="minorBidi"/>
          <w:iCs/>
          <w:color w:val="auto"/>
          <w:kern w:val="2"/>
          <w:sz w:val="24"/>
          <w:szCs w:val="22"/>
          <w:highlight w:val="none"/>
          <w:shd w:val="clear" w:color="auto" w:fill="FFFFFF" w:themeFill="background1"/>
          <w:lang w:val="zh-CN" w:eastAsia="zh-CN" w:bidi="ar-SA"/>
        </w:rPr>
        <w:t>书面同意并且须遵守相关法律、法规、本次招标的全部相关规定。</w:t>
      </w:r>
    </w:p>
    <w:p w14:paraId="7D2803AB">
      <w:pPr>
        <w:pStyle w:val="37"/>
        <w:keepNext w:val="0"/>
        <w:keepLines w:val="0"/>
        <w:pageBreakBefore w:val="0"/>
        <w:widowControl w:val="0"/>
        <w:kinsoku/>
        <w:overflowPunct/>
        <w:topLinePunct w:val="0"/>
        <w:autoSpaceDE/>
        <w:autoSpaceDN/>
        <w:bidi w:val="0"/>
        <w:adjustRightInd/>
        <w:textAlignment w:val="auto"/>
        <w:rPr>
          <w:rFonts w:hint="eastAsia" w:ascii="宋体" w:hAnsi="宋体" w:eastAsia="宋体" w:cstheme="minorBidi"/>
          <w:iCs/>
          <w:color w:val="auto"/>
          <w:kern w:val="2"/>
          <w:sz w:val="24"/>
          <w:szCs w:val="22"/>
          <w:highlight w:val="none"/>
          <w:shd w:val="clear" w:color="auto" w:fill="FFFFFF" w:themeFill="background1"/>
          <w:lang w:val="zh-CN"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4.2</w:t>
      </w:r>
      <w:r>
        <w:rPr>
          <w:rFonts w:hint="eastAsia" w:ascii="宋体" w:hAnsi="宋体" w:eastAsia="宋体" w:cstheme="minorBidi"/>
          <w:iCs/>
          <w:color w:val="auto"/>
          <w:kern w:val="2"/>
          <w:sz w:val="24"/>
          <w:szCs w:val="22"/>
          <w:highlight w:val="none"/>
          <w:shd w:val="clear" w:color="auto" w:fill="FFFFFF" w:themeFill="background1"/>
          <w:lang w:val="zh-CN" w:eastAsia="zh-CN" w:bidi="ar-SA"/>
        </w:rPr>
        <w:t>.</w:t>
      </w:r>
      <w:r>
        <w:rPr>
          <w:rFonts w:hint="eastAsia" w:eastAsia="宋体" w:cstheme="minorBidi"/>
          <w:iCs/>
          <w:color w:val="auto"/>
          <w:kern w:val="2"/>
          <w:sz w:val="24"/>
          <w:szCs w:val="22"/>
          <w:highlight w:val="none"/>
          <w:shd w:val="clear" w:color="auto" w:fill="FFFFFF" w:themeFill="background1"/>
          <w:lang w:val="en-US" w:eastAsia="zh-CN" w:bidi="ar-SA"/>
        </w:rPr>
        <w:t>8</w:t>
      </w:r>
      <w:r>
        <w:rPr>
          <w:rFonts w:hint="eastAsia" w:ascii="宋体" w:hAnsi="宋体" w:eastAsia="宋体" w:cstheme="minorBidi"/>
          <w:iCs/>
          <w:color w:val="auto"/>
          <w:kern w:val="2"/>
          <w:sz w:val="24"/>
          <w:szCs w:val="22"/>
          <w:highlight w:val="none"/>
          <w:shd w:val="clear" w:color="auto" w:fill="FFFFFF" w:themeFill="background1"/>
          <w:lang w:val="zh-CN" w:eastAsia="zh-CN" w:bidi="ar-SA"/>
        </w:rPr>
        <w:t>对联合体投标的其他资格要求见</w:t>
      </w:r>
      <w:r>
        <w:rPr>
          <w:rFonts w:hint="eastAsia" w:eastAsia="宋体"/>
          <w:color w:val="auto"/>
          <w:sz w:val="24"/>
          <w:highlight w:val="none"/>
        </w:rPr>
        <w:t>“</w:t>
      </w:r>
      <w:r>
        <w:rPr>
          <w:rFonts w:hint="eastAsia" w:eastAsia="宋体"/>
          <w:color w:val="auto"/>
          <w:sz w:val="24"/>
          <w:highlight w:val="none"/>
          <w:lang w:val="en-US" w:eastAsia="zh-CN"/>
        </w:rPr>
        <w:t>第一章 招标公告</w:t>
      </w:r>
      <w:r>
        <w:rPr>
          <w:rFonts w:hint="eastAsia" w:eastAsia="宋体"/>
          <w:color w:val="auto"/>
          <w:sz w:val="24"/>
          <w:highlight w:val="none"/>
        </w:rPr>
        <w:t>”</w:t>
      </w:r>
      <w:r>
        <w:rPr>
          <w:rFonts w:hint="eastAsia" w:eastAsia="宋体"/>
          <w:color w:val="auto"/>
          <w:sz w:val="24"/>
          <w:highlight w:val="none"/>
          <w:lang w:val="en-US" w:eastAsia="zh-CN"/>
        </w:rPr>
        <w:t>中的“二、</w:t>
      </w:r>
      <w:r>
        <w:rPr>
          <w:rFonts w:hint="eastAsia" w:ascii="宋体" w:hAnsi="宋体" w:eastAsia="宋体" w:cstheme="minorBidi"/>
          <w:iCs/>
          <w:color w:val="auto"/>
          <w:kern w:val="2"/>
          <w:sz w:val="24"/>
          <w:szCs w:val="22"/>
          <w:highlight w:val="none"/>
          <w:shd w:val="clear" w:color="auto" w:fill="FFFFFF" w:themeFill="background1"/>
          <w:lang w:val="en-US" w:eastAsia="zh-CN" w:bidi="ar-SA"/>
        </w:rPr>
        <w:t>申请人的</w:t>
      </w:r>
      <w:r>
        <w:rPr>
          <w:rFonts w:hint="eastAsia" w:ascii="宋体" w:hAnsi="宋体" w:eastAsia="宋体" w:cstheme="minorBidi"/>
          <w:iCs/>
          <w:color w:val="auto"/>
          <w:kern w:val="2"/>
          <w:sz w:val="24"/>
          <w:szCs w:val="22"/>
          <w:highlight w:val="none"/>
          <w:shd w:val="clear" w:color="auto" w:fill="FFFFFF" w:themeFill="background1"/>
          <w:lang w:val="zh-CN" w:eastAsia="zh-CN" w:bidi="ar-SA"/>
        </w:rPr>
        <w:t>资格</w:t>
      </w:r>
      <w:r>
        <w:rPr>
          <w:rFonts w:hint="eastAsia" w:ascii="宋体" w:hAnsi="宋体" w:eastAsia="宋体" w:cstheme="minorBidi"/>
          <w:iCs/>
          <w:color w:val="auto"/>
          <w:kern w:val="2"/>
          <w:sz w:val="24"/>
          <w:szCs w:val="22"/>
          <w:highlight w:val="none"/>
          <w:shd w:val="clear" w:color="auto" w:fill="FFFFFF" w:themeFill="background1"/>
          <w:lang w:val="en-US" w:eastAsia="zh-CN" w:bidi="ar-SA"/>
        </w:rPr>
        <w:t>要求</w:t>
      </w:r>
      <w:r>
        <w:rPr>
          <w:rFonts w:hint="eastAsia" w:eastAsia="宋体" w:cstheme="minorBidi"/>
          <w:iCs/>
          <w:color w:val="auto"/>
          <w:kern w:val="2"/>
          <w:sz w:val="24"/>
          <w:szCs w:val="22"/>
          <w:highlight w:val="none"/>
          <w:shd w:val="clear" w:color="auto" w:fill="FFFFFF" w:themeFill="background1"/>
          <w:lang w:val="en-US" w:eastAsia="zh-CN" w:bidi="ar-SA"/>
        </w:rPr>
        <w:t>”</w:t>
      </w:r>
      <w:r>
        <w:rPr>
          <w:rFonts w:hint="eastAsia" w:ascii="宋体" w:hAnsi="宋体" w:eastAsia="宋体" w:cstheme="minorBidi"/>
          <w:iCs/>
          <w:color w:val="auto"/>
          <w:kern w:val="2"/>
          <w:sz w:val="24"/>
          <w:szCs w:val="22"/>
          <w:highlight w:val="none"/>
          <w:shd w:val="clear" w:color="auto" w:fill="FFFFFF" w:themeFill="background1"/>
          <w:lang w:val="zh-CN" w:eastAsia="zh-CN" w:bidi="ar-SA"/>
        </w:rPr>
        <w:t>。</w:t>
      </w:r>
    </w:p>
    <w:p w14:paraId="4DE6446D">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124" w:name="_Toc163492827"/>
      <w:r>
        <w:rPr>
          <w:rFonts w:hint="eastAsia" w:ascii="宋体" w:hAnsi="宋体" w:eastAsia="宋体" w:cs="宋体"/>
          <w:b/>
          <w:bCs/>
          <w:color w:val="auto"/>
          <w:kern w:val="2"/>
          <w:sz w:val="24"/>
          <w:szCs w:val="28"/>
          <w:highlight w:val="none"/>
          <w:lang w:val="en-US" w:eastAsia="zh-CN" w:bidi="ar-SA"/>
        </w:rPr>
        <w:t>5.费用承担</w:t>
      </w:r>
      <w:bookmarkEnd w:id="124"/>
    </w:p>
    <w:p w14:paraId="3C6741ED">
      <w:pPr>
        <w:pStyle w:val="37"/>
        <w:keepNext w:val="0"/>
        <w:keepLines w:val="0"/>
        <w:pageBreakBefore w:val="0"/>
        <w:widowControl w:val="0"/>
        <w:kinsoku/>
        <w:overflowPunct/>
        <w:topLinePunct w:val="0"/>
        <w:autoSpaceDE/>
        <w:autoSpaceDN/>
        <w:bidi w:val="0"/>
        <w:adjustRightInd/>
        <w:snapToGrid/>
        <w:textAlignment w:val="auto"/>
        <w:rPr>
          <w:rFonts w:hint="eastAsia" w:eastAsia="宋体"/>
          <w:color w:val="auto"/>
          <w:sz w:val="24"/>
          <w:highlight w:val="none"/>
        </w:rPr>
      </w:pPr>
      <w:r>
        <w:rPr>
          <w:rFonts w:hint="eastAsia" w:eastAsia="宋体"/>
          <w:color w:val="auto"/>
          <w:sz w:val="24"/>
          <w:highlight w:val="none"/>
        </w:rPr>
        <w:t>5.1</w:t>
      </w:r>
      <w:r>
        <w:rPr>
          <w:rFonts w:hint="eastAsia" w:eastAsia="宋体"/>
          <w:color w:val="auto"/>
          <w:sz w:val="24"/>
          <w:highlight w:val="none"/>
          <w:lang w:val="en-US" w:eastAsia="zh-CN"/>
        </w:rPr>
        <w:t>不论投标的结果如何，投标人应承担所有与准备和参加投标有关的费用。</w:t>
      </w:r>
    </w:p>
    <w:p w14:paraId="0CE9ACA3">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125" w:name="_Toc140132761"/>
      <w:bookmarkStart w:id="126" w:name="_Toc163492828"/>
      <w:r>
        <w:rPr>
          <w:rFonts w:hint="eastAsia" w:ascii="宋体" w:hAnsi="宋体" w:eastAsia="宋体" w:cs="宋体"/>
          <w:b/>
          <w:bCs/>
          <w:color w:val="auto"/>
          <w:kern w:val="2"/>
          <w:sz w:val="24"/>
          <w:szCs w:val="28"/>
          <w:highlight w:val="none"/>
          <w:lang w:val="en-US" w:eastAsia="zh-CN" w:bidi="ar-SA"/>
        </w:rPr>
        <w:t>6.保密</w:t>
      </w:r>
      <w:bookmarkEnd w:id="125"/>
      <w:bookmarkEnd w:id="126"/>
    </w:p>
    <w:p w14:paraId="7CBA93F7">
      <w:pPr>
        <w:pStyle w:val="37"/>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6.1</w:t>
      </w:r>
      <w:r>
        <w:rPr>
          <w:rFonts w:hint="eastAsia" w:eastAsia="宋体"/>
          <w:color w:val="auto"/>
          <w:sz w:val="24"/>
          <w:highlight w:val="none"/>
          <w:lang w:val="en-US" w:eastAsia="zh-CN"/>
        </w:rPr>
        <w:t xml:space="preserve"> </w:t>
      </w:r>
      <w:r>
        <w:rPr>
          <w:rFonts w:hint="eastAsia" w:eastAsia="宋体"/>
          <w:color w:val="auto"/>
          <w:sz w:val="24"/>
          <w:highlight w:val="none"/>
        </w:rPr>
        <w:t>参与招标投标活动的各方应对招标文件和投标文件中的商业和技术等秘密保密，否则应承担相应的法律责任。</w:t>
      </w:r>
    </w:p>
    <w:p w14:paraId="2947ABFF">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lang w:val="en-US" w:eastAsia="zh-CN"/>
        </w:rPr>
        <w:t>6</w:t>
      </w:r>
      <w:r>
        <w:rPr>
          <w:rFonts w:hint="eastAsia" w:ascii="宋体" w:hAnsi="宋体" w:eastAsia="宋体" w:cs="宋体"/>
          <w:color w:val="auto"/>
          <w:kern w:val="2"/>
          <w:sz w:val="24"/>
          <w:szCs w:val="22"/>
          <w:highlight w:val="none"/>
        </w:rPr>
        <w:t>.</w:t>
      </w:r>
      <w:r>
        <w:rPr>
          <w:rFonts w:hint="eastAsia" w:ascii="宋体" w:hAnsi="宋体" w:eastAsia="宋体" w:cs="宋体"/>
          <w:color w:val="auto"/>
          <w:kern w:val="2"/>
          <w:sz w:val="24"/>
          <w:szCs w:val="22"/>
          <w:highlight w:val="none"/>
          <w:lang w:val="en-US" w:eastAsia="zh-CN"/>
        </w:rPr>
        <w:t xml:space="preserve">2 </w:t>
      </w:r>
      <w:r>
        <w:rPr>
          <w:rFonts w:hint="eastAsia" w:ascii="宋体" w:hAnsi="宋体" w:eastAsia="宋体" w:cs="宋体"/>
          <w:color w:val="auto"/>
          <w:kern w:val="2"/>
          <w:sz w:val="24"/>
          <w:szCs w:val="22"/>
          <w:highlight w:val="none"/>
        </w:rPr>
        <w:t>投标人自领取招标文件之日起，须承担本招标项目保密义务，不得将因本次招标获得的信息向第三人外传。由采购人向投标人提供的图纸、详细资料、样品、模型、模件和所有其它资料，被视为保密资料，仅被用于它所规定的用途。除非得到采购人的同意，不能向任何第三方透露。开标结束后，应采购人要求，投标人应归还所有从采购人处获得的保密资料。</w:t>
      </w:r>
    </w:p>
    <w:p w14:paraId="38BD9605">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lang w:val="en-US" w:eastAsia="zh-CN"/>
        </w:rPr>
        <w:t>6</w:t>
      </w:r>
      <w:r>
        <w:rPr>
          <w:rFonts w:hint="eastAsia" w:ascii="宋体" w:hAnsi="宋体" w:eastAsia="宋体" w:cs="宋体"/>
          <w:color w:val="auto"/>
          <w:kern w:val="2"/>
          <w:sz w:val="24"/>
          <w:szCs w:val="22"/>
          <w:highlight w:val="none"/>
        </w:rPr>
        <w:t>.</w:t>
      </w:r>
      <w:r>
        <w:rPr>
          <w:rFonts w:hint="eastAsia" w:ascii="宋体" w:hAnsi="宋体" w:eastAsia="宋体" w:cs="宋体"/>
          <w:color w:val="auto"/>
          <w:kern w:val="2"/>
          <w:sz w:val="24"/>
          <w:szCs w:val="22"/>
          <w:highlight w:val="none"/>
          <w:lang w:val="en-US" w:eastAsia="zh-CN"/>
        </w:rPr>
        <w:t xml:space="preserve">3 </w:t>
      </w:r>
      <w:r>
        <w:rPr>
          <w:rFonts w:hint="eastAsia" w:ascii="宋体" w:hAnsi="宋体" w:eastAsia="宋体" w:cs="宋体"/>
          <w:color w:val="auto"/>
          <w:kern w:val="2"/>
          <w:sz w:val="24"/>
          <w:szCs w:val="22"/>
          <w:highlight w:val="none"/>
        </w:rPr>
        <w:t>采购代理机构有权将投标人提供的所有资料向有关政府部门或评审</w:t>
      </w:r>
      <w:r>
        <w:rPr>
          <w:rFonts w:hint="eastAsia" w:ascii="宋体" w:hAnsi="宋体" w:eastAsia="宋体" w:cs="宋体"/>
          <w:color w:val="auto"/>
          <w:kern w:val="2"/>
          <w:sz w:val="24"/>
          <w:szCs w:val="22"/>
          <w:highlight w:val="none"/>
          <w:lang w:val="en-US" w:eastAsia="zh-CN"/>
        </w:rPr>
        <w:t>投标文件</w:t>
      </w:r>
      <w:r>
        <w:rPr>
          <w:rFonts w:hint="eastAsia" w:ascii="宋体" w:hAnsi="宋体" w:eastAsia="宋体" w:cs="宋体"/>
          <w:color w:val="auto"/>
          <w:kern w:val="2"/>
          <w:sz w:val="24"/>
          <w:szCs w:val="22"/>
          <w:highlight w:val="none"/>
        </w:rPr>
        <w:t>的有关人员披露。</w:t>
      </w:r>
    </w:p>
    <w:p w14:paraId="7D9AB2DE">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2"/>
          <w:highlight w:val="none"/>
          <w:lang w:val="en-US" w:eastAsia="zh-CN"/>
        </w:rPr>
      </w:pPr>
      <w:r>
        <w:rPr>
          <w:rFonts w:hint="eastAsia" w:ascii="宋体" w:hAnsi="宋体" w:eastAsia="宋体" w:cs="宋体"/>
          <w:color w:val="auto"/>
          <w:kern w:val="2"/>
          <w:sz w:val="24"/>
          <w:szCs w:val="22"/>
          <w:highlight w:val="none"/>
          <w:lang w:val="en-US" w:eastAsia="zh-CN"/>
        </w:rPr>
        <w:t>6</w:t>
      </w:r>
      <w:r>
        <w:rPr>
          <w:rFonts w:hint="eastAsia" w:ascii="宋体" w:hAnsi="宋体" w:eastAsia="宋体" w:cs="宋体"/>
          <w:color w:val="auto"/>
          <w:kern w:val="2"/>
          <w:sz w:val="24"/>
          <w:szCs w:val="22"/>
          <w:highlight w:val="none"/>
        </w:rPr>
        <w:t>.</w:t>
      </w:r>
      <w:r>
        <w:rPr>
          <w:rFonts w:hint="eastAsia" w:ascii="宋体" w:hAnsi="宋体" w:eastAsia="宋体" w:cs="宋体"/>
          <w:color w:val="auto"/>
          <w:kern w:val="2"/>
          <w:sz w:val="24"/>
          <w:szCs w:val="22"/>
          <w:highlight w:val="none"/>
          <w:lang w:val="en-US" w:eastAsia="zh-CN"/>
        </w:rPr>
        <w:t>4 各级人民政府财政部门对政府采购活动进行监督检查，有权查阅、复制有关文件、资料，相关单位和人员应当予以配合。</w:t>
      </w:r>
    </w:p>
    <w:p w14:paraId="284B114B">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127" w:name="_Toc140132762"/>
      <w:bookmarkStart w:id="128" w:name="_Toc163492829"/>
      <w:r>
        <w:rPr>
          <w:rFonts w:hint="eastAsia" w:ascii="宋体" w:hAnsi="宋体" w:eastAsia="宋体" w:cs="宋体"/>
          <w:b/>
          <w:bCs/>
          <w:color w:val="auto"/>
          <w:kern w:val="2"/>
          <w:sz w:val="24"/>
          <w:szCs w:val="28"/>
          <w:highlight w:val="none"/>
          <w:lang w:val="en-US" w:eastAsia="zh-CN" w:bidi="ar-SA"/>
        </w:rPr>
        <w:t>7.语言文字</w:t>
      </w:r>
      <w:bookmarkEnd w:id="127"/>
      <w:bookmarkEnd w:id="128"/>
    </w:p>
    <w:p w14:paraId="25140936">
      <w:pPr>
        <w:pStyle w:val="37"/>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hint="eastAsia" w:eastAsia="宋体"/>
          <w:color w:val="auto"/>
          <w:sz w:val="24"/>
          <w:highlight w:val="none"/>
        </w:rPr>
        <w:t>7.1招标投标</w:t>
      </w:r>
      <w:r>
        <w:rPr>
          <w:rFonts w:hint="eastAsia" w:eastAsia="宋体"/>
          <w:color w:val="auto"/>
          <w:sz w:val="24"/>
          <w:highlight w:val="none"/>
          <w:lang w:val="en-US" w:eastAsia="zh-CN"/>
        </w:rPr>
        <w:t>过程</w:t>
      </w:r>
      <w:r>
        <w:rPr>
          <w:rFonts w:hint="eastAsia" w:eastAsia="宋体"/>
          <w:color w:val="auto"/>
          <w:sz w:val="24"/>
          <w:highlight w:val="none"/>
        </w:rPr>
        <w:t>文件使用的语言文字为中文。专用术语使用外文的，应附有中文注释。</w:t>
      </w:r>
      <w:r>
        <w:rPr>
          <w:rFonts w:hint="eastAsia" w:eastAsia="宋体"/>
          <w:color w:val="auto"/>
          <w:sz w:val="24"/>
          <w:highlight w:val="none"/>
          <w:lang w:val="en-US" w:eastAsia="zh-CN"/>
        </w:rPr>
        <w:t>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2F336166">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129" w:name="_Toc163492830"/>
      <w:bookmarkStart w:id="130" w:name="_Toc140132763"/>
      <w:r>
        <w:rPr>
          <w:rFonts w:hint="eastAsia" w:ascii="宋体" w:hAnsi="宋体" w:eastAsia="宋体" w:cs="宋体"/>
          <w:b/>
          <w:bCs/>
          <w:color w:val="auto"/>
          <w:kern w:val="2"/>
          <w:sz w:val="24"/>
          <w:szCs w:val="28"/>
          <w:highlight w:val="none"/>
          <w:lang w:val="en-US" w:eastAsia="zh-CN" w:bidi="ar-SA"/>
        </w:rPr>
        <w:t>8.计量单位</w:t>
      </w:r>
      <w:bookmarkEnd w:id="129"/>
      <w:bookmarkEnd w:id="130"/>
    </w:p>
    <w:p w14:paraId="45A7AE57">
      <w:pPr>
        <w:pStyle w:val="37"/>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hint="eastAsia" w:eastAsia="宋体"/>
          <w:color w:val="auto"/>
          <w:sz w:val="24"/>
          <w:highlight w:val="none"/>
        </w:rPr>
        <w:t>8.1所有计量均采用中华人民共和国法定计量单位。</w:t>
      </w:r>
    </w:p>
    <w:p w14:paraId="099F3EF6">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131" w:name="_Toc163492831"/>
      <w:bookmarkStart w:id="132" w:name="_Toc140132764"/>
      <w:r>
        <w:rPr>
          <w:rFonts w:hint="eastAsia" w:ascii="宋体" w:hAnsi="宋体" w:eastAsia="宋体" w:cs="宋体"/>
          <w:b/>
          <w:bCs/>
          <w:color w:val="auto"/>
          <w:kern w:val="2"/>
          <w:sz w:val="24"/>
          <w:szCs w:val="28"/>
          <w:highlight w:val="none"/>
          <w:lang w:val="en-US" w:eastAsia="zh-CN" w:bidi="ar-SA"/>
        </w:rPr>
        <w:t>9.现场考察和答疑会</w:t>
      </w:r>
      <w:bookmarkEnd w:id="131"/>
      <w:bookmarkEnd w:id="132"/>
    </w:p>
    <w:p w14:paraId="5A8B8C45">
      <w:pPr>
        <w:pStyle w:val="37"/>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bookmarkStart w:id="133" w:name="_Hlk143529198"/>
      <w:r>
        <w:rPr>
          <w:rFonts w:hint="eastAsia" w:eastAsia="宋体"/>
          <w:color w:val="auto"/>
          <w:sz w:val="24"/>
          <w:highlight w:val="none"/>
        </w:rPr>
        <w:t xml:space="preserve">9.1 “投标人须知前附表”规定组织现场考察的，采购代理机构按“投标人须知前附表”规定的时间、地点组织投标人项目现场考察。 </w:t>
      </w:r>
    </w:p>
    <w:p w14:paraId="5F8A235F">
      <w:pPr>
        <w:pStyle w:val="37"/>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hint="eastAsia" w:eastAsia="宋体"/>
          <w:color w:val="auto"/>
          <w:sz w:val="24"/>
          <w:highlight w:val="none"/>
        </w:rPr>
        <w:t>9.2 投标人现场考察发生的费用自理。</w:t>
      </w:r>
    </w:p>
    <w:p w14:paraId="199A48B2">
      <w:pPr>
        <w:pStyle w:val="37"/>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hint="eastAsia" w:eastAsia="宋体"/>
          <w:color w:val="auto"/>
          <w:sz w:val="24"/>
          <w:highlight w:val="none"/>
        </w:rPr>
        <w:t>9.3 在现场考察中，因投标人自身原因发生的人员伤亡和财产损失，由投标人自行负责。</w:t>
      </w:r>
    </w:p>
    <w:p w14:paraId="6F1F6A2D">
      <w:pPr>
        <w:pStyle w:val="37"/>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hint="eastAsia" w:eastAsia="宋体"/>
          <w:color w:val="auto"/>
          <w:sz w:val="24"/>
          <w:highlight w:val="none"/>
        </w:rPr>
        <w:t>9.4 采购人在现场考察中介绍的项目场地和相关的周边环境情况，仅供投标人在编制投标文件时参考，采购人和采购代理机构不对投标人据此作出的判断和决策负责。</w:t>
      </w:r>
    </w:p>
    <w:p w14:paraId="0E249AE3">
      <w:pPr>
        <w:pStyle w:val="37"/>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9.5 “投标人须知前附表”规定召开答疑会的，采购代理机构按“投标人须知前附表”规定的时间和地点召开答疑会，澄清投标人提出的问题。</w:t>
      </w:r>
    </w:p>
    <w:p w14:paraId="00943847">
      <w:pPr>
        <w:pStyle w:val="37"/>
        <w:keepNext w:val="0"/>
        <w:keepLines w:val="0"/>
        <w:pageBreakBefore w:val="0"/>
        <w:widowControl w:val="0"/>
        <w:kinsoku/>
        <w:overflowPunct/>
        <w:topLinePunct w:val="0"/>
        <w:autoSpaceDE/>
        <w:autoSpaceDN/>
        <w:bidi w:val="0"/>
        <w:adjustRightInd/>
        <w:textAlignment w:val="auto"/>
        <w:rPr>
          <w:rFonts w:hint="default" w:eastAsia="宋体"/>
          <w:color w:val="auto"/>
          <w:sz w:val="24"/>
          <w:highlight w:val="none"/>
          <w:lang w:val="en-US" w:eastAsia="zh-CN"/>
        </w:rPr>
      </w:pPr>
      <w:r>
        <w:rPr>
          <w:rFonts w:hint="eastAsia" w:eastAsia="宋体"/>
          <w:color w:val="auto"/>
          <w:sz w:val="24"/>
          <w:highlight w:val="none"/>
          <w:lang w:val="en-US" w:eastAsia="zh-CN"/>
        </w:rPr>
        <w:t>9.6 由于未参加现场考察或未参加标前答疑会而导致对项目实际情况不了解，影响投标文件编制、投标报价准确性、综合因素响应不全面等问题的，由投标人自行承担不利评审后果。</w:t>
      </w:r>
    </w:p>
    <w:bookmarkEnd w:id="133"/>
    <w:p w14:paraId="015C1ED3">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textAlignment w:val="auto"/>
        <w:rPr>
          <w:rFonts w:hint="default" w:ascii="宋体" w:hAnsi="宋体" w:eastAsia="宋体" w:cs="宋体"/>
          <w:b/>
          <w:bCs/>
          <w:color w:val="auto"/>
          <w:kern w:val="2"/>
          <w:sz w:val="24"/>
          <w:szCs w:val="28"/>
          <w:highlight w:val="none"/>
          <w:lang w:val="en-US" w:eastAsia="zh-CN" w:bidi="ar-SA"/>
        </w:rPr>
      </w:pPr>
      <w:bookmarkStart w:id="134" w:name="_Toc155185858"/>
      <w:bookmarkStart w:id="135" w:name="_Toc163492833"/>
      <w:bookmarkStart w:id="136" w:name="_Toc155185871"/>
      <w:r>
        <w:rPr>
          <w:rFonts w:hint="eastAsia" w:ascii="宋体" w:hAnsi="宋体" w:eastAsia="宋体" w:cs="宋体"/>
          <w:b/>
          <w:bCs/>
          <w:color w:val="auto"/>
          <w:kern w:val="2"/>
          <w:sz w:val="24"/>
          <w:szCs w:val="28"/>
          <w:highlight w:val="none"/>
          <w:lang w:val="en-US" w:eastAsia="zh-CN" w:bidi="ar-SA"/>
        </w:rPr>
        <w:t>10.电子投标说明</w:t>
      </w:r>
      <w:bookmarkEnd w:id="134"/>
      <w:bookmarkEnd w:id="135"/>
      <w:r>
        <w:rPr>
          <w:rFonts w:hint="eastAsia" w:ascii="宋体" w:hAnsi="宋体" w:eastAsia="宋体" w:cs="宋体"/>
          <w:b/>
          <w:bCs/>
          <w:color w:val="auto"/>
          <w:kern w:val="2"/>
          <w:sz w:val="24"/>
          <w:szCs w:val="28"/>
          <w:highlight w:val="none"/>
          <w:lang w:val="en-US" w:eastAsia="zh-CN" w:bidi="ar-SA"/>
        </w:rPr>
        <w:t xml:space="preserve">   </w:t>
      </w:r>
    </w:p>
    <w:p w14:paraId="111A1565">
      <w:pPr>
        <w:pStyle w:val="37"/>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1</w:t>
      </w:r>
      <w:r>
        <w:rPr>
          <w:rFonts w:hint="eastAsia" w:eastAsia="宋体"/>
          <w:color w:val="auto"/>
          <w:sz w:val="24"/>
          <w:highlight w:val="none"/>
          <w:lang w:val="en-US" w:eastAsia="zh-CN"/>
        </w:rPr>
        <w:t>0</w:t>
      </w:r>
      <w:r>
        <w:rPr>
          <w:rFonts w:hint="eastAsia" w:ascii="宋体" w:hAnsi="宋体" w:eastAsia="宋体"/>
          <w:color w:val="auto"/>
          <w:sz w:val="24"/>
          <w:highlight w:val="none"/>
          <w:lang w:val="en-US" w:eastAsia="zh-CN"/>
        </w:rPr>
        <w:t xml:space="preserve">.1 </w:t>
      </w:r>
      <w:r>
        <w:rPr>
          <w:rFonts w:hint="eastAsia" w:ascii="宋体" w:hAnsi="宋体" w:eastAsia="宋体"/>
          <w:color w:val="auto"/>
          <w:sz w:val="24"/>
          <w:highlight w:val="none"/>
        </w:rPr>
        <w:t>本次采购采用电子交易方式，电子交易平台为</w:t>
      </w:r>
      <w:r>
        <w:rPr>
          <w:rFonts w:hint="eastAsia" w:ascii="宋体" w:hAnsi="宋体" w:eastAsia="宋体"/>
          <w:color w:val="auto"/>
          <w:sz w:val="24"/>
          <w:highlight w:val="none"/>
          <w:lang w:val="en-US"/>
        </w:rPr>
        <w:t>兵团</w:t>
      </w:r>
      <w:r>
        <w:rPr>
          <w:rFonts w:hint="eastAsia" w:ascii="宋体" w:hAnsi="宋体" w:eastAsia="宋体"/>
          <w:color w:val="auto"/>
          <w:sz w:val="24"/>
          <w:highlight w:val="none"/>
        </w:rPr>
        <w:t>政府采购</w:t>
      </w:r>
      <w:r>
        <w:rPr>
          <w:rFonts w:hint="eastAsia" w:ascii="宋体" w:hAnsi="宋体" w:eastAsia="宋体"/>
          <w:color w:val="auto"/>
          <w:sz w:val="24"/>
          <w:highlight w:val="none"/>
          <w:lang w:val="en-US"/>
        </w:rPr>
        <w:t>电子交易云</w:t>
      </w:r>
      <w:r>
        <w:rPr>
          <w:rFonts w:hint="eastAsia" w:ascii="宋体" w:hAnsi="宋体" w:eastAsia="宋体"/>
          <w:color w:val="auto"/>
          <w:sz w:val="24"/>
          <w:highlight w:val="none"/>
        </w:rPr>
        <w:t>平台</w:t>
      </w:r>
      <w:r>
        <w:rPr>
          <w:rFonts w:hint="eastAsia" w:ascii="宋体" w:hAnsi="宋体" w:eastAsia="宋体"/>
          <w:color w:val="auto"/>
          <w:sz w:val="24"/>
          <w:highlight w:val="none"/>
          <w:lang w:val="hr-HR"/>
        </w:rPr>
        <w:t>（</w:t>
      </w:r>
      <w:r>
        <w:rPr>
          <w:rFonts w:hint="eastAsia" w:ascii="宋体" w:hAnsi="宋体" w:eastAsia="宋体"/>
          <w:color w:val="auto"/>
          <w:sz w:val="24"/>
          <w:highlight w:val="none"/>
        </w:rPr>
        <w:t>网址</w:t>
      </w:r>
      <w:r>
        <w:rPr>
          <w:rFonts w:hint="eastAsia" w:ascii="宋体" w:hAnsi="宋体" w:eastAsia="宋体"/>
          <w:color w:val="auto"/>
          <w:sz w:val="24"/>
          <w:highlight w:val="none"/>
          <w:lang w:val="hr-HR"/>
        </w:rPr>
        <w:t>：https://www.zcygov.cn/）</w:t>
      </w:r>
      <w:r>
        <w:rPr>
          <w:rFonts w:hint="eastAsia" w:ascii="宋体" w:hAnsi="宋体" w:eastAsia="宋体"/>
          <w:color w:val="auto"/>
          <w:sz w:val="24"/>
          <w:highlight w:val="none"/>
        </w:rPr>
        <w:t>。投标人参与本项目电子交易活动前，应</w:t>
      </w:r>
      <w:r>
        <w:rPr>
          <w:rFonts w:hint="eastAsia" w:eastAsia="宋体"/>
          <w:color w:val="auto"/>
          <w:sz w:val="24"/>
          <w:highlight w:val="none"/>
          <w:lang w:val="en-US" w:eastAsia="zh-CN"/>
        </w:rPr>
        <w:t>在</w:t>
      </w:r>
      <w:r>
        <w:rPr>
          <w:rFonts w:hint="eastAsia" w:ascii="宋体" w:hAnsi="宋体" w:eastAsia="宋体"/>
          <w:color w:val="auto"/>
          <w:sz w:val="24"/>
          <w:highlight w:val="none"/>
        </w:rPr>
        <w:t>政</w:t>
      </w:r>
      <w:r>
        <w:rPr>
          <w:rFonts w:hint="eastAsia" w:eastAsia="宋体"/>
          <w:color w:val="auto"/>
          <w:sz w:val="24"/>
          <w:highlight w:val="none"/>
          <w:lang w:val="en-US" w:eastAsia="zh-CN"/>
        </w:rPr>
        <w:t>采</w:t>
      </w:r>
      <w:r>
        <w:rPr>
          <w:rFonts w:hint="eastAsia" w:ascii="宋体" w:hAnsi="宋体" w:eastAsia="宋体"/>
          <w:color w:val="auto"/>
          <w:sz w:val="24"/>
          <w:highlight w:val="none"/>
          <w:lang w:val="en-US"/>
        </w:rPr>
        <w:t>云</w:t>
      </w:r>
      <w:r>
        <w:rPr>
          <w:rFonts w:hint="eastAsia" w:ascii="宋体" w:hAnsi="宋体" w:eastAsia="宋体"/>
          <w:color w:val="auto"/>
          <w:sz w:val="24"/>
          <w:highlight w:val="none"/>
        </w:rPr>
        <w:t>平台</w:t>
      </w:r>
      <w:r>
        <w:rPr>
          <w:rFonts w:hint="eastAsia" w:eastAsia="宋体"/>
          <w:color w:val="auto"/>
          <w:sz w:val="24"/>
          <w:highlight w:val="none"/>
          <w:lang w:val="en-US" w:eastAsia="zh-CN"/>
        </w:rPr>
        <w:t>上</w:t>
      </w:r>
      <w:r>
        <w:rPr>
          <w:rFonts w:hint="eastAsia" w:ascii="宋体" w:hAnsi="宋体" w:eastAsia="宋体"/>
          <w:color w:val="auto"/>
          <w:sz w:val="24"/>
          <w:highlight w:val="none"/>
        </w:rPr>
        <w:t>注册</w:t>
      </w:r>
      <w:r>
        <w:rPr>
          <w:rFonts w:hint="eastAsia" w:eastAsia="宋体"/>
          <w:color w:val="auto"/>
          <w:sz w:val="24"/>
          <w:highlight w:val="none"/>
          <w:lang w:val="en-US" w:eastAsia="zh-CN"/>
        </w:rPr>
        <w:t>供应商账号</w:t>
      </w:r>
      <w:r>
        <w:rPr>
          <w:rFonts w:hint="eastAsia" w:ascii="宋体" w:hAnsi="宋体" w:eastAsia="宋体"/>
          <w:color w:val="auto"/>
          <w:sz w:val="24"/>
          <w:highlight w:val="none"/>
        </w:rPr>
        <w:t>。编制电子</w:t>
      </w:r>
      <w:r>
        <w:rPr>
          <w:rFonts w:hint="eastAsia" w:ascii="宋体" w:hAnsi="宋体" w:eastAsia="宋体"/>
          <w:color w:val="auto"/>
          <w:sz w:val="24"/>
          <w:highlight w:val="none"/>
          <w:lang w:val="en-US" w:eastAsia="zh-CN"/>
        </w:rPr>
        <w:t>投标</w:t>
      </w:r>
      <w:r>
        <w:rPr>
          <w:rFonts w:hint="eastAsia" w:ascii="宋体" w:hAnsi="宋体" w:eastAsia="宋体"/>
          <w:color w:val="auto"/>
          <w:sz w:val="24"/>
          <w:highlight w:val="none"/>
        </w:rPr>
        <w:t>文件前还需</w:t>
      </w:r>
      <w:r>
        <w:rPr>
          <w:rFonts w:hint="eastAsia" w:ascii="宋体" w:hAnsi="宋体" w:eastAsia="宋体"/>
          <w:color w:val="auto"/>
          <w:sz w:val="24"/>
          <w:highlight w:val="none"/>
          <w:lang w:val="en-US" w:eastAsia="zh-CN"/>
        </w:rPr>
        <w:t>申领CA证书并绑定帐号。投标人应充分考虑完成平台注册、申领CA证书等所需的时间。</w:t>
      </w:r>
      <w:r>
        <w:rPr>
          <w:rFonts w:hint="eastAsia" w:ascii="宋体" w:hAnsi="宋体" w:eastAsia="宋体"/>
          <w:color w:val="auto"/>
          <w:sz w:val="24"/>
          <w:highlight w:val="none"/>
          <w:lang w:val="zh-CN" w:eastAsia="zh-CN"/>
        </w:rPr>
        <w:t>潜在投标人领取文件须提前完成注册、CA证书和电子签章申领和绑定、下载</w:t>
      </w:r>
      <w:r>
        <w:rPr>
          <w:rFonts w:hint="eastAsia"/>
          <w:color w:val="auto"/>
          <w:sz w:val="24"/>
          <w:highlight w:val="none"/>
          <w:lang w:val="zh-CN" w:eastAsia="zh-CN"/>
        </w:rPr>
        <w:t>“</w:t>
      </w:r>
      <w:r>
        <w:rPr>
          <w:rFonts w:hint="eastAsia" w:ascii="宋体" w:hAnsi="宋体" w:eastAsia="宋体"/>
          <w:color w:val="auto"/>
          <w:sz w:val="24"/>
          <w:highlight w:val="none"/>
          <w:lang w:val="zh-CN" w:eastAsia="zh-CN"/>
        </w:rPr>
        <w:t>投标客户端</w:t>
      </w:r>
      <w:r>
        <w:rPr>
          <w:rFonts w:hint="eastAsia"/>
          <w:color w:val="auto"/>
          <w:sz w:val="24"/>
          <w:highlight w:val="none"/>
          <w:lang w:val="zh-CN" w:eastAsia="zh-CN"/>
        </w:rPr>
        <w:t>”</w:t>
      </w:r>
      <w:r>
        <w:rPr>
          <w:rFonts w:hint="eastAsia" w:ascii="宋体" w:hAnsi="宋体" w:eastAsia="宋体"/>
          <w:color w:val="auto"/>
          <w:sz w:val="24"/>
          <w:highlight w:val="none"/>
          <w:lang w:val="zh-CN" w:eastAsia="zh-CN"/>
        </w:rPr>
        <w:t>。因未办理CA数字证书、CA证书故障、操作不当等原因造成无法投标或投标失败等后果由投标人自行承担。</w:t>
      </w:r>
      <w:r>
        <w:rPr>
          <w:rFonts w:hint="eastAsia" w:eastAsia="宋体"/>
          <w:color w:val="auto"/>
          <w:sz w:val="24"/>
          <w:highlight w:val="none"/>
          <w:lang w:val="en-US" w:eastAsia="zh-CN"/>
        </w:rPr>
        <w:t>投标人</w:t>
      </w:r>
      <w:r>
        <w:rPr>
          <w:rFonts w:hint="eastAsia" w:ascii="宋体" w:hAnsi="宋体" w:eastAsia="宋体"/>
          <w:color w:val="auto"/>
          <w:sz w:val="24"/>
          <w:highlight w:val="none"/>
          <w:lang w:val="zh-CN" w:eastAsia="zh-CN"/>
        </w:rPr>
        <w:t>登录兵团政府采购网“供应商注册”—“新疆生产建设兵团政府采购供应商入驻登记”—“立即登记”进行自助注册绑定。</w:t>
      </w:r>
    </w:p>
    <w:p w14:paraId="18ECC266">
      <w:pPr>
        <w:pStyle w:val="37"/>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1</w:t>
      </w:r>
      <w:r>
        <w:rPr>
          <w:rFonts w:hint="eastAsia" w:eastAsia="宋体"/>
          <w:color w:val="auto"/>
          <w:sz w:val="24"/>
          <w:highlight w:val="none"/>
          <w:lang w:val="en-US" w:eastAsia="zh-CN"/>
        </w:rPr>
        <w:t>0</w:t>
      </w:r>
      <w:r>
        <w:rPr>
          <w:rFonts w:hint="eastAsia" w:ascii="宋体" w:hAnsi="宋体" w:eastAsia="宋体"/>
          <w:color w:val="auto"/>
          <w:sz w:val="24"/>
          <w:highlight w:val="none"/>
          <w:lang w:val="en-US" w:eastAsia="zh-CN"/>
        </w:rPr>
        <w:t>.</w:t>
      </w:r>
      <w:r>
        <w:rPr>
          <w:rFonts w:hint="eastAsia" w:ascii="宋体" w:hAnsi="宋体" w:eastAsia="宋体"/>
          <w:color w:val="auto"/>
          <w:sz w:val="24"/>
          <w:highlight w:val="none"/>
        </w:rPr>
        <w:t>2</w:t>
      </w:r>
      <w:r>
        <w:rPr>
          <w:rFonts w:hint="eastAsia" w:ascii="宋体" w:hAnsi="宋体" w:eastAsia="宋体"/>
          <w:color w:val="auto"/>
          <w:sz w:val="24"/>
          <w:highlight w:val="none"/>
          <w:lang w:val="en-US" w:eastAsia="zh-CN"/>
        </w:rPr>
        <w:t xml:space="preserve"> </w:t>
      </w:r>
      <w:r>
        <w:rPr>
          <w:rFonts w:hint="eastAsia" w:ascii="宋体" w:hAnsi="宋体" w:eastAsia="宋体"/>
          <w:color w:val="auto"/>
          <w:sz w:val="24"/>
          <w:highlight w:val="none"/>
        </w:rPr>
        <w:t>投标人将</w:t>
      </w:r>
      <w:r>
        <w:rPr>
          <w:rFonts w:hint="eastAsia" w:ascii="宋体" w:hAnsi="宋体" w:eastAsia="宋体"/>
          <w:color w:val="auto"/>
          <w:sz w:val="24"/>
          <w:highlight w:val="none"/>
          <w:lang w:val="en-US"/>
        </w:rPr>
        <w:t>兵团</w:t>
      </w:r>
      <w:r>
        <w:rPr>
          <w:rFonts w:hint="eastAsia" w:ascii="宋体" w:hAnsi="宋体" w:eastAsia="宋体"/>
          <w:color w:val="auto"/>
          <w:sz w:val="24"/>
          <w:highlight w:val="none"/>
        </w:rPr>
        <w:t>政府采购</w:t>
      </w:r>
      <w:r>
        <w:rPr>
          <w:rFonts w:hint="eastAsia" w:ascii="宋体" w:hAnsi="宋体" w:eastAsia="宋体"/>
          <w:color w:val="auto"/>
          <w:sz w:val="24"/>
          <w:highlight w:val="none"/>
          <w:lang w:val="en-US"/>
        </w:rPr>
        <w:t>电子交易云</w:t>
      </w:r>
      <w:r>
        <w:rPr>
          <w:rFonts w:hint="eastAsia" w:ascii="宋体" w:hAnsi="宋体" w:eastAsia="宋体"/>
          <w:color w:val="auto"/>
          <w:sz w:val="24"/>
          <w:highlight w:val="none"/>
        </w:rPr>
        <w:t>平台电子交易客户端下载、安装完成后，可通过账号密码或CA登录客户端进行</w:t>
      </w:r>
      <w:r>
        <w:rPr>
          <w:rFonts w:hint="eastAsia" w:ascii="宋体" w:hAnsi="宋体" w:eastAsia="宋体"/>
          <w:color w:val="auto"/>
          <w:sz w:val="24"/>
          <w:highlight w:val="none"/>
          <w:lang w:eastAsia="zh-CN"/>
        </w:rPr>
        <w:t>投标文件</w:t>
      </w:r>
      <w:r>
        <w:rPr>
          <w:rFonts w:hint="eastAsia" w:ascii="宋体" w:hAnsi="宋体" w:eastAsia="宋体"/>
          <w:color w:val="auto"/>
          <w:sz w:val="24"/>
          <w:highlight w:val="none"/>
        </w:rPr>
        <w:t>制作。在使用政采云</w:t>
      </w:r>
      <w:r>
        <w:rPr>
          <w:rFonts w:hint="eastAsia"/>
          <w:color w:val="auto"/>
          <w:sz w:val="24"/>
          <w:highlight w:val="none"/>
          <w:lang w:eastAsia="zh-CN"/>
        </w:rPr>
        <w:t>“</w:t>
      </w:r>
      <w:r>
        <w:rPr>
          <w:rFonts w:hint="eastAsia" w:ascii="宋体" w:hAnsi="宋体" w:eastAsia="宋体"/>
          <w:color w:val="auto"/>
          <w:sz w:val="24"/>
          <w:highlight w:val="none"/>
        </w:rPr>
        <w:t>投标客户端</w:t>
      </w:r>
      <w:r>
        <w:rPr>
          <w:rFonts w:hint="eastAsia"/>
          <w:color w:val="auto"/>
          <w:sz w:val="24"/>
          <w:highlight w:val="none"/>
          <w:lang w:eastAsia="zh-CN"/>
        </w:rPr>
        <w:t>”</w:t>
      </w:r>
      <w:r>
        <w:rPr>
          <w:rFonts w:hint="eastAsia" w:ascii="宋体" w:hAnsi="宋体" w:eastAsia="宋体"/>
          <w:color w:val="auto"/>
          <w:sz w:val="24"/>
          <w:highlight w:val="none"/>
        </w:rPr>
        <w:t>时，建议使用WIN7及以上操作系统。</w:t>
      </w:r>
      <w:r>
        <w:rPr>
          <w:rFonts w:hint="eastAsia" w:eastAsia="宋体"/>
          <w:color w:val="auto"/>
          <w:sz w:val="24"/>
          <w:highlight w:val="none"/>
          <w:lang w:val="en-US" w:eastAsia="zh-CN"/>
        </w:rPr>
        <w:t>投标人</w:t>
      </w:r>
      <w:r>
        <w:rPr>
          <w:rFonts w:hint="eastAsia" w:ascii="宋体" w:hAnsi="宋体" w:eastAsia="宋体"/>
          <w:color w:val="auto"/>
          <w:sz w:val="24"/>
          <w:highlight w:val="none"/>
        </w:rPr>
        <w:t>登录兵团政府采购网“下载专区”—“电子招投标客户端下载”下载相关客户端，如有问题可拨打政采云客户服务热线95763进行咨询。</w:t>
      </w:r>
    </w:p>
    <w:p w14:paraId="1E16A3EF">
      <w:pPr>
        <w:pStyle w:val="37"/>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1</w:t>
      </w:r>
      <w:r>
        <w:rPr>
          <w:rFonts w:hint="eastAsia" w:eastAsia="宋体"/>
          <w:color w:val="auto"/>
          <w:sz w:val="24"/>
          <w:highlight w:val="none"/>
          <w:lang w:val="en-US" w:eastAsia="zh-CN"/>
        </w:rPr>
        <w:t>0</w:t>
      </w:r>
      <w:r>
        <w:rPr>
          <w:rFonts w:hint="eastAsia" w:ascii="宋体" w:hAnsi="宋体" w:eastAsia="宋体"/>
          <w:color w:val="auto"/>
          <w:sz w:val="24"/>
          <w:highlight w:val="none"/>
          <w:lang w:val="en-US" w:eastAsia="zh-CN"/>
        </w:rPr>
        <w:t>.</w:t>
      </w:r>
      <w:r>
        <w:rPr>
          <w:rFonts w:hint="eastAsia" w:ascii="宋体" w:hAnsi="宋体" w:eastAsia="宋体"/>
          <w:color w:val="auto"/>
          <w:sz w:val="24"/>
          <w:highlight w:val="none"/>
        </w:rPr>
        <w:t>3</w:t>
      </w:r>
      <w:r>
        <w:rPr>
          <w:rFonts w:hint="eastAsia" w:ascii="宋体" w:hAnsi="宋体" w:eastAsia="宋体"/>
          <w:color w:val="auto"/>
          <w:sz w:val="24"/>
          <w:highlight w:val="none"/>
          <w:lang w:val="en-US" w:eastAsia="zh-CN"/>
        </w:rPr>
        <w:t xml:space="preserve"> </w:t>
      </w:r>
      <w:r>
        <w:rPr>
          <w:rFonts w:hint="eastAsia" w:ascii="宋体" w:hAnsi="宋体" w:eastAsia="宋体"/>
          <w:color w:val="auto"/>
          <w:sz w:val="24"/>
          <w:highlight w:val="none"/>
        </w:rPr>
        <w:t>加密的电子</w:t>
      </w:r>
      <w:r>
        <w:rPr>
          <w:rFonts w:hint="eastAsia" w:ascii="宋体" w:hAnsi="宋体" w:eastAsia="宋体"/>
          <w:color w:val="auto"/>
          <w:sz w:val="24"/>
          <w:highlight w:val="none"/>
          <w:lang w:eastAsia="zh-CN"/>
        </w:rPr>
        <w:t>投标文件</w:t>
      </w:r>
      <w:r>
        <w:rPr>
          <w:rFonts w:hint="eastAsia" w:ascii="宋体" w:hAnsi="宋体" w:eastAsia="宋体"/>
          <w:color w:val="auto"/>
          <w:sz w:val="24"/>
          <w:highlight w:val="none"/>
        </w:rPr>
        <w:t>应在</w:t>
      </w:r>
      <w:r>
        <w:rPr>
          <w:rFonts w:hint="eastAsia" w:ascii="宋体" w:hAnsi="宋体" w:eastAsia="宋体"/>
          <w:color w:val="auto"/>
          <w:sz w:val="24"/>
          <w:highlight w:val="none"/>
          <w:lang w:eastAsia="zh-CN"/>
        </w:rPr>
        <w:t>投标文件</w:t>
      </w:r>
      <w:r>
        <w:rPr>
          <w:rFonts w:hint="eastAsia" w:ascii="宋体" w:hAnsi="宋体" w:eastAsia="宋体"/>
          <w:color w:val="auto"/>
          <w:sz w:val="24"/>
          <w:highlight w:val="none"/>
        </w:rPr>
        <w:t>递交截止时间前通过政采云平台上传完成。逾期上传或者未上传指定地点的</w:t>
      </w:r>
      <w:r>
        <w:rPr>
          <w:rFonts w:hint="eastAsia" w:ascii="宋体" w:hAnsi="宋体" w:eastAsia="宋体"/>
          <w:color w:val="auto"/>
          <w:sz w:val="24"/>
          <w:highlight w:val="none"/>
          <w:lang w:eastAsia="zh-CN"/>
        </w:rPr>
        <w:t>投标文件</w:t>
      </w:r>
      <w:r>
        <w:rPr>
          <w:rFonts w:hint="eastAsia" w:ascii="宋体" w:hAnsi="宋体" w:eastAsia="宋体"/>
          <w:color w:val="auto"/>
          <w:sz w:val="24"/>
          <w:highlight w:val="none"/>
        </w:rPr>
        <w:t>，不予受理。</w:t>
      </w:r>
    </w:p>
    <w:p w14:paraId="53B28965">
      <w:pPr>
        <w:pStyle w:val="37"/>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1</w:t>
      </w:r>
      <w:r>
        <w:rPr>
          <w:rFonts w:hint="eastAsia" w:eastAsia="宋体"/>
          <w:color w:val="auto"/>
          <w:sz w:val="24"/>
          <w:highlight w:val="none"/>
          <w:lang w:val="en-US" w:eastAsia="zh-CN"/>
        </w:rPr>
        <w:t>0</w:t>
      </w:r>
      <w:r>
        <w:rPr>
          <w:rFonts w:hint="eastAsia" w:ascii="宋体" w:hAnsi="宋体" w:eastAsia="宋体"/>
          <w:color w:val="auto"/>
          <w:sz w:val="24"/>
          <w:highlight w:val="none"/>
          <w:lang w:val="en-US" w:eastAsia="zh-CN"/>
        </w:rPr>
        <w:t>.</w:t>
      </w:r>
      <w:r>
        <w:rPr>
          <w:rFonts w:hint="eastAsia" w:ascii="宋体" w:hAnsi="宋体" w:eastAsia="宋体"/>
          <w:color w:val="auto"/>
          <w:sz w:val="24"/>
          <w:highlight w:val="none"/>
        </w:rPr>
        <w:t>4</w:t>
      </w:r>
      <w:r>
        <w:rPr>
          <w:rFonts w:hint="eastAsia" w:ascii="宋体" w:hAnsi="宋体" w:eastAsia="宋体"/>
          <w:color w:val="auto"/>
          <w:sz w:val="24"/>
          <w:highlight w:val="none"/>
          <w:lang w:val="en-US" w:eastAsia="zh-CN"/>
        </w:rPr>
        <w:t xml:space="preserve"> </w:t>
      </w:r>
      <w:r>
        <w:rPr>
          <w:rFonts w:hint="eastAsia" w:ascii="宋体" w:hAnsi="宋体" w:eastAsia="宋体"/>
          <w:color w:val="auto"/>
          <w:sz w:val="24"/>
          <w:highlight w:val="none"/>
        </w:rPr>
        <w:t>投标人在开标前须提前配置好电脑</w:t>
      </w:r>
      <w:r>
        <w:rPr>
          <w:rFonts w:hint="eastAsia" w:eastAsia="宋体"/>
          <w:color w:val="auto"/>
          <w:sz w:val="24"/>
          <w:highlight w:val="none"/>
          <w:lang w:val="en-US" w:eastAsia="zh-CN"/>
        </w:rPr>
        <w:t>及</w:t>
      </w:r>
      <w:r>
        <w:rPr>
          <w:rFonts w:hint="eastAsia" w:ascii="宋体" w:hAnsi="宋体" w:eastAsia="宋体"/>
          <w:color w:val="auto"/>
          <w:sz w:val="24"/>
          <w:highlight w:val="none"/>
        </w:rPr>
        <w:t>浏览器，开标时请使用制作加密电子</w:t>
      </w:r>
      <w:r>
        <w:rPr>
          <w:rFonts w:hint="eastAsia" w:ascii="宋体" w:hAnsi="宋体" w:eastAsia="宋体"/>
          <w:color w:val="auto"/>
          <w:sz w:val="24"/>
          <w:highlight w:val="none"/>
          <w:lang w:eastAsia="zh-CN"/>
        </w:rPr>
        <w:t>投标文件</w:t>
      </w:r>
      <w:r>
        <w:rPr>
          <w:rFonts w:hint="eastAsia" w:ascii="宋体" w:hAnsi="宋体" w:eastAsia="宋体"/>
          <w:color w:val="auto"/>
          <w:sz w:val="24"/>
          <w:highlight w:val="none"/>
        </w:rPr>
        <w:t>的CA锁进行解密及报价确认。本项目</w:t>
      </w:r>
      <w:r>
        <w:rPr>
          <w:rFonts w:hint="eastAsia" w:ascii="宋体" w:hAnsi="宋体" w:eastAsia="宋体"/>
          <w:color w:val="auto"/>
          <w:sz w:val="24"/>
          <w:highlight w:val="none"/>
          <w:lang w:eastAsia="zh-CN"/>
        </w:rPr>
        <w:t>投标文件</w:t>
      </w:r>
      <w:r>
        <w:rPr>
          <w:rFonts w:hint="eastAsia" w:ascii="宋体" w:hAnsi="宋体" w:eastAsia="宋体"/>
          <w:color w:val="auto"/>
          <w:sz w:val="24"/>
          <w:highlight w:val="none"/>
        </w:rPr>
        <w:t>解密时间</w:t>
      </w:r>
      <w:r>
        <w:rPr>
          <w:rFonts w:hint="eastAsia" w:eastAsia="宋体"/>
          <w:color w:val="auto"/>
          <w:sz w:val="24"/>
          <w:highlight w:val="none"/>
          <w:lang w:val="en-US" w:eastAsia="zh-CN"/>
        </w:rPr>
        <w:t>详见“投标人须知前附表”</w:t>
      </w:r>
      <w:r>
        <w:rPr>
          <w:rFonts w:hint="eastAsia" w:ascii="宋体" w:hAnsi="宋体" w:eastAsia="宋体"/>
          <w:color w:val="auto"/>
          <w:sz w:val="24"/>
          <w:highlight w:val="none"/>
        </w:rPr>
        <w:t>，如因自身原因导致无法正常解密，后果由投标人自行承担。</w:t>
      </w:r>
    </w:p>
    <w:p w14:paraId="469768F0">
      <w:pPr>
        <w:pStyle w:val="37"/>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1</w:t>
      </w:r>
      <w:r>
        <w:rPr>
          <w:rFonts w:hint="eastAsia" w:eastAsia="宋体"/>
          <w:color w:val="auto"/>
          <w:sz w:val="24"/>
          <w:highlight w:val="none"/>
          <w:lang w:val="en-US" w:eastAsia="zh-CN"/>
        </w:rPr>
        <w:t>0</w:t>
      </w:r>
      <w:r>
        <w:rPr>
          <w:rFonts w:hint="eastAsia" w:ascii="宋体" w:hAnsi="宋体" w:eastAsia="宋体"/>
          <w:color w:val="auto"/>
          <w:sz w:val="24"/>
          <w:highlight w:val="none"/>
          <w:lang w:val="en-US" w:eastAsia="zh-CN"/>
        </w:rPr>
        <w:t>.</w:t>
      </w:r>
      <w:r>
        <w:rPr>
          <w:rFonts w:hint="eastAsia" w:ascii="宋体" w:hAnsi="宋体" w:eastAsia="宋体"/>
          <w:color w:val="auto"/>
          <w:sz w:val="24"/>
          <w:highlight w:val="none"/>
        </w:rPr>
        <w:t>5</w:t>
      </w:r>
      <w:r>
        <w:rPr>
          <w:rFonts w:hint="eastAsia" w:ascii="宋体" w:hAnsi="宋体" w:eastAsia="宋体"/>
          <w:color w:val="auto"/>
          <w:sz w:val="24"/>
          <w:highlight w:val="none"/>
          <w:lang w:val="en-US" w:eastAsia="zh-CN"/>
        </w:rPr>
        <w:t xml:space="preserve"> </w:t>
      </w:r>
      <w:r>
        <w:rPr>
          <w:rFonts w:hint="eastAsia" w:ascii="宋体" w:hAnsi="宋体" w:eastAsia="宋体"/>
          <w:color w:val="auto"/>
          <w:sz w:val="24"/>
          <w:highlight w:val="none"/>
        </w:rPr>
        <w:t>如遇“</w:t>
      </w:r>
      <w:r>
        <w:rPr>
          <w:rFonts w:hint="eastAsia" w:ascii="宋体" w:hAnsi="宋体" w:eastAsia="宋体"/>
          <w:color w:val="auto"/>
          <w:sz w:val="24"/>
          <w:highlight w:val="none"/>
          <w:lang w:val="en-US"/>
        </w:rPr>
        <w:t>兵团</w:t>
      </w:r>
      <w:r>
        <w:rPr>
          <w:rFonts w:hint="eastAsia" w:ascii="宋体" w:hAnsi="宋体" w:eastAsia="宋体"/>
          <w:color w:val="auto"/>
          <w:sz w:val="24"/>
          <w:highlight w:val="none"/>
        </w:rPr>
        <w:t>政府采购</w:t>
      </w:r>
      <w:r>
        <w:rPr>
          <w:rFonts w:hint="eastAsia" w:ascii="宋体" w:hAnsi="宋体" w:eastAsia="宋体"/>
          <w:color w:val="auto"/>
          <w:sz w:val="24"/>
          <w:highlight w:val="none"/>
          <w:lang w:val="en-US"/>
        </w:rPr>
        <w:t>电子交易云</w:t>
      </w:r>
      <w:r>
        <w:rPr>
          <w:rFonts w:hint="eastAsia" w:ascii="宋体" w:hAnsi="宋体" w:eastAsia="宋体"/>
          <w:color w:val="auto"/>
          <w:sz w:val="24"/>
          <w:highlight w:val="none"/>
        </w:rPr>
        <w:t>平台</w:t>
      </w:r>
      <w:r>
        <w:rPr>
          <w:rFonts w:hint="eastAsia" w:ascii="宋体" w:hAnsi="宋体" w:eastAsia="宋体"/>
          <w:color w:val="auto"/>
          <w:sz w:val="24"/>
          <w:highlight w:val="none"/>
          <w:lang w:val="hr-HR"/>
        </w:rPr>
        <w:t>（</w:t>
      </w:r>
      <w:r>
        <w:rPr>
          <w:rFonts w:hint="eastAsia" w:ascii="宋体" w:hAnsi="宋体" w:eastAsia="宋体"/>
          <w:color w:val="auto"/>
          <w:sz w:val="24"/>
          <w:highlight w:val="none"/>
        </w:rPr>
        <w:t>网址</w:t>
      </w:r>
      <w:r>
        <w:rPr>
          <w:rFonts w:hint="eastAsia" w:ascii="宋体" w:hAnsi="宋体" w:eastAsia="宋体"/>
          <w:color w:val="auto"/>
          <w:sz w:val="24"/>
          <w:highlight w:val="none"/>
          <w:lang w:val="hr-HR"/>
        </w:rPr>
        <w:t>：https://www.zcygov.cn/）</w:t>
      </w:r>
      <w:r>
        <w:rPr>
          <w:rFonts w:hint="eastAsia" w:ascii="宋体" w:hAnsi="宋体" w:eastAsia="宋体"/>
          <w:color w:val="auto"/>
          <w:sz w:val="24"/>
          <w:highlight w:val="none"/>
        </w:rPr>
        <w:t>”电子交易规则调整，以最新要求为准。</w:t>
      </w:r>
    </w:p>
    <w:p w14:paraId="08AA0ABB">
      <w:pPr>
        <w:pStyle w:val="37"/>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1</w:t>
      </w:r>
      <w:r>
        <w:rPr>
          <w:rFonts w:hint="eastAsia" w:eastAsia="宋体"/>
          <w:color w:val="auto"/>
          <w:sz w:val="24"/>
          <w:highlight w:val="none"/>
          <w:lang w:val="en-US" w:eastAsia="zh-CN"/>
        </w:rPr>
        <w:t>0</w:t>
      </w:r>
      <w:r>
        <w:rPr>
          <w:rFonts w:hint="eastAsia" w:ascii="宋体" w:hAnsi="宋体" w:eastAsia="宋体"/>
          <w:color w:val="auto"/>
          <w:sz w:val="24"/>
          <w:highlight w:val="none"/>
          <w:lang w:val="en-US" w:eastAsia="zh-CN"/>
        </w:rPr>
        <w:t>.6 电子交易系统咨询：投标人应当充分考虑到电子投标可能会发生的各种问题和风险，特别是投标文件签署、提交等问题，</w:t>
      </w:r>
      <w:r>
        <w:rPr>
          <w:rFonts w:hint="eastAsia" w:eastAsia="宋体"/>
          <w:color w:val="auto"/>
          <w:sz w:val="24"/>
          <w:highlight w:val="none"/>
          <w:lang w:val="en-US" w:eastAsia="zh-CN"/>
        </w:rPr>
        <w:t>可</w:t>
      </w:r>
      <w:r>
        <w:rPr>
          <w:rFonts w:hint="eastAsia" w:ascii="宋体" w:hAnsi="宋体" w:eastAsia="宋体"/>
          <w:color w:val="auto"/>
          <w:sz w:val="24"/>
          <w:highlight w:val="none"/>
          <w:lang w:val="en-US" w:eastAsia="zh-CN"/>
        </w:rPr>
        <w:t>按照“</w:t>
      </w:r>
      <w:r>
        <w:rPr>
          <w:rFonts w:hint="eastAsia" w:eastAsia="宋体"/>
          <w:color w:val="auto"/>
          <w:sz w:val="24"/>
          <w:highlight w:val="none"/>
          <w:lang w:val="en-US" w:eastAsia="zh-CN"/>
        </w:rPr>
        <w:t>第一章 招标公告</w:t>
      </w:r>
      <w:r>
        <w:rPr>
          <w:rFonts w:hint="eastAsia" w:ascii="宋体" w:hAnsi="宋体" w:eastAsia="宋体"/>
          <w:color w:val="auto"/>
          <w:sz w:val="24"/>
          <w:highlight w:val="none"/>
          <w:lang w:val="en-US" w:eastAsia="zh-CN"/>
        </w:rPr>
        <w:t>”的</w:t>
      </w:r>
      <w:r>
        <w:rPr>
          <w:rFonts w:hint="eastAsia" w:eastAsia="宋体"/>
          <w:color w:val="auto"/>
          <w:sz w:val="24"/>
          <w:highlight w:val="none"/>
          <w:lang w:val="en-US" w:eastAsia="zh-CN"/>
        </w:rPr>
        <w:t>联系方式咨询相关人员</w:t>
      </w:r>
      <w:r>
        <w:rPr>
          <w:rFonts w:hint="eastAsia" w:ascii="宋体" w:hAnsi="宋体" w:eastAsia="宋体"/>
          <w:color w:val="auto"/>
          <w:sz w:val="24"/>
          <w:highlight w:val="none"/>
          <w:lang w:val="en-US" w:eastAsia="zh-CN"/>
        </w:rPr>
        <w:t>。</w:t>
      </w:r>
    </w:p>
    <w:p w14:paraId="39CA1037">
      <w:pPr>
        <w:pStyle w:val="37"/>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1</w:t>
      </w:r>
      <w:r>
        <w:rPr>
          <w:rFonts w:hint="eastAsia" w:eastAsia="宋体"/>
          <w:color w:val="auto"/>
          <w:sz w:val="24"/>
          <w:highlight w:val="none"/>
          <w:lang w:val="en-US" w:eastAsia="zh-CN"/>
        </w:rPr>
        <w:t>0</w:t>
      </w:r>
      <w:r>
        <w:rPr>
          <w:rFonts w:hint="eastAsia" w:ascii="宋体" w:hAnsi="宋体" w:eastAsia="宋体"/>
          <w:color w:val="auto"/>
          <w:sz w:val="24"/>
          <w:highlight w:val="none"/>
          <w:lang w:val="en-US" w:eastAsia="zh-CN"/>
        </w:rPr>
        <w:t>.7 由于本项目采用电子招标方式，潜在投标人的名单将在</w:t>
      </w:r>
      <w:r>
        <w:rPr>
          <w:rFonts w:hint="eastAsia" w:eastAsia="宋体"/>
          <w:color w:val="auto"/>
          <w:sz w:val="24"/>
          <w:highlight w:val="none"/>
          <w:lang w:val="en-US" w:eastAsia="zh-CN"/>
        </w:rPr>
        <w:t>提交</w:t>
      </w:r>
      <w:r>
        <w:rPr>
          <w:rFonts w:hint="eastAsia" w:ascii="宋体" w:hAnsi="宋体" w:eastAsia="宋体"/>
          <w:color w:val="auto"/>
          <w:sz w:val="24"/>
          <w:highlight w:val="none"/>
          <w:lang w:val="en-US" w:eastAsia="zh-CN"/>
        </w:rPr>
        <w:t>投标</w:t>
      </w:r>
      <w:r>
        <w:rPr>
          <w:rFonts w:hint="eastAsia" w:eastAsia="宋体"/>
          <w:color w:val="auto"/>
          <w:sz w:val="24"/>
          <w:highlight w:val="none"/>
          <w:lang w:val="en-US" w:eastAsia="zh-CN"/>
        </w:rPr>
        <w:t>文件</w:t>
      </w:r>
      <w:r>
        <w:rPr>
          <w:rFonts w:hint="eastAsia" w:ascii="宋体" w:hAnsi="宋体" w:eastAsia="宋体"/>
          <w:color w:val="auto"/>
          <w:sz w:val="24"/>
          <w:highlight w:val="none"/>
          <w:lang w:val="en-US" w:eastAsia="zh-CN"/>
        </w:rPr>
        <w:t>截止时间后才会解密。因此，采购人或采购代理机构无法通过传统的传真或邮件方式，将招标文件的澄清或修改内容逐一通知到每位已获取招标文件的潜在投标人。为确保信息的及时性和准确性，澄清或修改的内容将仅在政采云平台以更正公告的形式发布。潜在投标人需密切关注该网站，及时查看并下载相关更正公告。若因潜在投标人未能及时查看或下载相关更正公告，而导致的一切后果，将由潜在投标人自行承担。</w:t>
      </w:r>
    </w:p>
    <w:p w14:paraId="7A306C00">
      <w:pPr>
        <w:pStyle w:val="4"/>
        <w:keepNext w:val="0"/>
        <w:keepLines w:val="0"/>
        <w:pageBreakBefore w:val="0"/>
        <w:widowControl w:val="0"/>
        <w:numPr>
          <w:ilvl w:val="0"/>
          <w:numId w:val="0"/>
        </w:numPr>
        <w:kinsoku/>
        <w:wordWrap/>
        <w:overflowPunct/>
        <w:topLinePunct w:val="0"/>
        <w:autoSpaceDE/>
        <w:autoSpaceDN/>
        <w:bidi w:val="0"/>
        <w:adjustRightInd/>
        <w:snapToGrid/>
        <w:spacing w:before="180" w:after="180" w:line="240" w:lineRule="auto"/>
        <w:ind w:left="420" w:leftChars="0" w:hanging="420" w:firstLineChars="0"/>
        <w:textAlignment w:val="auto"/>
        <w:rPr>
          <w:rFonts w:hint="eastAsia" w:ascii="宋体" w:hAnsi="宋体" w:eastAsia="宋体" w:cs="宋体"/>
          <w:b/>
          <w:bCs/>
          <w:color w:val="auto"/>
          <w:kern w:val="2"/>
          <w:sz w:val="24"/>
          <w:szCs w:val="32"/>
          <w:highlight w:val="none"/>
          <w:lang w:val="en-US" w:eastAsia="zh-CN" w:bidi="ar-SA"/>
        </w:rPr>
      </w:pPr>
      <w:bookmarkStart w:id="137" w:name="_Toc163492834"/>
      <w:r>
        <w:rPr>
          <w:rFonts w:hint="eastAsia" w:ascii="宋体" w:hAnsi="宋体" w:eastAsia="宋体" w:cs="宋体"/>
          <w:b/>
          <w:bCs/>
          <w:color w:val="auto"/>
          <w:kern w:val="2"/>
          <w:sz w:val="24"/>
          <w:szCs w:val="32"/>
          <w:highlight w:val="none"/>
          <w:lang w:val="en-US" w:eastAsia="zh-CN" w:bidi="ar-SA"/>
        </w:rPr>
        <w:t>（二）招标文件</w:t>
      </w:r>
      <w:bookmarkEnd w:id="136"/>
      <w:bookmarkEnd w:id="137"/>
    </w:p>
    <w:p w14:paraId="08A2C6A4">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138" w:name="_Toc140132768"/>
      <w:bookmarkStart w:id="139" w:name="_Toc163492835"/>
      <w:r>
        <w:rPr>
          <w:rFonts w:hint="eastAsia" w:ascii="宋体" w:hAnsi="宋体" w:eastAsia="宋体" w:cs="宋体"/>
          <w:b/>
          <w:bCs/>
          <w:color w:val="auto"/>
          <w:kern w:val="2"/>
          <w:sz w:val="24"/>
          <w:szCs w:val="28"/>
          <w:highlight w:val="none"/>
          <w:lang w:val="en-US" w:eastAsia="zh-CN" w:bidi="ar-SA"/>
        </w:rPr>
        <w:t>11.招标文件的组成</w:t>
      </w:r>
      <w:bookmarkEnd w:id="138"/>
      <w:bookmarkEnd w:id="139"/>
    </w:p>
    <w:p w14:paraId="0FCCC628">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1</w:t>
      </w:r>
      <w:r>
        <w:rPr>
          <w:rFonts w:hint="eastAsia" w:eastAsia="宋体" w:cs="仿宋_GB2312"/>
          <w:color w:val="auto"/>
          <w:sz w:val="24"/>
          <w:szCs w:val="24"/>
          <w:highlight w:val="none"/>
        </w:rPr>
        <w:t>.1本招标文件包括下列文件及根据本章第9款、第</w:t>
      </w: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2</w:t>
      </w:r>
      <w:r>
        <w:rPr>
          <w:rFonts w:hint="eastAsia" w:eastAsia="宋体" w:cs="仿宋_GB2312"/>
          <w:color w:val="auto"/>
          <w:sz w:val="24"/>
          <w:szCs w:val="24"/>
          <w:highlight w:val="none"/>
        </w:rPr>
        <w:t>款对招标文件所作的澄清或者修改。</w:t>
      </w:r>
    </w:p>
    <w:p w14:paraId="5876B8A3">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hint="eastAsia" w:eastAsia="宋体" w:cs="仿宋_GB2312"/>
          <w:color w:val="auto"/>
          <w:sz w:val="24"/>
          <w:szCs w:val="24"/>
          <w:highlight w:val="none"/>
        </w:rPr>
        <w:t xml:space="preserve">第一章 </w:t>
      </w:r>
      <w:r>
        <w:rPr>
          <w:rFonts w:hint="eastAsia" w:eastAsia="宋体"/>
          <w:color w:val="auto"/>
          <w:sz w:val="24"/>
          <w:highlight w:val="none"/>
          <w:lang w:val="en-US" w:eastAsia="zh-CN"/>
        </w:rPr>
        <w:t>招标公告</w:t>
      </w:r>
    </w:p>
    <w:p w14:paraId="626801D6">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hint="eastAsia" w:eastAsia="宋体" w:cs="仿宋_GB2312"/>
          <w:color w:val="auto"/>
          <w:sz w:val="24"/>
          <w:szCs w:val="24"/>
          <w:highlight w:val="none"/>
        </w:rPr>
        <w:t>第二章 投标人须知</w:t>
      </w:r>
    </w:p>
    <w:p w14:paraId="5E339F13">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hint="eastAsia" w:eastAsia="宋体" w:cs="仿宋_GB2312"/>
          <w:color w:val="auto"/>
          <w:sz w:val="24"/>
          <w:szCs w:val="24"/>
          <w:highlight w:val="none"/>
        </w:rPr>
        <w:t>第三章 采购需求</w:t>
      </w:r>
    </w:p>
    <w:p w14:paraId="750A6D4C">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hint="eastAsia" w:eastAsia="宋体" w:cs="仿宋_GB2312"/>
          <w:color w:val="auto"/>
          <w:sz w:val="24"/>
          <w:szCs w:val="24"/>
          <w:highlight w:val="none"/>
        </w:rPr>
        <w:t>第四章 资格审查</w:t>
      </w:r>
    </w:p>
    <w:p w14:paraId="08BF9358">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hint="eastAsia" w:eastAsia="宋体" w:cs="仿宋_GB2312"/>
          <w:color w:val="auto"/>
          <w:sz w:val="24"/>
          <w:szCs w:val="24"/>
          <w:highlight w:val="none"/>
        </w:rPr>
        <w:t>第五章 评标</w:t>
      </w:r>
      <w:r>
        <w:rPr>
          <w:rFonts w:hint="eastAsia" w:eastAsia="宋体" w:cs="仿宋_GB2312"/>
          <w:color w:val="auto"/>
          <w:sz w:val="24"/>
          <w:szCs w:val="24"/>
          <w:highlight w:val="none"/>
          <w:lang w:val="en-US" w:eastAsia="zh-CN"/>
        </w:rPr>
        <w:t>方</w:t>
      </w:r>
      <w:r>
        <w:rPr>
          <w:rFonts w:hint="eastAsia" w:eastAsia="宋体" w:cs="仿宋_GB2312"/>
          <w:color w:val="auto"/>
          <w:sz w:val="24"/>
          <w:szCs w:val="24"/>
          <w:highlight w:val="none"/>
        </w:rPr>
        <w:t>法及标准</w:t>
      </w:r>
    </w:p>
    <w:p w14:paraId="3F57501F">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hint="eastAsia" w:eastAsia="宋体" w:cs="仿宋_GB2312"/>
          <w:color w:val="auto"/>
          <w:sz w:val="24"/>
          <w:szCs w:val="24"/>
          <w:highlight w:val="none"/>
        </w:rPr>
        <w:t>第六章 合同草案</w:t>
      </w:r>
    </w:p>
    <w:p w14:paraId="5855AFA7">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hint="eastAsia" w:eastAsia="宋体" w:cs="仿宋_GB2312"/>
          <w:color w:val="auto"/>
          <w:sz w:val="24"/>
          <w:szCs w:val="24"/>
          <w:highlight w:val="none"/>
        </w:rPr>
        <w:t>第七章 投标文件的格式</w:t>
      </w:r>
    </w:p>
    <w:p w14:paraId="78CADEE1">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140" w:name="_Toc140132769"/>
      <w:bookmarkStart w:id="141" w:name="_Toc163492836"/>
      <w:r>
        <w:rPr>
          <w:rFonts w:hint="eastAsia" w:ascii="宋体" w:hAnsi="宋体" w:eastAsia="宋体" w:cs="宋体"/>
          <w:b/>
          <w:bCs/>
          <w:color w:val="auto"/>
          <w:kern w:val="2"/>
          <w:sz w:val="24"/>
          <w:szCs w:val="28"/>
          <w:highlight w:val="none"/>
          <w:lang w:val="en-US" w:eastAsia="zh-CN" w:bidi="ar-SA"/>
        </w:rPr>
        <w:t>12.招标文件的询问、澄清或者修改</w:t>
      </w:r>
      <w:bookmarkEnd w:id="140"/>
      <w:bookmarkEnd w:id="141"/>
    </w:p>
    <w:p w14:paraId="2E6BAA48">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hint="eastAsia" w:cs="仿宋_GB2312"/>
          <w:color w:val="auto"/>
          <w:sz w:val="24"/>
          <w:szCs w:val="24"/>
          <w:highlight w:val="none"/>
          <w:lang w:val="en-US" w:eastAsia="zh-CN"/>
        </w:rPr>
        <w:t>12</w:t>
      </w:r>
      <w:r>
        <w:rPr>
          <w:rFonts w:eastAsia="宋体" w:cs="仿宋_GB2312"/>
          <w:color w:val="auto"/>
          <w:sz w:val="24"/>
          <w:szCs w:val="24"/>
          <w:highlight w:val="none"/>
        </w:rPr>
        <w:t>.</w:t>
      </w:r>
      <w:r>
        <w:rPr>
          <w:rFonts w:hint="eastAsia" w:eastAsia="宋体" w:cs="仿宋_GB2312"/>
          <w:color w:val="auto"/>
          <w:sz w:val="24"/>
          <w:szCs w:val="24"/>
          <w:highlight w:val="none"/>
        </w:rPr>
        <w:t>1</w:t>
      </w:r>
      <w:r>
        <w:rPr>
          <w:rFonts w:eastAsia="宋体" w:cs="仿宋_GB2312"/>
          <w:color w:val="auto"/>
          <w:sz w:val="24"/>
          <w:szCs w:val="24"/>
          <w:highlight w:val="none"/>
        </w:rPr>
        <w:t>投标人如对招标文件内容有疑问，须在</w:t>
      </w:r>
      <w:r>
        <w:rPr>
          <w:rFonts w:hint="eastAsia" w:cs="仿宋_GB2312"/>
          <w:color w:val="auto"/>
          <w:sz w:val="24"/>
          <w:szCs w:val="24"/>
          <w:highlight w:val="none"/>
          <w:lang w:eastAsia="zh-CN"/>
        </w:rPr>
        <w:t>“</w:t>
      </w:r>
      <w:r>
        <w:rPr>
          <w:rFonts w:eastAsia="宋体" w:cs="仿宋_GB2312"/>
          <w:color w:val="auto"/>
          <w:sz w:val="24"/>
          <w:szCs w:val="24"/>
          <w:highlight w:val="none"/>
        </w:rPr>
        <w:t>投标人须知前附表</w:t>
      </w:r>
      <w:r>
        <w:rPr>
          <w:rFonts w:hint="eastAsia" w:cs="仿宋_GB2312"/>
          <w:color w:val="auto"/>
          <w:sz w:val="24"/>
          <w:szCs w:val="24"/>
          <w:highlight w:val="none"/>
          <w:lang w:eastAsia="zh-CN"/>
        </w:rPr>
        <w:t>”</w:t>
      </w:r>
      <w:r>
        <w:rPr>
          <w:rFonts w:eastAsia="宋体" w:cs="仿宋_GB2312"/>
          <w:color w:val="auto"/>
          <w:sz w:val="24"/>
          <w:szCs w:val="24"/>
          <w:highlight w:val="none"/>
        </w:rPr>
        <w:t>规定的</w:t>
      </w:r>
      <w:r>
        <w:rPr>
          <w:rFonts w:hint="eastAsia" w:eastAsia="宋体" w:cs="仿宋_GB2312"/>
          <w:color w:val="auto"/>
          <w:sz w:val="24"/>
          <w:szCs w:val="24"/>
          <w:highlight w:val="none"/>
        </w:rPr>
        <w:t>询问</w:t>
      </w:r>
      <w:r>
        <w:rPr>
          <w:rFonts w:hint="eastAsia" w:cs="仿宋_GB2312"/>
          <w:color w:val="auto"/>
          <w:sz w:val="24"/>
          <w:szCs w:val="24"/>
          <w:highlight w:val="none"/>
          <w:lang w:val="en-US" w:eastAsia="zh-CN"/>
        </w:rPr>
        <w:t>方式和</w:t>
      </w:r>
      <w:r>
        <w:rPr>
          <w:rFonts w:eastAsia="宋体" w:cs="仿宋_GB2312"/>
          <w:color w:val="auto"/>
          <w:sz w:val="24"/>
          <w:szCs w:val="24"/>
          <w:highlight w:val="none"/>
        </w:rPr>
        <w:t>时间提交给</w:t>
      </w:r>
      <w:r>
        <w:rPr>
          <w:rFonts w:hint="eastAsia" w:cs="仿宋_GB2312"/>
          <w:color w:val="auto"/>
          <w:sz w:val="24"/>
          <w:szCs w:val="24"/>
          <w:highlight w:val="none"/>
          <w:lang w:val="en-US" w:eastAsia="zh-CN"/>
        </w:rPr>
        <w:t>采购人或</w:t>
      </w:r>
      <w:r>
        <w:rPr>
          <w:rFonts w:eastAsia="宋体" w:cs="仿宋_GB2312"/>
          <w:color w:val="auto"/>
          <w:sz w:val="24"/>
          <w:szCs w:val="24"/>
          <w:highlight w:val="none"/>
        </w:rPr>
        <w:t>采购代理机构。</w:t>
      </w:r>
    </w:p>
    <w:p w14:paraId="6D964354">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hint="eastAsia" w:cs="仿宋_GB2312"/>
          <w:color w:val="auto"/>
          <w:sz w:val="24"/>
          <w:szCs w:val="24"/>
          <w:highlight w:val="none"/>
          <w:lang w:val="en-US" w:eastAsia="zh-CN"/>
        </w:rPr>
        <w:t>12</w:t>
      </w:r>
      <w:r>
        <w:rPr>
          <w:rFonts w:eastAsia="宋体" w:cs="仿宋_GB2312"/>
          <w:color w:val="auto"/>
          <w:sz w:val="24"/>
          <w:szCs w:val="24"/>
          <w:highlight w:val="none"/>
        </w:rPr>
        <w:t>.</w:t>
      </w:r>
      <w:r>
        <w:rPr>
          <w:rFonts w:hint="eastAsia" w:eastAsia="宋体" w:cs="仿宋_GB2312"/>
          <w:color w:val="auto"/>
          <w:sz w:val="24"/>
          <w:szCs w:val="24"/>
          <w:highlight w:val="none"/>
        </w:rPr>
        <w:t>2采购人可主动地或在</w:t>
      </w:r>
      <w:r>
        <w:rPr>
          <w:rFonts w:hint="eastAsia" w:eastAsia="宋体" w:cs="仿宋_GB2312"/>
          <w:color w:val="auto"/>
          <w:sz w:val="24"/>
          <w:szCs w:val="24"/>
          <w:highlight w:val="none"/>
          <w:lang w:val="en-US" w:eastAsia="zh-CN"/>
        </w:rPr>
        <w:t>答复</w:t>
      </w:r>
      <w:r>
        <w:rPr>
          <w:rFonts w:hint="eastAsia" w:eastAsia="宋体" w:cs="仿宋_GB2312"/>
          <w:color w:val="auto"/>
          <w:sz w:val="24"/>
          <w:szCs w:val="24"/>
          <w:highlight w:val="none"/>
        </w:rPr>
        <w:t>投标人提出的</w:t>
      </w:r>
      <w:r>
        <w:rPr>
          <w:rFonts w:hint="eastAsia" w:eastAsia="宋体" w:cs="仿宋_GB2312"/>
          <w:color w:val="auto"/>
          <w:sz w:val="24"/>
          <w:szCs w:val="24"/>
          <w:highlight w:val="none"/>
          <w:lang w:val="en-US" w:eastAsia="zh-CN"/>
        </w:rPr>
        <w:t>询问</w:t>
      </w:r>
      <w:r>
        <w:rPr>
          <w:rFonts w:hint="eastAsia" w:eastAsia="宋体" w:cs="仿宋_GB2312"/>
          <w:color w:val="auto"/>
          <w:sz w:val="24"/>
          <w:szCs w:val="24"/>
          <w:highlight w:val="none"/>
        </w:rPr>
        <w:t>时对招标文件进行澄清与修改。</w:t>
      </w:r>
      <w:r>
        <w:rPr>
          <w:rFonts w:eastAsia="宋体" w:cs="仿宋_GB2312"/>
          <w:color w:val="auto"/>
          <w:sz w:val="24"/>
          <w:szCs w:val="24"/>
          <w:highlight w:val="none"/>
        </w:rPr>
        <w:t>采购代理机构将</w:t>
      </w:r>
      <w:r>
        <w:rPr>
          <w:rFonts w:hint="eastAsia" w:eastAsia="宋体" w:cs="仿宋_GB2312"/>
          <w:color w:val="auto"/>
          <w:sz w:val="24"/>
          <w:szCs w:val="24"/>
          <w:highlight w:val="none"/>
        </w:rPr>
        <w:t>在</w:t>
      </w:r>
      <w:r>
        <w:rPr>
          <w:rFonts w:hint="eastAsia" w:cs="仿宋_GB2312"/>
          <w:color w:val="auto"/>
          <w:sz w:val="24"/>
          <w:szCs w:val="24"/>
          <w:highlight w:val="none"/>
          <w:lang w:val="en-US" w:eastAsia="zh-CN"/>
        </w:rPr>
        <w:t>兵团政府采购云平台</w:t>
      </w:r>
      <w:r>
        <w:rPr>
          <w:rFonts w:hint="eastAsia" w:eastAsia="宋体" w:cs="仿宋_GB2312"/>
          <w:color w:val="auto"/>
          <w:sz w:val="24"/>
          <w:szCs w:val="24"/>
          <w:highlight w:val="none"/>
        </w:rPr>
        <w:t>以发布更正公告的方式澄清或修改招标文件，更正公告的</w:t>
      </w:r>
      <w:r>
        <w:rPr>
          <w:rFonts w:eastAsia="宋体" w:cs="仿宋_GB2312"/>
          <w:color w:val="auto"/>
          <w:sz w:val="24"/>
          <w:szCs w:val="24"/>
          <w:highlight w:val="none"/>
        </w:rPr>
        <w:t>内容</w:t>
      </w:r>
      <w:r>
        <w:rPr>
          <w:rFonts w:hint="eastAsia" w:eastAsia="宋体" w:cs="仿宋_GB2312"/>
          <w:color w:val="auto"/>
          <w:sz w:val="24"/>
          <w:szCs w:val="24"/>
          <w:highlight w:val="none"/>
        </w:rPr>
        <w:t>作</w:t>
      </w:r>
      <w:r>
        <w:rPr>
          <w:rFonts w:eastAsia="宋体" w:cs="仿宋_GB2312"/>
          <w:color w:val="auto"/>
          <w:sz w:val="24"/>
          <w:szCs w:val="24"/>
          <w:highlight w:val="none"/>
        </w:rPr>
        <w:t>为招标文件</w:t>
      </w:r>
      <w:r>
        <w:rPr>
          <w:rFonts w:hint="eastAsia" w:eastAsia="宋体" w:cs="仿宋_GB2312"/>
          <w:color w:val="auto"/>
          <w:sz w:val="24"/>
          <w:szCs w:val="24"/>
          <w:highlight w:val="none"/>
        </w:rPr>
        <w:t>的</w:t>
      </w:r>
      <w:r>
        <w:rPr>
          <w:rFonts w:eastAsia="宋体" w:cs="仿宋_GB2312"/>
          <w:color w:val="auto"/>
          <w:sz w:val="24"/>
          <w:szCs w:val="24"/>
          <w:highlight w:val="none"/>
        </w:rPr>
        <w:t>组成部分，对投标人起约束作用</w:t>
      </w:r>
      <w:r>
        <w:rPr>
          <w:rFonts w:hint="eastAsia" w:eastAsia="宋体" w:cs="仿宋_GB2312"/>
          <w:color w:val="auto"/>
          <w:sz w:val="24"/>
          <w:szCs w:val="24"/>
          <w:highlight w:val="none"/>
        </w:rPr>
        <w:t>。投标人应主动上网查询。采购代理机构不承担投标人未及时关注相关信息引发的相关责任。</w:t>
      </w:r>
    </w:p>
    <w:p w14:paraId="14950506">
      <w:pPr>
        <w:keepNext w:val="0"/>
        <w:keepLines w:val="0"/>
        <w:pageBreakBefore w:val="0"/>
        <w:widowControl w:val="0"/>
        <w:kinsoku/>
        <w:overflowPunct/>
        <w:topLinePunct w:val="0"/>
        <w:autoSpaceDE/>
        <w:autoSpaceDN/>
        <w:bidi w:val="0"/>
        <w:adjustRightInd/>
        <w:ind w:firstLine="480" w:firstLineChars="200"/>
        <w:textAlignment w:val="auto"/>
        <w:rPr>
          <w:rFonts w:hint="eastAsia" w:eastAsia="宋体" w:cs="仿宋_GB2312"/>
          <w:color w:val="auto"/>
          <w:sz w:val="24"/>
          <w:szCs w:val="24"/>
          <w:highlight w:val="none"/>
        </w:rPr>
      </w:pP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2</w:t>
      </w:r>
      <w:r>
        <w:rPr>
          <w:rFonts w:hint="eastAsia" w:eastAsia="宋体" w:cs="仿宋_GB2312"/>
          <w:color w:val="auto"/>
          <w:sz w:val="24"/>
          <w:szCs w:val="24"/>
          <w:highlight w:val="none"/>
        </w:rPr>
        <w:t>.3 招标文件的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14:paraId="593F433F">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hint="eastAsia" w:cs="仿宋_GB2312"/>
          <w:color w:val="auto"/>
          <w:sz w:val="24"/>
          <w:szCs w:val="24"/>
          <w:highlight w:val="none"/>
          <w:lang w:val="en-US" w:eastAsia="zh-CN"/>
        </w:rPr>
        <w:t>12</w:t>
      </w:r>
      <w:r>
        <w:rPr>
          <w:rFonts w:hint="eastAsia" w:eastAsia="宋体" w:cs="仿宋_GB2312"/>
          <w:color w:val="auto"/>
          <w:sz w:val="24"/>
          <w:szCs w:val="24"/>
          <w:highlight w:val="none"/>
        </w:rPr>
        <w:t>.</w:t>
      </w:r>
      <w:r>
        <w:rPr>
          <w:rFonts w:hint="eastAsia" w:cs="仿宋_GB2312"/>
          <w:color w:val="auto"/>
          <w:sz w:val="24"/>
          <w:szCs w:val="24"/>
          <w:highlight w:val="none"/>
          <w:lang w:val="en-US" w:eastAsia="zh-CN"/>
        </w:rPr>
        <w:t>4</w:t>
      </w:r>
      <w:r>
        <w:rPr>
          <w:rFonts w:hint="eastAsia" w:eastAsia="宋体" w:cs="仿宋_GB2312"/>
          <w:color w:val="auto"/>
          <w:sz w:val="24"/>
          <w:szCs w:val="24"/>
          <w:highlight w:val="none"/>
        </w:rPr>
        <w:t>任何人或任何组织向投标人提供的任何书面或口头资料，未经采购代理机构在网上发布或书面通知，均作无效处理，不得作为招标文件的组成部分。采购代理机构对投标人由此而做出的推论、理解和结论概不负责。</w:t>
      </w:r>
    </w:p>
    <w:p w14:paraId="715B8664">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hint="eastAsia" w:cs="仿宋_GB2312"/>
          <w:color w:val="auto"/>
          <w:sz w:val="24"/>
          <w:szCs w:val="24"/>
          <w:highlight w:val="none"/>
          <w:lang w:val="en-US" w:eastAsia="zh-CN"/>
        </w:rPr>
        <w:t>12.5</w:t>
      </w:r>
      <w:r>
        <w:rPr>
          <w:rFonts w:eastAsia="宋体" w:cs="仿宋_GB2312"/>
          <w:color w:val="auto"/>
          <w:sz w:val="24"/>
          <w:szCs w:val="24"/>
          <w:highlight w:val="none"/>
        </w:rPr>
        <w:t>对于没有提出</w:t>
      </w:r>
      <w:r>
        <w:rPr>
          <w:rFonts w:hint="eastAsia" w:eastAsia="宋体" w:cs="仿宋_GB2312"/>
          <w:color w:val="auto"/>
          <w:sz w:val="24"/>
          <w:szCs w:val="24"/>
          <w:highlight w:val="none"/>
        </w:rPr>
        <w:t>疑问</w:t>
      </w:r>
      <w:r>
        <w:rPr>
          <w:rFonts w:eastAsia="宋体" w:cs="仿宋_GB2312"/>
          <w:color w:val="auto"/>
          <w:sz w:val="24"/>
          <w:szCs w:val="24"/>
          <w:highlight w:val="none"/>
        </w:rPr>
        <w:t>又参与了</w:t>
      </w:r>
      <w:r>
        <w:rPr>
          <w:rFonts w:hint="eastAsia" w:eastAsia="宋体" w:cs="仿宋_GB2312"/>
          <w:color w:val="auto"/>
          <w:sz w:val="24"/>
          <w:szCs w:val="24"/>
          <w:highlight w:val="none"/>
        </w:rPr>
        <w:t>本</w:t>
      </w:r>
      <w:r>
        <w:rPr>
          <w:rFonts w:eastAsia="宋体" w:cs="仿宋_GB2312"/>
          <w:color w:val="auto"/>
          <w:sz w:val="24"/>
          <w:szCs w:val="24"/>
          <w:highlight w:val="none"/>
        </w:rPr>
        <w:t>项目投标的</w:t>
      </w:r>
      <w:r>
        <w:rPr>
          <w:rFonts w:hint="eastAsia" w:eastAsia="宋体" w:cs="仿宋_GB2312"/>
          <w:color w:val="auto"/>
          <w:sz w:val="24"/>
          <w:szCs w:val="24"/>
          <w:highlight w:val="none"/>
        </w:rPr>
        <w:t>投标人</w:t>
      </w:r>
      <w:r>
        <w:rPr>
          <w:rFonts w:eastAsia="宋体" w:cs="仿宋_GB2312"/>
          <w:color w:val="auto"/>
          <w:sz w:val="24"/>
          <w:szCs w:val="24"/>
          <w:highlight w:val="none"/>
        </w:rPr>
        <w:t>将被视为完全认同</w:t>
      </w:r>
      <w:r>
        <w:rPr>
          <w:rFonts w:hint="eastAsia" w:eastAsia="宋体" w:cs="仿宋_GB2312"/>
          <w:color w:val="auto"/>
          <w:sz w:val="24"/>
          <w:szCs w:val="24"/>
          <w:highlight w:val="none"/>
        </w:rPr>
        <w:t>本</w:t>
      </w:r>
      <w:r>
        <w:rPr>
          <w:rFonts w:eastAsia="宋体" w:cs="仿宋_GB2312"/>
          <w:color w:val="auto"/>
          <w:sz w:val="24"/>
          <w:szCs w:val="24"/>
          <w:highlight w:val="none"/>
        </w:rPr>
        <w:t>招标文件（含</w:t>
      </w:r>
      <w:r>
        <w:rPr>
          <w:rFonts w:hint="eastAsia" w:eastAsia="宋体" w:cs="仿宋_GB2312"/>
          <w:color w:val="auto"/>
          <w:sz w:val="24"/>
          <w:szCs w:val="24"/>
          <w:highlight w:val="none"/>
        </w:rPr>
        <w:t>更正公告的</w:t>
      </w:r>
      <w:r>
        <w:rPr>
          <w:rFonts w:eastAsia="宋体" w:cs="仿宋_GB2312"/>
          <w:color w:val="auto"/>
          <w:sz w:val="24"/>
          <w:szCs w:val="24"/>
          <w:highlight w:val="none"/>
        </w:rPr>
        <w:t>内容）</w:t>
      </w:r>
      <w:r>
        <w:rPr>
          <w:rFonts w:hint="eastAsia" w:eastAsia="宋体" w:cs="仿宋_GB2312"/>
          <w:color w:val="auto"/>
          <w:sz w:val="24"/>
          <w:szCs w:val="24"/>
          <w:highlight w:val="none"/>
        </w:rPr>
        <w:t>。</w:t>
      </w:r>
    </w:p>
    <w:p w14:paraId="6F274E6E">
      <w:pPr>
        <w:pStyle w:val="37"/>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eastAsia="宋体"/>
          <w:color w:val="auto"/>
          <w:sz w:val="24"/>
          <w:highlight w:val="none"/>
        </w:rPr>
        <w:t>1</w:t>
      </w:r>
      <w:r>
        <w:rPr>
          <w:rFonts w:hint="eastAsia" w:eastAsia="宋体"/>
          <w:color w:val="auto"/>
          <w:sz w:val="24"/>
          <w:highlight w:val="none"/>
          <w:lang w:val="en-US" w:eastAsia="zh-CN"/>
        </w:rPr>
        <w:t>2</w:t>
      </w:r>
      <w:r>
        <w:rPr>
          <w:rFonts w:eastAsia="宋体"/>
          <w:color w:val="auto"/>
          <w:sz w:val="24"/>
          <w:highlight w:val="none"/>
        </w:rPr>
        <w:t>.</w:t>
      </w:r>
      <w:r>
        <w:rPr>
          <w:rFonts w:hint="eastAsia"/>
          <w:color w:val="auto"/>
          <w:sz w:val="24"/>
          <w:highlight w:val="none"/>
          <w:lang w:val="en-US" w:eastAsia="zh-CN"/>
        </w:rPr>
        <w:t>6</w:t>
      </w:r>
      <w:r>
        <w:rPr>
          <w:rFonts w:hint="eastAsia" w:eastAsia="宋体"/>
          <w:color w:val="auto"/>
          <w:sz w:val="24"/>
          <w:highlight w:val="none"/>
        </w:rPr>
        <w:t xml:space="preserve"> </w:t>
      </w:r>
      <w:r>
        <w:rPr>
          <w:rFonts w:hint="eastAsia" w:eastAsia="宋体" w:cs="仿宋_GB2312"/>
          <w:color w:val="auto"/>
          <w:sz w:val="24"/>
          <w:szCs w:val="24"/>
          <w:highlight w:val="none"/>
          <w:lang w:val="en-US" w:eastAsia="zh-CN"/>
        </w:rPr>
        <w:t>“</w:t>
      </w:r>
      <w:r>
        <w:rPr>
          <w:rFonts w:hint="eastAsia" w:eastAsia="宋体" w:cs="仿宋_GB2312"/>
          <w:color w:val="auto"/>
          <w:sz w:val="24"/>
          <w:szCs w:val="24"/>
          <w:highlight w:val="none"/>
        </w:rPr>
        <w:t>投标人须知”所称“</w:t>
      </w:r>
      <w:r>
        <w:rPr>
          <w:rFonts w:hint="eastAsia" w:eastAsia="宋体"/>
          <w:color w:val="auto"/>
          <w:sz w:val="24"/>
          <w:highlight w:val="none"/>
        </w:rPr>
        <w:t>书面形式</w:t>
      </w:r>
      <w:r>
        <w:rPr>
          <w:rFonts w:hint="eastAsia" w:eastAsia="宋体" w:cs="仿宋_GB2312"/>
          <w:color w:val="auto"/>
          <w:sz w:val="24"/>
          <w:szCs w:val="24"/>
          <w:highlight w:val="none"/>
        </w:rPr>
        <w:t>”</w:t>
      </w:r>
      <w:r>
        <w:rPr>
          <w:rFonts w:hint="eastAsia" w:eastAsia="宋体"/>
          <w:color w:val="auto"/>
          <w:sz w:val="24"/>
          <w:highlight w:val="none"/>
        </w:rPr>
        <w:t>包括系统消息、政府采购</w:t>
      </w:r>
      <w:r>
        <w:rPr>
          <w:rFonts w:hint="eastAsia" w:eastAsia="宋体"/>
          <w:color w:val="auto"/>
          <w:sz w:val="24"/>
          <w:highlight w:val="none"/>
          <w:lang w:val="en-US" w:eastAsia="zh-CN"/>
        </w:rPr>
        <w:t>云平台</w:t>
      </w:r>
      <w:r>
        <w:rPr>
          <w:rFonts w:hint="eastAsia" w:eastAsia="宋体"/>
          <w:color w:val="auto"/>
          <w:sz w:val="24"/>
          <w:highlight w:val="none"/>
        </w:rPr>
        <w:t>发布的公告。</w:t>
      </w:r>
    </w:p>
    <w:p w14:paraId="39FCE417">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lang w:val="en-US" w:eastAsia="zh-CN"/>
        </w:rPr>
        <w:t>12.7</w:t>
      </w:r>
      <w:r>
        <w:rPr>
          <w:rFonts w:hint="eastAsia" w:ascii="宋体" w:hAnsi="宋体" w:eastAsia="宋体" w:cs="宋体"/>
          <w:color w:val="auto"/>
          <w:kern w:val="2"/>
          <w:sz w:val="24"/>
          <w:szCs w:val="22"/>
          <w:highlight w:val="none"/>
        </w:rPr>
        <w:t>当招标文件的澄清、修改及其他答复等就同一内容的表述不一致时，以最后发布的内容为准。</w:t>
      </w:r>
    </w:p>
    <w:p w14:paraId="578320B0">
      <w:pPr>
        <w:pStyle w:val="4"/>
        <w:keepNext w:val="0"/>
        <w:keepLines w:val="0"/>
        <w:pageBreakBefore w:val="0"/>
        <w:widowControl w:val="0"/>
        <w:numPr>
          <w:ilvl w:val="0"/>
          <w:numId w:val="0"/>
        </w:numPr>
        <w:kinsoku/>
        <w:wordWrap/>
        <w:overflowPunct/>
        <w:topLinePunct w:val="0"/>
        <w:autoSpaceDE/>
        <w:autoSpaceDN/>
        <w:bidi w:val="0"/>
        <w:adjustRightInd/>
        <w:snapToGrid/>
        <w:spacing w:before="180" w:after="180" w:line="240" w:lineRule="auto"/>
        <w:ind w:left="420" w:leftChars="0" w:hanging="420" w:firstLineChars="0"/>
        <w:textAlignment w:val="auto"/>
        <w:rPr>
          <w:rFonts w:hint="eastAsia" w:ascii="宋体" w:hAnsi="宋体" w:eastAsia="宋体" w:cs="宋体"/>
          <w:b/>
          <w:bCs/>
          <w:color w:val="auto"/>
          <w:kern w:val="2"/>
          <w:sz w:val="24"/>
          <w:szCs w:val="32"/>
          <w:highlight w:val="none"/>
          <w:lang w:val="en-US" w:eastAsia="zh-CN" w:bidi="ar-SA"/>
        </w:rPr>
      </w:pPr>
      <w:bookmarkStart w:id="142" w:name="_Toc155185872"/>
      <w:bookmarkStart w:id="143" w:name="_Toc163492837"/>
      <w:r>
        <w:rPr>
          <w:rFonts w:hint="eastAsia" w:ascii="宋体" w:hAnsi="宋体" w:eastAsia="宋体" w:cs="宋体"/>
          <w:b/>
          <w:bCs/>
          <w:color w:val="auto"/>
          <w:kern w:val="2"/>
          <w:sz w:val="24"/>
          <w:szCs w:val="32"/>
          <w:highlight w:val="none"/>
          <w:lang w:val="en-US" w:eastAsia="zh-CN" w:bidi="ar-SA"/>
        </w:rPr>
        <w:t>（三）投标文件</w:t>
      </w:r>
      <w:bookmarkEnd w:id="142"/>
      <w:bookmarkEnd w:id="143"/>
    </w:p>
    <w:p w14:paraId="67D7EC68">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textAlignment w:val="auto"/>
        <w:rPr>
          <w:rFonts w:hint="default" w:ascii="宋体" w:hAnsi="宋体" w:eastAsia="宋体" w:cs="宋体"/>
          <w:b/>
          <w:bCs/>
          <w:color w:val="auto"/>
          <w:kern w:val="2"/>
          <w:sz w:val="24"/>
          <w:szCs w:val="28"/>
          <w:highlight w:val="none"/>
          <w:lang w:val="en-US" w:eastAsia="zh-CN" w:bidi="ar-SA"/>
        </w:rPr>
      </w:pPr>
      <w:bookmarkStart w:id="144" w:name="_Toc163492838"/>
      <w:r>
        <w:rPr>
          <w:rFonts w:hint="eastAsia" w:ascii="宋体" w:hAnsi="宋体" w:eastAsia="宋体" w:cs="宋体"/>
          <w:b/>
          <w:bCs/>
          <w:color w:val="auto"/>
          <w:kern w:val="2"/>
          <w:sz w:val="24"/>
          <w:szCs w:val="28"/>
          <w:highlight w:val="none"/>
          <w:lang w:val="en-US" w:eastAsia="zh-CN" w:bidi="ar-SA"/>
        </w:rPr>
        <w:t>13.投标文件的组成</w:t>
      </w:r>
      <w:bookmarkEnd w:id="144"/>
    </w:p>
    <w:p w14:paraId="174A0A3D">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2"/>
          <w:highlight w:val="none"/>
        </w:rPr>
      </w:pPr>
      <w:bookmarkStart w:id="145" w:name="_Toc140132772"/>
      <w:bookmarkStart w:id="146" w:name="_Toc163492839"/>
      <w:r>
        <w:rPr>
          <w:rFonts w:hint="eastAsia" w:ascii="宋体" w:hAnsi="宋体" w:eastAsia="宋体" w:cs="宋体"/>
          <w:color w:val="auto"/>
          <w:kern w:val="2"/>
          <w:sz w:val="24"/>
          <w:szCs w:val="22"/>
          <w:highlight w:val="none"/>
          <w:lang w:val="en-US" w:eastAsia="zh-CN"/>
        </w:rPr>
        <w:t>13</w:t>
      </w:r>
      <w:r>
        <w:rPr>
          <w:rFonts w:hint="eastAsia" w:ascii="宋体" w:hAnsi="宋体" w:eastAsia="宋体" w:cs="宋体"/>
          <w:color w:val="auto"/>
          <w:kern w:val="2"/>
          <w:sz w:val="24"/>
          <w:szCs w:val="22"/>
          <w:highlight w:val="none"/>
        </w:rPr>
        <w:t>.1投标人应完整地按招标文件提供的投标文件格式及要求编写投标文件，具体内容详见</w:t>
      </w:r>
      <w:r>
        <w:rPr>
          <w:rFonts w:hint="eastAsia" w:ascii="宋体" w:hAnsi="宋体" w:eastAsia="宋体" w:cs="宋体"/>
          <w:color w:val="auto"/>
          <w:kern w:val="2"/>
          <w:sz w:val="24"/>
          <w:szCs w:val="22"/>
          <w:highlight w:val="none"/>
          <w:lang w:eastAsia="zh-CN"/>
        </w:rPr>
        <w:t>“</w:t>
      </w:r>
      <w:r>
        <w:rPr>
          <w:rFonts w:hint="eastAsia" w:ascii="宋体" w:hAnsi="宋体" w:eastAsia="宋体" w:cs="宋体"/>
          <w:color w:val="auto"/>
          <w:kern w:val="2"/>
          <w:sz w:val="24"/>
          <w:szCs w:val="22"/>
          <w:highlight w:val="none"/>
          <w:lang w:val="en-US" w:eastAsia="zh-CN"/>
        </w:rPr>
        <w:t xml:space="preserve">第七章 </w:t>
      </w:r>
      <w:r>
        <w:rPr>
          <w:rFonts w:hint="eastAsia" w:ascii="宋体" w:hAnsi="宋体" w:eastAsia="宋体" w:cs="宋体"/>
          <w:color w:val="auto"/>
          <w:kern w:val="2"/>
          <w:sz w:val="24"/>
          <w:szCs w:val="22"/>
          <w:highlight w:val="none"/>
        </w:rPr>
        <w:t>投标文件格式</w:t>
      </w:r>
      <w:r>
        <w:rPr>
          <w:rFonts w:hint="eastAsia" w:ascii="宋体" w:hAnsi="宋体" w:eastAsia="宋体" w:cs="宋体"/>
          <w:color w:val="auto"/>
          <w:kern w:val="2"/>
          <w:sz w:val="24"/>
          <w:szCs w:val="22"/>
          <w:highlight w:val="none"/>
          <w:lang w:eastAsia="zh-CN"/>
        </w:rPr>
        <w:t>”</w:t>
      </w:r>
      <w:r>
        <w:rPr>
          <w:rFonts w:hint="eastAsia" w:ascii="宋体" w:hAnsi="宋体" w:eastAsia="宋体" w:cs="宋体"/>
          <w:color w:val="auto"/>
          <w:kern w:val="2"/>
          <w:sz w:val="24"/>
          <w:szCs w:val="22"/>
          <w:highlight w:val="none"/>
        </w:rPr>
        <w:t>的相关内容。</w:t>
      </w:r>
    </w:p>
    <w:p w14:paraId="3BB3A0B7">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2"/>
          <w:highlight w:val="none"/>
          <w:lang w:val="en-US" w:eastAsia="zh-CN"/>
        </w:rPr>
      </w:pPr>
      <w:r>
        <w:rPr>
          <w:rFonts w:hint="eastAsia" w:ascii="宋体" w:hAnsi="宋体" w:eastAsia="宋体" w:cs="宋体"/>
          <w:color w:val="auto"/>
          <w:kern w:val="2"/>
          <w:sz w:val="24"/>
          <w:szCs w:val="22"/>
          <w:highlight w:val="none"/>
          <w:lang w:val="en-US" w:eastAsia="zh-CN"/>
        </w:rPr>
        <w:t>13.2</w:t>
      </w:r>
      <w:r>
        <w:rPr>
          <w:rFonts w:hint="eastAsia" w:ascii="宋体" w:hAnsi="宋体" w:eastAsia="宋体" w:cs="宋体"/>
          <w:color w:val="auto"/>
          <w:kern w:val="2"/>
          <w:sz w:val="24"/>
          <w:szCs w:val="22"/>
          <w:highlight w:val="none"/>
        </w:rPr>
        <w:t>投标人应提交招标文件要求的证明文件，证明其投标内容符合招标文件规定</w:t>
      </w:r>
      <w:r>
        <w:rPr>
          <w:rFonts w:hint="eastAsia" w:ascii="宋体" w:hAnsi="宋体" w:eastAsia="宋体" w:cs="宋体"/>
          <w:color w:val="auto"/>
          <w:kern w:val="2"/>
          <w:sz w:val="24"/>
          <w:szCs w:val="22"/>
          <w:highlight w:val="none"/>
          <w:lang w:eastAsia="zh-CN"/>
        </w:rPr>
        <w:t>，</w:t>
      </w:r>
      <w:r>
        <w:rPr>
          <w:rFonts w:hint="eastAsia" w:ascii="宋体" w:hAnsi="宋体" w:eastAsia="宋体" w:cs="宋体"/>
          <w:color w:val="auto"/>
          <w:kern w:val="2"/>
          <w:sz w:val="24"/>
          <w:szCs w:val="22"/>
          <w:highlight w:val="none"/>
        </w:rPr>
        <w:t>该证明文件是投标文件的一部分</w:t>
      </w:r>
      <w:r>
        <w:rPr>
          <w:rFonts w:hint="eastAsia" w:ascii="宋体" w:hAnsi="宋体" w:eastAsia="宋体" w:cs="宋体"/>
          <w:color w:val="auto"/>
          <w:kern w:val="2"/>
          <w:sz w:val="24"/>
          <w:szCs w:val="22"/>
          <w:highlight w:val="none"/>
          <w:lang w:eastAsia="zh-CN"/>
        </w:rPr>
        <w:t>。</w:t>
      </w:r>
      <w:r>
        <w:rPr>
          <w:rFonts w:hint="eastAsia" w:ascii="宋体" w:hAnsi="宋体" w:eastAsia="宋体" w:cs="宋体"/>
          <w:color w:val="auto"/>
          <w:kern w:val="2"/>
          <w:sz w:val="24"/>
          <w:szCs w:val="22"/>
          <w:highlight w:val="none"/>
        </w:rPr>
        <w:t>证明文件</w:t>
      </w:r>
      <w:r>
        <w:rPr>
          <w:rFonts w:hint="eastAsia" w:ascii="宋体" w:hAnsi="宋体" w:eastAsia="宋体" w:cs="宋体"/>
          <w:color w:val="auto"/>
          <w:kern w:val="2"/>
          <w:sz w:val="24"/>
          <w:szCs w:val="22"/>
          <w:highlight w:val="none"/>
          <w:lang w:val="en-US" w:eastAsia="zh-CN"/>
        </w:rPr>
        <w:t>形式</w:t>
      </w:r>
      <w:r>
        <w:rPr>
          <w:rFonts w:hint="eastAsia" w:ascii="宋体" w:hAnsi="宋体" w:eastAsia="宋体" w:cs="宋体"/>
          <w:color w:val="auto"/>
          <w:kern w:val="2"/>
          <w:sz w:val="24"/>
          <w:szCs w:val="22"/>
          <w:highlight w:val="none"/>
        </w:rPr>
        <w:t>可以是文字资料、图纸和数据</w:t>
      </w:r>
      <w:bookmarkStart w:id="147" w:name="_Hlk11703583"/>
      <w:r>
        <w:rPr>
          <w:rFonts w:hint="eastAsia" w:ascii="宋体" w:hAnsi="宋体" w:eastAsia="宋体" w:cs="宋体"/>
          <w:color w:val="auto"/>
          <w:kern w:val="2"/>
          <w:sz w:val="24"/>
          <w:szCs w:val="22"/>
          <w:highlight w:val="none"/>
          <w:lang w:val="en-US" w:eastAsia="zh-CN"/>
        </w:rPr>
        <w:t>等。</w:t>
      </w:r>
    </w:p>
    <w:bookmarkEnd w:id="147"/>
    <w:p w14:paraId="781BBAEB">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2"/>
          <w:highlight w:val="none"/>
          <w:lang w:val="en-US" w:eastAsia="zh-CN"/>
        </w:rPr>
      </w:pPr>
      <w:r>
        <w:rPr>
          <w:rFonts w:hint="eastAsia" w:ascii="宋体" w:hAnsi="宋体" w:eastAsia="宋体" w:cs="宋体"/>
          <w:color w:val="auto"/>
          <w:kern w:val="2"/>
          <w:sz w:val="24"/>
          <w:szCs w:val="22"/>
          <w:highlight w:val="none"/>
          <w:lang w:val="en-US" w:eastAsia="zh-CN"/>
        </w:rPr>
        <w:t>13.3</w:t>
      </w:r>
      <w:r>
        <w:rPr>
          <w:rFonts w:hint="eastAsia" w:ascii="宋体" w:hAnsi="宋体" w:eastAsia="宋体" w:cs="宋体"/>
          <w:color w:val="auto"/>
          <w:kern w:val="2"/>
          <w:sz w:val="24"/>
          <w:szCs w:val="22"/>
          <w:highlight w:val="none"/>
        </w:rPr>
        <w:t>为保证公平公正，除非</w:t>
      </w:r>
      <w:r>
        <w:rPr>
          <w:rFonts w:hint="eastAsia" w:ascii="宋体" w:hAnsi="宋体" w:eastAsia="宋体" w:cs="宋体"/>
          <w:color w:val="auto"/>
          <w:kern w:val="2"/>
          <w:sz w:val="24"/>
          <w:szCs w:val="22"/>
          <w:highlight w:val="none"/>
          <w:lang w:val="en-US" w:eastAsia="zh-CN"/>
        </w:rPr>
        <w:t>本招标文件</w:t>
      </w:r>
      <w:r>
        <w:rPr>
          <w:rFonts w:hint="eastAsia" w:ascii="宋体" w:hAnsi="宋体" w:eastAsia="宋体" w:cs="宋体"/>
          <w:color w:val="auto"/>
          <w:kern w:val="2"/>
          <w:sz w:val="24"/>
          <w:szCs w:val="22"/>
          <w:highlight w:val="none"/>
        </w:rPr>
        <w:t>另有规定或说明，投标人对同一项目投标时，不得同时提供备选投标方案。</w:t>
      </w:r>
    </w:p>
    <w:p w14:paraId="2DB5A9E4">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r>
        <w:rPr>
          <w:rFonts w:hint="eastAsia" w:ascii="宋体" w:hAnsi="宋体" w:eastAsia="宋体" w:cs="宋体"/>
          <w:b/>
          <w:bCs/>
          <w:color w:val="auto"/>
          <w:kern w:val="2"/>
          <w:sz w:val="24"/>
          <w:szCs w:val="28"/>
          <w:highlight w:val="none"/>
          <w:lang w:val="en-US" w:eastAsia="zh-CN" w:bidi="ar-SA"/>
        </w:rPr>
        <w:t>14.投标报价</w:t>
      </w:r>
      <w:bookmarkEnd w:id="145"/>
      <w:bookmarkEnd w:id="146"/>
    </w:p>
    <w:p w14:paraId="3BD2CDC3">
      <w:pPr>
        <w:keepNext w:val="0"/>
        <w:keepLines w:val="0"/>
        <w:pageBreakBefore w:val="0"/>
        <w:widowControl w:val="0"/>
        <w:kinsoku/>
        <w:overflowPunct/>
        <w:topLinePunct w:val="0"/>
        <w:autoSpaceDE/>
        <w:autoSpaceDN/>
        <w:bidi w:val="0"/>
        <w:adjustRightInd/>
        <w:ind w:firstLine="480" w:firstLineChars="200"/>
        <w:textAlignment w:val="auto"/>
        <w:rPr>
          <w:rFonts w:eastAsia="宋体" w:cs="宋体"/>
          <w:snapToGrid w:val="0"/>
          <w:color w:val="auto"/>
          <w:sz w:val="24"/>
          <w:szCs w:val="24"/>
          <w:highlight w:val="none"/>
          <w:lang w:val="zh-CN"/>
        </w:rPr>
      </w:pPr>
      <w:r>
        <w:rPr>
          <w:rFonts w:eastAsia="宋体" w:cs="宋体"/>
          <w:snapToGrid w:val="0"/>
          <w:color w:val="auto"/>
          <w:sz w:val="24"/>
          <w:szCs w:val="24"/>
          <w:highlight w:val="none"/>
        </w:rPr>
        <w:t>1</w:t>
      </w:r>
      <w:r>
        <w:rPr>
          <w:rFonts w:hint="eastAsia" w:eastAsia="宋体" w:cs="宋体"/>
          <w:snapToGrid w:val="0"/>
          <w:color w:val="auto"/>
          <w:sz w:val="24"/>
          <w:szCs w:val="24"/>
          <w:highlight w:val="none"/>
          <w:lang w:val="en-US" w:eastAsia="zh-CN"/>
        </w:rPr>
        <w:t>4</w:t>
      </w:r>
      <w:r>
        <w:rPr>
          <w:rFonts w:hint="eastAsia" w:eastAsia="宋体" w:cs="宋体"/>
          <w:snapToGrid w:val="0"/>
          <w:color w:val="auto"/>
          <w:sz w:val="24"/>
          <w:szCs w:val="24"/>
          <w:highlight w:val="none"/>
        </w:rPr>
        <w:t xml:space="preserve">.1 </w:t>
      </w:r>
      <w:r>
        <w:rPr>
          <w:rFonts w:hint="eastAsia" w:eastAsia="宋体" w:cs="宋体"/>
          <w:snapToGrid w:val="0"/>
          <w:color w:val="auto"/>
          <w:sz w:val="24"/>
          <w:szCs w:val="24"/>
          <w:highlight w:val="none"/>
          <w:lang w:val="zh-CN"/>
        </w:rPr>
        <w:t>投标人的报价均应以人民币进行报价。</w:t>
      </w:r>
    </w:p>
    <w:p w14:paraId="6CC00543">
      <w:pPr>
        <w:keepNext w:val="0"/>
        <w:keepLines w:val="0"/>
        <w:pageBreakBefore w:val="0"/>
        <w:widowControl w:val="0"/>
        <w:kinsoku/>
        <w:overflowPunct/>
        <w:topLinePunct w:val="0"/>
        <w:autoSpaceDE/>
        <w:autoSpaceDN/>
        <w:bidi w:val="0"/>
        <w:adjustRightInd/>
        <w:ind w:firstLine="480" w:firstLineChars="200"/>
        <w:textAlignment w:val="auto"/>
        <w:rPr>
          <w:rFonts w:hint="eastAsia" w:eastAsia="宋体" w:cs="宋体"/>
          <w:snapToGrid w:val="0"/>
          <w:color w:val="auto"/>
          <w:sz w:val="24"/>
          <w:szCs w:val="24"/>
          <w:highlight w:val="none"/>
        </w:rPr>
      </w:pPr>
      <w:r>
        <w:rPr>
          <w:rFonts w:eastAsia="宋体" w:cs="宋体"/>
          <w:snapToGrid w:val="0"/>
          <w:color w:val="auto"/>
          <w:sz w:val="24"/>
          <w:szCs w:val="24"/>
          <w:highlight w:val="none"/>
        </w:rPr>
        <w:t>1</w:t>
      </w:r>
      <w:r>
        <w:rPr>
          <w:rFonts w:hint="eastAsia" w:eastAsia="宋体" w:cs="宋体"/>
          <w:snapToGrid w:val="0"/>
          <w:color w:val="auto"/>
          <w:sz w:val="24"/>
          <w:szCs w:val="24"/>
          <w:highlight w:val="none"/>
          <w:lang w:val="en-US" w:eastAsia="zh-CN"/>
        </w:rPr>
        <w:t>4</w:t>
      </w:r>
      <w:r>
        <w:rPr>
          <w:rFonts w:hint="eastAsia" w:eastAsia="宋体" w:cs="宋体"/>
          <w:snapToGrid w:val="0"/>
          <w:color w:val="auto"/>
          <w:sz w:val="24"/>
          <w:szCs w:val="24"/>
          <w:highlight w:val="none"/>
        </w:rPr>
        <w:t>.2 投标人应按照本招标文件规定的报价方式进行报价，投标报价中不得包含招标文件要求以外的内容，否则，在评标时不予核减。投标报价中也不得</w:t>
      </w:r>
      <w:r>
        <w:rPr>
          <w:rFonts w:hint="eastAsia" w:eastAsia="宋体" w:cs="宋体"/>
          <w:snapToGrid w:val="0"/>
          <w:color w:val="auto"/>
          <w:sz w:val="24"/>
          <w:szCs w:val="24"/>
          <w:highlight w:val="none"/>
          <w:lang w:val="en-US" w:eastAsia="zh-CN"/>
        </w:rPr>
        <w:t>缺</w:t>
      </w:r>
      <w:r>
        <w:rPr>
          <w:rFonts w:hint="eastAsia" w:eastAsia="宋体" w:cs="宋体"/>
          <w:snapToGrid w:val="0"/>
          <w:color w:val="auto"/>
          <w:sz w:val="24"/>
          <w:szCs w:val="24"/>
          <w:highlight w:val="none"/>
        </w:rPr>
        <w:t>漏招标文件所要求的内容，否则其</w:t>
      </w:r>
      <w:r>
        <w:rPr>
          <w:rFonts w:hint="eastAsia" w:eastAsia="宋体" w:cs="宋体"/>
          <w:b/>
          <w:bCs/>
          <w:snapToGrid w:val="0"/>
          <w:color w:val="auto"/>
          <w:sz w:val="24"/>
          <w:szCs w:val="24"/>
          <w:highlight w:val="none"/>
        </w:rPr>
        <w:t>投标无效</w:t>
      </w:r>
      <w:r>
        <w:rPr>
          <w:rFonts w:hint="eastAsia" w:eastAsia="宋体" w:cs="宋体"/>
          <w:snapToGrid w:val="0"/>
          <w:color w:val="auto"/>
          <w:sz w:val="24"/>
          <w:szCs w:val="24"/>
          <w:highlight w:val="none"/>
        </w:rPr>
        <w:t>。</w:t>
      </w:r>
    </w:p>
    <w:p w14:paraId="1197AD09">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color w:val="auto"/>
          <w:kern w:val="2"/>
          <w:sz w:val="24"/>
          <w:szCs w:val="22"/>
          <w:highlight w:val="none"/>
        </w:rPr>
      </w:pPr>
      <w:r>
        <w:rPr>
          <w:rFonts w:hint="eastAsia" w:eastAsia="宋体" w:cs="宋体"/>
          <w:color w:val="auto"/>
          <w:kern w:val="2"/>
          <w:sz w:val="24"/>
          <w:szCs w:val="22"/>
          <w:highlight w:val="none"/>
          <w:lang w:val="en-US" w:eastAsia="zh-CN"/>
        </w:rPr>
        <w:t>投标人的报价应包括为完成本项目所发生的一切费用和税费，采购人将不再支付报价以外的任何费用。</w:t>
      </w:r>
      <w:r>
        <w:rPr>
          <w:rFonts w:hint="eastAsia" w:ascii="宋体" w:hAnsi="宋体" w:eastAsia="宋体" w:cs="宋体"/>
          <w:color w:val="auto"/>
          <w:kern w:val="2"/>
          <w:sz w:val="24"/>
          <w:szCs w:val="22"/>
          <w:highlight w:val="none"/>
        </w:rPr>
        <w:t>只要投报了一个确定数额的总价，无论分项价格是否全部填报了相应的金额或免费字样，</w:t>
      </w:r>
      <w:r>
        <w:rPr>
          <w:rFonts w:hint="eastAsia" w:eastAsia="宋体" w:cs="宋体"/>
          <w:color w:val="auto"/>
          <w:kern w:val="2"/>
          <w:sz w:val="24"/>
          <w:szCs w:val="22"/>
          <w:highlight w:val="none"/>
          <w:lang w:val="en-US" w:eastAsia="zh-CN"/>
        </w:rPr>
        <w:t>该报价应被视为已包含但不限</w:t>
      </w:r>
      <w:r>
        <w:rPr>
          <w:rFonts w:hint="eastAsia" w:ascii="宋体" w:hAnsi="宋体" w:eastAsia="宋体" w:cs="宋体"/>
          <w:color w:val="auto"/>
          <w:kern w:val="2"/>
          <w:sz w:val="24"/>
          <w:szCs w:val="22"/>
          <w:highlight w:val="none"/>
        </w:rPr>
        <w:t>于各项购买货物及其运送、安装、调试、验收、保险和相关服务等的费用和所需缴纳的所有价格、税、费。在其他情况下，由于分项报价填报不完整、不清楚或存在其他任何失误，所导致的任何不利后果均应当由投标人自行承担。</w:t>
      </w:r>
    </w:p>
    <w:p w14:paraId="41BDFD38">
      <w:pPr>
        <w:pStyle w:val="10"/>
        <w:keepNext w:val="0"/>
        <w:keepLines w:val="0"/>
        <w:pageBreakBefore w:val="0"/>
        <w:widowControl w:val="0"/>
        <w:kinsoku/>
        <w:overflowPunct/>
        <w:topLinePunct w:val="0"/>
        <w:autoSpaceDE/>
        <w:autoSpaceDN/>
        <w:bidi w:val="0"/>
        <w:adjustRightInd/>
        <w:textAlignment w:val="auto"/>
        <w:rPr>
          <w:rFonts w:hint="eastAsia" w:eastAsia="宋体" w:cs="宋体"/>
          <w:color w:val="auto"/>
          <w:kern w:val="2"/>
          <w:sz w:val="24"/>
          <w:szCs w:val="22"/>
          <w:highlight w:val="none"/>
          <w:lang w:val="en-US" w:eastAsia="zh-CN"/>
        </w:rPr>
      </w:pPr>
      <w:r>
        <w:rPr>
          <w:rFonts w:hint="eastAsia" w:eastAsia="宋体" w:cs="宋体"/>
          <w:color w:val="auto"/>
          <w:kern w:val="2"/>
          <w:sz w:val="24"/>
          <w:szCs w:val="22"/>
          <w:highlight w:val="none"/>
          <w:lang w:val="en-US" w:eastAsia="zh-CN"/>
        </w:rPr>
        <w:t xml:space="preserve">投标人的报价应包括但不限于下列内容： </w:t>
      </w:r>
    </w:p>
    <w:p w14:paraId="4342C0DA">
      <w:pPr>
        <w:pStyle w:val="10"/>
        <w:keepNext w:val="0"/>
        <w:keepLines w:val="0"/>
        <w:pageBreakBefore w:val="0"/>
        <w:widowControl w:val="0"/>
        <w:kinsoku/>
        <w:overflowPunct/>
        <w:topLinePunct w:val="0"/>
        <w:autoSpaceDE/>
        <w:autoSpaceDN/>
        <w:bidi w:val="0"/>
        <w:adjustRightInd/>
        <w:textAlignment w:val="auto"/>
        <w:rPr>
          <w:rFonts w:hint="eastAsia" w:eastAsia="宋体" w:cs="宋体"/>
          <w:color w:val="auto"/>
          <w:kern w:val="2"/>
          <w:sz w:val="24"/>
          <w:szCs w:val="22"/>
          <w:highlight w:val="none"/>
          <w:lang w:val="en-US" w:eastAsia="zh-CN"/>
        </w:rPr>
      </w:pPr>
      <w:r>
        <w:rPr>
          <w:rFonts w:hint="eastAsia" w:ascii="宋体" w:hAnsi="宋体" w:eastAsia="宋体" w:cs="宋体"/>
          <w:snapToGrid w:val="0"/>
          <w:color w:val="auto"/>
          <w:kern w:val="2"/>
          <w:sz w:val="24"/>
          <w:szCs w:val="24"/>
          <w:highlight w:val="none"/>
          <w:lang w:val="en-US" w:eastAsia="zh-CN" w:bidi="ar-SA"/>
        </w:rPr>
        <w:t>14.2.1 投标货物及标准附件、备品备件、专用工具等的出厂价（包括已在中</w:t>
      </w:r>
      <w:r>
        <w:rPr>
          <w:rFonts w:hint="eastAsia" w:eastAsia="宋体" w:cs="宋体"/>
          <w:color w:val="auto"/>
          <w:kern w:val="2"/>
          <w:sz w:val="24"/>
          <w:szCs w:val="22"/>
          <w:highlight w:val="none"/>
          <w:lang w:val="en-US" w:eastAsia="zh-CN"/>
        </w:rPr>
        <w:t xml:space="preserve">国国内的进口货物完税后的仓库交货价、展室交货价或货架交货价）和运至最终目的地的运输费和保险费，安装调试、检验、技术服务、培训、质量保证、售后服务、税费等； </w:t>
      </w:r>
    </w:p>
    <w:p w14:paraId="412F0384">
      <w:pPr>
        <w:pStyle w:val="1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kern w:val="2"/>
          <w:sz w:val="24"/>
          <w:szCs w:val="24"/>
          <w:highlight w:val="none"/>
          <w:lang w:val="en-US" w:eastAsia="zh-CN" w:bidi="ar-SA"/>
        </w:rPr>
      </w:pPr>
      <w:r>
        <w:rPr>
          <w:rFonts w:hint="eastAsia" w:ascii="宋体" w:hAnsi="宋体" w:eastAsia="宋体" w:cs="宋体"/>
          <w:snapToGrid w:val="0"/>
          <w:color w:val="auto"/>
          <w:kern w:val="2"/>
          <w:sz w:val="24"/>
          <w:szCs w:val="24"/>
          <w:highlight w:val="none"/>
          <w:lang w:val="en-US" w:eastAsia="zh-CN" w:bidi="ar-SA"/>
        </w:rPr>
        <w:t>14.2.2 按照招标文件要求完成本项目的全部相关费用。</w:t>
      </w:r>
    </w:p>
    <w:p w14:paraId="3EFD841C">
      <w:pPr>
        <w:keepNext w:val="0"/>
        <w:keepLines w:val="0"/>
        <w:pageBreakBefore w:val="0"/>
        <w:widowControl w:val="0"/>
        <w:kinsoku/>
        <w:overflowPunct/>
        <w:topLinePunct w:val="0"/>
        <w:autoSpaceDE/>
        <w:autoSpaceDN/>
        <w:bidi w:val="0"/>
        <w:adjustRightInd/>
        <w:ind w:firstLine="480" w:firstLineChars="200"/>
        <w:textAlignment w:val="auto"/>
        <w:rPr>
          <w:rFonts w:eastAsia="宋体" w:cs="宋体"/>
          <w:snapToGrid w:val="0"/>
          <w:color w:val="auto"/>
          <w:sz w:val="24"/>
          <w:szCs w:val="24"/>
          <w:highlight w:val="none"/>
          <w:lang w:val="zh-CN"/>
        </w:rPr>
      </w:pPr>
      <w:r>
        <w:rPr>
          <w:rFonts w:eastAsia="宋体" w:cs="宋体"/>
          <w:snapToGrid w:val="0"/>
          <w:color w:val="auto"/>
          <w:sz w:val="24"/>
          <w:szCs w:val="24"/>
          <w:highlight w:val="none"/>
        </w:rPr>
        <w:t>1</w:t>
      </w:r>
      <w:r>
        <w:rPr>
          <w:rFonts w:hint="eastAsia" w:eastAsia="宋体" w:cs="宋体"/>
          <w:snapToGrid w:val="0"/>
          <w:color w:val="auto"/>
          <w:sz w:val="24"/>
          <w:szCs w:val="24"/>
          <w:highlight w:val="none"/>
          <w:lang w:val="en-US" w:eastAsia="zh-CN"/>
        </w:rPr>
        <w:t>4</w:t>
      </w:r>
      <w:r>
        <w:rPr>
          <w:rFonts w:hint="eastAsia" w:eastAsia="宋体" w:cs="宋体"/>
          <w:snapToGrid w:val="0"/>
          <w:color w:val="auto"/>
          <w:sz w:val="24"/>
          <w:szCs w:val="24"/>
          <w:highlight w:val="none"/>
        </w:rPr>
        <w:t xml:space="preserve">.3 </w:t>
      </w:r>
      <w:r>
        <w:rPr>
          <w:rFonts w:hint="eastAsia" w:ascii="宋体" w:hAnsi="宋体" w:eastAsia="宋体" w:cs="宋体"/>
          <w:color w:val="auto"/>
          <w:kern w:val="2"/>
          <w:sz w:val="24"/>
          <w:szCs w:val="22"/>
          <w:highlight w:val="none"/>
        </w:rPr>
        <w:t>投标人须严格按照</w:t>
      </w:r>
      <w:r>
        <w:rPr>
          <w:rFonts w:hint="eastAsia" w:eastAsia="宋体" w:cs="宋体"/>
          <w:color w:val="auto"/>
          <w:kern w:val="2"/>
          <w:sz w:val="24"/>
          <w:szCs w:val="22"/>
          <w:highlight w:val="none"/>
          <w:lang w:val="en-US" w:eastAsia="zh-CN"/>
        </w:rPr>
        <w:t>分项</w:t>
      </w:r>
      <w:r>
        <w:rPr>
          <w:rFonts w:hint="eastAsia" w:ascii="宋体" w:hAnsi="宋体" w:eastAsia="宋体" w:cs="宋体"/>
          <w:color w:val="auto"/>
          <w:kern w:val="2"/>
          <w:sz w:val="24"/>
          <w:szCs w:val="22"/>
          <w:highlight w:val="none"/>
        </w:rPr>
        <w:t>报价表规定的内容填写货物单价以及其他事项。</w:t>
      </w:r>
      <w:r>
        <w:rPr>
          <w:rFonts w:hint="eastAsia" w:eastAsia="宋体" w:cs="宋体"/>
          <w:snapToGrid w:val="0"/>
          <w:color w:val="auto"/>
          <w:sz w:val="24"/>
          <w:szCs w:val="24"/>
          <w:highlight w:val="none"/>
          <w:lang w:val="zh-CN"/>
        </w:rPr>
        <w:t>投标人应根据本招标文件的规定和要求、市场价格水平及其走势、投标人的管理水平、投标人的方案和由这些因素决定的投标人之于本项目的成本水平等提出自己的报价。报价应合理，并包含完成本招标文件采购需求全部内容的所有费用，所有根据本招标文件或其它原因应由投标人支付的税款和其他应</w:t>
      </w:r>
      <w:r>
        <w:rPr>
          <w:rFonts w:hint="eastAsia" w:eastAsia="宋体" w:cs="宋体"/>
          <w:snapToGrid w:val="0"/>
          <w:color w:val="auto"/>
          <w:sz w:val="24"/>
          <w:szCs w:val="24"/>
          <w:highlight w:val="none"/>
          <w:lang w:val="en-US" w:eastAsia="zh-CN"/>
        </w:rPr>
        <w:t>缴</w:t>
      </w:r>
      <w:r>
        <w:rPr>
          <w:rFonts w:hint="eastAsia" w:eastAsia="宋体" w:cs="宋体"/>
          <w:snapToGrid w:val="0"/>
          <w:color w:val="auto"/>
          <w:sz w:val="24"/>
          <w:szCs w:val="24"/>
          <w:highlight w:val="none"/>
          <w:lang w:val="zh-CN"/>
        </w:rPr>
        <w:t>纳的费用都应包括在投标人提交的投标报价中。</w:t>
      </w:r>
    </w:p>
    <w:p w14:paraId="5E3B6519">
      <w:pPr>
        <w:keepNext w:val="0"/>
        <w:keepLines w:val="0"/>
        <w:pageBreakBefore w:val="0"/>
        <w:widowControl w:val="0"/>
        <w:kinsoku/>
        <w:overflowPunct/>
        <w:topLinePunct w:val="0"/>
        <w:autoSpaceDE/>
        <w:autoSpaceDN/>
        <w:bidi w:val="0"/>
        <w:adjustRightInd/>
        <w:ind w:firstLine="480" w:firstLineChars="200"/>
        <w:textAlignment w:val="auto"/>
        <w:rPr>
          <w:rFonts w:eastAsia="宋体" w:cs="宋体"/>
          <w:snapToGrid w:val="0"/>
          <w:color w:val="auto"/>
          <w:sz w:val="24"/>
          <w:szCs w:val="24"/>
          <w:highlight w:val="none"/>
        </w:rPr>
      </w:pPr>
      <w:r>
        <w:rPr>
          <w:rFonts w:eastAsia="宋体" w:cs="宋体"/>
          <w:snapToGrid w:val="0"/>
          <w:color w:val="auto"/>
          <w:sz w:val="24"/>
          <w:szCs w:val="24"/>
          <w:highlight w:val="none"/>
        </w:rPr>
        <w:t>1</w:t>
      </w:r>
      <w:r>
        <w:rPr>
          <w:rFonts w:hint="eastAsia" w:eastAsia="宋体" w:cs="宋体"/>
          <w:snapToGrid w:val="0"/>
          <w:color w:val="auto"/>
          <w:sz w:val="24"/>
          <w:szCs w:val="24"/>
          <w:highlight w:val="none"/>
          <w:lang w:val="en-US" w:eastAsia="zh-CN"/>
        </w:rPr>
        <w:t>4</w:t>
      </w:r>
      <w:r>
        <w:rPr>
          <w:rFonts w:hint="eastAsia" w:eastAsia="宋体" w:cs="宋体"/>
          <w:snapToGrid w:val="0"/>
          <w:color w:val="auto"/>
          <w:sz w:val="24"/>
          <w:szCs w:val="24"/>
          <w:highlight w:val="none"/>
        </w:rPr>
        <w:t>.4 投标人在投标文件中注明免费的项目将视为包含在投标报价中。</w:t>
      </w:r>
    </w:p>
    <w:p w14:paraId="78B9FFCD">
      <w:pPr>
        <w:pStyle w:val="10"/>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ascii="宋体" w:hAnsi="宋体" w:eastAsia="宋体" w:cs="宋体"/>
          <w:snapToGrid w:val="0"/>
          <w:color w:val="auto"/>
          <w:kern w:val="2"/>
          <w:sz w:val="24"/>
          <w:szCs w:val="24"/>
          <w:highlight w:val="none"/>
          <w:lang w:val="en-US" w:eastAsia="zh-CN" w:bidi="ar-SA"/>
        </w:rPr>
        <w:t>1</w:t>
      </w:r>
      <w:r>
        <w:rPr>
          <w:rFonts w:hint="eastAsia" w:ascii="宋体" w:hAnsi="宋体" w:eastAsia="宋体" w:cs="宋体"/>
          <w:snapToGrid w:val="0"/>
          <w:color w:val="auto"/>
          <w:kern w:val="2"/>
          <w:sz w:val="24"/>
          <w:szCs w:val="24"/>
          <w:highlight w:val="none"/>
          <w:lang w:val="en-US" w:eastAsia="zh-CN" w:bidi="ar-SA"/>
        </w:rPr>
        <w:t>4.5 每一</w:t>
      </w:r>
      <w:r>
        <w:rPr>
          <w:rFonts w:hint="eastAsia" w:eastAsia="宋体" w:cs="宋体"/>
          <w:snapToGrid w:val="0"/>
          <w:color w:val="auto"/>
          <w:sz w:val="24"/>
          <w:szCs w:val="24"/>
          <w:highlight w:val="none"/>
        </w:rPr>
        <w:t>种采购内容只允许有一个报价，否则其</w:t>
      </w:r>
      <w:r>
        <w:rPr>
          <w:rFonts w:hint="eastAsia" w:eastAsia="宋体" w:cs="宋体"/>
          <w:b/>
          <w:bCs/>
          <w:snapToGrid w:val="0"/>
          <w:color w:val="auto"/>
          <w:sz w:val="24"/>
          <w:szCs w:val="24"/>
          <w:highlight w:val="none"/>
        </w:rPr>
        <w:t>投标无效</w:t>
      </w:r>
      <w:r>
        <w:rPr>
          <w:rFonts w:hint="eastAsia" w:eastAsia="宋体" w:cs="宋体"/>
          <w:snapToGrid w:val="0"/>
          <w:color w:val="auto"/>
          <w:sz w:val="24"/>
          <w:szCs w:val="24"/>
          <w:highlight w:val="none"/>
        </w:rPr>
        <w:t>。</w:t>
      </w:r>
      <w:r>
        <w:rPr>
          <w:rFonts w:hint="eastAsia" w:ascii="宋体" w:hAnsi="宋体" w:eastAsia="宋体" w:cs="宋体"/>
          <w:color w:val="auto"/>
          <w:kern w:val="2"/>
          <w:sz w:val="24"/>
          <w:szCs w:val="22"/>
          <w:highlight w:val="none"/>
        </w:rPr>
        <w:t>除非招标文件另有规定，不接受可选择或可调整的投标方案和报价，任何有选择的或可调整的投标方案和报价将被视为非</w:t>
      </w:r>
      <w:r>
        <w:rPr>
          <w:rFonts w:hint="eastAsia" w:ascii="宋体" w:hAnsi="宋体" w:eastAsia="宋体" w:cs="宋体"/>
          <w:color w:val="auto"/>
          <w:kern w:val="2"/>
          <w:sz w:val="24"/>
          <w:szCs w:val="22"/>
          <w:highlight w:val="none"/>
          <w:lang w:val="en-US" w:eastAsia="zh-CN"/>
        </w:rPr>
        <w:t>实质性</w:t>
      </w:r>
      <w:r>
        <w:rPr>
          <w:rFonts w:hint="eastAsia" w:ascii="宋体" w:hAnsi="宋体" w:eastAsia="宋体" w:cs="宋体"/>
          <w:color w:val="auto"/>
          <w:kern w:val="2"/>
          <w:sz w:val="24"/>
          <w:szCs w:val="22"/>
          <w:highlight w:val="none"/>
        </w:rPr>
        <w:t>响应</w:t>
      </w:r>
      <w:r>
        <w:rPr>
          <w:rFonts w:hint="eastAsia" w:ascii="宋体" w:hAnsi="宋体" w:eastAsia="宋体" w:cs="宋体"/>
          <w:color w:val="auto"/>
          <w:kern w:val="2"/>
          <w:sz w:val="24"/>
          <w:szCs w:val="22"/>
          <w:highlight w:val="none"/>
          <w:lang w:val="en-US" w:eastAsia="zh-CN"/>
        </w:rPr>
        <w:t>招标文件,其</w:t>
      </w:r>
      <w:r>
        <w:rPr>
          <w:rFonts w:hint="eastAsia" w:eastAsia="宋体" w:cs="宋体"/>
          <w:b/>
          <w:bCs/>
          <w:snapToGrid w:val="0"/>
          <w:color w:val="auto"/>
          <w:sz w:val="24"/>
          <w:szCs w:val="24"/>
          <w:highlight w:val="none"/>
          <w:lang w:eastAsia="zh-CN"/>
        </w:rPr>
        <w:t>投标无效</w:t>
      </w:r>
      <w:r>
        <w:rPr>
          <w:rFonts w:hint="eastAsia" w:ascii="宋体" w:hAnsi="宋体" w:eastAsia="宋体" w:cs="宋体"/>
          <w:color w:val="auto"/>
          <w:kern w:val="2"/>
          <w:sz w:val="24"/>
          <w:szCs w:val="22"/>
          <w:highlight w:val="none"/>
        </w:rPr>
        <w:t>。</w:t>
      </w:r>
    </w:p>
    <w:p w14:paraId="234C15F2">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4</w:t>
      </w:r>
      <w:r>
        <w:rPr>
          <w:rFonts w:eastAsia="宋体" w:cs="仿宋_GB2312"/>
          <w:color w:val="auto"/>
          <w:sz w:val="24"/>
          <w:szCs w:val="24"/>
          <w:highlight w:val="none"/>
        </w:rPr>
        <w:t>.</w:t>
      </w:r>
      <w:r>
        <w:rPr>
          <w:rFonts w:hint="eastAsia" w:eastAsia="宋体" w:cs="仿宋_GB2312"/>
          <w:color w:val="auto"/>
          <w:sz w:val="24"/>
          <w:szCs w:val="24"/>
          <w:highlight w:val="none"/>
          <w:lang w:val="en-US" w:eastAsia="zh-CN"/>
        </w:rPr>
        <w:t xml:space="preserve">6 </w:t>
      </w:r>
      <w:r>
        <w:rPr>
          <w:rFonts w:hint="eastAsia" w:eastAsia="宋体" w:cs="仿宋_GB2312"/>
          <w:color w:val="auto"/>
          <w:sz w:val="24"/>
          <w:szCs w:val="24"/>
          <w:highlight w:val="none"/>
        </w:rPr>
        <w:t>投标报价不得超过“</w:t>
      </w:r>
      <w:r>
        <w:rPr>
          <w:rFonts w:hint="eastAsia" w:eastAsia="宋体"/>
          <w:color w:val="auto"/>
          <w:sz w:val="24"/>
          <w:highlight w:val="none"/>
          <w:lang w:val="en-US" w:eastAsia="zh-CN"/>
        </w:rPr>
        <w:t>第一章 招标公告</w:t>
      </w:r>
      <w:r>
        <w:rPr>
          <w:rFonts w:hint="eastAsia" w:eastAsia="宋体" w:cs="仿宋_GB2312"/>
          <w:color w:val="auto"/>
          <w:sz w:val="24"/>
          <w:szCs w:val="24"/>
          <w:highlight w:val="none"/>
        </w:rPr>
        <w:t>”中规定的最高投标限价</w:t>
      </w:r>
      <w:r>
        <w:rPr>
          <w:rFonts w:hint="eastAsia" w:ascii="宋体" w:hAnsi="宋体" w:eastAsia="宋体"/>
          <w:color w:val="auto"/>
          <w:sz w:val="24"/>
          <w:highlight w:val="none"/>
          <w:lang w:val="en-US" w:eastAsia="zh-CN"/>
        </w:rPr>
        <w:t>或者预算金额</w:t>
      </w:r>
      <w:r>
        <w:rPr>
          <w:rFonts w:hint="eastAsia" w:eastAsia="宋体" w:cs="仿宋_GB2312"/>
          <w:color w:val="auto"/>
          <w:sz w:val="24"/>
          <w:szCs w:val="24"/>
          <w:highlight w:val="none"/>
        </w:rPr>
        <w:t>，否则</w:t>
      </w:r>
      <w:r>
        <w:rPr>
          <w:rFonts w:eastAsia="宋体" w:cs="仿宋_GB2312"/>
          <w:color w:val="auto"/>
          <w:sz w:val="24"/>
          <w:szCs w:val="24"/>
          <w:highlight w:val="none"/>
        </w:rPr>
        <w:t>评标委员会将</w:t>
      </w:r>
      <w:r>
        <w:rPr>
          <w:rFonts w:hint="eastAsia" w:eastAsia="宋体" w:cs="仿宋_GB2312"/>
          <w:b w:val="0"/>
          <w:bCs w:val="0"/>
          <w:color w:val="auto"/>
          <w:sz w:val="24"/>
          <w:szCs w:val="24"/>
          <w:highlight w:val="none"/>
          <w:lang w:val="en-US" w:eastAsia="zh-CN"/>
        </w:rPr>
        <w:t>对</w:t>
      </w:r>
      <w:r>
        <w:rPr>
          <w:rFonts w:eastAsia="宋体" w:cs="仿宋_GB2312"/>
          <w:b w:val="0"/>
          <w:bCs w:val="0"/>
          <w:color w:val="auto"/>
          <w:sz w:val="24"/>
          <w:szCs w:val="24"/>
          <w:highlight w:val="none"/>
        </w:rPr>
        <w:t>其</w:t>
      </w:r>
      <w:r>
        <w:rPr>
          <w:rFonts w:hint="eastAsia" w:eastAsia="宋体" w:cs="仿宋_GB2312"/>
          <w:b w:val="0"/>
          <w:bCs w:val="0"/>
          <w:color w:val="auto"/>
          <w:sz w:val="24"/>
          <w:szCs w:val="24"/>
          <w:highlight w:val="none"/>
          <w:lang w:val="en-US" w:eastAsia="zh-CN"/>
        </w:rPr>
        <w:t>作</w:t>
      </w:r>
      <w:r>
        <w:rPr>
          <w:rFonts w:hint="eastAsia" w:eastAsia="宋体" w:cs="仿宋_GB2312"/>
          <w:b/>
          <w:bCs/>
          <w:color w:val="auto"/>
          <w:sz w:val="24"/>
          <w:szCs w:val="24"/>
          <w:highlight w:val="none"/>
          <w:lang w:val="en-US" w:eastAsia="zh-CN"/>
        </w:rPr>
        <w:t>无效</w:t>
      </w:r>
      <w:r>
        <w:rPr>
          <w:rFonts w:eastAsia="宋体" w:cs="仿宋_GB2312"/>
          <w:b/>
          <w:bCs/>
          <w:color w:val="auto"/>
          <w:sz w:val="24"/>
          <w:szCs w:val="24"/>
          <w:highlight w:val="none"/>
        </w:rPr>
        <w:t>投标</w:t>
      </w:r>
      <w:r>
        <w:rPr>
          <w:rFonts w:hint="eastAsia" w:eastAsia="宋体" w:cs="仿宋_GB2312"/>
          <w:b/>
          <w:bCs/>
          <w:color w:val="auto"/>
          <w:sz w:val="24"/>
          <w:szCs w:val="24"/>
          <w:highlight w:val="none"/>
          <w:lang w:val="en-US" w:eastAsia="zh-CN"/>
        </w:rPr>
        <w:t>处理</w:t>
      </w:r>
      <w:r>
        <w:rPr>
          <w:rFonts w:eastAsia="宋体" w:cs="仿宋_GB2312"/>
          <w:color w:val="auto"/>
          <w:sz w:val="24"/>
          <w:szCs w:val="24"/>
          <w:highlight w:val="none"/>
        </w:rPr>
        <w:t>。</w:t>
      </w:r>
    </w:p>
    <w:p w14:paraId="313FA63F">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1</w:t>
      </w:r>
      <w:r>
        <w:rPr>
          <w:rFonts w:hint="eastAsia" w:ascii="宋体" w:hAnsi="宋体" w:eastAsia="宋体" w:cs="宋体"/>
          <w:color w:val="auto"/>
          <w:kern w:val="2"/>
          <w:sz w:val="24"/>
          <w:szCs w:val="22"/>
          <w:highlight w:val="none"/>
          <w:lang w:val="en-US" w:eastAsia="zh-CN"/>
        </w:rPr>
        <w:t>4</w:t>
      </w:r>
      <w:r>
        <w:rPr>
          <w:rFonts w:hint="eastAsia" w:ascii="宋体" w:hAnsi="宋体" w:eastAsia="宋体" w:cs="宋体"/>
          <w:color w:val="auto"/>
          <w:kern w:val="2"/>
          <w:sz w:val="24"/>
          <w:szCs w:val="22"/>
          <w:highlight w:val="none"/>
        </w:rPr>
        <w:t>.</w:t>
      </w:r>
      <w:r>
        <w:rPr>
          <w:rFonts w:hint="eastAsia" w:ascii="宋体" w:hAnsi="宋体" w:eastAsia="宋体" w:cs="宋体"/>
          <w:color w:val="auto"/>
          <w:kern w:val="2"/>
          <w:sz w:val="24"/>
          <w:szCs w:val="22"/>
          <w:highlight w:val="none"/>
          <w:lang w:val="en-US" w:eastAsia="zh-CN"/>
        </w:rPr>
        <w:t xml:space="preserve">7 </w:t>
      </w:r>
      <w:r>
        <w:rPr>
          <w:rFonts w:hint="eastAsia" w:ascii="宋体" w:hAnsi="宋体" w:eastAsia="宋体" w:cs="宋体"/>
          <w:color w:val="auto"/>
          <w:kern w:val="2"/>
          <w:sz w:val="24"/>
          <w:szCs w:val="22"/>
          <w:highlight w:val="none"/>
        </w:rPr>
        <w:t>投标人对投标报价若有说明应在投标文件中显著处注明。</w:t>
      </w:r>
    </w:p>
    <w:p w14:paraId="2DE4CF29">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除政策性文件规定以外，投标人所报价格在合同实施期间不因市场变化因素而变动。</w:t>
      </w:r>
    </w:p>
    <w:p w14:paraId="2C302D73">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1</w:t>
      </w:r>
      <w:r>
        <w:rPr>
          <w:rFonts w:hint="eastAsia" w:ascii="宋体" w:hAnsi="宋体" w:eastAsia="宋体" w:cs="宋体"/>
          <w:color w:val="auto"/>
          <w:kern w:val="2"/>
          <w:sz w:val="24"/>
          <w:szCs w:val="22"/>
          <w:highlight w:val="none"/>
          <w:lang w:val="en-US" w:eastAsia="zh-CN"/>
        </w:rPr>
        <w:t>4</w:t>
      </w:r>
      <w:r>
        <w:rPr>
          <w:rFonts w:hint="eastAsia" w:ascii="宋体" w:hAnsi="宋体" w:eastAsia="宋体" w:cs="宋体"/>
          <w:color w:val="auto"/>
          <w:kern w:val="2"/>
          <w:sz w:val="24"/>
          <w:szCs w:val="22"/>
          <w:highlight w:val="none"/>
        </w:rPr>
        <w:t>.</w:t>
      </w:r>
      <w:r>
        <w:rPr>
          <w:rFonts w:hint="eastAsia" w:ascii="宋体" w:hAnsi="宋体" w:eastAsia="宋体" w:cs="宋体"/>
          <w:color w:val="auto"/>
          <w:kern w:val="2"/>
          <w:sz w:val="24"/>
          <w:szCs w:val="22"/>
          <w:highlight w:val="none"/>
          <w:lang w:val="en-US" w:eastAsia="zh-CN"/>
        </w:rPr>
        <w:t xml:space="preserve">8 </w:t>
      </w:r>
      <w:r>
        <w:rPr>
          <w:rFonts w:hint="eastAsia" w:ascii="宋体" w:hAnsi="宋体" w:eastAsia="宋体" w:cs="宋体"/>
          <w:color w:val="auto"/>
          <w:kern w:val="2"/>
          <w:sz w:val="24"/>
          <w:szCs w:val="22"/>
          <w:highlight w:val="none"/>
        </w:rPr>
        <w:t>对于有配件、耗材、选件、备件和特殊工具的货物，还应填报投标货物配件、耗材、选件表和备件及特殊工具清单，注明品牌、型号、产地、功能、单价、批量折扣等内容，该表格格式由投标人自行设计。投标人按照上述要求分类报价，其目的是便于评标，但在任何情况下并不限制采购人以其他条款签订合同的权利。</w:t>
      </w:r>
    </w:p>
    <w:p w14:paraId="7CD424F2">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1</w:t>
      </w:r>
      <w:r>
        <w:rPr>
          <w:rFonts w:hint="eastAsia" w:ascii="宋体" w:hAnsi="宋体" w:eastAsia="宋体" w:cs="宋体"/>
          <w:color w:val="auto"/>
          <w:kern w:val="2"/>
          <w:sz w:val="24"/>
          <w:szCs w:val="22"/>
          <w:highlight w:val="none"/>
          <w:lang w:val="en-US" w:eastAsia="zh-CN"/>
        </w:rPr>
        <w:t>4</w:t>
      </w:r>
      <w:r>
        <w:rPr>
          <w:rFonts w:hint="eastAsia" w:ascii="宋体" w:hAnsi="宋体" w:eastAsia="宋体" w:cs="宋体"/>
          <w:color w:val="auto"/>
          <w:kern w:val="2"/>
          <w:sz w:val="24"/>
          <w:szCs w:val="22"/>
          <w:highlight w:val="none"/>
        </w:rPr>
        <w:t>.</w:t>
      </w:r>
      <w:r>
        <w:rPr>
          <w:rFonts w:hint="eastAsia" w:ascii="宋体" w:hAnsi="宋体" w:eastAsia="宋体" w:cs="宋体"/>
          <w:color w:val="auto"/>
          <w:kern w:val="2"/>
          <w:sz w:val="24"/>
          <w:szCs w:val="22"/>
          <w:highlight w:val="none"/>
          <w:lang w:val="en-US" w:eastAsia="zh-CN"/>
        </w:rPr>
        <w:t xml:space="preserve">9 </w:t>
      </w:r>
      <w:r>
        <w:rPr>
          <w:rFonts w:hint="eastAsia" w:ascii="宋体" w:hAnsi="宋体" w:eastAsia="宋体" w:cs="宋体"/>
          <w:color w:val="auto"/>
          <w:kern w:val="2"/>
          <w:sz w:val="24"/>
          <w:szCs w:val="22"/>
          <w:highlight w:val="none"/>
        </w:rPr>
        <w:t>最低报价不能作为中标的保证。</w:t>
      </w:r>
    </w:p>
    <w:p w14:paraId="2C6B9037">
      <w:pPr>
        <w:keepNext w:val="0"/>
        <w:keepLines w:val="0"/>
        <w:pageBreakBefore w:val="0"/>
        <w:widowControl w:val="0"/>
        <w:suppressLineNumbers w:val="0"/>
        <w:kinsoku/>
        <w:overflowPunct/>
        <w:topLinePunct w:val="0"/>
        <w:autoSpaceDE/>
        <w:autoSpaceDN/>
        <w:bidi w:val="0"/>
        <w:adjustRightInd/>
        <w:ind w:firstLine="480" w:firstLineChars="200"/>
        <w:jc w:val="left"/>
        <w:textAlignment w:val="auto"/>
        <w:rPr>
          <w:rFonts w:hint="default" w:ascii="宋体" w:hAnsi="宋体" w:eastAsia="宋体" w:cs="宋体"/>
          <w:color w:val="auto"/>
          <w:kern w:val="2"/>
          <w:sz w:val="24"/>
          <w:szCs w:val="22"/>
          <w:highlight w:val="none"/>
          <w:lang w:val="en-US" w:eastAsia="zh-CN"/>
        </w:rPr>
      </w:pPr>
      <w:r>
        <w:rPr>
          <w:rFonts w:hint="eastAsia" w:ascii="宋体" w:hAnsi="宋体" w:eastAsia="宋体" w:cs="宋体"/>
          <w:color w:val="auto"/>
          <w:kern w:val="2"/>
          <w:sz w:val="24"/>
          <w:szCs w:val="22"/>
          <w:highlight w:val="none"/>
          <w:lang w:val="en-US" w:eastAsia="zh-CN"/>
        </w:rPr>
        <w:t>1</w:t>
      </w:r>
      <w:r>
        <w:rPr>
          <w:rFonts w:hint="eastAsia" w:eastAsia="宋体" w:cs="宋体"/>
          <w:color w:val="auto"/>
          <w:kern w:val="2"/>
          <w:sz w:val="24"/>
          <w:szCs w:val="22"/>
          <w:highlight w:val="none"/>
          <w:lang w:val="en-US" w:eastAsia="zh-CN"/>
        </w:rPr>
        <w:t>4</w:t>
      </w:r>
      <w:r>
        <w:rPr>
          <w:rFonts w:hint="eastAsia" w:ascii="宋体" w:hAnsi="宋体" w:eastAsia="宋体" w:cs="宋体"/>
          <w:color w:val="auto"/>
          <w:kern w:val="2"/>
          <w:sz w:val="24"/>
          <w:szCs w:val="22"/>
          <w:highlight w:val="none"/>
          <w:lang w:val="en-US" w:eastAsia="zh-CN"/>
        </w:rPr>
        <w:t>.10</w:t>
      </w:r>
      <w:r>
        <w:rPr>
          <w:rFonts w:hint="eastAsia" w:ascii="宋体" w:hAnsi="宋体" w:eastAsia="宋体" w:cs="宋体"/>
          <w:color w:val="auto"/>
          <w:kern w:val="0"/>
          <w:sz w:val="24"/>
          <w:szCs w:val="24"/>
          <w:highlight w:val="none"/>
          <w:lang w:val="en-US" w:eastAsia="zh-CN" w:bidi="ar"/>
        </w:rPr>
        <w:t>采购人不得向</w:t>
      </w:r>
      <w:r>
        <w:rPr>
          <w:rFonts w:hint="eastAsia" w:eastAsia="宋体" w:cs="宋体"/>
          <w:color w:val="auto"/>
          <w:kern w:val="0"/>
          <w:sz w:val="24"/>
          <w:szCs w:val="24"/>
          <w:highlight w:val="none"/>
          <w:lang w:val="en-US" w:eastAsia="zh-CN" w:bidi="ar"/>
        </w:rPr>
        <w:t>投标人</w:t>
      </w:r>
      <w:r>
        <w:rPr>
          <w:rFonts w:hint="eastAsia" w:ascii="宋体" w:hAnsi="宋体" w:eastAsia="宋体" w:cs="宋体"/>
          <w:color w:val="auto"/>
          <w:kern w:val="0"/>
          <w:sz w:val="24"/>
          <w:szCs w:val="24"/>
          <w:highlight w:val="none"/>
          <w:lang w:val="en-US" w:eastAsia="zh-CN" w:bidi="ar"/>
        </w:rPr>
        <w:t>索要或者接受其给予的赠品、回扣或者与采购无关的其他商品、服务。</w:t>
      </w:r>
    </w:p>
    <w:p w14:paraId="691BBD09">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148" w:name="_Toc163492840"/>
      <w:bookmarkStart w:id="149" w:name="_Toc140132773"/>
      <w:r>
        <w:rPr>
          <w:rFonts w:hint="eastAsia" w:ascii="宋体" w:hAnsi="宋体" w:eastAsia="宋体" w:cs="宋体"/>
          <w:b/>
          <w:bCs/>
          <w:color w:val="auto"/>
          <w:kern w:val="2"/>
          <w:sz w:val="24"/>
          <w:szCs w:val="28"/>
          <w:highlight w:val="none"/>
          <w:lang w:val="en-US" w:eastAsia="zh-CN" w:bidi="ar-SA"/>
        </w:rPr>
        <w:t>15.投标有效期</w:t>
      </w:r>
      <w:bookmarkEnd w:id="148"/>
      <w:bookmarkEnd w:id="149"/>
    </w:p>
    <w:p w14:paraId="13B2B164">
      <w:pPr>
        <w:keepNext w:val="0"/>
        <w:keepLines w:val="0"/>
        <w:pageBreakBefore w:val="0"/>
        <w:widowControl w:val="0"/>
        <w:kinsoku/>
        <w:overflowPunct/>
        <w:topLinePunct w:val="0"/>
        <w:autoSpaceDE/>
        <w:autoSpaceDN/>
        <w:bidi w:val="0"/>
        <w:adjustRightInd/>
        <w:ind w:firstLine="480" w:firstLineChars="200"/>
        <w:textAlignment w:val="auto"/>
        <w:rPr>
          <w:rFonts w:hint="eastAsia" w:eastAsia="宋体" w:cs="仿宋_GB2312"/>
          <w:color w:val="auto"/>
          <w:sz w:val="24"/>
          <w:szCs w:val="24"/>
          <w:highlight w:val="none"/>
        </w:rPr>
      </w:pP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5</w:t>
      </w:r>
      <w:r>
        <w:rPr>
          <w:rFonts w:hint="eastAsia" w:eastAsia="宋体" w:cs="仿宋_GB2312"/>
          <w:color w:val="auto"/>
          <w:sz w:val="24"/>
          <w:szCs w:val="24"/>
          <w:highlight w:val="none"/>
        </w:rPr>
        <w:t xml:space="preserve">.1 </w:t>
      </w:r>
      <w:r>
        <w:rPr>
          <w:rFonts w:ascii="Arial" w:hAnsi="Arial" w:eastAsia="宋体" w:cs="Arial"/>
          <w:color w:val="auto"/>
          <w:kern w:val="0"/>
          <w:sz w:val="24"/>
          <w:szCs w:val="21"/>
          <w:highlight w:val="none"/>
          <w:lang w:val="en"/>
        </w:rPr>
        <w:t>投标有效期</w:t>
      </w:r>
      <w:r>
        <w:rPr>
          <w:rFonts w:hint="eastAsia" w:eastAsia="宋体" w:cs="仿宋_GB2312"/>
          <w:color w:val="auto"/>
          <w:sz w:val="24"/>
          <w:szCs w:val="24"/>
          <w:highlight w:val="none"/>
        </w:rPr>
        <w:t>见“</w:t>
      </w:r>
      <w:r>
        <w:rPr>
          <w:rFonts w:hint="eastAsia" w:eastAsia="宋体" w:cs="仿宋_GB2312"/>
          <w:color w:val="auto"/>
          <w:sz w:val="24"/>
          <w:szCs w:val="24"/>
          <w:highlight w:val="none"/>
          <w:lang w:val="en-US" w:eastAsia="zh-CN"/>
        </w:rPr>
        <w:t xml:space="preserve">第二章 </w:t>
      </w:r>
      <w:r>
        <w:rPr>
          <w:rFonts w:eastAsia="宋体" w:cs="仿宋_GB2312"/>
          <w:color w:val="auto"/>
          <w:sz w:val="24"/>
          <w:szCs w:val="24"/>
          <w:highlight w:val="none"/>
        </w:rPr>
        <w:t>投标人须知前附表</w:t>
      </w:r>
      <w:r>
        <w:rPr>
          <w:rFonts w:hint="eastAsia" w:eastAsia="宋体" w:cs="仿宋_GB2312"/>
          <w:color w:val="auto"/>
          <w:sz w:val="24"/>
          <w:szCs w:val="24"/>
          <w:highlight w:val="none"/>
        </w:rPr>
        <w:t>”，投标人承诺的投标有效期</w:t>
      </w:r>
      <w:r>
        <w:rPr>
          <w:rFonts w:hint="eastAsia" w:eastAsia="宋体"/>
          <w:snapToGrid w:val="0"/>
          <w:color w:val="auto"/>
          <w:sz w:val="24"/>
          <w:highlight w:val="none"/>
          <w:lang w:val="zh-CN" w:eastAsia="zh-CN"/>
        </w:rPr>
        <w:t>少于</w:t>
      </w:r>
      <w:r>
        <w:rPr>
          <w:rFonts w:hint="eastAsia" w:eastAsia="宋体"/>
          <w:snapToGrid w:val="0"/>
          <w:color w:val="auto"/>
          <w:sz w:val="24"/>
          <w:highlight w:val="none"/>
          <w:lang w:val="en-US" w:eastAsia="zh-CN"/>
        </w:rPr>
        <w:t>招标</w:t>
      </w:r>
      <w:r>
        <w:rPr>
          <w:rFonts w:hint="eastAsia" w:eastAsia="宋体"/>
          <w:snapToGrid w:val="0"/>
          <w:color w:val="auto"/>
          <w:sz w:val="24"/>
          <w:highlight w:val="none"/>
          <w:lang w:val="zh-CN" w:eastAsia="zh-CN"/>
        </w:rPr>
        <w:t>文件规定期限的，其</w:t>
      </w:r>
      <w:r>
        <w:rPr>
          <w:rFonts w:hint="eastAsia" w:eastAsia="宋体"/>
          <w:b/>
          <w:bCs/>
          <w:snapToGrid w:val="0"/>
          <w:color w:val="auto"/>
          <w:sz w:val="24"/>
          <w:highlight w:val="none"/>
          <w:lang w:val="en-US" w:eastAsia="zh-CN"/>
        </w:rPr>
        <w:t>投标</w:t>
      </w:r>
      <w:r>
        <w:rPr>
          <w:rFonts w:hint="eastAsia" w:eastAsia="宋体"/>
          <w:b/>
          <w:bCs/>
          <w:snapToGrid w:val="0"/>
          <w:color w:val="auto"/>
          <w:sz w:val="24"/>
          <w:highlight w:val="none"/>
          <w:lang w:val="zh-CN" w:eastAsia="zh-CN"/>
        </w:rPr>
        <w:t>无效</w:t>
      </w:r>
      <w:r>
        <w:rPr>
          <w:rFonts w:hint="eastAsia" w:eastAsia="宋体"/>
          <w:snapToGrid w:val="0"/>
          <w:color w:val="auto"/>
          <w:sz w:val="24"/>
          <w:highlight w:val="none"/>
          <w:lang w:val="zh-CN" w:eastAsia="zh-CN"/>
        </w:rPr>
        <w:t>。</w:t>
      </w:r>
    </w:p>
    <w:p w14:paraId="6D112F8D">
      <w:pPr>
        <w:keepNext w:val="0"/>
        <w:keepLines w:val="0"/>
        <w:pageBreakBefore w:val="0"/>
        <w:widowControl w:val="0"/>
        <w:kinsoku/>
        <w:overflowPunct/>
        <w:topLinePunct w:val="0"/>
        <w:autoSpaceDE/>
        <w:autoSpaceDN/>
        <w:bidi w:val="0"/>
        <w:adjustRightInd/>
        <w:ind w:firstLine="480" w:firstLineChars="200"/>
        <w:textAlignment w:val="auto"/>
        <w:rPr>
          <w:rFonts w:hint="default" w:eastAsia="宋体" w:cs="仿宋_GB2312"/>
          <w:color w:val="auto"/>
          <w:sz w:val="24"/>
          <w:szCs w:val="24"/>
          <w:highlight w:val="none"/>
          <w:lang w:val="en-US" w:eastAsia="zh-CN"/>
        </w:rPr>
      </w:pPr>
      <w:r>
        <w:rPr>
          <w:rFonts w:hint="eastAsia" w:eastAsia="宋体" w:cs="仿宋_GB2312"/>
          <w:color w:val="auto"/>
          <w:sz w:val="24"/>
          <w:szCs w:val="24"/>
          <w:highlight w:val="none"/>
          <w:lang w:val="en-US" w:eastAsia="zh-CN"/>
        </w:rPr>
        <w:t>15.2 投标有效期从提交投标文件的截止之日起算。投标文件中承诺的投标有效期应当不少于招标文件中载明的投标有效期。投标有效期内投标人撤销投标文件的，采购人或者采购代理机构可以不退还投标保证金。</w:t>
      </w:r>
    </w:p>
    <w:p w14:paraId="4457FE8E">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5</w:t>
      </w:r>
      <w:r>
        <w:rPr>
          <w:rFonts w:eastAsia="宋体" w:cs="仿宋_GB2312"/>
          <w:color w:val="auto"/>
          <w:sz w:val="24"/>
          <w:szCs w:val="24"/>
          <w:highlight w:val="none"/>
        </w:rPr>
        <w:t>.</w:t>
      </w:r>
      <w:r>
        <w:rPr>
          <w:rFonts w:hint="eastAsia" w:eastAsia="宋体" w:cs="仿宋_GB2312"/>
          <w:color w:val="auto"/>
          <w:sz w:val="24"/>
          <w:szCs w:val="24"/>
          <w:highlight w:val="none"/>
          <w:lang w:val="en-US" w:eastAsia="zh-CN"/>
        </w:rPr>
        <w:t>3</w:t>
      </w:r>
      <w:r>
        <w:rPr>
          <w:rFonts w:eastAsia="宋体" w:cs="仿宋_GB2312"/>
          <w:color w:val="auto"/>
          <w:sz w:val="24"/>
          <w:szCs w:val="24"/>
          <w:highlight w:val="none"/>
        </w:rPr>
        <w:t>特殊情况下，在原</w:t>
      </w:r>
      <w:r>
        <w:rPr>
          <w:rFonts w:hint="eastAsia" w:eastAsia="宋体" w:cs="仿宋_GB2312"/>
          <w:color w:val="auto"/>
          <w:sz w:val="24"/>
          <w:szCs w:val="24"/>
          <w:highlight w:val="none"/>
        </w:rPr>
        <w:t>投标文件</w:t>
      </w:r>
      <w:r>
        <w:rPr>
          <w:rFonts w:eastAsia="宋体" w:cs="仿宋_GB2312"/>
          <w:color w:val="auto"/>
          <w:sz w:val="24"/>
          <w:szCs w:val="24"/>
          <w:highlight w:val="none"/>
        </w:rPr>
        <w:t>有效期截止之前，采购代理机构或采购人可要求</w:t>
      </w:r>
      <w:r>
        <w:rPr>
          <w:rFonts w:hint="eastAsia" w:eastAsia="宋体" w:cs="仿宋_GB2312"/>
          <w:color w:val="auto"/>
          <w:sz w:val="24"/>
          <w:szCs w:val="24"/>
          <w:highlight w:val="none"/>
        </w:rPr>
        <w:t>投标人</w:t>
      </w:r>
      <w:r>
        <w:rPr>
          <w:rFonts w:eastAsia="宋体" w:cs="仿宋_GB2312"/>
          <w:color w:val="auto"/>
          <w:sz w:val="24"/>
          <w:szCs w:val="24"/>
          <w:highlight w:val="none"/>
        </w:rPr>
        <w:t>延长</w:t>
      </w:r>
      <w:r>
        <w:rPr>
          <w:rFonts w:hint="eastAsia" w:eastAsia="宋体" w:cs="仿宋_GB2312"/>
          <w:color w:val="auto"/>
          <w:sz w:val="24"/>
          <w:szCs w:val="24"/>
          <w:highlight w:val="none"/>
        </w:rPr>
        <w:t>投标</w:t>
      </w:r>
      <w:r>
        <w:rPr>
          <w:rFonts w:eastAsia="宋体" w:cs="仿宋_GB2312"/>
          <w:color w:val="auto"/>
          <w:sz w:val="24"/>
          <w:szCs w:val="24"/>
          <w:highlight w:val="none"/>
        </w:rPr>
        <w:t>有效期。需要延长</w:t>
      </w:r>
      <w:r>
        <w:rPr>
          <w:rFonts w:hint="eastAsia" w:eastAsia="宋体" w:cs="仿宋_GB2312"/>
          <w:color w:val="auto"/>
          <w:sz w:val="24"/>
          <w:szCs w:val="24"/>
          <w:highlight w:val="none"/>
        </w:rPr>
        <w:t>投标</w:t>
      </w:r>
      <w:r>
        <w:rPr>
          <w:rFonts w:eastAsia="宋体" w:cs="仿宋_GB2312"/>
          <w:color w:val="auto"/>
          <w:sz w:val="24"/>
          <w:szCs w:val="24"/>
          <w:highlight w:val="none"/>
        </w:rPr>
        <w:t>有效期时，采购代理机构或采购人将以书面形式通知所有</w:t>
      </w:r>
      <w:r>
        <w:rPr>
          <w:rFonts w:hint="eastAsia" w:eastAsia="宋体" w:cs="仿宋_GB2312"/>
          <w:color w:val="auto"/>
          <w:sz w:val="24"/>
          <w:szCs w:val="24"/>
          <w:highlight w:val="none"/>
        </w:rPr>
        <w:t>投标人</w:t>
      </w:r>
      <w:r>
        <w:rPr>
          <w:rFonts w:eastAsia="宋体" w:cs="仿宋_GB2312"/>
          <w:color w:val="auto"/>
          <w:sz w:val="24"/>
          <w:szCs w:val="24"/>
          <w:highlight w:val="none"/>
        </w:rPr>
        <w:t>，</w:t>
      </w:r>
      <w:r>
        <w:rPr>
          <w:rFonts w:hint="eastAsia" w:eastAsia="宋体" w:cs="仿宋_GB2312"/>
          <w:color w:val="auto"/>
          <w:sz w:val="24"/>
          <w:szCs w:val="24"/>
          <w:highlight w:val="none"/>
        </w:rPr>
        <w:t>投标人</w:t>
      </w:r>
      <w:r>
        <w:rPr>
          <w:rFonts w:eastAsia="宋体" w:cs="仿宋_GB2312"/>
          <w:color w:val="auto"/>
          <w:sz w:val="24"/>
          <w:szCs w:val="24"/>
          <w:highlight w:val="none"/>
        </w:rPr>
        <w:t>应以书面形式答复是否同意延长</w:t>
      </w:r>
      <w:r>
        <w:rPr>
          <w:rFonts w:hint="eastAsia" w:eastAsia="宋体" w:cs="仿宋_GB2312"/>
          <w:color w:val="auto"/>
          <w:sz w:val="24"/>
          <w:szCs w:val="24"/>
          <w:highlight w:val="none"/>
        </w:rPr>
        <w:t>投标</w:t>
      </w:r>
      <w:r>
        <w:rPr>
          <w:rFonts w:eastAsia="宋体" w:cs="仿宋_GB2312"/>
          <w:color w:val="auto"/>
          <w:sz w:val="24"/>
          <w:szCs w:val="24"/>
          <w:highlight w:val="none"/>
        </w:rPr>
        <w:t>有效期。</w:t>
      </w:r>
    </w:p>
    <w:p w14:paraId="2EF7720C">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5</w:t>
      </w:r>
      <w:r>
        <w:rPr>
          <w:rFonts w:eastAsia="宋体" w:cs="仿宋_GB2312"/>
          <w:color w:val="auto"/>
          <w:sz w:val="24"/>
          <w:szCs w:val="24"/>
          <w:highlight w:val="none"/>
        </w:rPr>
        <w:t>.</w:t>
      </w:r>
      <w:r>
        <w:rPr>
          <w:rFonts w:hint="eastAsia" w:eastAsia="宋体" w:cs="仿宋_GB2312"/>
          <w:color w:val="auto"/>
          <w:sz w:val="24"/>
          <w:szCs w:val="24"/>
          <w:highlight w:val="none"/>
          <w:lang w:val="en-US" w:eastAsia="zh-CN"/>
        </w:rPr>
        <w:t>4</w:t>
      </w:r>
      <w:r>
        <w:rPr>
          <w:rFonts w:hint="eastAsia" w:eastAsia="宋体" w:cs="仿宋_GB2312"/>
          <w:color w:val="auto"/>
          <w:sz w:val="24"/>
          <w:szCs w:val="24"/>
          <w:highlight w:val="none"/>
        </w:rPr>
        <w:t>投标人</w:t>
      </w:r>
      <w:r>
        <w:rPr>
          <w:rFonts w:eastAsia="宋体" w:cs="仿宋_GB2312"/>
          <w:color w:val="auto"/>
          <w:sz w:val="24"/>
          <w:szCs w:val="24"/>
          <w:highlight w:val="none"/>
        </w:rPr>
        <w:t>同意延长的，</w:t>
      </w:r>
      <w:r>
        <w:rPr>
          <w:rFonts w:hint="eastAsia" w:eastAsia="宋体" w:cs="宋体"/>
          <w:color w:val="auto"/>
          <w:kern w:val="2"/>
          <w:sz w:val="24"/>
          <w:szCs w:val="22"/>
          <w:highlight w:val="none"/>
          <w:lang w:val="en-US" w:eastAsia="zh-CN"/>
        </w:rPr>
        <w:t>其</w:t>
      </w:r>
      <w:r>
        <w:rPr>
          <w:rFonts w:hint="eastAsia" w:ascii="宋体" w:hAnsi="宋体" w:eastAsia="宋体" w:cs="宋体"/>
          <w:color w:val="auto"/>
          <w:kern w:val="2"/>
          <w:sz w:val="24"/>
          <w:szCs w:val="22"/>
          <w:highlight w:val="none"/>
        </w:rPr>
        <w:t>投标保证金的有效期也相应延长</w:t>
      </w:r>
      <w:r>
        <w:rPr>
          <w:rFonts w:hint="eastAsia" w:eastAsia="宋体" w:cs="宋体"/>
          <w:color w:val="auto"/>
          <w:kern w:val="2"/>
          <w:sz w:val="24"/>
          <w:szCs w:val="22"/>
          <w:highlight w:val="none"/>
          <w:lang w:eastAsia="zh-CN"/>
        </w:rPr>
        <w:t>，</w:t>
      </w:r>
      <w:r>
        <w:rPr>
          <w:rFonts w:hint="eastAsia" w:eastAsia="宋体" w:cs="宋体"/>
          <w:color w:val="auto"/>
          <w:kern w:val="2"/>
          <w:sz w:val="24"/>
          <w:szCs w:val="22"/>
          <w:highlight w:val="none"/>
          <w:lang w:val="en-US" w:eastAsia="zh-CN"/>
        </w:rPr>
        <w:t>但</w:t>
      </w:r>
      <w:r>
        <w:rPr>
          <w:rFonts w:eastAsia="宋体" w:cs="仿宋_GB2312"/>
          <w:color w:val="auto"/>
          <w:sz w:val="24"/>
          <w:szCs w:val="24"/>
          <w:highlight w:val="none"/>
        </w:rPr>
        <w:t>不得要求或被允许修改或撤销其</w:t>
      </w:r>
      <w:r>
        <w:rPr>
          <w:rFonts w:hint="eastAsia" w:eastAsia="宋体" w:cs="仿宋_GB2312"/>
          <w:color w:val="auto"/>
          <w:sz w:val="24"/>
          <w:szCs w:val="24"/>
          <w:highlight w:val="none"/>
        </w:rPr>
        <w:t>投标文件</w:t>
      </w:r>
      <w:r>
        <w:rPr>
          <w:rFonts w:eastAsia="宋体" w:cs="仿宋_GB2312"/>
          <w:color w:val="auto"/>
          <w:sz w:val="24"/>
          <w:szCs w:val="24"/>
          <w:highlight w:val="none"/>
        </w:rPr>
        <w:t>；</w:t>
      </w:r>
      <w:r>
        <w:rPr>
          <w:rFonts w:hint="eastAsia" w:eastAsia="宋体" w:cs="仿宋_GB2312"/>
          <w:color w:val="auto"/>
          <w:sz w:val="24"/>
          <w:szCs w:val="24"/>
          <w:highlight w:val="none"/>
          <w:lang w:val="en-US" w:eastAsia="zh-CN"/>
        </w:rPr>
        <w:t>投标人</w:t>
      </w:r>
      <w:r>
        <w:rPr>
          <w:rFonts w:eastAsia="宋体" w:cs="仿宋_GB2312"/>
          <w:color w:val="auto"/>
          <w:sz w:val="24"/>
          <w:szCs w:val="24"/>
          <w:highlight w:val="none"/>
        </w:rPr>
        <w:t>拒绝延长的，其</w:t>
      </w:r>
      <w:r>
        <w:rPr>
          <w:rFonts w:hint="eastAsia" w:eastAsia="宋体" w:cs="仿宋_GB2312"/>
          <w:color w:val="auto"/>
          <w:sz w:val="24"/>
          <w:szCs w:val="24"/>
          <w:highlight w:val="none"/>
        </w:rPr>
        <w:t>投标文件</w:t>
      </w:r>
      <w:r>
        <w:rPr>
          <w:rFonts w:eastAsia="宋体" w:cs="仿宋_GB2312"/>
          <w:color w:val="auto"/>
          <w:sz w:val="24"/>
          <w:szCs w:val="24"/>
          <w:highlight w:val="none"/>
        </w:rPr>
        <w:t>在原</w:t>
      </w:r>
      <w:r>
        <w:rPr>
          <w:rFonts w:hint="eastAsia" w:eastAsia="宋体" w:cs="仿宋_GB2312"/>
          <w:color w:val="auto"/>
          <w:sz w:val="24"/>
          <w:szCs w:val="24"/>
          <w:highlight w:val="none"/>
        </w:rPr>
        <w:t>投标</w:t>
      </w:r>
      <w:r>
        <w:rPr>
          <w:rFonts w:eastAsia="宋体" w:cs="仿宋_GB2312"/>
          <w:color w:val="auto"/>
          <w:sz w:val="24"/>
          <w:szCs w:val="24"/>
          <w:highlight w:val="none"/>
        </w:rPr>
        <w:t>有效期满后将不再有效</w:t>
      </w:r>
      <w:r>
        <w:rPr>
          <w:rFonts w:hint="eastAsia" w:eastAsia="宋体" w:cs="仿宋_GB2312"/>
          <w:color w:val="auto"/>
          <w:sz w:val="24"/>
          <w:szCs w:val="24"/>
          <w:highlight w:val="none"/>
          <w:lang w:eastAsia="zh-CN"/>
        </w:rPr>
        <w:t>，</w:t>
      </w:r>
      <w:r>
        <w:rPr>
          <w:rFonts w:hint="eastAsia" w:eastAsia="宋体" w:cs="仿宋_GB2312"/>
          <w:color w:val="auto"/>
          <w:sz w:val="24"/>
          <w:szCs w:val="24"/>
          <w:highlight w:val="none"/>
          <w:lang w:val="en-US" w:eastAsia="zh-CN"/>
        </w:rPr>
        <w:t>但其提交的投标保证金可予以退还</w:t>
      </w:r>
      <w:r>
        <w:rPr>
          <w:rFonts w:eastAsia="宋体" w:cs="仿宋_GB2312"/>
          <w:color w:val="auto"/>
          <w:sz w:val="24"/>
          <w:szCs w:val="24"/>
          <w:highlight w:val="none"/>
        </w:rPr>
        <w:t>。</w:t>
      </w:r>
    </w:p>
    <w:p w14:paraId="51F7C8DB">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150" w:name="_Toc140132774"/>
      <w:bookmarkStart w:id="151" w:name="_Toc163492841"/>
      <w:r>
        <w:rPr>
          <w:rFonts w:hint="eastAsia" w:ascii="宋体" w:hAnsi="宋体" w:eastAsia="宋体" w:cs="宋体"/>
          <w:b/>
          <w:bCs/>
          <w:color w:val="auto"/>
          <w:kern w:val="2"/>
          <w:sz w:val="24"/>
          <w:szCs w:val="28"/>
          <w:highlight w:val="none"/>
          <w:lang w:val="en-US" w:eastAsia="zh-CN" w:bidi="ar-SA"/>
        </w:rPr>
        <w:t>16.投标文件的编制</w:t>
      </w:r>
      <w:bookmarkEnd w:id="150"/>
      <w:bookmarkEnd w:id="151"/>
    </w:p>
    <w:p w14:paraId="523C51E8">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6</w:t>
      </w:r>
      <w:r>
        <w:rPr>
          <w:rFonts w:hint="eastAsia" w:eastAsia="宋体" w:cs="仿宋_GB2312"/>
          <w:color w:val="auto"/>
          <w:sz w:val="24"/>
          <w:szCs w:val="24"/>
          <w:highlight w:val="none"/>
        </w:rPr>
        <w:t>.1投标文件应在</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eastAsia="宋体" w:cs="仿宋_GB2312"/>
          <w:color w:val="auto"/>
          <w:sz w:val="24"/>
          <w:szCs w:val="24"/>
          <w:highlight w:val="none"/>
        </w:rPr>
        <w:t>中进行编制，在投标文件中要求加盖印章的，除有特殊说明之外，</w:t>
      </w:r>
      <w:r>
        <w:rPr>
          <w:rFonts w:hint="eastAsia" w:eastAsia="宋体" w:cs="仿宋_GB2312"/>
          <w:color w:val="auto"/>
          <w:sz w:val="24"/>
          <w:szCs w:val="24"/>
          <w:highlight w:val="none"/>
          <w:lang w:val="en-US" w:eastAsia="zh-CN"/>
        </w:rPr>
        <w:t>可</w:t>
      </w:r>
      <w:r>
        <w:rPr>
          <w:rFonts w:hint="eastAsia" w:eastAsia="宋体" w:cs="仿宋_GB2312"/>
          <w:color w:val="auto"/>
          <w:sz w:val="24"/>
          <w:szCs w:val="24"/>
          <w:highlight w:val="none"/>
        </w:rPr>
        <w:t>使用电子签章签署。</w:t>
      </w:r>
    </w:p>
    <w:p w14:paraId="540601F4">
      <w:pPr>
        <w:pStyle w:val="37"/>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eastAsia="宋体"/>
          <w:color w:val="auto"/>
          <w:sz w:val="24"/>
          <w:highlight w:val="none"/>
        </w:rPr>
        <w:t>1</w:t>
      </w:r>
      <w:r>
        <w:rPr>
          <w:rFonts w:hint="eastAsia" w:eastAsia="宋体"/>
          <w:color w:val="auto"/>
          <w:sz w:val="24"/>
          <w:highlight w:val="none"/>
          <w:lang w:val="en-US" w:eastAsia="zh-CN"/>
        </w:rPr>
        <w:t>6</w:t>
      </w:r>
      <w:r>
        <w:rPr>
          <w:rFonts w:hint="eastAsia" w:eastAsia="宋体"/>
          <w:color w:val="auto"/>
          <w:sz w:val="24"/>
          <w:highlight w:val="none"/>
        </w:rPr>
        <w:t>.</w:t>
      </w:r>
      <w:bookmarkStart w:id="152" w:name="_Hlk143528557"/>
      <w:r>
        <w:rPr>
          <w:rFonts w:eastAsia="宋体"/>
          <w:color w:val="auto"/>
          <w:sz w:val="24"/>
          <w:highlight w:val="none"/>
        </w:rPr>
        <w:t>2</w:t>
      </w:r>
      <w:r>
        <w:rPr>
          <w:rFonts w:hint="eastAsia" w:eastAsia="宋体"/>
          <w:color w:val="auto"/>
          <w:sz w:val="24"/>
          <w:highlight w:val="none"/>
        </w:rPr>
        <w:t>投标人在</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eastAsia="宋体"/>
          <w:color w:val="auto"/>
          <w:sz w:val="24"/>
          <w:highlight w:val="none"/>
        </w:rPr>
        <w:t>中按照</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eastAsia="宋体"/>
          <w:color w:val="auto"/>
          <w:sz w:val="24"/>
          <w:highlight w:val="none"/>
        </w:rPr>
        <w:t>中的格式要求填写响应内容后，生成投标文件。投标人须按照招标文件的要求使用电子签章对要求加盖印章的部分逐一进行签章。</w:t>
      </w:r>
      <w:bookmarkEnd w:id="152"/>
    </w:p>
    <w:p w14:paraId="1A7BD123">
      <w:pPr>
        <w:pStyle w:val="37"/>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6</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投标人应详细阅读招标文件的全部内容。投标文件须对招标文件中的内容作出实质性和完整的响应，如果投标文件填报的内容不详，或没有提供招标文件中所要求的全部资料及数据，将可能</w:t>
      </w:r>
      <w:r>
        <w:rPr>
          <w:rFonts w:hint="eastAsia" w:ascii="宋体" w:hAnsi="宋体" w:eastAsia="宋体"/>
          <w:b/>
          <w:bCs/>
          <w:color w:val="auto"/>
          <w:sz w:val="24"/>
          <w:highlight w:val="none"/>
        </w:rPr>
        <w:t>导致</w:t>
      </w:r>
      <w:r>
        <w:rPr>
          <w:rFonts w:hint="eastAsia" w:eastAsia="宋体"/>
          <w:b/>
          <w:bCs/>
          <w:color w:val="auto"/>
          <w:sz w:val="24"/>
          <w:highlight w:val="none"/>
          <w:lang w:val="en-US" w:eastAsia="zh-CN"/>
        </w:rPr>
        <w:t>其</w:t>
      </w:r>
      <w:r>
        <w:rPr>
          <w:rFonts w:hint="eastAsia" w:ascii="宋体" w:hAnsi="宋体" w:eastAsia="宋体"/>
          <w:b/>
          <w:bCs/>
          <w:color w:val="auto"/>
          <w:sz w:val="24"/>
          <w:highlight w:val="none"/>
        </w:rPr>
        <w:t>投标</w:t>
      </w:r>
      <w:r>
        <w:rPr>
          <w:rFonts w:hint="eastAsia" w:eastAsia="宋体"/>
          <w:b/>
          <w:bCs/>
          <w:color w:val="auto"/>
          <w:sz w:val="24"/>
          <w:highlight w:val="none"/>
          <w:lang w:val="en-US" w:eastAsia="zh-CN"/>
        </w:rPr>
        <w:t>无效</w:t>
      </w:r>
      <w:r>
        <w:rPr>
          <w:rFonts w:hint="eastAsia" w:ascii="宋体" w:hAnsi="宋体" w:eastAsia="宋体"/>
          <w:color w:val="auto"/>
          <w:sz w:val="24"/>
          <w:highlight w:val="none"/>
        </w:rPr>
        <w:t>。</w:t>
      </w:r>
    </w:p>
    <w:p w14:paraId="7A6BB4B7">
      <w:pPr>
        <w:pStyle w:val="37"/>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6</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4</w:t>
      </w:r>
      <w:r>
        <w:rPr>
          <w:rFonts w:hint="eastAsia" w:ascii="宋体" w:hAnsi="宋体" w:eastAsia="宋体"/>
          <w:color w:val="auto"/>
          <w:sz w:val="24"/>
          <w:highlight w:val="none"/>
        </w:rPr>
        <w:t>投标文件须严格按照</w:t>
      </w:r>
      <w:r>
        <w:rPr>
          <w:rFonts w:hint="eastAsia" w:ascii="宋体" w:hAnsi="宋体" w:eastAsia="宋体"/>
          <w:color w:val="auto"/>
          <w:sz w:val="24"/>
          <w:highlight w:val="none"/>
          <w:lang w:val="en-US" w:eastAsia="zh-CN"/>
        </w:rPr>
        <w:t>本</w:t>
      </w:r>
      <w:r>
        <w:rPr>
          <w:rFonts w:hint="eastAsia" w:ascii="宋体" w:hAnsi="宋体" w:eastAsia="宋体"/>
          <w:color w:val="auto"/>
          <w:sz w:val="24"/>
          <w:highlight w:val="none"/>
        </w:rPr>
        <w:t>招标文件第</w:t>
      </w:r>
      <w:r>
        <w:rPr>
          <w:rFonts w:hint="eastAsia" w:ascii="宋体" w:hAnsi="宋体" w:eastAsia="宋体"/>
          <w:color w:val="auto"/>
          <w:sz w:val="24"/>
          <w:highlight w:val="none"/>
          <w:lang w:val="en-US" w:eastAsia="zh-CN"/>
        </w:rPr>
        <w:t>七章</w:t>
      </w:r>
      <w:r>
        <w:rPr>
          <w:rFonts w:hint="eastAsia" w:ascii="宋体" w:hAnsi="宋体" w:eastAsia="宋体"/>
          <w:color w:val="auto"/>
          <w:sz w:val="24"/>
          <w:highlight w:val="none"/>
        </w:rPr>
        <w:t>规定的格式提交，并按规定的统一格式逐项填写，不准有空项；无相应内容可填的项，应填写“无”、“未测试”、“没有相应指标”等明确的回答文字。由于编排混乱导致投标文件被误读或查找不到，其责任由投标人承担。</w:t>
      </w:r>
    </w:p>
    <w:p w14:paraId="10A9DC8A">
      <w:pPr>
        <w:pStyle w:val="37"/>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rPr>
      </w:pPr>
      <w:r>
        <w:rPr>
          <w:rFonts w:hint="eastAsia" w:eastAsia="宋体"/>
          <w:color w:val="auto"/>
          <w:sz w:val="24"/>
          <w:highlight w:val="none"/>
          <w:lang w:val="en-US" w:eastAsia="zh-CN"/>
        </w:rPr>
        <w:t>16.5货物的</w:t>
      </w:r>
      <w:r>
        <w:rPr>
          <w:rFonts w:hint="eastAsia" w:ascii="宋体" w:hAnsi="宋体" w:eastAsia="宋体"/>
          <w:color w:val="auto"/>
          <w:sz w:val="24"/>
          <w:highlight w:val="none"/>
          <w:lang w:val="en-US" w:eastAsia="zh-CN"/>
        </w:rPr>
        <w:t>技术参数有具体数值要求的，</w:t>
      </w:r>
      <w:r>
        <w:rPr>
          <w:rFonts w:hint="eastAsia" w:eastAsia="宋体"/>
          <w:color w:val="auto"/>
          <w:sz w:val="24"/>
          <w:highlight w:val="none"/>
          <w:lang w:val="en-US" w:eastAsia="zh-CN"/>
        </w:rPr>
        <w:t>且招标</w:t>
      </w:r>
      <w:r>
        <w:rPr>
          <w:rFonts w:hint="eastAsia" w:ascii="宋体" w:hAnsi="宋体" w:eastAsia="宋体"/>
          <w:color w:val="auto"/>
          <w:sz w:val="24"/>
          <w:highlight w:val="none"/>
          <w:lang w:val="en-US" w:eastAsia="zh-CN"/>
        </w:rPr>
        <w:t>文件要求</w:t>
      </w:r>
      <w:r>
        <w:rPr>
          <w:rFonts w:hint="eastAsia" w:eastAsia="宋体"/>
          <w:color w:val="auto"/>
          <w:sz w:val="24"/>
          <w:highlight w:val="none"/>
          <w:lang w:val="en-US" w:eastAsia="zh-CN"/>
        </w:rPr>
        <w:t>投标人</w:t>
      </w:r>
      <w:r>
        <w:rPr>
          <w:rFonts w:hint="eastAsia" w:ascii="宋体" w:hAnsi="宋体" w:eastAsia="宋体"/>
          <w:color w:val="auto"/>
          <w:sz w:val="24"/>
          <w:highlight w:val="none"/>
          <w:lang w:val="en-US" w:eastAsia="zh-CN"/>
        </w:rPr>
        <w:t>提供响应产品彩页、检验检测报告、厂家使用说明书等证明材料，</w:t>
      </w:r>
      <w:r>
        <w:rPr>
          <w:rFonts w:hint="eastAsia" w:eastAsia="宋体"/>
          <w:color w:val="auto"/>
          <w:sz w:val="24"/>
          <w:highlight w:val="none"/>
          <w:lang w:val="en-US" w:eastAsia="zh-CN"/>
        </w:rPr>
        <w:t>则投标人</w:t>
      </w:r>
      <w:r>
        <w:rPr>
          <w:rFonts w:hint="eastAsia" w:ascii="宋体" w:hAnsi="宋体" w:eastAsia="宋体"/>
          <w:color w:val="auto"/>
          <w:sz w:val="24"/>
          <w:highlight w:val="none"/>
          <w:lang w:val="en-US" w:eastAsia="zh-CN"/>
        </w:rPr>
        <w:t>在技术参数响应表中</w:t>
      </w:r>
      <w:r>
        <w:rPr>
          <w:rFonts w:hint="eastAsia" w:eastAsia="宋体"/>
          <w:color w:val="auto"/>
          <w:sz w:val="24"/>
          <w:highlight w:val="none"/>
          <w:lang w:val="en-US" w:eastAsia="zh-CN"/>
        </w:rPr>
        <w:t>须</w:t>
      </w:r>
      <w:r>
        <w:rPr>
          <w:rFonts w:hint="eastAsia" w:ascii="宋体" w:hAnsi="宋体" w:eastAsia="宋体"/>
          <w:color w:val="auto"/>
          <w:sz w:val="24"/>
          <w:highlight w:val="none"/>
          <w:lang w:val="en-US" w:eastAsia="zh-CN"/>
        </w:rPr>
        <w:t>标注产品实际参数数值，照搬照抄</w:t>
      </w:r>
      <w:r>
        <w:rPr>
          <w:rFonts w:hint="eastAsia" w:eastAsia="宋体"/>
          <w:color w:val="auto"/>
          <w:sz w:val="24"/>
          <w:highlight w:val="none"/>
          <w:lang w:val="en-US" w:eastAsia="zh-CN"/>
        </w:rPr>
        <w:t>招标</w:t>
      </w:r>
      <w:r>
        <w:rPr>
          <w:rFonts w:hint="eastAsia" w:ascii="宋体" w:hAnsi="宋体" w:eastAsia="宋体"/>
          <w:color w:val="auto"/>
          <w:sz w:val="24"/>
          <w:highlight w:val="none"/>
          <w:lang w:val="en-US" w:eastAsia="zh-CN"/>
        </w:rPr>
        <w:t>文件参数、不注明实际数值者</w:t>
      </w:r>
      <w:r>
        <w:rPr>
          <w:rFonts w:hint="eastAsia" w:ascii="宋体" w:hAnsi="宋体" w:eastAsia="宋体"/>
          <w:b/>
          <w:bCs/>
          <w:color w:val="auto"/>
          <w:sz w:val="24"/>
          <w:highlight w:val="none"/>
          <w:lang w:val="en-US" w:eastAsia="zh-CN"/>
        </w:rPr>
        <w:t>视为未响应</w:t>
      </w:r>
      <w:r>
        <w:rPr>
          <w:rFonts w:hint="eastAsia" w:ascii="宋体" w:hAnsi="宋体" w:eastAsia="宋体"/>
          <w:color w:val="auto"/>
          <w:sz w:val="24"/>
          <w:highlight w:val="none"/>
          <w:lang w:val="en-US" w:eastAsia="zh-CN"/>
        </w:rPr>
        <w:t>。</w:t>
      </w:r>
    </w:p>
    <w:p w14:paraId="4B72F25A">
      <w:pPr>
        <w:pStyle w:val="37"/>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6</w:t>
      </w:r>
      <w:r>
        <w:rPr>
          <w:rFonts w:hint="eastAsia" w:ascii="宋体" w:hAnsi="宋体" w:eastAsia="宋体"/>
          <w:color w:val="auto"/>
          <w:sz w:val="24"/>
          <w:highlight w:val="none"/>
        </w:rPr>
        <w:t>.</w:t>
      </w:r>
      <w:r>
        <w:rPr>
          <w:rFonts w:hint="eastAsia" w:eastAsia="宋体"/>
          <w:color w:val="auto"/>
          <w:sz w:val="24"/>
          <w:highlight w:val="none"/>
          <w:lang w:val="en-US" w:eastAsia="zh-CN"/>
        </w:rPr>
        <w:t>6</w:t>
      </w:r>
      <w:r>
        <w:rPr>
          <w:rFonts w:hint="eastAsia" w:ascii="宋体" w:hAnsi="宋体" w:eastAsia="宋体"/>
          <w:color w:val="auto"/>
          <w:sz w:val="24"/>
          <w:highlight w:val="none"/>
        </w:rPr>
        <w:t>开标一览表为在开标</w:t>
      </w:r>
      <w:r>
        <w:rPr>
          <w:rFonts w:hint="eastAsia" w:eastAsia="宋体"/>
          <w:color w:val="auto"/>
          <w:sz w:val="24"/>
          <w:highlight w:val="none"/>
          <w:lang w:val="en-US" w:eastAsia="zh-CN"/>
        </w:rPr>
        <w:t>时</w:t>
      </w:r>
      <w:r>
        <w:rPr>
          <w:rFonts w:hint="eastAsia" w:ascii="宋体" w:hAnsi="宋体" w:eastAsia="宋体"/>
          <w:color w:val="auto"/>
          <w:sz w:val="24"/>
          <w:highlight w:val="none"/>
        </w:rPr>
        <w:t>唱标的内容，要求按格式统一填写，不得自行增减内容。</w:t>
      </w:r>
    </w:p>
    <w:p w14:paraId="499D7059">
      <w:pPr>
        <w:pStyle w:val="37"/>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6</w:t>
      </w:r>
      <w:r>
        <w:rPr>
          <w:rFonts w:hint="eastAsia" w:ascii="宋体" w:hAnsi="宋体" w:eastAsia="宋体"/>
          <w:color w:val="auto"/>
          <w:sz w:val="24"/>
          <w:highlight w:val="none"/>
        </w:rPr>
        <w:t>.</w:t>
      </w:r>
      <w:r>
        <w:rPr>
          <w:rFonts w:hint="eastAsia" w:eastAsia="宋体"/>
          <w:color w:val="auto"/>
          <w:sz w:val="24"/>
          <w:highlight w:val="none"/>
          <w:lang w:val="en-US" w:eastAsia="zh-CN"/>
        </w:rPr>
        <w:t>7</w:t>
      </w:r>
      <w:r>
        <w:rPr>
          <w:rFonts w:hint="eastAsia" w:ascii="宋体" w:hAnsi="宋体" w:eastAsia="宋体"/>
          <w:color w:val="auto"/>
          <w:sz w:val="24"/>
          <w:highlight w:val="none"/>
        </w:rPr>
        <w:t>投标人须注意：为合理节约政府采购评审成本，提倡诚实信用的投标行为，特别要求投标人应本着诚信精神，在本次投标文件的偏离表中，均以审慎的态度明确、清楚地披露各项偏离。若投标人对某一事项是否存在或是否属于偏离不能确定，亦必须在偏离表中清楚地表明该偏离事项，并可以注明不能确定的字样。任何情况下，对于投标人没有在偏离表中明确、清楚地披露的事项，包括可能属于被投标人在偏离表中遗漏披露的事项，一旦在评审中被发现存在偏离或被认定为属于偏离，则评标委员会有权视具体情形评审时</w:t>
      </w:r>
      <w:r>
        <w:rPr>
          <w:rFonts w:hint="eastAsia" w:eastAsia="宋体"/>
          <w:color w:val="auto"/>
          <w:sz w:val="24"/>
          <w:highlight w:val="none"/>
          <w:lang w:val="en-US" w:eastAsia="zh-CN"/>
        </w:rPr>
        <w:t>按</w:t>
      </w:r>
      <w:r>
        <w:rPr>
          <w:rFonts w:hint="eastAsia" w:eastAsia="宋体"/>
          <w:b/>
          <w:bCs/>
          <w:color w:val="auto"/>
          <w:sz w:val="24"/>
          <w:highlight w:val="none"/>
          <w:lang w:val="en-US" w:eastAsia="zh-CN"/>
        </w:rPr>
        <w:t>无效投标</w:t>
      </w:r>
      <w:r>
        <w:rPr>
          <w:rFonts w:hint="eastAsia" w:ascii="宋体" w:hAnsi="宋体" w:eastAsia="宋体"/>
          <w:color w:val="auto"/>
          <w:sz w:val="24"/>
          <w:highlight w:val="none"/>
        </w:rPr>
        <w:t>处理。</w:t>
      </w:r>
    </w:p>
    <w:p w14:paraId="7DBECB06">
      <w:pPr>
        <w:pStyle w:val="37"/>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6</w:t>
      </w:r>
      <w:r>
        <w:rPr>
          <w:rFonts w:hint="eastAsia" w:ascii="宋体" w:hAnsi="宋体" w:eastAsia="宋体"/>
          <w:color w:val="auto"/>
          <w:sz w:val="24"/>
          <w:highlight w:val="none"/>
        </w:rPr>
        <w:t>.</w:t>
      </w:r>
      <w:r>
        <w:rPr>
          <w:rFonts w:hint="eastAsia" w:eastAsia="宋体"/>
          <w:color w:val="auto"/>
          <w:sz w:val="24"/>
          <w:highlight w:val="none"/>
          <w:lang w:val="en-US" w:eastAsia="zh-CN"/>
        </w:rPr>
        <w:t>8</w:t>
      </w:r>
      <w:r>
        <w:rPr>
          <w:rFonts w:hint="eastAsia" w:ascii="宋体" w:hAnsi="宋体" w:eastAsia="宋体"/>
          <w:color w:val="auto"/>
          <w:sz w:val="24"/>
          <w:highlight w:val="none"/>
        </w:rPr>
        <w:t>投标人必须保证投标文件所提供的全部资料真实可靠，并接受采购</w:t>
      </w:r>
      <w:r>
        <w:rPr>
          <w:rFonts w:hint="eastAsia" w:ascii="宋体" w:hAnsi="宋体" w:eastAsia="宋体"/>
          <w:color w:val="auto"/>
          <w:sz w:val="24"/>
          <w:highlight w:val="none"/>
          <w:lang w:val="en-US" w:eastAsia="zh-CN"/>
        </w:rPr>
        <w:t>人、采购</w:t>
      </w:r>
      <w:r>
        <w:rPr>
          <w:rFonts w:hint="eastAsia" w:ascii="宋体" w:hAnsi="宋体" w:eastAsia="宋体"/>
          <w:color w:val="auto"/>
          <w:sz w:val="24"/>
          <w:highlight w:val="none"/>
        </w:rPr>
        <w:t>代理机构或评标委员会对其中任何资料进一步审查的要求。</w:t>
      </w:r>
    </w:p>
    <w:p w14:paraId="7AE3718F">
      <w:pPr>
        <w:pStyle w:val="37"/>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6</w:t>
      </w:r>
      <w:r>
        <w:rPr>
          <w:rFonts w:hint="eastAsia" w:ascii="宋体" w:hAnsi="宋体" w:eastAsia="宋体"/>
          <w:color w:val="auto"/>
          <w:sz w:val="24"/>
          <w:highlight w:val="none"/>
        </w:rPr>
        <w:t>.</w:t>
      </w:r>
      <w:r>
        <w:rPr>
          <w:rFonts w:hint="eastAsia" w:eastAsia="宋体"/>
          <w:color w:val="auto"/>
          <w:sz w:val="24"/>
          <w:highlight w:val="none"/>
          <w:lang w:val="en-US" w:eastAsia="zh-CN"/>
        </w:rPr>
        <w:t>9</w:t>
      </w:r>
      <w:r>
        <w:rPr>
          <w:rFonts w:hint="eastAsia" w:ascii="宋体" w:hAnsi="宋体" w:eastAsia="宋体"/>
          <w:color w:val="auto"/>
          <w:sz w:val="24"/>
          <w:highlight w:val="none"/>
        </w:rPr>
        <w:t>投标人在投标文件及相关文件的签订、履行、通知等事项的文件中的单位盖章、印章、公章等处均指与当事人全称相一致的标准公章，不得使用其他形式（如带有“专用章”等字样的印章）。不符合本条规定的按</w:t>
      </w:r>
      <w:r>
        <w:rPr>
          <w:rFonts w:hint="eastAsia" w:ascii="宋体" w:hAnsi="宋体" w:eastAsia="宋体"/>
          <w:b/>
          <w:bCs/>
          <w:color w:val="auto"/>
          <w:sz w:val="24"/>
          <w:highlight w:val="none"/>
        </w:rPr>
        <w:t>无效投标</w:t>
      </w:r>
      <w:r>
        <w:rPr>
          <w:rFonts w:hint="eastAsia" w:ascii="宋体" w:hAnsi="宋体" w:eastAsia="宋体"/>
          <w:color w:val="auto"/>
          <w:sz w:val="24"/>
          <w:highlight w:val="none"/>
        </w:rPr>
        <w:t>处理。</w:t>
      </w:r>
    </w:p>
    <w:p w14:paraId="323B93DE">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theme="minorBidi"/>
          <w:iCs/>
          <w:color w:val="auto"/>
          <w:kern w:val="2"/>
          <w:sz w:val="24"/>
          <w:szCs w:val="22"/>
          <w:highlight w:val="none"/>
          <w:shd w:val="clear" w:color="auto" w:fill="FFFFFF" w:themeFill="background1"/>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16.10电子投标文件的编制</w:t>
      </w:r>
    </w:p>
    <w:p w14:paraId="072DFFA4">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theme="minorBidi"/>
          <w:iCs/>
          <w:color w:val="auto"/>
          <w:kern w:val="2"/>
          <w:sz w:val="24"/>
          <w:szCs w:val="22"/>
          <w:highlight w:val="none"/>
          <w:shd w:val="clear" w:color="auto" w:fill="FFFFFF" w:themeFill="background1"/>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 xml:space="preserve">16.10.1电子投标文件需按招标文件要求进行制作编制。投标文件制作时，不同内容按标签提示制作导入，按照招标文件中明确的投标文件目录和格式进行编制，保证目录清晰、内容完整；           </w:t>
      </w:r>
    </w:p>
    <w:p w14:paraId="51F1928B">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theme="minorBidi"/>
          <w:iCs/>
          <w:color w:val="auto"/>
          <w:kern w:val="2"/>
          <w:sz w:val="24"/>
          <w:szCs w:val="22"/>
          <w:highlight w:val="none"/>
          <w:shd w:val="clear" w:color="auto" w:fill="FFFFFF" w:themeFill="background1"/>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16.10.2电子招投标文件具有法律效力，与其他形式的招投标文件在内容和格式上等同，若投标文件与招标文件要求不一致，其内容影响中标结果时，责任由投标人自行承担。投标人递交的电子投标文件因投标人自身原因而导致无法导入电子辅助评标系统，该投标文件视为无效投标文件，</w:t>
      </w:r>
      <w:r>
        <w:rPr>
          <w:rFonts w:hint="eastAsia" w:ascii="宋体" w:hAnsi="宋体" w:eastAsia="宋体" w:cstheme="minorBidi"/>
          <w:b/>
          <w:bCs/>
          <w:iCs/>
          <w:color w:val="auto"/>
          <w:kern w:val="2"/>
          <w:sz w:val="24"/>
          <w:szCs w:val="22"/>
          <w:highlight w:val="none"/>
          <w:shd w:val="clear" w:color="auto" w:fill="FFFFFF" w:themeFill="background1"/>
          <w:lang w:val="en-US" w:eastAsia="zh-CN" w:bidi="ar-SA"/>
        </w:rPr>
        <w:t>其投标无效</w:t>
      </w:r>
      <w:r>
        <w:rPr>
          <w:rFonts w:hint="eastAsia" w:ascii="宋体" w:hAnsi="宋体" w:eastAsia="宋体" w:cstheme="minorBidi"/>
          <w:iCs/>
          <w:color w:val="auto"/>
          <w:kern w:val="2"/>
          <w:sz w:val="24"/>
          <w:szCs w:val="22"/>
          <w:highlight w:val="none"/>
          <w:shd w:val="clear" w:color="auto" w:fill="FFFFFF" w:themeFill="background1"/>
          <w:lang w:val="en-US" w:eastAsia="zh-CN" w:bidi="ar-SA"/>
        </w:rPr>
        <w:t xml:space="preserve">。 </w:t>
      </w:r>
    </w:p>
    <w:p w14:paraId="6B2E6D6A">
      <w:pPr>
        <w:pStyle w:val="4"/>
        <w:keepNext w:val="0"/>
        <w:keepLines w:val="0"/>
        <w:pageBreakBefore w:val="0"/>
        <w:widowControl w:val="0"/>
        <w:numPr>
          <w:ilvl w:val="0"/>
          <w:numId w:val="0"/>
        </w:numPr>
        <w:kinsoku/>
        <w:wordWrap/>
        <w:overflowPunct/>
        <w:topLinePunct w:val="0"/>
        <w:autoSpaceDE/>
        <w:autoSpaceDN/>
        <w:bidi w:val="0"/>
        <w:adjustRightInd/>
        <w:snapToGrid/>
        <w:spacing w:before="180" w:after="180" w:line="240" w:lineRule="auto"/>
        <w:ind w:left="420" w:leftChars="0" w:hanging="420" w:firstLineChars="0"/>
        <w:textAlignment w:val="auto"/>
        <w:rPr>
          <w:rFonts w:hint="eastAsia" w:ascii="宋体" w:hAnsi="宋体" w:eastAsia="宋体" w:cs="宋体"/>
          <w:b/>
          <w:bCs/>
          <w:color w:val="auto"/>
          <w:kern w:val="2"/>
          <w:sz w:val="24"/>
          <w:szCs w:val="32"/>
          <w:highlight w:val="none"/>
          <w:lang w:val="en-US" w:eastAsia="zh-CN" w:bidi="ar-SA"/>
        </w:rPr>
      </w:pPr>
      <w:bookmarkStart w:id="153" w:name="_Toc163492842"/>
      <w:bookmarkStart w:id="154" w:name="_Toc155185873"/>
      <w:r>
        <w:rPr>
          <w:rFonts w:hint="eastAsia" w:ascii="宋体" w:hAnsi="宋体" w:eastAsia="宋体" w:cs="宋体"/>
          <w:b/>
          <w:bCs/>
          <w:color w:val="auto"/>
          <w:kern w:val="2"/>
          <w:sz w:val="24"/>
          <w:szCs w:val="32"/>
          <w:highlight w:val="none"/>
          <w:lang w:val="en-US" w:eastAsia="zh-CN" w:bidi="ar-SA"/>
        </w:rPr>
        <w:t>（四）投标</w:t>
      </w:r>
      <w:bookmarkEnd w:id="153"/>
      <w:bookmarkEnd w:id="154"/>
    </w:p>
    <w:p w14:paraId="386CC8EA">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155" w:name="_Toc163492843"/>
      <w:r>
        <w:rPr>
          <w:rFonts w:hint="eastAsia" w:ascii="宋体" w:hAnsi="宋体" w:eastAsia="宋体" w:cs="宋体"/>
          <w:b/>
          <w:bCs/>
          <w:color w:val="auto"/>
          <w:kern w:val="2"/>
          <w:sz w:val="24"/>
          <w:szCs w:val="28"/>
          <w:highlight w:val="none"/>
          <w:lang w:val="en-US" w:eastAsia="zh-CN" w:bidi="ar-SA"/>
        </w:rPr>
        <w:t>17.投标保证金</w:t>
      </w:r>
    </w:p>
    <w:p w14:paraId="1182B9BB">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theme="minorBidi"/>
          <w:iCs/>
          <w:color w:val="auto"/>
          <w:kern w:val="2"/>
          <w:sz w:val="24"/>
          <w:szCs w:val="22"/>
          <w:highlight w:val="none"/>
          <w:shd w:val="clear" w:color="auto" w:fill="FFFFFF" w:themeFill="background1"/>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17.1投标人应按照招标文件“第二章 投标人须知前附表”规定的金额及要求提交投标保证金。投标人自愿超额缴纳投标保证金的，投标文件不做无效处理。</w:t>
      </w:r>
    </w:p>
    <w:p w14:paraId="370C7C1E">
      <w:pPr>
        <w:keepNext w:val="0"/>
        <w:keepLines w:val="0"/>
        <w:pageBreakBefore w:val="0"/>
        <w:widowControl w:val="0"/>
        <w:suppressLineNumbers w:val="0"/>
        <w:kinsoku/>
        <w:overflowPunct/>
        <w:topLinePunct w:val="0"/>
        <w:autoSpaceDE/>
        <w:autoSpaceDN/>
        <w:bidi w:val="0"/>
        <w:adjustRightInd/>
        <w:ind w:firstLine="480" w:firstLineChars="200"/>
        <w:jc w:val="left"/>
        <w:textAlignment w:val="auto"/>
        <w:rPr>
          <w:rFonts w:hint="eastAsia" w:ascii="宋体" w:hAnsi="宋体" w:eastAsia="宋体" w:cs="宋体"/>
          <w:color w:val="auto"/>
          <w:kern w:val="2"/>
          <w:sz w:val="24"/>
          <w:szCs w:val="22"/>
          <w:highlight w:val="none"/>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1</w:t>
      </w:r>
      <w:r>
        <w:rPr>
          <w:rFonts w:hint="eastAsia" w:eastAsia="宋体" w:cstheme="minorBidi"/>
          <w:iCs/>
          <w:color w:val="auto"/>
          <w:kern w:val="2"/>
          <w:sz w:val="24"/>
          <w:szCs w:val="22"/>
          <w:highlight w:val="none"/>
          <w:shd w:val="clear" w:color="auto" w:fill="FFFFFF" w:themeFill="background1"/>
          <w:lang w:val="en-US" w:eastAsia="zh-CN" w:bidi="ar-SA"/>
        </w:rPr>
        <w:t>7</w:t>
      </w:r>
      <w:r>
        <w:rPr>
          <w:rFonts w:hint="eastAsia" w:ascii="宋体" w:hAnsi="宋体" w:eastAsia="宋体" w:cstheme="minorBidi"/>
          <w:iCs/>
          <w:color w:val="auto"/>
          <w:kern w:val="2"/>
          <w:sz w:val="24"/>
          <w:szCs w:val="22"/>
          <w:highlight w:val="none"/>
          <w:shd w:val="clear" w:color="auto" w:fill="FFFFFF" w:themeFill="background1"/>
          <w:lang w:val="en-US" w:eastAsia="zh-CN" w:bidi="ar-SA"/>
        </w:rPr>
        <w:t>.2</w:t>
      </w:r>
      <w:r>
        <w:rPr>
          <w:rFonts w:hint="eastAsia" w:eastAsia="宋体" w:cstheme="minorBidi"/>
          <w:iCs/>
          <w:color w:val="auto"/>
          <w:kern w:val="2"/>
          <w:sz w:val="24"/>
          <w:szCs w:val="22"/>
          <w:highlight w:val="none"/>
          <w:shd w:val="clear" w:color="auto" w:fill="FFFFFF" w:themeFill="background1"/>
          <w:lang w:val="en-US" w:eastAsia="zh-CN" w:bidi="ar-SA"/>
        </w:rPr>
        <w:t>提交</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投标保证金可采用的形式：政府采购法律法规接受的支票、汇票、本票、网上银行支付或者金融机构、担保机构出具的保函等非现金形式。</w:t>
      </w:r>
      <w:r>
        <w:rPr>
          <w:rFonts w:hint="eastAsia" w:ascii="宋体" w:hAnsi="宋体" w:eastAsia="宋体" w:cs="宋体"/>
          <w:color w:val="auto"/>
          <w:kern w:val="2"/>
          <w:sz w:val="24"/>
          <w:szCs w:val="22"/>
          <w:highlight w:val="none"/>
          <w:lang w:val="en-US" w:eastAsia="zh-CN" w:bidi="ar-SA"/>
        </w:rPr>
        <w:t>投标人未按照招标文件要求提交投标保证金的，</w:t>
      </w:r>
      <w:r>
        <w:rPr>
          <w:rFonts w:hint="eastAsia" w:eastAsia="宋体" w:cs="宋体"/>
          <w:color w:val="auto"/>
          <w:kern w:val="2"/>
          <w:sz w:val="24"/>
          <w:szCs w:val="22"/>
          <w:highlight w:val="none"/>
          <w:lang w:val="en-US" w:eastAsia="zh-CN" w:bidi="ar-SA"/>
        </w:rPr>
        <w:t>其</w:t>
      </w:r>
      <w:r>
        <w:rPr>
          <w:rFonts w:hint="eastAsia" w:ascii="宋体" w:hAnsi="宋体" w:eastAsia="宋体" w:cs="宋体"/>
          <w:b/>
          <w:bCs/>
          <w:color w:val="auto"/>
          <w:kern w:val="2"/>
          <w:sz w:val="24"/>
          <w:szCs w:val="22"/>
          <w:highlight w:val="none"/>
          <w:lang w:val="en-US" w:eastAsia="zh-CN" w:bidi="ar-SA"/>
        </w:rPr>
        <w:t>投标无效</w:t>
      </w:r>
      <w:r>
        <w:rPr>
          <w:rFonts w:hint="eastAsia" w:ascii="宋体" w:hAnsi="宋体" w:eastAsia="宋体" w:cs="宋体"/>
          <w:color w:val="auto"/>
          <w:kern w:val="2"/>
          <w:sz w:val="24"/>
          <w:szCs w:val="22"/>
          <w:highlight w:val="none"/>
          <w:lang w:val="en-US" w:eastAsia="zh-CN" w:bidi="ar-SA"/>
        </w:rPr>
        <w:t>。</w:t>
      </w:r>
      <w:r>
        <w:rPr>
          <w:rFonts w:hint="eastAsia" w:eastAsia="宋体"/>
          <w:color w:val="auto"/>
          <w:sz w:val="24"/>
          <w:highlight w:val="none"/>
          <w:lang w:val="en-US" w:eastAsia="zh-CN"/>
        </w:rPr>
        <w:t>投标保证金有效期同投标有效期。</w:t>
      </w:r>
    </w:p>
    <w:p w14:paraId="54BD0912">
      <w:pPr>
        <w:pStyle w:val="1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kern w:val="2"/>
          <w:sz w:val="24"/>
          <w:szCs w:val="22"/>
          <w:highlight w:val="none"/>
          <w:lang w:val="en-US" w:eastAsia="zh-CN"/>
        </w:rPr>
      </w:pPr>
      <w:r>
        <w:rPr>
          <w:rFonts w:hint="eastAsia" w:ascii="宋体" w:hAnsi="宋体" w:eastAsia="宋体" w:cs="宋体"/>
          <w:color w:val="auto"/>
          <w:kern w:val="2"/>
          <w:sz w:val="24"/>
          <w:szCs w:val="22"/>
          <w:highlight w:val="none"/>
          <w:lang w:val="en-US" w:eastAsia="zh-CN"/>
        </w:rPr>
        <w:t>17.3投标保证金到账（保函提交）截止时间同投标截止时间。以支票、汇票、本票、网上银行支付等形式提交投标保证金的，应在投标截止时间前到账；以金融机构、担保机构出具的保函等形式提交投标保证金的，应在投标截止时间前将投标保证金支付原件扫描后作为投标文件的组成部分与投标文件一起上传。由于到账时间晚于投标截止时间，或者票据错误、印鉴不清等原因导致不能到账的，其</w:t>
      </w:r>
      <w:r>
        <w:rPr>
          <w:rFonts w:hint="eastAsia" w:ascii="宋体" w:hAnsi="宋体" w:eastAsia="宋体" w:cs="宋体"/>
          <w:b/>
          <w:bCs/>
          <w:color w:val="auto"/>
          <w:kern w:val="2"/>
          <w:sz w:val="24"/>
          <w:szCs w:val="22"/>
          <w:highlight w:val="none"/>
          <w:lang w:val="en-US" w:eastAsia="zh-CN"/>
        </w:rPr>
        <w:t>投标无效</w:t>
      </w:r>
      <w:r>
        <w:rPr>
          <w:rFonts w:hint="eastAsia" w:ascii="宋体" w:hAnsi="宋体" w:eastAsia="宋体" w:cs="宋体"/>
          <w:color w:val="auto"/>
          <w:kern w:val="2"/>
          <w:sz w:val="24"/>
          <w:szCs w:val="22"/>
          <w:highlight w:val="none"/>
          <w:lang w:val="en-US" w:eastAsia="zh-CN"/>
        </w:rPr>
        <w:t>。</w:t>
      </w:r>
    </w:p>
    <w:p w14:paraId="3BAA958D">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default" w:ascii="宋体" w:hAnsi="宋体" w:eastAsia="宋体" w:cstheme="minorBidi"/>
          <w:iCs/>
          <w:color w:val="auto"/>
          <w:kern w:val="2"/>
          <w:sz w:val="24"/>
          <w:szCs w:val="22"/>
          <w:highlight w:val="none"/>
          <w:shd w:val="clear" w:color="auto" w:fill="FFFFFF" w:themeFill="background1"/>
          <w:lang w:val="en-US" w:eastAsia="zh-CN" w:bidi="ar-SA"/>
        </w:rPr>
      </w:pPr>
      <w:r>
        <w:rPr>
          <w:rFonts w:hint="default" w:ascii="宋体" w:hAnsi="宋体" w:eastAsia="宋体" w:cstheme="minorBidi"/>
          <w:iCs/>
          <w:color w:val="auto"/>
          <w:kern w:val="2"/>
          <w:sz w:val="24"/>
          <w:szCs w:val="22"/>
          <w:highlight w:val="none"/>
          <w:shd w:val="clear" w:color="auto" w:fill="FFFFFF" w:themeFill="background1"/>
          <w:lang w:val="en-US" w:eastAsia="zh-CN" w:bidi="ar-SA"/>
        </w:rPr>
        <w:t>1</w:t>
      </w:r>
      <w:r>
        <w:rPr>
          <w:rFonts w:hint="eastAsia" w:ascii="宋体" w:hAnsi="宋体" w:eastAsia="宋体" w:cstheme="minorBidi"/>
          <w:iCs/>
          <w:color w:val="auto"/>
          <w:kern w:val="2"/>
          <w:sz w:val="24"/>
          <w:szCs w:val="22"/>
          <w:highlight w:val="none"/>
          <w:shd w:val="clear" w:color="auto" w:fill="FFFFFF" w:themeFill="background1"/>
          <w:lang w:val="en-US" w:eastAsia="zh-CN" w:bidi="ar-SA"/>
        </w:rPr>
        <w:t>7</w:t>
      </w:r>
      <w:r>
        <w:rPr>
          <w:rFonts w:hint="default" w:ascii="宋体" w:hAnsi="宋体" w:eastAsia="宋体" w:cstheme="minorBidi"/>
          <w:iCs/>
          <w:color w:val="auto"/>
          <w:kern w:val="2"/>
          <w:sz w:val="24"/>
          <w:szCs w:val="22"/>
          <w:highlight w:val="none"/>
          <w:shd w:val="clear" w:color="auto" w:fill="FFFFFF" w:themeFill="background1"/>
          <w:lang w:val="en-US" w:eastAsia="zh-CN" w:bidi="ar-SA"/>
        </w:rPr>
        <w:t>.</w:t>
      </w:r>
      <w:r>
        <w:rPr>
          <w:rFonts w:hint="eastAsia" w:ascii="宋体" w:hAnsi="宋体" w:eastAsia="宋体" w:cstheme="minorBidi"/>
          <w:iCs/>
          <w:color w:val="auto"/>
          <w:kern w:val="2"/>
          <w:sz w:val="24"/>
          <w:szCs w:val="22"/>
          <w:highlight w:val="none"/>
          <w:shd w:val="clear" w:color="auto" w:fill="FFFFFF" w:themeFill="background1"/>
          <w:lang w:val="en-US" w:eastAsia="zh-CN" w:bidi="ar-SA"/>
        </w:rPr>
        <w:t>4</w:t>
      </w:r>
      <w:r>
        <w:rPr>
          <w:rFonts w:hint="default" w:ascii="宋体" w:hAnsi="宋体" w:eastAsia="宋体" w:cstheme="minorBidi"/>
          <w:iCs/>
          <w:color w:val="auto"/>
          <w:kern w:val="2"/>
          <w:sz w:val="24"/>
          <w:szCs w:val="22"/>
          <w:highlight w:val="none"/>
          <w:shd w:val="clear" w:color="auto" w:fill="FFFFFF" w:themeFill="background1"/>
          <w:lang w:val="en-US" w:eastAsia="zh-CN" w:bidi="ar-SA"/>
        </w:rPr>
        <w:t xml:space="preserve"> 投标人为联合体的，可以由联合体中的一方或者多方共同</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提交</w:t>
      </w:r>
      <w:r>
        <w:rPr>
          <w:rFonts w:hint="default" w:ascii="宋体" w:hAnsi="宋体" w:eastAsia="宋体" w:cstheme="minorBidi"/>
          <w:iCs/>
          <w:color w:val="auto"/>
          <w:kern w:val="2"/>
          <w:sz w:val="24"/>
          <w:szCs w:val="22"/>
          <w:highlight w:val="none"/>
          <w:shd w:val="clear" w:color="auto" w:fill="FFFFFF" w:themeFill="background1"/>
          <w:lang w:val="en-US" w:eastAsia="zh-CN" w:bidi="ar-SA"/>
        </w:rPr>
        <w:t>投标保证金，其</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提交</w:t>
      </w:r>
      <w:r>
        <w:rPr>
          <w:rFonts w:hint="default" w:ascii="宋体" w:hAnsi="宋体" w:eastAsia="宋体" w:cstheme="minorBidi"/>
          <w:iCs/>
          <w:color w:val="auto"/>
          <w:kern w:val="2"/>
          <w:sz w:val="24"/>
          <w:szCs w:val="22"/>
          <w:highlight w:val="none"/>
          <w:shd w:val="clear" w:color="auto" w:fill="FFFFFF" w:themeFill="background1"/>
          <w:lang w:val="en-US" w:eastAsia="zh-CN" w:bidi="ar-SA"/>
        </w:rPr>
        <w:t>的投标保证金对联合体各方均具有约束力。</w:t>
      </w:r>
    </w:p>
    <w:p w14:paraId="27BA1101">
      <w:pPr>
        <w:pStyle w:val="57"/>
        <w:keepNext w:val="0"/>
        <w:keepLines w:val="0"/>
        <w:pageBreakBefore w:val="0"/>
        <w:widowControl w:val="0"/>
        <w:shd w:val="clear" w:color="auto" w:fill="auto"/>
        <w:kinsoku/>
        <w:wordWrap/>
        <w:overflowPunct/>
        <w:topLinePunct w:val="0"/>
        <w:autoSpaceDE/>
        <w:autoSpaceDN/>
        <w:bidi w:val="0"/>
        <w:adjustRightInd/>
        <w:spacing w:line="360" w:lineRule="auto"/>
        <w:textAlignment w:val="auto"/>
        <w:rPr>
          <w:rFonts w:hint="default" w:ascii="宋体" w:hAnsi="宋体" w:eastAsia="宋体" w:cstheme="minorBidi"/>
          <w:iCs/>
          <w:color w:val="auto"/>
          <w:kern w:val="2"/>
          <w:sz w:val="24"/>
          <w:szCs w:val="22"/>
          <w:highlight w:val="none"/>
          <w:shd w:val="clear" w:color="auto" w:fill="FFFFFF" w:themeFill="background1"/>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 xml:space="preserve">    17.5</w:t>
      </w:r>
      <w:r>
        <w:rPr>
          <w:rFonts w:hint="default" w:ascii="宋体" w:hAnsi="宋体" w:eastAsia="宋体" w:cstheme="minorBidi"/>
          <w:iCs/>
          <w:color w:val="auto"/>
          <w:kern w:val="2"/>
          <w:sz w:val="24"/>
          <w:szCs w:val="22"/>
          <w:highlight w:val="none"/>
          <w:shd w:val="clear" w:color="auto" w:fill="FFFFFF" w:themeFill="background1"/>
          <w:lang w:val="en-US" w:eastAsia="zh-CN" w:bidi="ar-SA"/>
        </w:rPr>
        <w:t>采购人或者采购代理机构应当在采购活动结束后及时退还</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投标人</w:t>
      </w:r>
      <w:r>
        <w:rPr>
          <w:rFonts w:hint="default" w:ascii="宋体" w:hAnsi="宋体" w:eastAsia="宋体" w:cstheme="minorBidi"/>
          <w:iCs/>
          <w:color w:val="auto"/>
          <w:kern w:val="2"/>
          <w:sz w:val="24"/>
          <w:szCs w:val="22"/>
          <w:highlight w:val="none"/>
          <w:shd w:val="clear" w:color="auto" w:fill="FFFFFF" w:themeFill="background1"/>
          <w:lang w:val="en-US" w:eastAsia="zh-CN" w:bidi="ar-SA"/>
        </w:rPr>
        <w:t>的</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投标</w:t>
      </w:r>
      <w:r>
        <w:rPr>
          <w:rFonts w:hint="default" w:ascii="宋体" w:hAnsi="宋体" w:eastAsia="宋体" w:cstheme="minorBidi"/>
          <w:iCs/>
          <w:color w:val="auto"/>
          <w:kern w:val="2"/>
          <w:sz w:val="24"/>
          <w:szCs w:val="22"/>
          <w:highlight w:val="none"/>
          <w:shd w:val="clear" w:color="auto" w:fill="FFFFFF" w:themeFill="background1"/>
          <w:lang w:val="en-US" w:eastAsia="zh-CN" w:bidi="ar-SA"/>
        </w:rPr>
        <w:t>保证金，采用银行保函、担保机构担保函等形式递交的</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投标</w:t>
      </w:r>
      <w:r>
        <w:rPr>
          <w:rFonts w:hint="default" w:ascii="宋体" w:hAnsi="宋体" w:eastAsia="宋体" w:cstheme="minorBidi"/>
          <w:iCs/>
          <w:color w:val="auto"/>
          <w:kern w:val="2"/>
          <w:sz w:val="24"/>
          <w:szCs w:val="22"/>
          <w:highlight w:val="none"/>
          <w:shd w:val="clear" w:color="auto" w:fill="FFFFFF" w:themeFill="background1"/>
          <w:lang w:val="en-US" w:eastAsia="zh-CN" w:bidi="ar-SA"/>
        </w:rPr>
        <w:t>保证金，经</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投标人</w:t>
      </w:r>
      <w:r>
        <w:rPr>
          <w:rFonts w:hint="default" w:ascii="宋体" w:hAnsi="宋体" w:eastAsia="宋体" w:cstheme="minorBidi"/>
          <w:iCs/>
          <w:color w:val="auto"/>
          <w:kern w:val="2"/>
          <w:sz w:val="24"/>
          <w:szCs w:val="22"/>
          <w:highlight w:val="none"/>
          <w:shd w:val="clear" w:color="auto" w:fill="FFFFFF" w:themeFill="background1"/>
          <w:lang w:val="en-US" w:eastAsia="zh-CN" w:bidi="ar-SA"/>
        </w:rPr>
        <w:t>同意后采购人、采购代理机构可以不再退还，但因</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投标人</w:t>
      </w:r>
      <w:r>
        <w:rPr>
          <w:rFonts w:hint="default" w:ascii="宋体" w:hAnsi="宋体" w:eastAsia="宋体" w:cstheme="minorBidi"/>
          <w:iCs/>
          <w:color w:val="auto"/>
          <w:kern w:val="2"/>
          <w:sz w:val="24"/>
          <w:szCs w:val="22"/>
          <w:highlight w:val="none"/>
          <w:shd w:val="clear" w:color="auto" w:fill="FFFFFF" w:themeFill="background1"/>
          <w:lang w:val="en-US" w:eastAsia="zh-CN" w:bidi="ar-SA"/>
        </w:rPr>
        <w:t>自身原因导致无法及时退还的除外。未</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中标投标人</w:t>
      </w:r>
      <w:r>
        <w:rPr>
          <w:rFonts w:hint="default" w:ascii="宋体" w:hAnsi="宋体" w:eastAsia="宋体" w:cstheme="minorBidi"/>
          <w:iCs/>
          <w:color w:val="auto"/>
          <w:kern w:val="2"/>
          <w:sz w:val="24"/>
          <w:szCs w:val="22"/>
          <w:highlight w:val="none"/>
          <w:shd w:val="clear" w:color="auto" w:fill="FFFFFF" w:themeFill="background1"/>
          <w:lang w:val="en-US" w:eastAsia="zh-CN" w:bidi="ar-SA"/>
        </w:rPr>
        <w:t>的</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投标</w:t>
      </w:r>
      <w:r>
        <w:rPr>
          <w:rFonts w:hint="default" w:ascii="宋体" w:hAnsi="宋体" w:eastAsia="宋体" w:cstheme="minorBidi"/>
          <w:iCs/>
          <w:color w:val="auto"/>
          <w:kern w:val="2"/>
          <w:sz w:val="24"/>
          <w:szCs w:val="22"/>
          <w:highlight w:val="none"/>
          <w:shd w:val="clear" w:color="auto" w:fill="FFFFFF" w:themeFill="background1"/>
          <w:lang w:val="en-US" w:eastAsia="zh-CN" w:bidi="ar-SA"/>
        </w:rPr>
        <w:t>保证金应当自中标通知书发出之日起 5 个工作日内退还，</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中标投标人</w:t>
      </w:r>
      <w:r>
        <w:rPr>
          <w:rFonts w:hint="default" w:ascii="宋体" w:hAnsi="宋体" w:eastAsia="宋体" w:cstheme="minorBidi"/>
          <w:iCs/>
          <w:color w:val="auto"/>
          <w:kern w:val="2"/>
          <w:sz w:val="24"/>
          <w:szCs w:val="22"/>
          <w:highlight w:val="none"/>
          <w:shd w:val="clear" w:color="auto" w:fill="FFFFFF" w:themeFill="background1"/>
          <w:lang w:val="en-US" w:eastAsia="zh-CN" w:bidi="ar-SA"/>
        </w:rPr>
        <w:t>的</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投标</w:t>
      </w:r>
      <w:r>
        <w:rPr>
          <w:rFonts w:hint="default" w:ascii="宋体" w:hAnsi="宋体" w:eastAsia="宋体" w:cstheme="minorBidi"/>
          <w:iCs/>
          <w:color w:val="auto"/>
          <w:kern w:val="2"/>
          <w:sz w:val="24"/>
          <w:szCs w:val="22"/>
          <w:highlight w:val="none"/>
          <w:shd w:val="clear" w:color="auto" w:fill="FFFFFF" w:themeFill="background1"/>
          <w:lang w:val="en-US" w:eastAsia="zh-CN" w:bidi="ar-SA"/>
        </w:rPr>
        <w:t xml:space="preserve">保证金应当自采购合同签订之日起 5 个工作日内退还。 </w:t>
      </w:r>
    </w:p>
    <w:p w14:paraId="6CFB121F">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default" w:ascii="宋体" w:hAnsi="宋体" w:eastAsia="宋体" w:cstheme="minorBidi"/>
          <w:iCs/>
          <w:color w:val="auto"/>
          <w:kern w:val="2"/>
          <w:sz w:val="24"/>
          <w:szCs w:val="22"/>
          <w:highlight w:val="none"/>
          <w:shd w:val="clear" w:color="auto" w:fill="FFFFFF" w:themeFill="background1"/>
          <w:lang w:val="en-US" w:eastAsia="zh-CN" w:bidi="ar-SA"/>
        </w:rPr>
      </w:pPr>
      <w:r>
        <w:rPr>
          <w:rFonts w:hint="default" w:ascii="宋体" w:hAnsi="宋体" w:eastAsia="宋体" w:cstheme="minorBidi"/>
          <w:iCs/>
          <w:color w:val="auto"/>
          <w:kern w:val="2"/>
          <w:sz w:val="24"/>
          <w:szCs w:val="22"/>
          <w:highlight w:val="none"/>
          <w:shd w:val="clear" w:color="auto" w:fill="FFFFFF" w:themeFill="background1"/>
          <w:lang w:val="en-US" w:eastAsia="zh-CN" w:bidi="ar-SA"/>
        </w:rPr>
        <w:t>1</w:t>
      </w:r>
      <w:r>
        <w:rPr>
          <w:rFonts w:hint="eastAsia" w:ascii="宋体" w:hAnsi="宋体" w:eastAsia="宋体" w:cstheme="minorBidi"/>
          <w:iCs/>
          <w:color w:val="auto"/>
          <w:kern w:val="2"/>
          <w:sz w:val="24"/>
          <w:szCs w:val="22"/>
          <w:highlight w:val="none"/>
          <w:shd w:val="clear" w:color="auto" w:fill="FFFFFF" w:themeFill="background1"/>
          <w:lang w:val="en-US" w:eastAsia="zh-CN" w:bidi="ar-SA"/>
        </w:rPr>
        <w:t>7</w:t>
      </w:r>
      <w:r>
        <w:rPr>
          <w:rFonts w:hint="default" w:ascii="宋体" w:hAnsi="宋体" w:eastAsia="宋体" w:cstheme="minorBidi"/>
          <w:iCs/>
          <w:color w:val="auto"/>
          <w:kern w:val="2"/>
          <w:sz w:val="24"/>
          <w:szCs w:val="22"/>
          <w:highlight w:val="none"/>
          <w:shd w:val="clear" w:color="auto" w:fill="FFFFFF" w:themeFill="background1"/>
          <w:lang w:val="en-US" w:eastAsia="zh-CN" w:bidi="ar-SA"/>
        </w:rPr>
        <w:t>.</w:t>
      </w:r>
      <w:r>
        <w:rPr>
          <w:rFonts w:hint="eastAsia" w:ascii="宋体" w:hAnsi="宋体" w:eastAsia="宋体" w:cstheme="minorBidi"/>
          <w:iCs/>
          <w:color w:val="auto"/>
          <w:kern w:val="2"/>
          <w:sz w:val="24"/>
          <w:szCs w:val="22"/>
          <w:highlight w:val="none"/>
          <w:shd w:val="clear" w:color="auto" w:fill="FFFFFF" w:themeFill="background1"/>
          <w:lang w:val="en-US" w:eastAsia="zh-CN" w:bidi="ar-SA"/>
        </w:rPr>
        <w:t>6</w:t>
      </w:r>
      <w:r>
        <w:rPr>
          <w:rFonts w:hint="default" w:ascii="宋体" w:hAnsi="宋体" w:eastAsia="宋体" w:cstheme="minorBidi"/>
          <w:iCs/>
          <w:color w:val="auto"/>
          <w:kern w:val="2"/>
          <w:sz w:val="24"/>
          <w:szCs w:val="22"/>
          <w:highlight w:val="none"/>
          <w:shd w:val="clear" w:color="auto" w:fill="FFFFFF" w:themeFill="background1"/>
          <w:lang w:val="en-US" w:eastAsia="zh-CN" w:bidi="ar-SA"/>
        </w:rPr>
        <w:t xml:space="preserve"> 投标人在投标截止时间前撤回已</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提</w:t>
      </w:r>
      <w:r>
        <w:rPr>
          <w:rFonts w:hint="default" w:ascii="宋体" w:hAnsi="宋体" w:eastAsia="宋体" w:cstheme="minorBidi"/>
          <w:iCs/>
          <w:color w:val="auto"/>
          <w:kern w:val="2"/>
          <w:sz w:val="24"/>
          <w:szCs w:val="22"/>
          <w:highlight w:val="none"/>
          <w:shd w:val="clear" w:color="auto" w:fill="FFFFFF" w:themeFill="background1"/>
          <w:lang w:val="en-US" w:eastAsia="zh-CN" w:bidi="ar-SA"/>
        </w:rPr>
        <w:t>交的投标文件的，自收到投标人书面撤回通知之日起 5 个工作日内，退还已收取的投标保证金，但因投标人自身原因导致无法及时退还的除外</w:t>
      </w:r>
      <w:r>
        <w:rPr>
          <w:rFonts w:hint="eastAsia" w:ascii="宋体" w:hAnsi="宋体" w:eastAsia="宋体" w:cstheme="minorBidi"/>
          <w:iCs/>
          <w:color w:val="auto"/>
          <w:kern w:val="2"/>
          <w:sz w:val="24"/>
          <w:szCs w:val="22"/>
          <w:highlight w:val="none"/>
          <w:shd w:val="clear" w:color="auto" w:fill="FFFFFF" w:themeFill="background1"/>
          <w:lang w:val="en-US" w:eastAsia="zh-CN" w:bidi="ar-SA"/>
        </w:rPr>
        <w:t>。</w:t>
      </w:r>
      <w:r>
        <w:rPr>
          <w:rFonts w:hint="default" w:ascii="宋体" w:hAnsi="宋体" w:eastAsia="宋体" w:cstheme="minorBidi"/>
          <w:iCs/>
          <w:color w:val="auto"/>
          <w:kern w:val="2"/>
          <w:sz w:val="24"/>
          <w:szCs w:val="22"/>
          <w:highlight w:val="none"/>
          <w:shd w:val="clear" w:color="auto" w:fill="FFFFFF" w:themeFill="background1"/>
          <w:lang w:val="en-US" w:eastAsia="zh-CN" w:bidi="ar-SA"/>
        </w:rPr>
        <w:t xml:space="preserve"> </w:t>
      </w:r>
    </w:p>
    <w:p w14:paraId="28156F6E">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default" w:ascii="宋体" w:hAnsi="宋体" w:eastAsia="宋体" w:cstheme="minorBidi"/>
          <w:iCs/>
          <w:color w:val="auto"/>
          <w:kern w:val="2"/>
          <w:sz w:val="24"/>
          <w:szCs w:val="22"/>
          <w:highlight w:val="none"/>
          <w:shd w:val="clear" w:color="auto" w:fill="FFFFFF" w:themeFill="background1"/>
          <w:lang w:val="en-US" w:eastAsia="zh-CN" w:bidi="ar-SA"/>
        </w:rPr>
      </w:pPr>
      <w:r>
        <w:rPr>
          <w:rFonts w:hint="default" w:ascii="宋体" w:hAnsi="宋体" w:eastAsia="宋体" w:cstheme="minorBidi"/>
          <w:iCs/>
          <w:color w:val="auto"/>
          <w:kern w:val="2"/>
          <w:sz w:val="24"/>
          <w:szCs w:val="22"/>
          <w:highlight w:val="none"/>
          <w:shd w:val="clear" w:color="auto" w:fill="FFFFFF" w:themeFill="background1"/>
          <w:lang w:val="en-US" w:eastAsia="zh-CN" w:bidi="ar-SA"/>
        </w:rPr>
        <w:t>1</w:t>
      </w:r>
      <w:r>
        <w:rPr>
          <w:rFonts w:hint="eastAsia" w:ascii="宋体" w:hAnsi="宋体" w:eastAsia="宋体" w:cstheme="minorBidi"/>
          <w:iCs/>
          <w:color w:val="auto"/>
          <w:kern w:val="2"/>
          <w:sz w:val="24"/>
          <w:szCs w:val="22"/>
          <w:highlight w:val="none"/>
          <w:shd w:val="clear" w:color="auto" w:fill="FFFFFF" w:themeFill="background1"/>
          <w:lang w:val="en-US" w:eastAsia="zh-CN" w:bidi="ar-SA"/>
        </w:rPr>
        <w:t>7</w:t>
      </w:r>
      <w:r>
        <w:rPr>
          <w:rFonts w:hint="default" w:ascii="宋体" w:hAnsi="宋体" w:eastAsia="宋体" w:cstheme="minorBidi"/>
          <w:iCs/>
          <w:color w:val="auto"/>
          <w:kern w:val="2"/>
          <w:sz w:val="24"/>
          <w:szCs w:val="22"/>
          <w:highlight w:val="none"/>
          <w:shd w:val="clear" w:color="auto" w:fill="FFFFFF" w:themeFill="background1"/>
          <w:lang w:val="en-US" w:eastAsia="zh-CN" w:bidi="ar-SA"/>
        </w:rPr>
        <w:t>.</w:t>
      </w:r>
      <w:r>
        <w:rPr>
          <w:rFonts w:hint="eastAsia" w:ascii="宋体" w:hAnsi="宋体" w:eastAsia="宋体" w:cstheme="minorBidi"/>
          <w:iCs/>
          <w:color w:val="auto"/>
          <w:kern w:val="2"/>
          <w:sz w:val="24"/>
          <w:szCs w:val="22"/>
          <w:highlight w:val="none"/>
          <w:shd w:val="clear" w:color="auto" w:fill="FFFFFF" w:themeFill="background1"/>
          <w:lang w:val="en-US" w:eastAsia="zh-CN" w:bidi="ar-SA"/>
        </w:rPr>
        <w:t>7</w:t>
      </w:r>
      <w:r>
        <w:rPr>
          <w:rFonts w:hint="default" w:ascii="宋体" w:hAnsi="宋体" w:eastAsia="宋体" w:cstheme="minorBidi"/>
          <w:iCs/>
          <w:color w:val="auto"/>
          <w:kern w:val="2"/>
          <w:sz w:val="24"/>
          <w:szCs w:val="22"/>
          <w:highlight w:val="none"/>
          <w:shd w:val="clear" w:color="auto" w:fill="FFFFFF" w:themeFill="background1"/>
          <w:lang w:val="en-US" w:eastAsia="zh-CN" w:bidi="ar-SA"/>
        </w:rPr>
        <w:t xml:space="preserve"> 终止招标项目已经收取投标保证金的，自终止采购活动后 5 个工作日内退还已收取的投标保证金及其在银行产生的孳息。</w:t>
      </w:r>
    </w:p>
    <w:p w14:paraId="0B6A028F">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default" w:ascii="宋体" w:hAnsi="宋体" w:eastAsia="宋体" w:cstheme="minorBidi"/>
          <w:iCs/>
          <w:color w:val="auto"/>
          <w:kern w:val="2"/>
          <w:sz w:val="24"/>
          <w:szCs w:val="22"/>
          <w:highlight w:val="none"/>
          <w:shd w:val="clear" w:color="auto" w:fill="FFFFFF" w:themeFill="background1"/>
          <w:lang w:val="en-US" w:eastAsia="zh-CN" w:bidi="ar-SA"/>
        </w:rPr>
      </w:pPr>
      <w:r>
        <w:rPr>
          <w:rFonts w:hint="default" w:ascii="宋体" w:hAnsi="宋体" w:eastAsia="宋体" w:cstheme="minorBidi"/>
          <w:iCs/>
          <w:color w:val="auto"/>
          <w:kern w:val="2"/>
          <w:sz w:val="24"/>
          <w:szCs w:val="22"/>
          <w:highlight w:val="none"/>
          <w:shd w:val="clear" w:color="auto" w:fill="FFFFFF" w:themeFill="background1"/>
          <w:lang w:val="en-US" w:eastAsia="zh-CN" w:bidi="ar-SA"/>
        </w:rPr>
        <w:t>1</w:t>
      </w:r>
      <w:r>
        <w:rPr>
          <w:rFonts w:hint="eastAsia" w:ascii="宋体" w:hAnsi="宋体" w:eastAsia="宋体" w:cstheme="minorBidi"/>
          <w:iCs/>
          <w:color w:val="auto"/>
          <w:kern w:val="2"/>
          <w:sz w:val="24"/>
          <w:szCs w:val="22"/>
          <w:highlight w:val="none"/>
          <w:shd w:val="clear" w:color="auto" w:fill="FFFFFF" w:themeFill="background1"/>
          <w:lang w:val="en-US" w:eastAsia="zh-CN" w:bidi="ar-SA"/>
        </w:rPr>
        <w:t>7</w:t>
      </w:r>
      <w:r>
        <w:rPr>
          <w:rFonts w:hint="default" w:ascii="宋体" w:hAnsi="宋体" w:eastAsia="宋体" w:cstheme="minorBidi"/>
          <w:iCs/>
          <w:color w:val="auto"/>
          <w:kern w:val="2"/>
          <w:sz w:val="24"/>
          <w:szCs w:val="22"/>
          <w:highlight w:val="none"/>
          <w:shd w:val="clear" w:color="auto" w:fill="FFFFFF" w:themeFill="background1"/>
          <w:lang w:val="en-US" w:eastAsia="zh-CN" w:bidi="ar-SA"/>
        </w:rPr>
        <w:t>.</w:t>
      </w:r>
      <w:r>
        <w:rPr>
          <w:rFonts w:hint="eastAsia" w:ascii="宋体" w:hAnsi="宋体" w:eastAsia="宋体" w:cstheme="minorBidi"/>
          <w:iCs/>
          <w:color w:val="auto"/>
          <w:kern w:val="2"/>
          <w:sz w:val="24"/>
          <w:szCs w:val="22"/>
          <w:highlight w:val="none"/>
          <w:shd w:val="clear" w:color="auto" w:fill="FFFFFF" w:themeFill="background1"/>
          <w:lang w:val="en-US" w:eastAsia="zh-CN" w:bidi="ar-SA"/>
        </w:rPr>
        <w:t>8</w:t>
      </w:r>
      <w:r>
        <w:rPr>
          <w:rFonts w:hint="default" w:ascii="宋体" w:hAnsi="宋体" w:eastAsia="宋体" w:cstheme="minorBidi"/>
          <w:iCs/>
          <w:color w:val="auto"/>
          <w:kern w:val="2"/>
          <w:sz w:val="24"/>
          <w:szCs w:val="22"/>
          <w:highlight w:val="none"/>
          <w:shd w:val="clear" w:color="auto" w:fill="FFFFFF" w:themeFill="background1"/>
          <w:lang w:val="en-US" w:eastAsia="zh-CN" w:bidi="ar-SA"/>
        </w:rPr>
        <w:t xml:space="preserve"> 有下列情形之一的，采购人或采购代理机构可以不予退还投标保证金</w:t>
      </w:r>
      <w:r>
        <w:rPr>
          <w:rFonts w:hint="eastAsia" w:ascii="宋体" w:hAnsi="宋体" w:eastAsia="宋体" w:cstheme="minorBidi"/>
          <w:iCs/>
          <w:color w:val="auto"/>
          <w:kern w:val="2"/>
          <w:sz w:val="24"/>
          <w:szCs w:val="22"/>
          <w:highlight w:val="none"/>
          <w:shd w:val="clear" w:color="auto" w:fill="FFFFFF" w:themeFill="background1"/>
          <w:lang w:val="en-US" w:eastAsia="zh-CN" w:bidi="ar-SA"/>
        </w:rPr>
        <w:t>,</w:t>
      </w:r>
      <w:r>
        <w:rPr>
          <w:rFonts w:hint="eastAsia" w:ascii="宋体" w:hAnsi="宋体" w:eastAsia="宋体" w:cs="宋体"/>
          <w:color w:val="auto"/>
          <w:kern w:val="2"/>
          <w:sz w:val="24"/>
          <w:szCs w:val="22"/>
          <w:highlight w:val="none"/>
        </w:rPr>
        <w:t>情节严重的将其列入不良记录名单</w:t>
      </w:r>
      <w:r>
        <w:rPr>
          <w:rFonts w:hint="default" w:ascii="宋体" w:hAnsi="宋体" w:eastAsia="宋体" w:cstheme="minorBidi"/>
          <w:iCs/>
          <w:color w:val="auto"/>
          <w:kern w:val="2"/>
          <w:sz w:val="24"/>
          <w:szCs w:val="22"/>
          <w:highlight w:val="none"/>
          <w:shd w:val="clear" w:color="auto" w:fill="FFFFFF" w:themeFill="background1"/>
          <w:lang w:val="en-US" w:eastAsia="zh-CN" w:bidi="ar-SA"/>
        </w:rPr>
        <w:t xml:space="preserve">： </w:t>
      </w:r>
    </w:p>
    <w:p w14:paraId="02F7ADEB">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default" w:ascii="宋体" w:hAnsi="宋体" w:eastAsia="宋体" w:cstheme="minorBidi"/>
          <w:iCs/>
          <w:color w:val="auto"/>
          <w:kern w:val="2"/>
          <w:sz w:val="24"/>
          <w:szCs w:val="22"/>
          <w:highlight w:val="none"/>
          <w:shd w:val="clear" w:color="auto" w:fill="FFFFFF" w:themeFill="background1"/>
          <w:lang w:val="en-US" w:eastAsia="zh-CN" w:bidi="ar-SA"/>
        </w:rPr>
      </w:pPr>
      <w:r>
        <w:rPr>
          <w:rFonts w:hint="default" w:ascii="宋体" w:hAnsi="宋体" w:eastAsia="宋体" w:cstheme="minorBidi"/>
          <w:iCs/>
          <w:color w:val="auto"/>
          <w:kern w:val="2"/>
          <w:sz w:val="24"/>
          <w:szCs w:val="22"/>
          <w:highlight w:val="none"/>
          <w:shd w:val="clear" w:color="auto" w:fill="FFFFFF" w:themeFill="background1"/>
          <w:lang w:val="en-US" w:eastAsia="zh-CN" w:bidi="ar-SA"/>
        </w:rPr>
        <w:t>1</w:t>
      </w:r>
      <w:r>
        <w:rPr>
          <w:rFonts w:hint="eastAsia" w:ascii="宋体" w:hAnsi="宋体" w:eastAsia="宋体" w:cstheme="minorBidi"/>
          <w:iCs/>
          <w:color w:val="auto"/>
          <w:kern w:val="2"/>
          <w:sz w:val="24"/>
          <w:szCs w:val="22"/>
          <w:highlight w:val="none"/>
          <w:shd w:val="clear" w:color="auto" w:fill="FFFFFF" w:themeFill="background1"/>
          <w:lang w:val="en-US" w:eastAsia="zh-CN" w:bidi="ar-SA"/>
        </w:rPr>
        <w:t>7</w:t>
      </w:r>
      <w:r>
        <w:rPr>
          <w:rFonts w:hint="default" w:ascii="宋体" w:hAnsi="宋体" w:eastAsia="宋体" w:cstheme="minorBidi"/>
          <w:iCs/>
          <w:color w:val="auto"/>
          <w:kern w:val="2"/>
          <w:sz w:val="24"/>
          <w:szCs w:val="22"/>
          <w:highlight w:val="none"/>
          <w:shd w:val="clear" w:color="auto" w:fill="FFFFFF" w:themeFill="background1"/>
          <w:lang w:val="en-US" w:eastAsia="zh-CN" w:bidi="ar-SA"/>
        </w:rPr>
        <w:t>.</w:t>
      </w:r>
      <w:r>
        <w:rPr>
          <w:rFonts w:hint="eastAsia" w:ascii="宋体" w:hAnsi="宋体" w:eastAsia="宋体" w:cstheme="minorBidi"/>
          <w:iCs/>
          <w:color w:val="auto"/>
          <w:kern w:val="2"/>
          <w:sz w:val="24"/>
          <w:szCs w:val="22"/>
          <w:highlight w:val="none"/>
          <w:shd w:val="clear" w:color="auto" w:fill="FFFFFF" w:themeFill="background1"/>
          <w:lang w:val="en-US" w:eastAsia="zh-CN" w:bidi="ar-SA"/>
        </w:rPr>
        <w:t>8</w:t>
      </w:r>
      <w:r>
        <w:rPr>
          <w:rFonts w:hint="default" w:ascii="宋体" w:hAnsi="宋体" w:eastAsia="宋体" w:cstheme="minorBidi"/>
          <w:iCs/>
          <w:color w:val="auto"/>
          <w:kern w:val="2"/>
          <w:sz w:val="24"/>
          <w:szCs w:val="22"/>
          <w:highlight w:val="none"/>
          <w:shd w:val="clear" w:color="auto" w:fill="FFFFFF" w:themeFill="background1"/>
          <w:lang w:val="en-US" w:eastAsia="zh-CN" w:bidi="ar-SA"/>
        </w:rPr>
        <w:t xml:space="preserve">.1 </w:t>
      </w:r>
      <w:r>
        <w:rPr>
          <w:rFonts w:hint="eastAsia" w:ascii="宋体" w:hAnsi="宋体" w:eastAsia="宋体" w:cs="宋体"/>
          <w:color w:val="auto"/>
          <w:kern w:val="2"/>
          <w:sz w:val="24"/>
          <w:szCs w:val="22"/>
          <w:highlight w:val="none"/>
        </w:rPr>
        <w:t>开标后在投标有效期内，投标人撤</w:t>
      </w:r>
      <w:r>
        <w:rPr>
          <w:rFonts w:hint="eastAsia" w:ascii="宋体" w:hAnsi="宋体" w:eastAsia="宋体" w:cs="宋体"/>
          <w:color w:val="auto"/>
          <w:kern w:val="2"/>
          <w:sz w:val="24"/>
          <w:szCs w:val="22"/>
          <w:highlight w:val="none"/>
          <w:lang w:val="en-US" w:eastAsia="zh-CN"/>
        </w:rPr>
        <w:t>销</w:t>
      </w:r>
      <w:r>
        <w:rPr>
          <w:rFonts w:hint="eastAsia" w:ascii="宋体" w:hAnsi="宋体" w:eastAsia="宋体" w:cs="宋体"/>
          <w:color w:val="auto"/>
          <w:kern w:val="2"/>
          <w:sz w:val="24"/>
          <w:szCs w:val="22"/>
          <w:highlight w:val="none"/>
        </w:rPr>
        <w:t>其投标</w:t>
      </w:r>
      <w:r>
        <w:rPr>
          <w:rFonts w:hint="eastAsia" w:ascii="宋体" w:hAnsi="宋体" w:eastAsia="宋体" w:cs="宋体"/>
          <w:color w:val="auto"/>
          <w:kern w:val="2"/>
          <w:sz w:val="24"/>
          <w:szCs w:val="22"/>
          <w:highlight w:val="none"/>
          <w:lang w:val="en-US" w:eastAsia="zh-CN"/>
        </w:rPr>
        <w:t>的</w:t>
      </w:r>
      <w:r>
        <w:rPr>
          <w:rFonts w:hint="eastAsia" w:ascii="宋体" w:hAnsi="宋体" w:eastAsia="宋体" w:cs="宋体"/>
          <w:color w:val="auto"/>
          <w:kern w:val="2"/>
          <w:sz w:val="24"/>
          <w:szCs w:val="22"/>
          <w:highlight w:val="none"/>
        </w:rPr>
        <w:t>；</w:t>
      </w:r>
      <w:r>
        <w:rPr>
          <w:rFonts w:hint="default" w:ascii="宋体" w:hAnsi="宋体" w:eastAsia="宋体" w:cstheme="minorBidi"/>
          <w:iCs/>
          <w:color w:val="auto"/>
          <w:kern w:val="2"/>
          <w:sz w:val="24"/>
          <w:szCs w:val="22"/>
          <w:highlight w:val="none"/>
          <w:shd w:val="clear" w:color="auto" w:fill="FFFFFF" w:themeFill="background1"/>
          <w:lang w:val="en-US" w:eastAsia="zh-CN" w:bidi="ar-SA"/>
        </w:rPr>
        <w:t xml:space="preserve"> </w:t>
      </w:r>
    </w:p>
    <w:p w14:paraId="36FC9D74">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default" w:ascii="宋体" w:hAnsi="宋体" w:eastAsia="宋体" w:cstheme="minorBidi"/>
          <w:iCs/>
          <w:color w:val="auto"/>
          <w:kern w:val="2"/>
          <w:sz w:val="24"/>
          <w:szCs w:val="22"/>
          <w:highlight w:val="none"/>
          <w:shd w:val="clear" w:color="auto" w:fill="FFFFFF" w:themeFill="background1"/>
          <w:lang w:val="en-US" w:eastAsia="zh-CN" w:bidi="ar-SA"/>
        </w:rPr>
      </w:pPr>
      <w:r>
        <w:rPr>
          <w:rFonts w:hint="default" w:ascii="宋体" w:hAnsi="宋体" w:eastAsia="宋体" w:cstheme="minorBidi"/>
          <w:iCs/>
          <w:color w:val="auto"/>
          <w:kern w:val="2"/>
          <w:sz w:val="24"/>
          <w:szCs w:val="22"/>
          <w:highlight w:val="none"/>
          <w:shd w:val="clear" w:color="auto" w:fill="FFFFFF" w:themeFill="background1"/>
          <w:lang w:val="en-US" w:eastAsia="zh-CN" w:bidi="ar-SA"/>
        </w:rPr>
        <w:t>1</w:t>
      </w:r>
      <w:r>
        <w:rPr>
          <w:rFonts w:hint="eastAsia" w:ascii="宋体" w:hAnsi="宋体" w:eastAsia="宋体" w:cstheme="minorBidi"/>
          <w:iCs/>
          <w:color w:val="auto"/>
          <w:kern w:val="2"/>
          <w:sz w:val="24"/>
          <w:szCs w:val="22"/>
          <w:highlight w:val="none"/>
          <w:shd w:val="clear" w:color="auto" w:fill="FFFFFF" w:themeFill="background1"/>
          <w:lang w:val="en-US" w:eastAsia="zh-CN" w:bidi="ar-SA"/>
        </w:rPr>
        <w:t>7</w:t>
      </w:r>
      <w:r>
        <w:rPr>
          <w:rFonts w:hint="default" w:ascii="宋体" w:hAnsi="宋体" w:eastAsia="宋体" w:cstheme="minorBidi"/>
          <w:iCs/>
          <w:color w:val="auto"/>
          <w:kern w:val="2"/>
          <w:sz w:val="24"/>
          <w:szCs w:val="22"/>
          <w:highlight w:val="none"/>
          <w:shd w:val="clear" w:color="auto" w:fill="FFFFFF" w:themeFill="background1"/>
          <w:lang w:val="en-US" w:eastAsia="zh-CN" w:bidi="ar-SA"/>
        </w:rPr>
        <w:t>.</w:t>
      </w:r>
      <w:r>
        <w:rPr>
          <w:rFonts w:hint="eastAsia" w:ascii="宋体" w:hAnsi="宋体" w:eastAsia="宋体" w:cstheme="minorBidi"/>
          <w:iCs/>
          <w:color w:val="auto"/>
          <w:kern w:val="2"/>
          <w:sz w:val="24"/>
          <w:szCs w:val="22"/>
          <w:highlight w:val="none"/>
          <w:shd w:val="clear" w:color="auto" w:fill="FFFFFF" w:themeFill="background1"/>
          <w:lang w:val="en-US" w:eastAsia="zh-CN" w:bidi="ar-SA"/>
        </w:rPr>
        <w:t>8</w:t>
      </w:r>
      <w:r>
        <w:rPr>
          <w:rFonts w:hint="default" w:ascii="宋体" w:hAnsi="宋体" w:eastAsia="宋体" w:cstheme="minorBidi"/>
          <w:iCs/>
          <w:color w:val="auto"/>
          <w:kern w:val="2"/>
          <w:sz w:val="24"/>
          <w:szCs w:val="22"/>
          <w:highlight w:val="none"/>
          <w:shd w:val="clear" w:color="auto" w:fill="FFFFFF" w:themeFill="background1"/>
          <w:lang w:val="en-US" w:eastAsia="zh-CN" w:bidi="ar-SA"/>
        </w:rPr>
        <w:t xml:space="preserve">.2 </w:t>
      </w:r>
      <w:r>
        <w:rPr>
          <w:rFonts w:hint="eastAsia" w:ascii="宋体" w:hAnsi="宋体" w:eastAsia="宋体" w:cs="宋体"/>
          <w:color w:val="auto"/>
          <w:kern w:val="2"/>
          <w:sz w:val="24"/>
          <w:szCs w:val="22"/>
          <w:highlight w:val="none"/>
        </w:rPr>
        <w:t>中标后无正当理由不与采购人签订合同的；</w:t>
      </w:r>
    </w:p>
    <w:p w14:paraId="3694295C">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2"/>
          <w:highlight w:val="none"/>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 xml:space="preserve">17.8.3 </w:t>
      </w:r>
      <w:r>
        <w:rPr>
          <w:rFonts w:hint="eastAsia" w:ascii="宋体" w:hAnsi="宋体" w:eastAsia="宋体" w:cs="宋体"/>
          <w:color w:val="auto"/>
          <w:kern w:val="2"/>
          <w:sz w:val="24"/>
          <w:szCs w:val="22"/>
          <w:highlight w:val="none"/>
        </w:rPr>
        <w:t>中标人与采购人订立背离合同实质性内容的其他协议；</w:t>
      </w:r>
    </w:p>
    <w:p w14:paraId="54583F23">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2"/>
          <w:highlight w:val="none"/>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17.8.</w:t>
      </w:r>
      <w:r>
        <w:rPr>
          <w:rFonts w:hint="eastAsia" w:ascii="宋体" w:hAnsi="宋体" w:eastAsia="宋体" w:cs="宋体"/>
          <w:color w:val="auto"/>
          <w:kern w:val="2"/>
          <w:sz w:val="24"/>
          <w:szCs w:val="22"/>
          <w:highlight w:val="none"/>
        </w:rPr>
        <w:t>4</w:t>
      </w:r>
      <w:r>
        <w:rPr>
          <w:rFonts w:hint="eastAsia" w:ascii="宋体" w:hAnsi="宋体" w:eastAsia="宋体" w:cs="宋体"/>
          <w:color w:val="auto"/>
          <w:kern w:val="2"/>
          <w:sz w:val="24"/>
          <w:szCs w:val="22"/>
          <w:highlight w:val="none"/>
          <w:lang w:val="en-US" w:eastAsia="zh-CN"/>
        </w:rPr>
        <w:t xml:space="preserve"> </w:t>
      </w:r>
      <w:r>
        <w:rPr>
          <w:rFonts w:hint="eastAsia" w:ascii="宋体" w:hAnsi="宋体" w:eastAsia="宋体" w:cs="宋体"/>
          <w:color w:val="auto"/>
          <w:kern w:val="2"/>
          <w:sz w:val="24"/>
          <w:szCs w:val="22"/>
          <w:highlight w:val="none"/>
        </w:rPr>
        <w:t>将中标项目转让给他人，或者在投标文件中未说明，且未经采购</w:t>
      </w:r>
      <w:r>
        <w:rPr>
          <w:rFonts w:hint="eastAsia" w:ascii="宋体" w:hAnsi="宋体" w:eastAsia="宋体" w:cs="宋体"/>
          <w:color w:val="auto"/>
          <w:kern w:val="2"/>
          <w:sz w:val="24"/>
          <w:szCs w:val="22"/>
          <w:highlight w:val="none"/>
          <w:lang w:val="en-US" w:eastAsia="zh-CN"/>
        </w:rPr>
        <w:t>人</w:t>
      </w:r>
      <w:r>
        <w:rPr>
          <w:rFonts w:hint="eastAsia" w:ascii="宋体" w:hAnsi="宋体" w:eastAsia="宋体" w:cs="宋体"/>
          <w:color w:val="auto"/>
          <w:kern w:val="2"/>
          <w:sz w:val="24"/>
          <w:szCs w:val="22"/>
          <w:highlight w:val="none"/>
        </w:rPr>
        <w:t>同意，将中标项目分包给他人的；</w:t>
      </w:r>
    </w:p>
    <w:p w14:paraId="433DB211">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2"/>
          <w:highlight w:val="none"/>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17.8.</w:t>
      </w:r>
      <w:r>
        <w:rPr>
          <w:rFonts w:hint="eastAsia" w:ascii="宋体" w:hAnsi="宋体" w:eastAsia="宋体" w:cs="宋体"/>
          <w:color w:val="auto"/>
          <w:kern w:val="2"/>
          <w:sz w:val="24"/>
          <w:szCs w:val="22"/>
          <w:highlight w:val="none"/>
        </w:rPr>
        <w:t>5</w:t>
      </w:r>
      <w:r>
        <w:rPr>
          <w:rFonts w:hint="eastAsia" w:ascii="宋体" w:hAnsi="宋体" w:eastAsia="宋体" w:cs="宋体"/>
          <w:color w:val="auto"/>
          <w:kern w:val="2"/>
          <w:sz w:val="24"/>
          <w:szCs w:val="22"/>
          <w:highlight w:val="none"/>
          <w:lang w:val="en-US" w:eastAsia="zh-CN"/>
        </w:rPr>
        <w:t xml:space="preserve"> </w:t>
      </w:r>
      <w:r>
        <w:rPr>
          <w:rFonts w:hint="eastAsia" w:ascii="宋体" w:hAnsi="宋体" w:eastAsia="宋体" w:cs="宋体"/>
          <w:color w:val="auto"/>
          <w:kern w:val="2"/>
          <w:sz w:val="24"/>
          <w:szCs w:val="22"/>
          <w:highlight w:val="none"/>
        </w:rPr>
        <w:t>存在串通投标行为的；</w:t>
      </w:r>
    </w:p>
    <w:p w14:paraId="0A3E2CC4">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2"/>
          <w:highlight w:val="none"/>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17.8.</w:t>
      </w:r>
      <w:r>
        <w:rPr>
          <w:rFonts w:hint="eastAsia" w:ascii="宋体" w:hAnsi="宋体" w:eastAsia="宋体" w:cs="宋体"/>
          <w:color w:val="auto"/>
          <w:kern w:val="2"/>
          <w:sz w:val="24"/>
          <w:szCs w:val="22"/>
          <w:highlight w:val="none"/>
        </w:rPr>
        <w:t>6</w:t>
      </w:r>
      <w:r>
        <w:rPr>
          <w:rFonts w:hint="eastAsia" w:ascii="宋体" w:hAnsi="宋体" w:eastAsia="宋体" w:cs="宋体"/>
          <w:color w:val="auto"/>
          <w:kern w:val="2"/>
          <w:sz w:val="24"/>
          <w:szCs w:val="22"/>
          <w:highlight w:val="none"/>
          <w:lang w:val="en-US" w:eastAsia="zh-CN"/>
        </w:rPr>
        <w:t xml:space="preserve"> </w:t>
      </w:r>
      <w:r>
        <w:rPr>
          <w:rFonts w:hint="eastAsia" w:ascii="宋体" w:hAnsi="宋体" w:eastAsia="宋体" w:cs="宋体"/>
          <w:color w:val="auto"/>
          <w:kern w:val="2"/>
          <w:sz w:val="24"/>
          <w:szCs w:val="22"/>
          <w:highlight w:val="none"/>
        </w:rPr>
        <w:t>存在弄虚作假或提供虚假材料谋取中标的；</w:t>
      </w:r>
    </w:p>
    <w:p w14:paraId="3CBF915F">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2"/>
          <w:highlight w:val="none"/>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17.8.</w:t>
      </w:r>
      <w:r>
        <w:rPr>
          <w:rFonts w:hint="eastAsia" w:ascii="宋体" w:hAnsi="宋体" w:eastAsia="宋体" w:cs="宋体"/>
          <w:color w:val="auto"/>
          <w:kern w:val="2"/>
          <w:sz w:val="24"/>
          <w:szCs w:val="22"/>
          <w:highlight w:val="none"/>
        </w:rPr>
        <w:t>7</w:t>
      </w:r>
      <w:r>
        <w:rPr>
          <w:rFonts w:hint="eastAsia" w:ascii="宋体" w:hAnsi="宋体" w:eastAsia="宋体" w:cs="宋体"/>
          <w:color w:val="auto"/>
          <w:kern w:val="2"/>
          <w:sz w:val="24"/>
          <w:szCs w:val="22"/>
          <w:highlight w:val="none"/>
          <w:lang w:val="en-US" w:eastAsia="zh-CN"/>
        </w:rPr>
        <w:t xml:space="preserve"> </w:t>
      </w:r>
      <w:r>
        <w:rPr>
          <w:rFonts w:hint="eastAsia" w:ascii="宋体" w:hAnsi="宋体" w:eastAsia="宋体" w:cs="宋体"/>
          <w:color w:val="auto"/>
          <w:kern w:val="2"/>
          <w:sz w:val="24"/>
          <w:szCs w:val="22"/>
          <w:highlight w:val="none"/>
        </w:rPr>
        <w:t>投标人其他未按招标文件规定和合同约定履行义务的行为。</w:t>
      </w:r>
    </w:p>
    <w:p w14:paraId="330E240F">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theme="minorBidi"/>
          <w:iCs/>
          <w:color w:val="auto"/>
          <w:kern w:val="2"/>
          <w:sz w:val="24"/>
          <w:szCs w:val="22"/>
          <w:highlight w:val="none"/>
          <w:shd w:val="clear" w:color="auto" w:fill="FFFFFF" w:themeFill="background1"/>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17.9如开标时投标人对本单位投标保证金缴纳情况有疑义，投标人应在开标结束前向采购人提交书面申请核实保证金缴纳情况。由银行或保险公司核实后出具书面材料予以答复。</w:t>
      </w:r>
    </w:p>
    <w:p w14:paraId="7018BCE4">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theme="minorBidi"/>
          <w:iCs/>
          <w:color w:val="auto"/>
          <w:kern w:val="2"/>
          <w:sz w:val="24"/>
          <w:szCs w:val="22"/>
          <w:highlight w:val="none"/>
          <w:shd w:val="clear" w:color="auto" w:fill="FFFFFF" w:themeFill="background1"/>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17.10为支持和促进中小企业发展，进一步发挥政府采购政策功能，鼓励投标供应商使用电子保函代替现金缴纳投标保证金，在线完成保函的申请、审核、开票、出函等环节，投标企业注意区分办理保函类型，并确认投标有效期，如采用政采云电子保函，可登录“兵团政府采购网”—顶部通栏“信用融资”或者“兵团政府采购网”首页“政采贷｜电子保函”快捷模块查看：</w:t>
      </w:r>
    </w:p>
    <w:p w14:paraId="1F3A8C5E">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theme="minorBidi"/>
          <w:iCs/>
          <w:color w:val="auto"/>
          <w:kern w:val="2"/>
          <w:sz w:val="24"/>
          <w:szCs w:val="22"/>
          <w:highlight w:val="none"/>
          <w:shd w:val="clear" w:color="auto" w:fill="FFFFFF" w:themeFill="background1"/>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直达链接（电子保函）：</w:t>
      </w:r>
    </w:p>
    <w:p w14:paraId="15E30E92">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theme="minorBidi"/>
          <w:iCs/>
          <w:color w:val="auto"/>
          <w:kern w:val="2"/>
          <w:sz w:val="24"/>
          <w:szCs w:val="22"/>
          <w:highlight w:val="none"/>
          <w:shd w:val="clear" w:color="auto" w:fill="FFFFFF" w:themeFill="background1"/>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https://jinrong.zcygov.cn/luban/finance/xinjiang?utm=site.site-PC-4838.1473-pc-wsg-customFloatWindow-front.1.b9d627301e6311efb796b33a13fe0d0a</w:t>
      </w:r>
    </w:p>
    <w:p w14:paraId="071DFFA7">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theme="minorBidi"/>
          <w:iCs/>
          <w:color w:val="auto"/>
          <w:kern w:val="2"/>
          <w:sz w:val="24"/>
          <w:szCs w:val="22"/>
          <w:highlight w:val="none"/>
          <w:shd w:val="clear" w:color="auto" w:fill="FFFFFF" w:themeFill="background1"/>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金融服务支撑热线：</w:t>
      </w:r>
      <w:r>
        <w:rPr>
          <w:rFonts w:hint="eastAsia" w:ascii="宋体" w:hAnsi="宋体" w:eastAsia="宋体" w:cstheme="minorBidi"/>
          <w:b/>
          <w:bCs/>
          <w:iCs/>
          <w:color w:val="auto"/>
          <w:kern w:val="2"/>
          <w:sz w:val="24"/>
          <w:szCs w:val="22"/>
          <w:highlight w:val="none"/>
          <w:shd w:val="clear" w:color="auto" w:fill="FFFFFF" w:themeFill="background1"/>
          <w:lang w:val="en-US" w:eastAsia="zh-CN" w:bidi="ar-SA"/>
        </w:rPr>
        <w:t>95763</w:t>
      </w:r>
      <w:r>
        <w:rPr>
          <w:rFonts w:hint="eastAsia" w:ascii="宋体" w:hAnsi="宋体" w:eastAsia="宋体" w:cstheme="minorBidi"/>
          <w:iCs/>
          <w:color w:val="auto"/>
          <w:kern w:val="2"/>
          <w:sz w:val="24"/>
          <w:szCs w:val="22"/>
          <w:highlight w:val="none"/>
          <w:shd w:val="clear" w:color="auto" w:fill="FFFFFF" w:themeFill="background1"/>
          <w:lang w:val="en-US" w:eastAsia="zh-CN" w:bidi="ar-SA"/>
        </w:rPr>
        <w:t xml:space="preserve">     </w:t>
      </w:r>
    </w:p>
    <w:p w14:paraId="3586E853">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r>
        <w:rPr>
          <w:rFonts w:hint="eastAsia" w:ascii="宋体" w:hAnsi="宋体" w:eastAsia="宋体" w:cs="宋体"/>
          <w:b/>
          <w:bCs/>
          <w:color w:val="auto"/>
          <w:kern w:val="2"/>
          <w:sz w:val="24"/>
          <w:szCs w:val="28"/>
          <w:highlight w:val="none"/>
          <w:lang w:val="en-US" w:eastAsia="zh-CN" w:bidi="ar-SA"/>
        </w:rPr>
        <w:t>18.投标文件的加密</w:t>
      </w:r>
      <w:bookmarkEnd w:id="155"/>
    </w:p>
    <w:p w14:paraId="7CFFC076">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u w:val="single"/>
        </w:rPr>
      </w:pPr>
      <w:bookmarkStart w:id="156" w:name="_Hlk143531864"/>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8</w:t>
      </w:r>
      <w:r>
        <w:rPr>
          <w:rFonts w:hint="eastAsia" w:eastAsia="宋体" w:cs="仿宋_GB2312"/>
          <w:color w:val="auto"/>
          <w:sz w:val="24"/>
          <w:szCs w:val="24"/>
          <w:highlight w:val="none"/>
        </w:rPr>
        <w:t>.1投标人在</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eastAsia="宋体" w:cs="仿宋_GB2312"/>
          <w:color w:val="auto"/>
          <w:sz w:val="24"/>
          <w:szCs w:val="24"/>
          <w:highlight w:val="none"/>
        </w:rPr>
        <w:t>中生成投标文件并完成签章之后，使用CA证书在</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eastAsia="宋体" w:cs="仿宋_GB2312"/>
          <w:color w:val="auto"/>
          <w:sz w:val="24"/>
          <w:szCs w:val="24"/>
          <w:highlight w:val="none"/>
        </w:rPr>
        <w:t>中对投标文件进行加密。</w:t>
      </w:r>
    </w:p>
    <w:p w14:paraId="20075D69">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8</w:t>
      </w:r>
      <w:r>
        <w:rPr>
          <w:rFonts w:hint="eastAsia" w:eastAsia="宋体" w:cs="仿宋_GB2312"/>
          <w:color w:val="auto"/>
          <w:sz w:val="24"/>
          <w:szCs w:val="24"/>
          <w:highlight w:val="none"/>
        </w:rPr>
        <w:t>.2投标人应在</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eastAsia="宋体" w:cs="仿宋_GB2312"/>
          <w:color w:val="auto"/>
          <w:sz w:val="24"/>
          <w:szCs w:val="24"/>
          <w:highlight w:val="none"/>
        </w:rPr>
        <w:t>中对加密的投标文件进行解密验证，以防止投标文件加密异常，在开标时无法解密。</w:t>
      </w:r>
    </w:p>
    <w:p w14:paraId="60E84957">
      <w:pPr>
        <w:keepNext w:val="0"/>
        <w:keepLines w:val="0"/>
        <w:pageBreakBefore w:val="0"/>
        <w:widowControl w:val="0"/>
        <w:kinsoku/>
        <w:overflowPunct/>
        <w:topLinePunct w:val="0"/>
        <w:autoSpaceDE/>
        <w:autoSpaceDN/>
        <w:bidi w:val="0"/>
        <w:adjustRightInd/>
        <w:ind w:firstLine="480" w:firstLineChars="200"/>
        <w:textAlignment w:val="auto"/>
        <w:rPr>
          <w:rFonts w:hint="eastAsia" w:eastAsia="宋体" w:cs="仿宋_GB2312"/>
          <w:color w:val="auto"/>
          <w:sz w:val="24"/>
          <w:szCs w:val="24"/>
          <w:highlight w:val="none"/>
        </w:rPr>
      </w:pP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8</w:t>
      </w:r>
      <w:r>
        <w:rPr>
          <w:rFonts w:hint="eastAsia" w:eastAsia="宋体" w:cs="仿宋_GB2312"/>
          <w:color w:val="auto"/>
          <w:sz w:val="24"/>
          <w:szCs w:val="24"/>
          <w:highlight w:val="none"/>
        </w:rPr>
        <w:t>.3 投标人应保证加密投标文件的CA证书有效期在开标时间之前。若CA证书有效期临近开标时间，建议投标人提前办理CA证书续期，以免开标时无法进行解密。</w:t>
      </w:r>
    </w:p>
    <w:p w14:paraId="4D80B003">
      <w:pPr>
        <w:keepNext w:val="0"/>
        <w:keepLines w:val="0"/>
        <w:pageBreakBefore w:val="0"/>
        <w:widowControl w:val="0"/>
        <w:kinsoku/>
        <w:wordWrap w:val="0"/>
        <w:overflowPunct/>
        <w:topLinePunct w:val="0"/>
        <w:autoSpaceDE/>
        <w:autoSpaceDN/>
        <w:bidi w:val="0"/>
        <w:adjustRightInd/>
        <w:snapToGrid/>
        <w:ind w:firstLine="480" w:firstLineChars="200"/>
        <w:textAlignment w:val="auto"/>
        <w:rPr>
          <w:rFonts w:hint="eastAsia" w:eastAsia="宋体" w:cs="仿宋_GB2312"/>
          <w:color w:val="auto"/>
          <w:sz w:val="24"/>
          <w:szCs w:val="24"/>
          <w:highlight w:val="none"/>
        </w:rPr>
      </w:pPr>
      <w:r>
        <w:rPr>
          <w:rFonts w:hint="eastAsia" w:eastAsia="宋体" w:cs="仿宋_GB2312"/>
          <w:color w:val="auto"/>
          <w:sz w:val="24"/>
          <w:szCs w:val="24"/>
          <w:highlight w:val="none"/>
        </w:rPr>
        <w:t>1</w:t>
      </w:r>
      <w:r>
        <w:rPr>
          <w:rFonts w:hint="eastAsia" w:eastAsia="宋体" w:cs="仿宋_GB2312"/>
          <w:color w:val="auto"/>
          <w:sz w:val="24"/>
          <w:szCs w:val="24"/>
          <w:highlight w:val="none"/>
          <w:lang w:val="en-US" w:eastAsia="zh-CN"/>
        </w:rPr>
        <w:t>8</w:t>
      </w:r>
      <w:r>
        <w:rPr>
          <w:rFonts w:hint="eastAsia" w:eastAsia="宋体" w:cs="仿宋_GB2312"/>
          <w:color w:val="auto"/>
          <w:sz w:val="24"/>
          <w:szCs w:val="24"/>
          <w:highlight w:val="none"/>
        </w:rPr>
        <w:t>.</w:t>
      </w:r>
      <w:r>
        <w:rPr>
          <w:rFonts w:hint="eastAsia" w:eastAsia="宋体" w:cs="仿宋_GB2312"/>
          <w:color w:val="auto"/>
          <w:sz w:val="24"/>
          <w:szCs w:val="24"/>
          <w:highlight w:val="none"/>
          <w:lang w:val="en-US" w:eastAsia="zh-CN"/>
        </w:rPr>
        <w:t>4</w:t>
      </w:r>
      <w:r>
        <w:rPr>
          <w:rFonts w:hint="eastAsia" w:eastAsia="宋体" w:cs="仿宋_GB2312"/>
          <w:color w:val="auto"/>
          <w:sz w:val="24"/>
          <w:szCs w:val="24"/>
          <w:highlight w:val="none"/>
          <w:lang w:eastAsia="zh-CN"/>
        </w:rPr>
        <w:t>投标人</w:t>
      </w:r>
      <w:r>
        <w:rPr>
          <w:rFonts w:hint="eastAsia" w:eastAsia="宋体" w:cs="仿宋_GB2312"/>
          <w:color w:val="auto"/>
          <w:sz w:val="24"/>
          <w:szCs w:val="24"/>
          <w:highlight w:val="none"/>
        </w:rPr>
        <w:t>在</w:t>
      </w:r>
      <w:r>
        <w:rPr>
          <w:rFonts w:hint="eastAsia" w:eastAsia="宋体" w:cs="仿宋_GB2312"/>
          <w:color w:val="auto"/>
          <w:sz w:val="24"/>
          <w:szCs w:val="24"/>
          <w:highlight w:val="none"/>
          <w:lang w:eastAsia="zh-CN"/>
        </w:rPr>
        <w:t>投标文件</w:t>
      </w:r>
      <w:r>
        <w:rPr>
          <w:rFonts w:hint="eastAsia" w:eastAsia="宋体" w:cs="仿宋_GB2312"/>
          <w:color w:val="auto"/>
          <w:sz w:val="24"/>
          <w:szCs w:val="24"/>
          <w:highlight w:val="none"/>
        </w:rPr>
        <w:t>递交截</w:t>
      </w:r>
      <w:r>
        <w:rPr>
          <w:rFonts w:hint="eastAsia" w:eastAsia="宋体" w:cs="仿宋_GB2312"/>
          <w:color w:val="auto"/>
          <w:sz w:val="24"/>
          <w:szCs w:val="24"/>
          <w:highlight w:val="none"/>
          <w:lang w:val="en-US" w:eastAsia="zh-CN"/>
        </w:rPr>
        <w:t>止</w:t>
      </w:r>
      <w:r>
        <w:rPr>
          <w:rFonts w:hint="eastAsia" w:eastAsia="宋体" w:cs="仿宋_GB2312"/>
          <w:color w:val="auto"/>
          <w:sz w:val="24"/>
          <w:szCs w:val="24"/>
          <w:highlight w:val="none"/>
        </w:rPr>
        <w:t>时间前通过</w:t>
      </w:r>
      <w:r>
        <w:rPr>
          <w:rFonts w:hint="eastAsia" w:eastAsia="宋体" w:cs="仿宋_GB2312"/>
          <w:color w:val="auto"/>
          <w:sz w:val="24"/>
          <w:szCs w:val="24"/>
          <w:highlight w:val="none"/>
          <w:lang w:val="en-US" w:eastAsia="zh-CN"/>
        </w:rPr>
        <w:t>兵团</w:t>
      </w:r>
      <w:r>
        <w:rPr>
          <w:rFonts w:hint="eastAsia" w:eastAsia="宋体" w:cs="仿宋_GB2312"/>
          <w:color w:val="auto"/>
          <w:sz w:val="24"/>
          <w:szCs w:val="24"/>
          <w:highlight w:val="none"/>
        </w:rPr>
        <w:t>政府采购网（http://ccgp-bingtuan.gov.cn/）的”政采云登录入口”登录后，将加密电子</w:t>
      </w:r>
      <w:r>
        <w:rPr>
          <w:rFonts w:hint="eastAsia" w:eastAsia="宋体" w:cs="仿宋_GB2312"/>
          <w:color w:val="auto"/>
          <w:sz w:val="24"/>
          <w:szCs w:val="24"/>
          <w:highlight w:val="none"/>
          <w:lang w:eastAsia="zh-CN"/>
        </w:rPr>
        <w:t>投标文件</w:t>
      </w:r>
      <w:r>
        <w:rPr>
          <w:rFonts w:hint="eastAsia" w:ascii="宋体" w:hAnsi="宋体" w:eastAsia="宋体" w:cs="仿宋_GB2312"/>
          <w:color w:val="auto"/>
          <w:sz w:val="24"/>
          <w:szCs w:val="24"/>
          <w:highlight w:val="none"/>
        </w:rPr>
        <w:t>（为.jmbs后缀格式）</w:t>
      </w:r>
      <w:r>
        <w:rPr>
          <w:rFonts w:hint="eastAsia" w:eastAsia="宋体" w:cs="仿宋_GB2312"/>
          <w:color w:val="auto"/>
          <w:sz w:val="24"/>
          <w:szCs w:val="24"/>
          <w:highlight w:val="none"/>
        </w:rPr>
        <w:t>上传到对应项目的指定位置</w:t>
      </w:r>
      <w:r>
        <w:rPr>
          <w:rFonts w:hint="eastAsia" w:eastAsia="宋体" w:cs="仿宋_GB2312"/>
          <w:color w:val="auto"/>
          <w:sz w:val="24"/>
          <w:szCs w:val="24"/>
          <w:highlight w:val="none"/>
          <w:lang w:eastAsia="zh-CN"/>
        </w:rPr>
        <w:t>，</w:t>
      </w:r>
      <w:r>
        <w:rPr>
          <w:rFonts w:hint="eastAsia" w:eastAsia="宋体" w:cs="仿宋_GB2312"/>
          <w:color w:val="auto"/>
          <w:sz w:val="24"/>
          <w:szCs w:val="24"/>
          <w:highlight w:val="none"/>
        </w:rPr>
        <w:t>投标人认为有必要提交的其他资料请于投标截止时间前一并提交。</w:t>
      </w:r>
    </w:p>
    <w:p w14:paraId="7FD09881">
      <w:pPr>
        <w:keepNext w:val="0"/>
        <w:keepLines w:val="0"/>
        <w:pageBreakBefore w:val="0"/>
        <w:widowControl w:val="0"/>
        <w:kinsoku/>
        <w:overflowPunct/>
        <w:topLinePunct w:val="0"/>
        <w:autoSpaceDE/>
        <w:autoSpaceDN/>
        <w:bidi w:val="0"/>
        <w:adjustRightInd/>
        <w:ind w:firstLine="480" w:firstLineChars="200"/>
        <w:textAlignment w:val="auto"/>
        <w:rPr>
          <w:rFonts w:hint="eastAsia" w:eastAsia="宋体" w:cs="仿宋_GB2312"/>
          <w:color w:val="auto"/>
          <w:sz w:val="24"/>
          <w:szCs w:val="24"/>
          <w:highlight w:val="none"/>
        </w:rPr>
      </w:pPr>
      <w:r>
        <w:rPr>
          <w:rFonts w:hint="eastAsia" w:eastAsia="宋体" w:cs="仿宋_GB2312"/>
          <w:color w:val="auto"/>
          <w:sz w:val="24"/>
          <w:szCs w:val="24"/>
          <w:highlight w:val="none"/>
        </w:rPr>
        <w:t>1</w:t>
      </w:r>
      <w:r>
        <w:rPr>
          <w:rFonts w:hint="eastAsia" w:eastAsia="宋体" w:cs="仿宋_GB2312"/>
          <w:color w:val="auto"/>
          <w:sz w:val="24"/>
          <w:szCs w:val="24"/>
          <w:highlight w:val="none"/>
          <w:lang w:val="en-US" w:eastAsia="zh-CN"/>
        </w:rPr>
        <w:t>8</w:t>
      </w:r>
      <w:r>
        <w:rPr>
          <w:rFonts w:hint="eastAsia" w:eastAsia="宋体" w:cs="仿宋_GB2312"/>
          <w:color w:val="auto"/>
          <w:sz w:val="24"/>
          <w:szCs w:val="24"/>
          <w:highlight w:val="none"/>
        </w:rPr>
        <w:t>.</w:t>
      </w:r>
      <w:r>
        <w:rPr>
          <w:rFonts w:hint="eastAsia" w:eastAsia="宋体" w:cs="仿宋_GB2312"/>
          <w:color w:val="auto"/>
          <w:sz w:val="24"/>
          <w:szCs w:val="24"/>
          <w:highlight w:val="none"/>
          <w:lang w:val="en-US" w:eastAsia="zh-CN"/>
        </w:rPr>
        <w:t>5</w:t>
      </w:r>
      <w:r>
        <w:rPr>
          <w:rFonts w:hint="eastAsia" w:eastAsia="宋体" w:cs="仿宋_GB2312"/>
          <w:color w:val="auto"/>
          <w:sz w:val="24"/>
          <w:szCs w:val="24"/>
          <w:highlight w:val="none"/>
        </w:rPr>
        <w:t>如果投标人未按上述要求</w:t>
      </w:r>
      <w:r>
        <w:rPr>
          <w:rFonts w:hint="eastAsia" w:eastAsia="宋体" w:cs="仿宋_GB2312"/>
          <w:color w:val="auto"/>
          <w:sz w:val="24"/>
          <w:szCs w:val="24"/>
          <w:highlight w:val="none"/>
          <w:lang w:val="en-US" w:eastAsia="zh-CN"/>
        </w:rPr>
        <w:t>加密并上传</w:t>
      </w:r>
      <w:r>
        <w:rPr>
          <w:rFonts w:hint="eastAsia" w:eastAsia="宋体" w:cs="仿宋_GB2312"/>
          <w:color w:val="auto"/>
          <w:sz w:val="24"/>
          <w:szCs w:val="24"/>
          <w:highlight w:val="none"/>
        </w:rPr>
        <w:t>，采购代理机构对投标文件的误投</w:t>
      </w:r>
      <w:r>
        <w:rPr>
          <w:rFonts w:hint="eastAsia" w:eastAsia="宋体" w:cs="仿宋_GB2312"/>
          <w:color w:val="auto"/>
          <w:sz w:val="24"/>
          <w:szCs w:val="24"/>
          <w:highlight w:val="none"/>
          <w:lang w:eastAsia="zh-CN"/>
        </w:rPr>
        <w:t>、</w:t>
      </w:r>
      <w:r>
        <w:rPr>
          <w:rFonts w:hint="eastAsia" w:eastAsia="宋体" w:cs="仿宋_GB2312"/>
          <w:color w:val="auto"/>
          <w:sz w:val="24"/>
          <w:szCs w:val="24"/>
          <w:highlight w:val="none"/>
          <w:lang w:val="en-US" w:eastAsia="zh-CN"/>
        </w:rPr>
        <w:t>无法解密、传输错误等问题</w:t>
      </w:r>
      <w:r>
        <w:rPr>
          <w:rFonts w:hint="eastAsia" w:eastAsia="宋体" w:cs="仿宋_GB2312"/>
          <w:color w:val="auto"/>
          <w:sz w:val="24"/>
          <w:szCs w:val="24"/>
          <w:highlight w:val="none"/>
        </w:rPr>
        <w:t>概不负责。对由此造成</w:t>
      </w:r>
      <w:r>
        <w:rPr>
          <w:rFonts w:hint="eastAsia" w:eastAsia="宋体" w:cs="仿宋_GB2312"/>
          <w:color w:val="auto"/>
          <w:sz w:val="24"/>
          <w:szCs w:val="24"/>
          <w:highlight w:val="none"/>
          <w:lang w:val="en-US" w:eastAsia="zh-CN"/>
        </w:rPr>
        <w:t>无法正常开启</w:t>
      </w:r>
      <w:r>
        <w:rPr>
          <w:rFonts w:hint="eastAsia" w:eastAsia="宋体" w:cs="仿宋_GB2312"/>
          <w:color w:val="auto"/>
          <w:sz w:val="24"/>
          <w:szCs w:val="24"/>
          <w:highlight w:val="none"/>
        </w:rPr>
        <w:t>的投标文件，采购代理机构有权予以拒绝，并退回投标人。</w:t>
      </w:r>
    </w:p>
    <w:p w14:paraId="23051441">
      <w:pPr>
        <w:keepNext w:val="0"/>
        <w:keepLines w:val="0"/>
        <w:pageBreakBefore w:val="0"/>
        <w:widowControl w:val="0"/>
        <w:kinsoku/>
        <w:overflowPunct/>
        <w:topLinePunct w:val="0"/>
        <w:autoSpaceDE/>
        <w:autoSpaceDN/>
        <w:bidi w:val="0"/>
        <w:adjustRightInd/>
        <w:ind w:firstLine="480" w:firstLineChars="200"/>
        <w:textAlignment w:val="auto"/>
        <w:rPr>
          <w:rFonts w:hint="eastAsia" w:eastAsia="宋体" w:cs="仿宋_GB2312"/>
          <w:color w:val="auto"/>
          <w:sz w:val="24"/>
          <w:szCs w:val="24"/>
          <w:highlight w:val="none"/>
        </w:rPr>
      </w:pPr>
      <w:r>
        <w:rPr>
          <w:rFonts w:hint="eastAsia" w:eastAsia="宋体" w:cs="仿宋_GB2312"/>
          <w:color w:val="auto"/>
          <w:sz w:val="24"/>
          <w:szCs w:val="24"/>
          <w:highlight w:val="none"/>
        </w:rPr>
        <w:t>1</w:t>
      </w:r>
      <w:r>
        <w:rPr>
          <w:rFonts w:hint="eastAsia" w:eastAsia="宋体" w:cs="仿宋_GB2312"/>
          <w:color w:val="auto"/>
          <w:sz w:val="24"/>
          <w:szCs w:val="24"/>
          <w:highlight w:val="none"/>
          <w:lang w:val="en-US" w:eastAsia="zh-CN"/>
        </w:rPr>
        <w:t>8</w:t>
      </w:r>
      <w:r>
        <w:rPr>
          <w:rFonts w:hint="eastAsia" w:eastAsia="宋体" w:cs="仿宋_GB2312"/>
          <w:color w:val="auto"/>
          <w:sz w:val="24"/>
          <w:szCs w:val="24"/>
          <w:highlight w:val="none"/>
        </w:rPr>
        <w:t>.</w:t>
      </w:r>
      <w:r>
        <w:rPr>
          <w:rFonts w:hint="eastAsia" w:eastAsia="宋体" w:cs="仿宋_GB2312"/>
          <w:color w:val="auto"/>
          <w:sz w:val="24"/>
          <w:szCs w:val="24"/>
          <w:highlight w:val="none"/>
          <w:lang w:val="en-US" w:eastAsia="zh-CN"/>
        </w:rPr>
        <w:t>6</w:t>
      </w:r>
      <w:r>
        <w:rPr>
          <w:rFonts w:hint="eastAsia" w:eastAsia="宋体" w:cs="仿宋_GB2312"/>
          <w:color w:val="auto"/>
          <w:sz w:val="24"/>
          <w:szCs w:val="24"/>
          <w:highlight w:val="none"/>
        </w:rPr>
        <w:t>本项目采用不见面开标，无需提供电子</w:t>
      </w:r>
      <w:r>
        <w:rPr>
          <w:rFonts w:hint="eastAsia" w:ascii="宋体" w:hAnsi="宋体" w:eastAsia="宋体" w:cs="仿宋_GB2312"/>
          <w:color w:val="auto"/>
          <w:sz w:val="24"/>
          <w:szCs w:val="24"/>
          <w:highlight w:val="none"/>
        </w:rPr>
        <w:t>投标文件U盘</w:t>
      </w:r>
      <w:r>
        <w:rPr>
          <w:rFonts w:hint="eastAsia" w:eastAsia="宋体" w:cs="仿宋_GB2312"/>
          <w:color w:val="auto"/>
          <w:sz w:val="24"/>
          <w:szCs w:val="24"/>
          <w:highlight w:val="none"/>
        </w:rPr>
        <w:t>。</w:t>
      </w:r>
    </w:p>
    <w:bookmarkEnd w:id="156"/>
    <w:p w14:paraId="31ED663E">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157" w:name="_Toc140132777"/>
      <w:bookmarkStart w:id="158" w:name="_Toc163492844"/>
      <w:r>
        <w:rPr>
          <w:rFonts w:hint="eastAsia" w:ascii="宋体" w:hAnsi="宋体" w:eastAsia="宋体" w:cs="宋体"/>
          <w:b/>
          <w:bCs/>
          <w:color w:val="auto"/>
          <w:kern w:val="2"/>
          <w:sz w:val="24"/>
          <w:szCs w:val="28"/>
          <w:highlight w:val="none"/>
          <w:lang w:val="en-US" w:eastAsia="zh-CN" w:bidi="ar-SA"/>
        </w:rPr>
        <w:t>19.投标文件的递交</w:t>
      </w:r>
      <w:bookmarkEnd w:id="157"/>
      <w:r>
        <w:rPr>
          <w:rFonts w:hint="eastAsia" w:ascii="宋体" w:hAnsi="宋体" w:eastAsia="宋体" w:cs="宋体"/>
          <w:b/>
          <w:bCs/>
          <w:color w:val="auto"/>
          <w:kern w:val="2"/>
          <w:sz w:val="24"/>
          <w:szCs w:val="28"/>
          <w:highlight w:val="none"/>
          <w:lang w:val="en-US" w:eastAsia="zh-CN" w:bidi="ar-SA"/>
        </w:rPr>
        <w:t>（上传）</w:t>
      </w:r>
      <w:bookmarkEnd w:id="158"/>
    </w:p>
    <w:p w14:paraId="68ADD5DF">
      <w:pPr>
        <w:keepNext w:val="0"/>
        <w:keepLines w:val="0"/>
        <w:pageBreakBefore w:val="0"/>
        <w:widowControl w:val="0"/>
        <w:kinsoku/>
        <w:overflowPunct/>
        <w:topLinePunct w:val="0"/>
        <w:autoSpaceDE/>
        <w:autoSpaceDN/>
        <w:bidi w:val="0"/>
        <w:adjustRightInd/>
        <w:ind w:firstLine="480" w:firstLineChars="200"/>
        <w:textAlignment w:val="auto"/>
        <w:rPr>
          <w:rFonts w:hint="eastAsia" w:eastAsia="宋体" w:cs="仿宋_GB2312"/>
          <w:color w:val="auto"/>
          <w:sz w:val="24"/>
          <w:szCs w:val="24"/>
          <w:highlight w:val="none"/>
        </w:rPr>
      </w:pPr>
      <w:bookmarkStart w:id="159" w:name="_Hlk143531977"/>
      <w:r>
        <w:rPr>
          <w:rFonts w:hint="eastAsia" w:eastAsia="宋体" w:cs="仿宋_GB2312"/>
          <w:color w:val="auto"/>
          <w:sz w:val="24"/>
          <w:szCs w:val="24"/>
          <w:highlight w:val="none"/>
          <w:lang w:val="en-US" w:eastAsia="zh-CN"/>
        </w:rPr>
        <w:t>19</w:t>
      </w:r>
      <w:r>
        <w:rPr>
          <w:rFonts w:hint="eastAsia" w:eastAsia="宋体" w:cs="仿宋_GB2312"/>
          <w:color w:val="auto"/>
          <w:sz w:val="24"/>
          <w:szCs w:val="24"/>
          <w:highlight w:val="none"/>
        </w:rPr>
        <w:t>.1 投标人应在“</w:t>
      </w:r>
      <w:r>
        <w:rPr>
          <w:rFonts w:hint="eastAsia" w:eastAsia="宋体" w:cs="仿宋_GB2312"/>
          <w:color w:val="auto"/>
          <w:sz w:val="24"/>
          <w:szCs w:val="24"/>
          <w:highlight w:val="none"/>
          <w:lang w:val="en-US" w:eastAsia="zh-CN"/>
        </w:rPr>
        <w:t xml:space="preserve">第一章 </w:t>
      </w:r>
      <w:r>
        <w:rPr>
          <w:rFonts w:hint="eastAsia" w:eastAsia="宋体"/>
          <w:color w:val="auto"/>
          <w:sz w:val="24"/>
          <w:highlight w:val="none"/>
          <w:lang w:val="en-US" w:eastAsia="zh-CN"/>
        </w:rPr>
        <w:t>招标公告</w:t>
      </w:r>
      <w:r>
        <w:rPr>
          <w:rFonts w:hint="eastAsia" w:eastAsia="宋体" w:cs="仿宋_GB2312"/>
          <w:color w:val="auto"/>
          <w:sz w:val="24"/>
          <w:szCs w:val="24"/>
          <w:highlight w:val="none"/>
        </w:rPr>
        <w:t>”规定的投标截止时间前递交（上传）投标文件。</w:t>
      </w:r>
    </w:p>
    <w:p w14:paraId="0686D9A3">
      <w:pPr>
        <w:keepNext w:val="0"/>
        <w:keepLines w:val="0"/>
        <w:pageBreakBefore w:val="0"/>
        <w:widowControl w:val="0"/>
        <w:kinsoku/>
        <w:overflowPunct/>
        <w:topLinePunct w:val="0"/>
        <w:autoSpaceDE/>
        <w:autoSpaceDN/>
        <w:bidi w:val="0"/>
        <w:adjustRightInd/>
        <w:ind w:firstLine="480" w:firstLineChars="200"/>
        <w:textAlignment w:val="auto"/>
        <w:rPr>
          <w:rFonts w:hint="eastAsia" w:eastAsia="宋体" w:cs="仿宋_GB2312"/>
          <w:color w:val="auto"/>
          <w:sz w:val="24"/>
          <w:szCs w:val="24"/>
          <w:highlight w:val="none"/>
        </w:rPr>
      </w:pPr>
      <w:r>
        <w:rPr>
          <w:rFonts w:hint="eastAsia" w:eastAsia="宋体" w:cs="仿宋_GB2312"/>
          <w:color w:val="auto"/>
          <w:sz w:val="24"/>
          <w:szCs w:val="24"/>
          <w:highlight w:val="none"/>
          <w:lang w:val="en-US" w:eastAsia="zh-CN"/>
        </w:rPr>
        <w:t>19</w:t>
      </w:r>
      <w:r>
        <w:rPr>
          <w:rFonts w:hint="eastAsia" w:eastAsia="宋体" w:cs="仿宋_GB2312"/>
          <w:color w:val="auto"/>
          <w:sz w:val="24"/>
          <w:szCs w:val="24"/>
          <w:highlight w:val="none"/>
        </w:rPr>
        <w:t>.2 投标人递交（上传）投标文件的地点见“</w:t>
      </w:r>
      <w:r>
        <w:rPr>
          <w:rFonts w:hint="eastAsia" w:eastAsia="宋体" w:cs="仿宋_GB2312"/>
          <w:color w:val="auto"/>
          <w:sz w:val="24"/>
          <w:szCs w:val="24"/>
          <w:highlight w:val="none"/>
          <w:lang w:val="en-US" w:eastAsia="zh-CN"/>
        </w:rPr>
        <w:t xml:space="preserve">第一章 </w:t>
      </w:r>
      <w:r>
        <w:rPr>
          <w:rFonts w:hint="eastAsia" w:eastAsia="宋体"/>
          <w:color w:val="auto"/>
          <w:sz w:val="24"/>
          <w:highlight w:val="none"/>
          <w:lang w:val="en-US" w:eastAsia="zh-CN"/>
        </w:rPr>
        <w:t>招标公告</w:t>
      </w:r>
      <w:r>
        <w:rPr>
          <w:rFonts w:hint="eastAsia" w:eastAsia="宋体" w:cs="仿宋_GB2312"/>
          <w:color w:val="auto"/>
          <w:sz w:val="24"/>
          <w:szCs w:val="24"/>
          <w:highlight w:val="none"/>
        </w:rPr>
        <w:t>”。</w:t>
      </w:r>
    </w:p>
    <w:p w14:paraId="6AE6974A">
      <w:pPr>
        <w:keepNext w:val="0"/>
        <w:keepLines w:val="0"/>
        <w:pageBreakBefore w:val="0"/>
        <w:widowControl w:val="0"/>
        <w:kinsoku/>
        <w:overflowPunct/>
        <w:topLinePunct w:val="0"/>
        <w:autoSpaceDE/>
        <w:autoSpaceDN/>
        <w:bidi w:val="0"/>
        <w:adjustRightInd/>
        <w:ind w:firstLine="480" w:firstLineChars="200"/>
        <w:textAlignment w:val="auto"/>
        <w:rPr>
          <w:rFonts w:hint="eastAsia" w:eastAsia="宋体" w:cs="仿宋_GB2312"/>
          <w:color w:val="auto"/>
          <w:sz w:val="24"/>
          <w:szCs w:val="24"/>
          <w:highlight w:val="none"/>
          <w:lang w:eastAsia="zh-CN"/>
        </w:rPr>
      </w:pPr>
      <w:r>
        <w:rPr>
          <w:rFonts w:hint="eastAsia" w:eastAsia="宋体" w:cs="仿宋_GB2312"/>
          <w:color w:val="auto"/>
          <w:sz w:val="24"/>
          <w:szCs w:val="24"/>
          <w:highlight w:val="none"/>
          <w:lang w:val="en-US" w:eastAsia="zh-CN"/>
        </w:rPr>
        <w:t>19</w:t>
      </w:r>
      <w:r>
        <w:rPr>
          <w:rFonts w:hint="eastAsia" w:eastAsia="宋体" w:cs="仿宋_GB2312"/>
          <w:color w:val="auto"/>
          <w:sz w:val="24"/>
          <w:szCs w:val="24"/>
          <w:highlight w:val="none"/>
        </w:rPr>
        <w:t>.3投标人应充分评估集中同时投标带来的网络影响，尽量避开投标高峰时间，错峰进行电子投标。投标人递交全部的投标文件后可在政采云平台（项目采购</w:t>
      </w:r>
      <w:r>
        <w:rPr>
          <w:rFonts w:hint="eastAsia" w:eastAsia="宋体" w:cs="仿宋_GB2312"/>
          <w:color w:val="auto"/>
          <w:sz w:val="24"/>
          <w:szCs w:val="24"/>
          <w:highlight w:val="none"/>
          <w:lang w:eastAsia="zh-CN"/>
        </w:rPr>
        <w:t>—</w:t>
      </w:r>
      <w:r>
        <w:rPr>
          <w:rFonts w:hint="eastAsia" w:eastAsia="宋体" w:cs="仿宋_GB2312"/>
          <w:color w:val="auto"/>
          <w:sz w:val="24"/>
          <w:szCs w:val="24"/>
          <w:highlight w:val="none"/>
        </w:rPr>
        <w:t>投标文件上传）中获取投标文件递交回执单。</w:t>
      </w:r>
    </w:p>
    <w:p w14:paraId="66FB688C">
      <w:pPr>
        <w:keepNext w:val="0"/>
        <w:keepLines w:val="0"/>
        <w:pageBreakBefore w:val="0"/>
        <w:widowControl w:val="0"/>
        <w:kinsoku/>
        <w:overflowPunct/>
        <w:topLinePunct w:val="0"/>
        <w:autoSpaceDE/>
        <w:autoSpaceDN/>
        <w:bidi w:val="0"/>
        <w:adjustRightInd/>
        <w:ind w:firstLine="480" w:firstLineChars="200"/>
        <w:textAlignment w:val="auto"/>
        <w:rPr>
          <w:rFonts w:hint="eastAsia" w:eastAsia="宋体" w:cs="仿宋_GB2312"/>
          <w:color w:val="auto"/>
          <w:sz w:val="24"/>
          <w:szCs w:val="24"/>
          <w:highlight w:val="none"/>
        </w:rPr>
      </w:pPr>
      <w:r>
        <w:rPr>
          <w:rFonts w:hint="eastAsia" w:eastAsia="宋体" w:cs="仿宋_GB2312"/>
          <w:color w:val="auto"/>
          <w:sz w:val="24"/>
          <w:szCs w:val="24"/>
          <w:highlight w:val="none"/>
          <w:lang w:val="en-US" w:eastAsia="zh-CN"/>
        </w:rPr>
        <w:t>19</w:t>
      </w:r>
      <w:r>
        <w:rPr>
          <w:rFonts w:hint="eastAsia" w:eastAsia="宋体" w:cs="仿宋_GB2312"/>
          <w:color w:val="auto"/>
          <w:sz w:val="24"/>
          <w:szCs w:val="24"/>
          <w:highlight w:val="none"/>
        </w:rPr>
        <w:t>.4 投标人应在</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eastAsia="宋体" w:cs="仿宋_GB2312"/>
          <w:color w:val="auto"/>
          <w:sz w:val="24"/>
          <w:szCs w:val="24"/>
          <w:highlight w:val="none"/>
        </w:rPr>
        <w:t>中下载未加密且完成签章的投标文件妥善保存，以便启动应急开标程序时使用。</w:t>
      </w:r>
    </w:p>
    <w:p w14:paraId="4469D505">
      <w:pPr>
        <w:keepNext w:val="0"/>
        <w:keepLines w:val="0"/>
        <w:pageBreakBefore w:val="0"/>
        <w:widowControl w:val="0"/>
        <w:kinsoku/>
        <w:overflowPunct/>
        <w:topLinePunct w:val="0"/>
        <w:autoSpaceDE/>
        <w:autoSpaceDN/>
        <w:bidi w:val="0"/>
        <w:adjustRightInd/>
        <w:ind w:firstLine="480" w:firstLineChars="200"/>
        <w:textAlignment w:val="auto"/>
        <w:rPr>
          <w:rFonts w:hint="eastAsia" w:eastAsia="宋体" w:cs="仿宋_GB2312"/>
          <w:color w:val="auto"/>
          <w:sz w:val="24"/>
          <w:szCs w:val="24"/>
          <w:highlight w:val="none"/>
        </w:rPr>
      </w:pPr>
      <w:r>
        <w:rPr>
          <w:rFonts w:hint="eastAsia" w:eastAsia="宋体" w:cs="仿宋_GB2312"/>
          <w:color w:val="auto"/>
          <w:sz w:val="24"/>
          <w:szCs w:val="24"/>
          <w:highlight w:val="none"/>
          <w:lang w:val="en-US" w:eastAsia="zh-CN"/>
        </w:rPr>
        <w:t>19</w:t>
      </w:r>
      <w:r>
        <w:rPr>
          <w:rFonts w:hint="eastAsia" w:eastAsia="宋体" w:cs="仿宋_GB2312"/>
          <w:color w:val="auto"/>
          <w:sz w:val="24"/>
          <w:szCs w:val="24"/>
          <w:highlight w:val="none"/>
        </w:rPr>
        <w:t>.5投标人所递交的投标文件不予退还。</w:t>
      </w:r>
    </w:p>
    <w:bookmarkEnd w:id="159"/>
    <w:p w14:paraId="6AD70963">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160" w:name="_Toc163492845"/>
      <w:r>
        <w:rPr>
          <w:rFonts w:hint="eastAsia" w:ascii="宋体" w:hAnsi="宋体" w:eastAsia="宋体" w:cs="宋体"/>
          <w:b/>
          <w:bCs/>
          <w:color w:val="auto"/>
          <w:kern w:val="2"/>
          <w:sz w:val="24"/>
          <w:szCs w:val="28"/>
          <w:highlight w:val="none"/>
          <w:lang w:val="en-US" w:eastAsia="zh-CN" w:bidi="ar-SA"/>
        </w:rPr>
        <w:t>20.拒收</w:t>
      </w:r>
      <w:bookmarkEnd w:id="160"/>
    </w:p>
    <w:p w14:paraId="163AD542">
      <w:pPr>
        <w:keepNext w:val="0"/>
        <w:keepLines w:val="0"/>
        <w:pageBreakBefore w:val="0"/>
        <w:widowControl w:val="0"/>
        <w:kinsoku/>
        <w:overflowPunct/>
        <w:topLinePunct w:val="0"/>
        <w:autoSpaceDE/>
        <w:autoSpaceDN/>
        <w:bidi w:val="0"/>
        <w:adjustRightInd/>
        <w:ind w:firstLine="480" w:firstLineChars="200"/>
        <w:textAlignment w:val="auto"/>
        <w:rPr>
          <w:rFonts w:hint="eastAsia" w:eastAsia="宋体" w:cs="仿宋_GB2312"/>
          <w:color w:val="auto"/>
          <w:sz w:val="24"/>
          <w:szCs w:val="24"/>
          <w:highlight w:val="none"/>
        </w:rPr>
      </w:pPr>
      <w:r>
        <w:rPr>
          <w:rFonts w:hint="eastAsia" w:eastAsia="宋体" w:cs="仿宋_GB2312"/>
          <w:color w:val="auto"/>
          <w:sz w:val="24"/>
          <w:szCs w:val="24"/>
          <w:highlight w:val="none"/>
        </w:rPr>
        <w:t>2</w:t>
      </w:r>
      <w:r>
        <w:rPr>
          <w:rFonts w:hint="eastAsia" w:eastAsia="宋体" w:cs="仿宋_GB2312"/>
          <w:color w:val="auto"/>
          <w:sz w:val="24"/>
          <w:szCs w:val="24"/>
          <w:highlight w:val="none"/>
          <w:lang w:val="en-US" w:eastAsia="zh-CN"/>
        </w:rPr>
        <w:t>0</w:t>
      </w:r>
      <w:r>
        <w:rPr>
          <w:rFonts w:hint="eastAsia" w:eastAsia="宋体" w:cs="仿宋_GB2312"/>
          <w:color w:val="auto"/>
          <w:sz w:val="24"/>
          <w:szCs w:val="24"/>
          <w:highlight w:val="none"/>
        </w:rPr>
        <w:t>.1 超过投标文件提交截止时间</w:t>
      </w:r>
      <w:bookmarkStart w:id="161" w:name="_Hlk143532404"/>
      <w:r>
        <w:rPr>
          <w:rFonts w:hint="eastAsia" w:eastAsia="宋体" w:cs="仿宋_GB2312"/>
          <w:color w:val="auto"/>
          <w:sz w:val="24"/>
          <w:szCs w:val="24"/>
          <w:highlight w:val="none"/>
        </w:rPr>
        <w:t>或者不按照本章要求加密的投标文件，交易系统应当拒收</w:t>
      </w:r>
      <w:bookmarkEnd w:id="161"/>
      <w:r>
        <w:rPr>
          <w:rFonts w:hint="eastAsia" w:eastAsia="宋体" w:cs="仿宋_GB2312"/>
          <w:color w:val="auto"/>
          <w:sz w:val="24"/>
          <w:szCs w:val="24"/>
          <w:highlight w:val="none"/>
        </w:rPr>
        <w:t>。</w:t>
      </w:r>
    </w:p>
    <w:p w14:paraId="03561218">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162" w:name="_Toc140132778"/>
      <w:bookmarkStart w:id="163" w:name="_Toc163492846"/>
      <w:r>
        <w:rPr>
          <w:rFonts w:hint="eastAsia" w:ascii="宋体" w:hAnsi="宋体" w:eastAsia="宋体" w:cs="宋体"/>
          <w:b/>
          <w:bCs/>
          <w:color w:val="auto"/>
          <w:kern w:val="2"/>
          <w:sz w:val="24"/>
          <w:szCs w:val="28"/>
          <w:highlight w:val="none"/>
          <w:lang w:val="en-US" w:eastAsia="zh-CN" w:bidi="ar-SA"/>
        </w:rPr>
        <w:t>21.投标文件的修改与撤回</w:t>
      </w:r>
      <w:bookmarkEnd w:id="162"/>
      <w:bookmarkEnd w:id="163"/>
    </w:p>
    <w:p w14:paraId="7DBF29E0">
      <w:pPr>
        <w:keepNext w:val="0"/>
        <w:keepLines w:val="0"/>
        <w:pageBreakBefore w:val="0"/>
        <w:widowControl w:val="0"/>
        <w:kinsoku/>
        <w:overflowPunct/>
        <w:topLinePunct w:val="0"/>
        <w:autoSpaceDE/>
        <w:autoSpaceDN/>
        <w:bidi w:val="0"/>
        <w:adjustRightInd/>
        <w:ind w:firstLine="480" w:firstLineChars="200"/>
        <w:textAlignment w:val="auto"/>
        <w:rPr>
          <w:rFonts w:hint="eastAsia" w:eastAsia="宋体" w:cs="仿宋_GB2312"/>
          <w:color w:val="auto"/>
          <w:sz w:val="24"/>
          <w:szCs w:val="24"/>
          <w:highlight w:val="none"/>
        </w:rPr>
      </w:pPr>
      <w:r>
        <w:rPr>
          <w:rFonts w:hint="eastAsia" w:eastAsia="宋体" w:cs="仿宋_GB2312"/>
          <w:color w:val="auto"/>
          <w:sz w:val="24"/>
          <w:szCs w:val="24"/>
          <w:highlight w:val="none"/>
        </w:rPr>
        <w:t>2</w:t>
      </w:r>
      <w:r>
        <w:rPr>
          <w:rFonts w:hint="eastAsia" w:eastAsia="宋体" w:cs="仿宋_GB2312"/>
          <w:color w:val="auto"/>
          <w:sz w:val="24"/>
          <w:szCs w:val="24"/>
          <w:highlight w:val="none"/>
          <w:lang w:val="en-US" w:eastAsia="zh-CN"/>
        </w:rPr>
        <w:t>1</w:t>
      </w:r>
      <w:r>
        <w:rPr>
          <w:rFonts w:hint="eastAsia" w:eastAsia="宋体" w:cs="仿宋_GB2312"/>
          <w:color w:val="auto"/>
          <w:sz w:val="24"/>
          <w:szCs w:val="24"/>
          <w:highlight w:val="none"/>
        </w:rPr>
        <w:t>.1</w:t>
      </w:r>
      <w:bookmarkStart w:id="164" w:name="_Hlk143532466"/>
      <w:r>
        <w:rPr>
          <w:rFonts w:hint="eastAsia" w:eastAsia="宋体" w:cs="仿宋_GB2312"/>
          <w:color w:val="auto"/>
          <w:sz w:val="24"/>
          <w:szCs w:val="24"/>
          <w:highlight w:val="none"/>
          <w:lang w:eastAsia="zh-CN"/>
        </w:rPr>
        <w:t>投标人</w:t>
      </w:r>
      <w:r>
        <w:rPr>
          <w:rFonts w:hint="eastAsia" w:eastAsia="宋体" w:cs="仿宋_GB2312"/>
          <w:color w:val="auto"/>
          <w:sz w:val="24"/>
          <w:szCs w:val="24"/>
          <w:highlight w:val="none"/>
        </w:rPr>
        <w:t>在</w:t>
      </w:r>
      <w:r>
        <w:rPr>
          <w:rFonts w:hint="eastAsia" w:eastAsia="宋体" w:cs="仿宋_GB2312"/>
          <w:color w:val="auto"/>
          <w:sz w:val="24"/>
          <w:szCs w:val="24"/>
          <w:highlight w:val="none"/>
          <w:lang w:eastAsia="zh-CN"/>
        </w:rPr>
        <w:t>“</w:t>
      </w:r>
      <w:r>
        <w:rPr>
          <w:rFonts w:hint="eastAsia" w:eastAsia="宋体"/>
          <w:color w:val="auto"/>
          <w:sz w:val="24"/>
          <w:highlight w:val="none"/>
          <w:lang w:val="en-US" w:eastAsia="zh-CN"/>
        </w:rPr>
        <w:t>第一章 招标公告</w:t>
      </w:r>
      <w:r>
        <w:rPr>
          <w:rFonts w:hint="eastAsia" w:eastAsia="宋体" w:cs="仿宋_GB2312"/>
          <w:color w:val="auto"/>
          <w:sz w:val="24"/>
          <w:szCs w:val="24"/>
          <w:highlight w:val="none"/>
          <w:lang w:eastAsia="zh-CN"/>
        </w:rPr>
        <w:t>”</w:t>
      </w:r>
      <w:r>
        <w:rPr>
          <w:rFonts w:hint="eastAsia" w:eastAsia="宋体" w:cs="仿宋_GB2312"/>
          <w:color w:val="auto"/>
          <w:sz w:val="24"/>
          <w:szCs w:val="24"/>
          <w:highlight w:val="none"/>
        </w:rPr>
        <w:t>规定的</w:t>
      </w:r>
      <w:r>
        <w:rPr>
          <w:rFonts w:hint="eastAsia" w:eastAsia="宋体" w:cs="仿宋_GB2312"/>
          <w:color w:val="auto"/>
          <w:sz w:val="24"/>
          <w:szCs w:val="24"/>
          <w:highlight w:val="none"/>
          <w:lang w:eastAsia="zh-CN"/>
        </w:rPr>
        <w:t>投标文件</w:t>
      </w:r>
      <w:r>
        <w:rPr>
          <w:rFonts w:hint="eastAsia" w:eastAsia="宋体" w:cs="仿宋_GB2312"/>
          <w:color w:val="auto"/>
          <w:sz w:val="24"/>
          <w:szCs w:val="24"/>
          <w:highlight w:val="none"/>
        </w:rPr>
        <w:t>递交截止时间之前，可在兵团政府采购电子交易云平台上随时撤回已上传的电子</w:t>
      </w:r>
      <w:r>
        <w:rPr>
          <w:rFonts w:hint="eastAsia" w:eastAsia="宋体" w:cs="仿宋_GB2312"/>
          <w:color w:val="auto"/>
          <w:sz w:val="24"/>
          <w:szCs w:val="24"/>
          <w:highlight w:val="none"/>
          <w:lang w:eastAsia="zh-CN"/>
        </w:rPr>
        <w:t>投标文件</w:t>
      </w:r>
      <w:r>
        <w:rPr>
          <w:rFonts w:hint="eastAsia" w:eastAsia="宋体" w:cs="仿宋_GB2312"/>
          <w:color w:val="auto"/>
          <w:sz w:val="24"/>
          <w:szCs w:val="24"/>
          <w:highlight w:val="none"/>
        </w:rPr>
        <w:t>，将修改好的电子</w:t>
      </w:r>
      <w:r>
        <w:rPr>
          <w:rFonts w:hint="eastAsia" w:eastAsia="宋体" w:cs="仿宋_GB2312"/>
          <w:color w:val="auto"/>
          <w:sz w:val="24"/>
          <w:szCs w:val="24"/>
          <w:highlight w:val="none"/>
          <w:lang w:eastAsia="zh-CN"/>
        </w:rPr>
        <w:t>投标文件</w:t>
      </w:r>
      <w:r>
        <w:rPr>
          <w:rFonts w:hint="eastAsia" w:eastAsia="宋体" w:cs="仿宋_GB2312"/>
          <w:color w:val="auto"/>
          <w:sz w:val="24"/>
          <w:szCs w:val="24"/>
          <w:highlight w:val="none"/>
        </w:rPr>
        <w:t>在</w:t>
      </w:r>
      <w:r>
        <w:rPr>
          <w:rFonts w:hint="eastAsia" w:eastAsia="宋体" w:cs="仿宋_GB2312"/>
          <w:color w:val="auto"/>
          <w:sz w:val="24"/>
          <w:szCs w:val="24"/>
          <w:highlight w:val="none"/>
          <w:lang w:eastAsia="zh-CN"/>
        </w:rPr>
        <w:t>投标文件</w:t>
      </w:r>
      <w:r>
        <w:rPr>
          <w:rFonts w:hint="eastAsia" w:eastAsia="宋体" w:cs="仿宋_GB2312"/>
          <w:color w:val="auto"/>
          <w:sz w:val="24"/>
          <w:szCs w:val="24"/>
          <w:highlight w:val="none"/>
        </w:rPr>
        <w:t>递交截止时间前重新上传到兵团政府采购电子交易云平台的</w:t>
      </w:r>
      <w:r>
        <w:rPr>
          <w:rFonts w:hint="eastAsia" w:eastAsia="宋体" w:cs="仿宋_GB2312"/>
          <w:color w:val="auto"/>
          <w:sz w:val="24"/>
          <w:szCs w:val="24"/>
          <w:highlight w:val="none"/>
          <w:lang w:val="en-US" w:eastAsia="zh-CN"/>
        </w:rPr>
        <w:t>指</w:t>
      </w:r>
      <w:r>
        <w:rPr>
          <w:rFonts w:hint="eastAsia" w:eastAsia="宋体" w:cs="仿宋_GB2312"/>
          <w:color w:val="auto"/>
          <w:sz w:val="24"/>
          <w:szCs w:val="24"/>
          <w:highlight w:val="none"/>
        </w:rPr>
        <w:t>定位置。</w:t>
      </w:r>
    </w:p>
    <w:bookmarkEnd w:id="164"/>
    <w:p w14:paraId="20434D8C">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165" w:name="_Toc163492847"/>
      <w:bookmarkStart w:id="166" w:name="_Toc155185874"/>
      <w:r>
        <w:rPr>
          <w:rFonts w:hint="eastAsia" w:ascii="宋体" w:hAnsi="宋体" w:eastAsia="宋体" w:cs="宋体"/>
          <w:b/>
          <w:bCs/>
          <w:color w:val="auto"/>
          <w:kern w:val="2"/>
          <w:sz w:val="24"/>
          <w:szCs w:val="28"/>
          <w:highlight w:val="none"/>
          <w:lang w:val="en-US" w:eastAsia="zh-CN" w:bidi="ar-SA"/>
        </w:rPr>
        <w:t>22.实物样品</w:t>
      </w:r>
      <w:bookmarkEnd w:id="165"/>
      <w:bookmarkEnd w:id="166"/>
    </w:p>
    <w:p w14:paraId="52D4EAF6">
      <w:pPr>
        <w:pStyle w:val="37"/>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2</w:t>
      </w:r>
      <w:r>
        <w:rPr>
          <w:rFonts w:hint="eastAsia" w:eastAsia="宋体"/>
          <w:color w:val="auto"/>
          <w:sz w:val="24"/>
          <w:highlight w:val="none"/>
          <w:lang w:val="en-US" w:eastAsia="zh-CN"/>
        </w:rPr>
        <w:t>2</w:t>
      </w:r>
      <w:r>
        <w:rPr>
          <w:rFonts w:hint="eastAsia" w:eastAsia="宋体"/>
          <w:color w:val="auto"/>
          <w:sz w:val="24"/>
          <w:highlight w:val="none"/>
        </w:rPr>
        <w:t>.1“投标人须知前附表”要求提供样品的，样品的具体要求及评审详见“第三章 采购需求”和“第五章 评标</w:t>
      </w:r>
      <w:r>
        <w:rPr>
          <w:rFonts w:hint="eastAsia" w:eastAsia="宋体"/>
          <w:color w:val="auto"/>
          <w:sz w:val="24"/>
          <w:highlight w:val="none"/>
          <w:lang w:val="en-US" w:eastAsia="zh-CN"/>
        </w:rPr>
        <w:t>方</w:t>
      </w:r>
      <w:r>
        <w:rPr>
          <w:rFonts w:hint="eastAsia" w:eastAsia="宋体"/>
          <w:color w:val="auto"/>
          <w:sz w:val="24"/>
          <w:highlight w:val="none"/>
        </w:rPr>
        <w:t>法及标准”。</w:t>
      </w:r>
    </w:p>
    <w:p w14:paraId="2D6ED3FC">
      <w:pPr>
        <w:pStyle w:val="37"/>
        <w:keepNext w:val="0"/>
        <w:keepLines w:val="0"/>
        <w:pageBreakBefore w:val="0"/>
        <w:widowControl w:val="0"/>
        <w:kinsoku/>
        <w:overflowPunct/>
        <w:topLinePunct w:val="0"/>
        <w:autoSpaceDE/>
        <w:autoSpaceDN/>
        <w:bidi w:val="0"/>
        <w:adjustRightInd/>
        <w:textAlignment w:val="auto"/>
        <w:rPr>
          <w:rFonts w:eastAsia="宋体" w:cs="仿宋_GB2312"/>
          <w:b/>
          <w:color w:val="auto"/>
          <w:sz w:val="24"/>
          <w:szCs w:val="24"/>
          <w:highlight w:val="none"/>
        </w:rPr>
      </w:pPr>
      <w:r>
        <w:rPr>
          <w:rFonts w:eastAsia="宋体"/>
          <w:color w:val="auto"/>
          <w:sz w:val="24"/>
          <w:highlight w:val="none"/>
        </w:rPr>
        <w:t>2</w:t>
      </w:r>
      <w:r>
        <w:rPr>
          <w:rFonts w:hint="eastAsia" w:eastAsia="宋体"/>
          <w:color w:val="auto"/>
          <w:sz w:val="24"/>
          <w:highlight w:val="none"/>
          <w:lang w:val="en-US" w:eastAsia="zh-CN"/>
        </w:rPr>
        <w:t>2</w:t>
      </w:r>
      <w:r>
        <w:rPr>
          <w:rFonts w:hint="eastAsia" w:eastAsia="宋体"/>
          <w:color w:val="auto"/>
          <w:sz w:val="24"/>
          <w:highlight w:val="none"/>
        </w:rPr>
        <w:t>.2样品退还：</w:t>
      </w:r>
      <w:r>
        <w:rPr>
          <w:rFonts w:hint="eastAsia" w:ascii="宋体" w:hAnsi="宋体" w:eastAsia="宋体"/>
          <w:color w:val="auto"/>
          <w:sz w:val="24"/>
          <w:highlight w:val="none"/>
        </w:rPr>
        <w:t>未中标的投标人应</w:t>
      </w:r>
      <w:r>
        <w:rPr>
          <w:rFonts w:hint="eastAsia" w:ascii="宋体" w:hAnsi="宋体" w:eastAsia="宋体"/>
          <w:color w:val="auto"/>
          <w:sz w:val="24"/>
          <w:highlight w:val="none"/>
          <w:lang w:val="en-US" w:eastAsia="zh-CN"/>
        </w:rPr>
        <w:t>按照</w:t>
      </w:r>
      <w:r>
        <w:rPr>
          <w:rFonts w:hint="eastAsia" w:ascii="宋体" w:hAnsi="宋体" w:eastAsia="宋体"/>
          <w:color w:val="auto"/>
          <w:sz w:val="24"/>
          <w:highlight w:val="none"/>
        </w:rPr>
        <w:t>“投标人须知前附表”</w:t>
      </w:r>
      <w:r>
        <w:rPr>
          <w:rFonts w:hint="eastAsia" w:ascii="宋体" w:hAnsi="宋体" w:eastAsia="宋体"/>
          <w:color w:val="auto"/>
          <w:sz w:val="24"/>
          <w:highlight w:val="none"/>
          <w:lang w:val="en-US" w:eastAsia="zh-CN"/>
        </w:rPr>
        <w:t>要求</w:t>
      </w:r>
      <w:r>
        <w:rPr>
          <w:rFonts w:hint="eastAsia" w:ascii="宋体" w:hAnsi="宋体" w:eastAsia="宋体"/>
          <w:color w:val="auto"/>
          <w:sz w:val="24"/>
          <w:highlight w:val="none"/>
        </w:rPr>
        <w:t>自行联系采购人取回投标样品；中标人的样品由采购人进行保管、封存，并作为履约验收的参考</w:t>
      </w:r>
      <w:r>
        <w:rPr>
          <w:rFonts w:hint="eastAsia" w:eastAsia="宋体"/>
          <w:color w:val="auto"/>
          <w:sz w:val="24"/>
          <w:highlight w:val="none"/>
        </w:rPr>
        <w:t>（招标文件另有规定的从其规定）。</w:t>
      </w:r>
    </w:p>
    <w:p w14:paraId="7DD3C31F">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167" w:name="_Toc163492848"/>
      <w:bookmarkStart w:id="168" w:name="_Toc155185875"/>
      <w:r>
        <w:rPr>
          <w:rFonts w:hint="eastAsia" w:ascii="宋体" w:hAnsi="宋体" w:eastAsia="宋体" w:cs="宋体"/>
          <w:b/>
          <w:bCs/>
          <w:color w:val="auto"/>
          <w:kern w:val="2"/>
          <w:sz w:val="24"/>
          <w:szCs w:val="28"/>
          <w:highlight w:val="none"/>
          <w:lang w:val="en-US" w:eastAsia="zh-CN" w:bidi="ar-SA"/>
        </w:rPr>
        <w:t>23.演示</w:t>
      </w:r>
      <w:bookmarkEnd w:id="167"/>
      <w:bookmarkEnd w:id="168"/>
    </w:p>
    <w:p w14:paraId="1A234B38">
      <w:pPr>
        <w:pStyle w:val="37"/>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eastAsia="宋体"/>
          <w:color w:val="auto"/>
          <w:sz w:val="24"/>
          <w:highlight w:val="none"/>
        </w:rPr>
        <w:t>2</w:t>
      </w:r>
      <w:r>
        <w:rPr>
          <w:rFonts w:hint="eastAsia" w:eastAsia="宋体"/>
          <w:color w:val="auto"/>
          <w:sz w:val="24"/>
          <w:highlight w:val="none"/>
          <w:lang w:val="en-US" w:eastAsia="zh-CN"/>
        </w:rPr>
        <w:t>3</w:t>
      </w:r>
      <w:r>
        <w:rPr>
          <w:rFonts w:hint="eastAsia" w:eastAsia="宋体"/>
          <w:color w:val="auto"/>
          <w:sz w:val="24"/>
          <w:highlight w:val="none"/>
        </w:rPr>
        <w:t>.1要求投标人进行演示的，演示要求详见“投标人须知前附表”。</w:t>
      </w:r>
    </w:p>
    <w:p w14:paraId="527E9036">
      <w:pPr>
        <w:pStyle w:val="37"/>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eastAsia="宋体"/>
          <w:color w:val="auto"/>
          <w:sz w:val="24"/>
          <w:highlight w:val="none"/>
        </w:rPr>
        <w:t>2</w:t>
      </w:r>
      <w:r>
        <w:rPr>
          <w:rFonts w:hint="eastAsia" w:eastAsia="宋体"/>
          <w:color w:val="auto"/>
          <w:sz w:val="24"/>
          <w:highlight w:val="none"/>
          <w:lang w:val="en-US" w:eastAsia="zh-CN"/>
        </w:rPr>
        <w:t>3</w:t>
      </w:r>
      <w:r>
        <w:rPr>
          <w:rFonts w:hint="eastAsia" w:eastAsia="宋体"/>
          <w:color w:val="auto"/>
          <w:sz w:val="24"/>
          <w:highlight w:val="none"/>
        </w:rPr>
        <w:t>.2演示的评审详见“第三章 采购需求”和“第五章 评标</w:t>
      </w:r>
      <w:r>
        <w:rPr>
          <w:rFonts w:hint="eastAsia" w:eastAsia="宋体"/>
          <w:color w:val="auto"/>
          <w:sz w:val="24"/>
          <w:highlight w:val="none"/>
          <w:lang w:val="en-US" w:eastAsia="zh-CN"/>
        </w:rPr>
        <w:t>方</w:t>
      </w:r>
      <w:r>
        <w:rPr>
          <w:rFonts w:hint="eastAsia" w:eastAsia="宋体"/>
          <w:color w:val="auto"/>
          <w:sz w:val="24"/>
          <w:highlight w:val="none"/>
        </w:rPr>
        <w:t>法及标准”。</w:t>
      </w:r>
    </w:p>
    <w:p w14:paraId="44828689">
      <w:pPr>
        <w:pStyle w:val="4"/>
        <w:keepNext w:val="0"/>
        <w:keepLines w:val="0"/>
        <w:pageBreakBefore w:val="0"/>
        <w:widowControl w:val="0"/>
        <w:numPr>
          <w:ilvl w:val="0"/>
          <w:numId w:val="0"/>
        </w:numPr>
        <w:kinsoku/>
        <w:wordWrap/>
        <w:overflowPunct/>
        <w:topLinePunct w:val="0"/>
        <w:autoSpaceDE/>
        <w:autoSpaceDN/>
        <w:bidi w:val="0"/>
        <w:adjustRightInd/>
        <w:snapToGrid/>
        <w:spacing w:before="180" w:after="180" w:line="240" w:lineRule="auto"/>
        <w:ind w:left="420" w:leftChars="0" w:hanging="420" w:firstLineChars="0"/>
        <w:textAlignment w:val="auto"/>
        <w:rPr>
          <w:rFonts w:hint="eastAsia" w:ascii="宋体" w:hAnsi="宋体" w:eastAsia="宋体" w:cs="宋体"/>
          <w:b/>
          <w:bCs/>
          <w:color w:val="auto"/>
          <w:kern w:val="2"/>
          <w:sz w:val="24"/>
          <w:szCs w:val="32"/>
          <w:highlight w:val="none"/>
          <w:lang w:val="en-US" w:eastAsia="zh-CN" w:bidi="ar-SA"/>
        </w:rPr>
      </w:pPr>
      <w:bookmarkStart w:id="169" w:name="_Toc163492849"/>
      <w:bookmarkStart w:id="170" w:name="_Toc155185876"/>
      <w:bookmarkStart w:id="171" w:name="_Toc140132779"/>
      <w:r>
        <w:rPr>
          <w:rFonts w:hint="eastAsia" w:ascii="宋体" w:hAnsi="宋体" w:eastAsia="宋体" w:cs="宋体"/>
          <w:b/>
          <w:bCs/>
          <w:color w:val="auto"/>
          <w:kern w:val="2"/>
          <w:sz w:val="24"/>
          <w:szCs w:val="32"/>
          <w:highlight w:val="none"/>
          <w:lang w:val="en-US" w:eastAsia="zh-CN" w:bidi="ar-SA"/>
        </w:rPr>
        <w:t>（五）开标</w:t>
      </w:r>
      <w:bookmarkEnd w:id="169"/>
      <w:bookmarkEnd w:id="170"/>
      <w:bookmarkEnd w:id="171"/>
    </w:p>
    <w:p w14:paraId="1705A8FF">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172" w:name="_Toc163492850"/>
      <w:bookmarkStart w:id="173" w:name="_Toc140132780"/>
      <w:r>
        <w:rPr>
          <w:rFonts w:hint="eastAsia" w:ascii="宋体" w:hAnsi="宋体" w:eastAsia="宋体" w:cs="宋体"/>
          <w:b/>
          <w:bCs/>
          <w:color w:val="auto"/>
          <w:kern w:val="2"/>
          <w:sz w:val="24"/>
          <w:szCs w:val="28"/>
          <w:highlight w:val="none"/>
          <w:lang w:val="en-US" w:eastAsia="zh-CN" w:bidi="ar-SA"/>
        </w:rPr>
        <w:t>24.开标会议</w:t>
      </w:r>
      <w:bookmarkEnd w:id="172"/>
      <w:bookmarkEnd w:id="173"/>
    </w:p>
    <w:p w14:paraId="43376441">
      <w:pPr>
        <w:keepNext w:val="0"/>
        <w:keepLines w:val="0"/>
        <w:pageBreakBefore w:val="0"/>
        <w:widowControl w:val="0"/>
        <w:kinsoku/>
        <w:overflowPunct/>
        <w:topLinePunct w:val="0"/>
        <w:autoSpaceDE/>
        <w:autoSpaceDN/>
        <w:bidi w:val="0"/>
        <w:adjustRightInd/>
        <w:snapToGrid/>
        <w:ind w:firstLine="480" w:firstLineChars="200"/>
        <w:textAlignment w:val="auto"/>
        <w:rPr>
          <w:rFonts w:hint="eastAsia" w:eastAsia="宋体" w:cs="仿宋_GB2312"/>
          <w:color w:val="auto"/>
          <w:sz w:val="24"/>
          <w:szCs w:val="24"/>
          <w:highlight w:val="none"/>
          <w:lang w:eastAsia="zh-CN"/>
        </w:rPr>
      </w:pPr>
      <w:bookmarkStart w:id="174" w:name="_Toc140132781"/>
      <w:r>
        <w:rPr>
          <w:rFonts w:eastAsia="宋体" w:cs="仿宋_GB2312"/>
          <w:color w:val="auto"/>
          <w:sz w:val="24"/>
          <w:szCs w:val="24"/>
          <w:highlight w:val="none"/>
        </w:rPr>
        <w:t>2</w:t>
      </w:r>
      <w:r>
        <w:rPr>
          <w:rFonts w:hint="eastAsia" w:eastAsia="宋体" w:cs="仿宋_GB2312"/>
          <w:color w:val="auto"/>
          <w:sz w:val="24"/>
          <w:szCs w:val="24"/>
          <w:highlight w:val="none"/>
          <w:lang w:val="en-US" w:eastAsia="zh-CN"/>
        </w:rPr>
        <w:t>4</w:t>
      </w:r>
      <w:r>
        <w:rPr>
          <w:rFonts w:hint="eastAsia" w:eastAsia="宋体" w:cs="仿宋_GB2312"/>
          <w:color w:val="auto"/>
          <w:sz w:val="24"/>
          <w:szCs w:val="24"/>
          <w:highlight w:val="none"/>
        </w:rPr>
        <w:t>.</w:t>
      </w:r>
      <w:r>
        <w:rPr>
          <w:rFonts w:hint="eastAsia" w:eastAsia="宋体" w:cs="仿宋_GB2312"/>
          <w:color w:val="auto"/>
          <w:sz w:val="24"/>
          <w:szCs w:val="24"/>
          <w:highlight w:val="none"/>
          <w:lang w:val="en-US" w:eastAsia="zh-CN"/>
        </w:rPr>
        <w:t>1</w:t>
      </w:r>
      <w:r>
        <w:rPr>
          <w:rFonts w:hint="eastAsia" w:eastAsia="宋体" w:cs="仿宋_GB2312"/>
          <w:color w:val="auto"/>
          <w:sz w:val="24"/>
          <w:szCs w:val="24"/>
          <w:highlight w:val="none"/>
        </w:rPr>
        <w:t>开标会按“</w:t>
      </w:r>
      <w:r>
        <w:rPr>
          <w:rFonts w:hint="eastAsia" w:eastAsia="宋体" w:cs="仿宋_GB2312"/>
          <w:color w:val="auto"/>
          <w:sz w:val="24"/>
          <w:szCs w:val="24"/>
          <w:highlight w:val="none"/>
          <w:lang w:val="en-US" w:eastAsia="zh-CN"/>
        </w:rPr>
        <w:t xml:space="preserve">第一章 </w:t>
      </w:r>
      <w:r>
        <w:rPr>
          <w:rFonts w:hint="eastAsia" w:eastAsia="宋体"/>
          <w:color w:val="auto"/>
          <w:sz w:val="24"/>
          <w:highlight w:val="none"/>
          <w:lang w:val="en-US" w:eastAsia="zh-CN"/>
        </w:rPr>
        <w:t>招标公告</w:t>
      </w:r>
      <w:r>
        <w:rPr>
          <w:rFonts w:hint="eastAsia" w:eastAsia="宋体" w:cs="仿宋_GB2312"/>
          <w:color w:val="auto"/>
          <w:sz w:val="24"/>
          <w:szCs w:val="24"/>
          <w:highlight w:val="none"/>
        </w:rPr>
        <w:t>”规定的开标时间和地点准时举行，采购人、采购代理机构邀请所有投标人准时参加开标会。</w:t>
      </w:r>
      <w:r>
        <w:rPr>
          <w:rFonts w:hint="eastAsia" w:eastAsia="宋体"/>
          <w:color w:val="auto"/>
          <w:sz w:val="24"/>
          <w:highlight w:val="none"/>
        </w:rPr>
        <w:t>投标人应按照</w:t>
      </w:r>
      <w:r>
        <w:rPr>
          <w:rFonts w:hint="eastAsia" w:eastAsia="宋体"/>
          <w:color w:val="auto"/>
          <w:sz w:val="24"/>
          <w:highlight w:val="none"/>
          <w:lang w:val="en-US" w:eastAsia="zh-CN"/>
        </w:rPr>
        <w:t>招标文件</w:t>
      </w:r>
      <w:r>
        <w:rPr>
          <w:rFonts w:hint="eastAsia" w:eastAsia="宋体"/>
          <w:color w:val="auto"/>
          <w:sz w:val="24"/>
          <w:highlight w:val="none"/>
        </w:rPr>
        <w:t>的要求参与</w:t>
      </w:r>
      <w:r>
        <w:rPr>
          <w:rFonts w:hint="eastAsia" w:eastAsia="宋体"/>
          <w:color w:val="auto"/>
          <w:sz w:val="24"/>
          <w:highlight w:val="none"/>
          <w:lang w:val="en-US" w:eastAsia="zh-CN"/>
        </w:rPr>
        <w:t>不见面开标</w:t>
      </w:r>
      <w:r>
        <w:rPr>
          <w:rFonts w:hint="eastAsia" w:eastAsia="宋体"/>
          <w:color w:val="auto"/>
          <w:sz w:val="24"/>
          <w:highlight w:val="none"/>
        </w:rPr>
        <w:t>。</w:t>
      </w:r>
    </w:p>
    <w:p w14:paraId="60A061F0">
      <w:pPr>
        <w:keepNext w:val="0"/>
        <w:keepLines w:val="0"/>
        <w:pageBreakBefore w:val="0"/>
        <w:widowControl w:val="0"/>
        <w:kinsoku/>
        <w:wordWrap w:val="0"/>
        <w:overflowPunct/>
        <w:topLinePunct w:val="0"/>
        <w:autoSpaceDE/>
        <w:autoSpaceDN/>
        <w:bidi w:val="0"/>
        <w:adjustRightInd/>
        <w:snapToGrid/>
        <w:ind w:firstLine="480" w:firstLineChars="200"/>
        <w:textAlignment w:val="auto"/>
        <w:rPr>
          <w:rFonts w:hint="eastAsia" w:ascii="宋体" w:hAnsi="宋体" w:eastAsia="宋体" w:cs="宋体"/>
          <w:color w:val="auto"/>
          <w:kern w:val="2"/>
          <w:sz w:val="24"/>
          <w:szCs w:val="22"/>
          <w:highlight w:val="none"/>
        </w:rPr>
      </w:pPr>
      <w:r>
        <w:rPr>
          <w:rFonts w:eastAsia="宋体"/>
          <w:color w:val="auto"/>
          <w:sz w:val="24"/>
          <w:highlight w:val="none"/>
        </w:rPr>
        <w:t>2</w:t>
      </w:r>
      <w:r>
        <w:rPr>
          <w:rFonts w:hint="eastAsia" w:eastAsia="宋体"/>
          <w:color w:val="auto"/>
          <w:sz w:val="24"/>
          <w:highlight w:val="none"/>
          <w:lang w:val="en-US" w:eastAsia="zh-CN"/>
        </w:rPr>
        <w:t>4</w:t>
      </w:r>
      <w:r>
        <w:rPr>
          <w:rFonts w:hint="eastAsia" w:eastAsia="宋体"/>
          <w:color w:val="auto"/>
          <w:sz w:val="24"/>
          <w:highlight w:val="none"/>
        </w:rPr>
        <w:t>.</w:t>
      </w:r>
      <w:r>
        <w:rPr>
          <w:rFonts w:hint="eastAsia" w:eastAsia="宋体"/>
          <w:color w:val="auto"/>
          <w:sz w:val="24"/>
          <w:highlight w:val="none"/>
          <w:lang w:val="en-US" w:eastAsia="zh-CN"/>
        </w:rPr>
        <w:t>2</w:t>
      </w:r>
      <w:r>
        <w:rPr>
          <w:rFonts w:hint="eastAsia" w:eastAsia="宋体"/>
          <w:color w:val="auto"/>
          <w:sz w:val="24"/>
          <w:highlight w:val="none"/>
        </w:rPr>
        <w:t xml:space="preserve"> </w:t>
      </w:r>
      <w:bookmarkEnd w:id="174"/>
      <w:r>
        <w:rPr>
          <w:rFonts w:hint="eastAsia" w:ascii="宋体" w:hAnsi="宋体" w:eastAsia="宋体" w:cs="宋体"/>
          <w:color w:val="auto"/>
          <w:kern w:val="2"/>
          <w:sz w:val="24"/>
          <w:szCs w:val="22"/>
          <w:highlight w:val="none"/>
        </w:rPr>
        <w:t>采购代理机构按照招标文件规定的时间、地点主持开标。采购人在规定的</w:t>
      </w:r>
      <w:r>
        <w:rPr>
          <w:rFonts w:hint="eastAsia" w:ascii="宋体" w:hAnsi="宋体" w:eastAsia="宋体" w:cs="宋体"/>
          <w:color w:val="auto"/>
          <w:kern w:val="2"/>
          <w:sz w:val="24"/>
          <w:szCs w:val="22"/>
          <w:highlight w:val="none"/>
          <w:lang w:eastAsia="zh-CN"/>
        </w:rPr>
        <w:t>投标文件</w:t>
      </w:r>
      <w:r>
        <w:rPr>
          <w:rFonts w:hint="eastAsia" w:ascii="宋体" w:hAnsi="宋体" w:eastAsia="宋体" w:cs="宋体"/>
          <w:color w:val="auto"/>
          <w:kern w:val="2"/>
          <w:sz w:val="24"/>
          <w:szCs w:val="22"/>
          <w:highlight w:val="none"/>
        </w:rPr>
        <w:t>递交截止时间（开标时间）和地点进行不见面远程开标。</w:t>
      </w:r>
      <w:r>
        <w:rPr>
          <w:rFonts w:hint="eastAsia" w:ascii="宋体" w:hAnsi="宋体" w:eastAsia="宋体" w:cs="宋体"/>
          <w:color w:val="auto"/>
          <w:kern w:val="2"/>
          <w:sz w:val="24"/>
          <w:szCs w:val="22"/>
          <w:highlight w:val="none"/>
          <w:lang w:eastAsia="zh-CN"/>
        </w:rPr>
        <w:t>投标人</w:t>
      </w:r>
      <w:r>
        <w:rPr>
          <w:rFonts w:hint="eastAsia" w:ascii="宋体" w:hAnsi="宋体" w:eastAsia="宋体" w:cs="宋体"/>
          <w:color w:val="auto"/>
          <w:kern w:val="2"/>
          <w:sz w:val="24"/>
          <w:szCs w:val="22"/>
          <w:highlight w:val="none"/>
        </w:rPr>
        <w:t>的法定代表人或其委托代理人无需到达开标现场，仅需在任意地点通过</w:t>
      </w:r>
      <w:r>
        <w:rPr>
          <w:rFonts w:hint="eastAsia" w:ascii="宋体" w:hAnsi="宋体" w:eastAsia="宋体" w:cs="宋体"/>
          <w:color w:val="auto"/>
          <w:kern w:val="2"/>
          <w:sz w:val="24"/>
          <w:szCs w:val="22"/>
          <w:highlight w:val="none"/>
          <w:lang w:val="en-US" w:eastAsia="zh-CN"/>
        </w:rPr>
        <w:t>兵团政府采购电子交易云平台（网址：https://www.zcygov.cn/）</w:t>
      </w:r>
      <w:r>
        <w:rPr>
          <w:rFonts w:hint="eastAsia" w:ascii="宋体" w:hAnsi="宋体" w:eastAsia="宋体" w:cs="宋体"/>
          <w:color w:val="auto"/>
          <w:kern w:val="2"/>
          <w:sz w:val="24"/>
          <w:szCs w:val="22"/>
          <w:highlight w:val="none"/>
        </w:rPr>
        <w:t>的</w:t>
      </w:r>
      <w:r>
        <w:rPr>
          <w:rFonts w:hint="eastAsia" w:eastAsia="宋体" w:cs="宋体"/>
          <w:color w:val="auto"/>
          <w:kern w:val="2"/>
          <w:sz w:val="24"/>
          <w:szCs w:val="22"/>
          <w:highlight w:val="none"/>
          <w:lang w:eastAsia="zh-CN"/>
        </w:rPr>
        <w:t>“</w:t>
      </w:r>
      <w:r>
        <w:rPr>
          <w:rFonts w:hint="eastAsia" w:ascii="宋体" w:hAnsi="宋体" w:eastAsia="宋体" w:cs="宋体"/>
          <w:color w:val="auto"/>
          <w:kern w:val="2"/>
          <w:sz w:val="24"/>
          <w:szCs w:val="22"/>
          <w:highlight w:val="none"/>
        </w:rPr>
        <w:t>政采云登录入口”登录后，进入“政采云远程开标大厅”参加开标会议，并使用CA密钥完成远程解密、提疑澄清、开标唱标、结果公布等交互环节。</w:t>
      </w:r>
    </w:p>
    <w:p w14:paraId="4F83B05F">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lang w:val="en-US" w:eastAsia="zh-CN"/>
        </w:rPr>
        <w:t>2</w:t>
      </w:r>
      <w:r>
        <w:rPr>
          <w:rFonts w:hint="eastAsia" w:eastAsia="宋体" w:cs="宋体"/>
          <w:color w:val="auto"/>
          <w:kern w:val="2"/>
          <w:sz w:val="24"/>
          <w:szCs w:val="22"/>
          <w:highlight w:val="none"/>
          <w:lang w:val="en-US" w:eastAsia="zh-CN"/>
        </w:rPr>
        <w:t>4</w:t>
      </w:r>
      <w:r>
        <w:rPr>
          <w:rFonts w:hint="eastAsia" w:ascii="宋体" w:hAnsi="宋体" w:eastAsia="宋体" w:cs="宋体"/>
          <w:color w:val="auto"/>
          <w:kern w:val="2"/>
          <w:sz w:val="24"/>
          <w:szCs w:val="22"/>
          <w:highlight w:val="none"/>
          <w:lang w:val="en-US" w:eastAsia="zh-CN"/>
        </w:rPr>
        <w:t xml:space="preserve">.3开标过程将宣布投标人名称、投标价格和招标文件规定的需要宣布的其他内容并进行记录，并由参加开标的各投标人确认。投标人未在规定时间内提 出疑义或确认一览表的，视同认可开标结果。 </w:t>
      </w:r>
    </w:p>
    <w:p w14:paraId="63FB5E60">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175" w:name="_Toc140132783"/>
      <w:bookmarkStart w:id="176" w:name="_Toc163492852"/>
      <w:r>
        <w:rPr>
          <w:rFonts w:hint="eastAsia" w:ascii="宋体" w:hAnsi="宋体" w:eastAsia="宋体" w:cs="宋体"/>
          <w:b/>
          <w:bCs/>
          <w:color w:val="auto"/>
          <w:kern w:val="2"/>
          <w:sz w:val="24"/>
          <w:szCs w:val="28"/>
          <w:highlight w:val="none"/>
          <w:lang w:val="en-US" w:eastAsia="zh-CN" w:bidi="ar-SA"/>
        </w:rPr>
        <w:t>25.开标程序</w:t>
      </w:r>
      <w:bookmarkEnd w:id="175"/>
      <w:bookmarkEnd w:id="176"/>
    </w:p>
    <w:p w14:paraId="60F7948B">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eastAsia="宋体" w:cs="仿宋_GB2312"/>
          <w:color w:val="auto"/>
          <w:sz w:val="24"/>
          <w:szCs w:val="24"/>
          <w:highlight w:val="none"/>
        </w:rPr>
        <w:t>2</w:t>
      </w:r>
      <w:r>
        <w:rPr>
          <w:rFonts w:hint="eastAsia" w:eastAsia="宋体" w:cs="仿宋_GB2312"/>
          <w:color w:val="auto"/>
          <w:sz w:val="24"/>
          <w:szCs w:val="24"/>
          <w:highlight w:val="none"/>
          <w:lang w:val="en-US" w:eastAsia="zh-CN"/>
        </w:rPr>
        <w:t>5</w:t>
      </w:r>
      <w:r>
        <w:rPr>
          <w:rFonts w:hint="eastAsia" w:eastAsia="宋体" w:cs="仿宋_GB2312"/>
          <w:color w:val="auto"/>
          <w:sz w:val="24"/>
          <w:szCs w:val="24"/>
          <w:highlight w:val="none"/>
        </w:rPr>
        <w:t>.1 投标人不足3家的，不得开标。</w:t>
      </w:r>
    </w:p>
    <w:p w14:paraId="5B4EFA66">
      <w:pPr>
        <w:keepNext w:val="0"/>
        <w:keepLines w:val="0"/>
        <w:pageBreakBefore w:val="0"/>
        <w:widowControl w:val="0"/>
        <w:kinsoku/>
        <w:overflowPunct/>
        <w:topLinePunct w:val="0"/>
        <w:autoSpaceDE/>
        <w:autoSpaceDN/>
        <w:bidi w:val="0"/>
        <w:adjustRightInd/>
        <w:ind w:firstLine="480" w:firstLineChars="200"/>
        <w:textAlignment w:val="auto"/>
        <w:rPr>
          <w:rFonts w:eastAsia="宋体"/>
          <w:color w:val="auto"/>
          <w:sz w:val="24"/>
          <w:highlight w:val="none"/>
        </w:rPr>
      </w:pPr>
      <w:r>
        <w:rPr>
          <w:rFonts w:eastAsia="宋体" w:cs="仿宋_GB2312"/>
          <w:color w:val="auto"/>
          <w:sz w:val="24"/>
          <w:szCs w:val="24"/>
          <w:highlight w:val="none"/>
        </w:rPr>
        <w:t>2</w:t>
      </w:r>
      <w:r>
        <w:rPr>
          <w:rFonts w:hint="eastAsia" w:eastAsia="宋体" w:cs="仿宋_GB2312"/>
          <w:color w:val="auto"/>
          <w:sz w:val="24"/>
          <w:szCs w:val="24"/>
          <w:highlight w:val="none"/>
          <w:lang w:val="en-US" w:eastAsia="zh-CN"/>
        </w:rPr>
        <w:t>5</w:t>
      </w:r>
      <w:r>
        <w:rPr>
          <w:rFonts w:hint="eastAsia" w:eastAsia="宋体" w:cs="仿宋_GB2312"/>
          <w:color w:val="auto"/>
          <w:sz w:val="24"/>
          <w:szCs w:val="24"/>
          <w:highlight w:val="none"/>
        </w:rPr>
        <w:t>.2 评标委员会成员不得参加开标活动。</w:t>
      </w:r>
    </w:p>
    <w:p w14:paraId="6EDD80B3">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eastAsia="宋体" w:cs="仿宋_GB2312"/>
          <w:color w:val="auto"/>
          <w:sz w:val="24"/>
          <w:szCs w:val="24"/>
          <w:highlight w:val="none"/>
        </w:rPr>
        <w:t>2</w:t>
      </w:r>
      <w:r>
        <w:rPr>
          <w:rFonts w:hint="eastAsia" w:eastAsia="宋体" w:cs="仿宋_GB2312"/>
          <w:color w:val="auto"/>
          <w:sz w:val="24"/>
          <w:szCs w:val="24"/>
          <w:highlight w:val="none"/>
          <w:lang w:val="en-US" w:eastAsia="zh-CN"/>
        </w:rPr>
        <w:t>5</w:t>
      </w:r>
      <w:r>
        <w:rPr>
          <w:rFonts w:hint="eastAsia" w:eastAsia="宋体" w:cs="仿宋_GB2312"/>
          <w:color w:val="auto"/>
          <w:sz w:val="24"/>
          <w:szCs w:val="24"/>
          <w:highlight w:val="none"/>
        </w:rPr>
        <w:t>.3主持人按下列程序进行开标：</w:t>
      </w:r>
    </w:p>
    <w:p w14:paraId="02BF7803">
      <w:pPr>
        <w:keepNext w:val="0"/>
        <w:keepLines w:val="0"/>
        <w:pageBreakBefore w:val="0"/>
        <w:widowControl w:val="0"/>
        <w:kinsoku/>
        <w:overflowPunct/>
        <w:topLinePunct w:val="0"/>
        <w:autoSpaceDE/>
        <w:autoSpaceDN/>
        <w:bidi w:val="0"/>
        <w:adjustRightInd/>
        <w:ind w:firstLine="398" w:firstLineChars="166"/>
        <w:textAlignment w:val="auto"/>
        <w:rPr>
          <w:rFonts w:eastAsia="宋体" w:cs="仿宋_GB2312"/>
          <w:color w:val="auto"/>
          <w:sz w:val="24"/>
          <w:szCs w:val="24"/>
          <w:highlight w:val="none"/>
        </w:rPr>
      </w:pPr>
      <w:r>
        <w:rPr>
          <w:rFonts w:hint="eastAsia" w:eastAsia="宋体" w:cs="仿宋_GB2312"/>
          <w:color w:val="auto"/>
          <w:sz w:val="24"/>
          <w:szCs w:val="24"/>
          <w:highlight w:val="none"/>
        </w:rPr>
        <w:t>（1）宣布开标会纪律；</w:t>
      </w:r>
    </w:p>
    <w:p w14:paraId="06FE8596">
      <w:pPr>
        <w:keepNext w:val="0"/>
        <w:keepLines w:val="0"/>
        <w:pageBreakBefore w:val="0"/>
        <w:widowControl w:val="0"/>
        <w:kinsoku/>
        <w:overflowPunct/>
        <w:topLinePunct w:val="0"/>
        <w:autoSpaceDE/>
        <w:autoSpaceDN/>
        <w:bidi w:val="0"/>
        <w:adjustRightInd/>
        <w:ind w:firstLine="398" w:firstLineChars="166"/>
        <w:textAlignment w:val="auto"/>
        <w:rPr>
          <w:rFonts w:eastAsia="宋体" w:cs="仿宋_GB2312"/>
          <w:color w:val="auto"/>
          <w:sz w:val="24"/>
          <w:szCs w:val="24"/>
          <w:highlight w:val="none"/>
        </w:rPr>
      </w:pPr>
      <w:r>
        <w:rPr>
          <w:rFonts w:hint="eastAsia" w:eastAsia="宋体" w:cs="仿宋_GB2312"/>
          <w:color w:val="auto"/>
          <w:sz w:val="24"/>
          <w:szCs w:val="24"/>
          <w:highlight w:val="none"/>
        </w:rPr>
        <w:t>（2）介绍参加开标会的单位和人员；</w:t>
      </w:r>
    </w:p>
    <w:p w14:paraId="69CFC68B">
      <w:pPr>
        <w:keepNext w:val="0"/>
        <w:keepLines w:val="0"/>
        <w:pageBreakBefore w:val="0"/>
        <w:widowControl w:val="0"/>
        <w:kinsoku/>
        <w:overflowPunct/>
        <w:topLinePunct w:val="0"/>
        <w:autoSpaceDE/>
        <w:autoSpaceDN/>
        <w:bidi w:val="0"/>
        <w:adjustRightInd/>
        <w:ind w:firstLine="398" w:firstLineChars="166"/>
        <w:textAlignment w:val="auto"/>
        <w:rPr>
          <w:rFonts w:hint="eastAsia" w:eastAsia="宋体" w:cs="仿宋_GB2312"/>
          <w:color w:val="auto"/>
          <w:sz w:val="24"/>
          <w:szCs w:val="24"/>
          <w:highlight w:val="none"/>
        </w:rPr>
      </w:pPr>
      <w:r>
        <w:rPr>
          <w:rFonts w:hint="eastAsia" w:eastAsia="宋体" w:cs="仿宋_GB2312"/>
          <w:color w:val="auto"/>
          <w:sz w:val="24"/>
          <w:szCs w:val="24"/>
          <w:highlight w:val="none"/>
        </w:rPr>
        <w:t>（3）发起投标文件解密。投标人应在“投标人须知前附表”规定的时间内使用加密投标文件的CA证书在系统中完成投标文件的解密；</w:t>
      </w:r>
      <w:r>
        <w:rPr>
          <w:rFonts w:hint="eastAsia" w:eastAsia="宋体" w:cs="仿宋_GB2312"/>
          <w:color w:val="auto"/>
          <w:sz w:val="24"/>
          <w:szCs w:val="24"/>
          <w:highlight w:val="none"/>
          <w:lang w:val="en-US" w:eastAsia="zh-CN"/>
        </w:rPr>
        <w:t>投标人不足3家的，不予解密；</w:t>
      </w:r>
    </w:p>
    <w:p w14:paraId="30C058B0">
      <w:pPr>
        <w:keepNext w:val="0"/>
        <w:keepLines w:val="0"/>
        <w:pageBreakBefore w:val="0"/>
        <w:widowControl w:val="0"/>
        <w:kinsoku/>
        <w:overflowPunct/>
        <w:topLinePunct w:val="0"/>
        <w:autoSpaceDE/>
        <w:autoSpaceDN/>
        <w:bidi w:val="0"/>
        <w:adjustRightInd/>
        <w:ind w:firstLine="398" w:firstLineChars="166"/>
        <w:textAlignment w:val="auto"/>
        <w:rPr>
          <w:rFonts w:eastAsia="宋体" w:cs="仿宋_GB2312"/>
          <w:color w:val="auto"/>
          <w:sz w:val="24"/>
          <w:szCs w:val="24"/>
          <w:highlight w:val="none"/>
        </w:rPr>
      </w:pPr>
      <w:r>
        <w:rPr>
          <w:rFonts w:hint="eastAsia" w:eastAsia="宋体" w:cs="仿宋_GB2312"/>
          <w:color w:val="auto"/>
          <w:sz w:val="24"/>
          <w:szCs w:val="24"/>
          <w:highlight w:val="none"/>
        </w:rPr>
        <w:t>（4）解密完成后，系统自动显示投标人名称、投标价格和招标文件规定的需要宣布的其他内容；</w:t>
      </w:r>
    </w:p>
    <w:p w14:paraId="102D4E44">
      <w:pPr>
        <w:keepNext w:val="0"/>
        <w:keepLines w:val="0"/>
        <w:pageBreakBefore w:val="0"/>
        <w:widowControl w:val="0"/>
        <w:kinsoku/>
        <w:overflowPunct/>
        <w:topLinePunct w:val="0"/>
        <w:autoSpaceDE/>
        <w:autoSpaceDN/>
        <w:bidi w:val="0"/>
        <w:adjustRightInd/>
        <w:ind w:left="564" w:leftChars="200" w:hanging="84" w:hangingChars="35"/>
        <w:textAlignment w:val="auto"/>
        <w:rPr>
          <w:rFonts w:hint="eastAsia" w:eastAsia="宋体" w:cs="仿宋_GB2312"/>
          <w:color w:val="auto"/>
          <w:sz w:val="24"/>
          <w:szCs w:val="24"/>
          <w:highlight w:val="none"/>
          <w:lang w:val="en-US" w:eastAsia="zh-CN"/>
        </w:rPr>
      </w:pPr>
      <w:r>
        <w:rPr>
          <w:rFonts w:hint="eastAsia" w:eastAsia="宋体" w:cs="仿宋_GB2312"/>
          <w:color w:val="auto"/>
          <w:sz w:val="24"/>
          <w:szCs w:val="24"/>
          <w:highlight w:val="none"/>
        </w:rPr>
        <w:t>（5）系统自动生成开标记录表，</w:t>
      </w:r>
      <w:r>
        <w:rPr>
          <w:rFonts w:hint="eastAsia" w:eastAsia="宋体" w:cs="仿宋_GB2312"/>
          <w:color w:val="auto"/>
          <w:sz w:val="24"/>
          <w:szCs w:val="24"/>
          <w:highlight w:val="none"/>
          <w:lang w:val="en-US" w:eastAsia="zh-CN"/>
        </w:rPr>
        <w:t>投标人</w:t>
      </w:r>
      <w:r>
        <w:rPr>
          <w:rFonts w:hint="eastAsia" w:eastAsia="宋体" w:cs="仿宋_GB2312"/>
          <w:color w:val="auto"/>
          <w:sz w:val="24"/>
          <w:szCs w:val="24"/>
          <w:highlight w:val="none"/>
        </w:rPr>
        <w:t>应在线对开标记录进行签署确认</w:t>
      </w:r>
      <w:r>
        <w:rPr>
          <w:rFonts w:hint="eastAsia" w:eastAsia="宋体" w:cs="仿宋_GB2312"/>
          <w:color w:val="auto"/>
          <w:sz w:val="24"/>
          <w:szCs w:val="24"/>
          <w:highlight w:val="none"/>
          <w:lang w:val="en-US" w:eastAsia="zh-CN"/>
        </w:rPr>
        <w:t>；</w:t>
      </w:r>
    </w:p>
    <w:p w14:paraId="1E68785D">
      <w:pPr>
        <w:keepNext w:val="0"/>
        <w:keepLines w:val="0"/>
        <w:pageBreakBefore w:val="0"/>
        <w:widowControl w:val="0"/>
        <w:kinsoku/>
        <w:overflowPunct/>
        <w:topLinePunct w:val="0"/>
        <w:autoSpaceDE/>
        <w:autoSpaceDN/>
        <w:bidi w:val="0"/>
        <w:adjustRightInd/>
        <w:ind w:left="564" w:leftChars="200" w:hanging="84" w:hangingChars="35"/>
        <w:textAlignment w:val="auto"/>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（6）开标会结束。</w:t>
      </w:r>
      <w:bookmarkStart w:id="177" w:name="_Toc163492853"/>
      <w:bookmarkStart w:id="178" w:name="_Toc140132784"/>
    </w:p>
    <w:p w14:paraId="459D358F">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r>
        <w:rPr>
          <w:rFonts w:hint="eastAsia" w:ascii="宋体" w:hAnsi="宋体" w:eastAsia="宋体" w:cs="宋体"/>
          <w:b/>
          <w:bCs/>
          <w:color w:val="auto"/>
          <w:kern w:val="2"/>
          <w:sz w:val="24"/>
          <w:szCs w:val="28"/>
          <w:highlight w:val="none"/>
          <w:lang w:val="en-US" w:eastAsia="zh-CN" w:bidi="ar-SA"/>
        </w:rPr>
        <w:t>26.开标疑义及回避情形</w:t>
      </w:r>
      <w:bookmarkEnd w:id="177"/>
      <w:bookmarkEnd w:id="178"/>
    </w:p>
    <w:p w14:paraId="04573EB2">
      <w:pPr>
        <w:pStyle w:val="37"/>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eastAsia="宋体"/>
          <w:color w:val="auto"/>
          <w:sz w:val="24"/>
          <w:highlight w:val="none"/>
        </w:rPr>
        <w:t>2</w:t>
      </w:r>
      <w:r>
        <w:rPr>
          <w:rFonts w:hint="eastAsia" w:eastAsia="宋体"/>
          <w:color w:val="auto"/>
          <w:sz w:val="24"/>
          <w:highlight w:val="none"/>
          <w:lang w:val="en-US" w:eastAsia="zh-CN"/>
        </w:rPr>
        <w:t>6</w:t>
      </w:r>
      <w:r>
        <w:rPr>
          <w:rFonts w:hint="eastAsia" w:eastAsia="宋体"/>
          <w:color w:val="auto"/>
          <w:sz w:val="24"/>
          <w:highlight w:val="none"/>
        </w:rPr>
        <w:t>.1投标人代表对开标过程和开标记录有疑义，以及认为采购人、采购代理机构相关工作人员有需要回避的情形的，应在开标会议中提出询问或者回避申请。采购人、采购代理机构对投标人授权代表提出的询问或者回避申请应当及时处理。</w:t>
      </w:r>
    </w:p>
    <w:p w14:paraId="4E69EE01">
      <w:pPr>
        <w:pStyle w:val="37"/>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hint="eastAsia" w:eastAsia="宋体"/>
          <w:color w:val="auto"/>
          <w:sz w:val="24"/>
          <w:highlight w:val="none"/>
        </w:rPr>
        <w:t>2</w:t>
      </w:r>
      <w:r>
        <w:rPr>
          <w:rFonts w:hint="eastAsia" w:eastAsia="宋体"/>
          <w:color w:val="auto"/>
          <w:sz w:val="24"/>
          <w:highlight w:val="none"/>
          <w:lang w:val="en-US" w:eastAsia="zh-CN"/>
        </w:rPr>
        <w:t>6</w:t>
      </w:r>
      <w:r>
        <w:rPr>
          <w:rFonts w:hint="eastAsia" w:eastAsia="宋体"/>
          <w:color w:val="auto"/>
          <w:sz w:val="24"/>
          <w:highlight w:val="none"/>
        </w:rPr>
        <w:t>.2投标人未参加开标的，视同认可开标结果。</w:t>
      </w:r>
    </w:p>
    <w:p w14:paraId="55D243EF">
      <w:pPr>
        <w:pStyle w:val="4"/>
        <w:keepNext w:val="0"/>
        <w:keepLines w:val="0"/>
        <w:pageBreakBefore w:val="0"/>
        <w:widowControl w:val="0"/>
        <w:numPr>
          <w:ilvl w:val="0"/>
          <w:numId w:val="0"/>
        </w:numPr>
        <w:kinsoku/>
        <w:wordWrap/>
        <w:overflowPunct/>
        <w:topLinePunct w:val="0"/>
        <w:autoSpaceDE/>
        <w:autoSpaceDN/>
        <w:bidi w:val="0"/>
        <w:adjustRightInd/>
        <w:snapToGrid/>
        <w:spacing w:before="180" w:after="180" w:line="240" w:lineRule="auto"/>
        <w:ind w:left="420" w:leftChars="0" w:hanging="420" w:firstLineChars="0"/>
        <w:textAlignment w:val="auto"/>
        <w:rPr>
          <w:rFonts w:hint="eastAsia" w:ascii="宋体" w:hAnsi="宋体" w:eastAsia="宋体" w:cs="宋体"/>
          <w:b/>
          <w:bCs/>
          <w:color w:val="auto"/>
          <w:kern w:val="2"/>
          <w:sz w:val="24"/>
          <w:szCs w:val="32"/>
          <w:highlight w:val="none"/>
          <w:lang w:val="en-US" w:eastAsia="zh-CN" w:bidi="ar-SA"/>
        </w:rPr>
      </w:pPr>
      <w:bookmarkStart w:id="179" w:name="_Toc140132785"/>
      <w:bookmarkStart w:id="180" w:name="_Toc155185877"/>
      <w:bookmarkStart w:id="181" w:name="_Toc163492854"/>
      <w:r>
        <w:rPr>
          <w:rFonts w:hint="eastAsia" w:ascii="宋体" w:hAnsi="宋体" w:eastAsia="宋体" w:cs="宋体"/>
          <w:b/>
          <w:bCs/>
          <w:color w:val="auto"/>
          <w:kern w:val="2"/>
          <w:sz w:val="24"/>
          <w:szCs w:val="32"/>
          <w:highlight w:val="none"/>
          <w:lang w:val="en-US" w:eastAsia="zh-CN" w:bidi="ar-SA"/>
        </w:rPr>
        <w:t>（六）资格审查</w:t>
      </w:r>
      <w:bookmarkEnd w:id="179"/>
      <w:bookmarkEnd w:id="180"/>
      <w:bookmarkEnd w:id="181"/>
    </w:p>
    <w:p w14:paraId="2C1B5FD6">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182" w:name="_Toc163492855"/>
      <w:r>
        <w:rPr>
          <w:rFonts w:hint="eastAsia" w:ascii="宋体" w:hAnsi="宋体" w:eastAsia="宋体" w:cs="宋体"/>
          <w:b/>
          <w:bCs/>
          <w:color w:val="auto"/>
          <w:kern w:val="2"/>
          <w:sz w:val="24"/>
          <w:szCs w:val="28"/>
          <w:highlight w:val="none"/>
          <w:lang w:val="en-US" w:eastAsia="zh-CN" w:bidi="ar-SA"/>
        </w:rPr>
        <w:t>27.资格审查及审查主体</w:t>
      </w:r>
      <w:bookmarkEnd w:id="182"/>
    </w:p>
    <w:p w14:paraId="3F6E8AD4">
      <w:pPr>
        <w:pStyle w:val="37"/>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bookmarkStart w:id="183" w:name="_Toc140132786"/>
      <w:r>
        <w:rPr>
          <w:rFonts w:hint="eastAsia" w:eastAsia="宋体"/>
          <w:color w:val="auto"/>
          <w:sz w:val="24"/>
          <w:highlight w:val="none"/>
        </w:rPr>
        <w:t>2</w:t>
      </w:r>
      <w:r>
        <w:rPr>
          <w:rFonts w:hint="eastAsia" w:eastAsia="宋体"/>
          <w:color w:val="auto"/>
          <w:sz w:val="24"/>
          <w:highlight w:val="none"/>
          <w:lang w:val="en-US" w:eastAsia="zh-CN"/>
        </w:rPr>
        <w:t>7</w:t>
      </w:r>
      <w:r>
        <w:rPr>
          <w:rFonts w:hint="eastAsia" w:eastAsia="宋体"/>
          <w:color w:val="auto"/>
          <w:sz w:val="24"/>
          <w:highlight w:val="none"/>
        </w:rPr>
        <w:t>.1</w:t>
      </w:r>
      <w:bookmarkEnd w:id="183"/>
      <w:r>
        <w:rPr>
          <w:rFonts w:hint="eastAsia" w:eastAsia="宋体"/>
          <w:color w:val="auto"/>
          <w:sz w:val="24"/>
          <w:highlight w:val="none"/>
        </w:rPr>
        <w:t>开标结束后，采购人或者采购代理机构应当依法对投标人的资格进行审查。</w:t>
      </w:r>
    </w:p>
    <w:p w14:paraId="6F7626D3">
      <w:pPr>
        <w:pStyle w:val="37"/>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bookmarkStart w:id="184" w:name="_Toc140132787"/>
      <w:r>
        <w:rPr>
          <w:rFonts w:eastAsia="宋体"/>
          <w:color w:val="auto"/>
          <w:sz w:val="24"/>
          <w:highlight w:val="none"/>
        </w:rPr>
        <w:t>2</w:t>
      </w:r>
      <w:r>
        <w:rPr>
          <w:rFonts w:hint="eastAsia" w:eastAsia="宋体"/>
          <w:color w:val="auto"/>
          <w:sz w:val="24"/>
          <w:highlight w:val="none"/>
          <w:lang w:val="en-US" w:eastAsia="zh-CN"/>
        </w:rPr>
        <w:t>7</w:t>
      </w:r>
      <w:r>
        <w:rPr>
          <w:rFonts w:hint="eastAsia" w:eastAsia="宋体"/>
          <w:color w:val="auto"/>
          <w:sz w:val="24"/>
          <w:highlight w:val="none"/>
        </w:rPr>
        <w:t>.2</w:t>
      </w:r>
      <w:r>
        <w:rPr>
          <w:rFonts w:eastAsia="宋体"/>
          <w:color w:val="auto"/>
          <w:sz w:val="24"/>
          <w:highlight w:val="none"/>
        </w:rPr>
        <w:t>资格审查</w:t>
      </w:r>
      <w:r>
        <w:rPr>
          <w:rFonts w:hint="eastAsia" w:eastAsia="宋体"/>
          <w:color w:val="auto"/>
          <w:sz w:val="24"/>
          <w:highlight w:val="none"/>
        </w:rPr>
        <w:t>按“第四章</w:t>
      </w:r>
      <w:r>
        <w:rPr>
          <w:rFonts w:hint="eastAsia" w:eastAsia="宋体"/>
          <w:color w:val="auto"/>
          <w:sz w:val="24"/>
          <w:highlight w:val="none"/>
          <w:lang w:val="en-US" w:eastAsia="zh-CN"/>
        </w:rPr>
        <w:t xml:space="preserve"> </w:t>
      </w:r>
      <w:r>
        <w:rPr>
          <w:rFonts w:hint="eastAsia" w:eastAsia="宋体"/>
          <w:color w:val="auto"/>
          <w:sz w:val="24"/>
          <w:highlight w:val="none"/>
        </w:rPr>
        <w:t>资格审查”的规定进行。</w:t>
      </w:r>
      <w:bookmarkEnd w:id="184"/>
    </w:p>
    <w:p w14:paraId="44D43B82">
      <w:pPr>
        <w:pStyle w:val="37"/>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bookmarkStart w:id="185" w:name="_Toc140132788"/>
      <w:r>
        <w:rPr>
          <w:rFonts w:eastAsia="宋体"/>
          <w:color w:val="auto"/>
          <w:sz w:val="24"/>
          <w:highlight w:val="none"/>
        </w:rPr>
        <w:t>2</w:t>
      </w:r>
      <w:r>
        <w:rPr>
          <w:rFonts w:hint="eastAsia" w:eastAsia="宋体"/>
          <w:color w:val="auto"/>
          <w:sz w:val="24"/>
          <w:highlight w:val="none"/>
          <w:lang w:val="en-US" w:eastAsia="zh-CN"/>
        </w:rPr>
        <w:t>7</w:t>
      </w:r>
      <w:r>
        <w:rPr>
          <w:rFonts w:hint="eastAsia" w:eastAsia="宋体"/>
          <w:color w:val="auto"/>
          <w:sz w:val="24"/>
          <w:highlight w:val="none"/>
        </w:rPr>
        <w:t>.3</w:t>
      </w:r>
      <w:r>
        <w:rPr>
          <w:rFonts w:eastAsia="宋体"/>
          <w:color w:val="auto"/>
          <w:sz w:val="24"/>
          <w:highlight w:val="none"/>
        </w:rPr>
        <w:t>资格审查结束后，应及时对资格审查结果进行复核，对资格审查错误进行及时纠正并记录。</w:t>
      </w:r>
      <w:bookmarkEnd w:id="185"/>
    </w:p>
    <w:p w14:paraId="272F167A">
      <w:pPr>
        <w:pStyle w:val="37"/>
        <w:keepNext w:val="0"/>
        <w:keepLines w:val="0"/>
        <w:pageBreakBefore w:val="0"/>
        <w:widowControl w:val="0"/>
        <w:kinsoku/>
        <w:overflowPunct/>
        <w:topLinePunct w:val="0"/>
        <w:autoSpaceDE/>
        <w:autoSpaceDN/>
        <w:bidi w:val="0"/>
        <w:adjustRightInd/>
        <w:textAlignment w:val="auto"/>
        <w:rPr>
          <w:rFonts w:hint="default" w:eastAsia="宋体"/>
          <w:color w:val="auto"/>
          <w:sz w:val="24"/>
          <w:highlight w:val="none"/>
          <w:lang w:val="en-US" w:eastAsia="zh-CN"/>
        </w:rPr>
      </w:pPr>
      <w:r>
        <w:rPr>
          <w:rFonts w:hint="eastAsia" w:eastAsia="宋体"/>
          <w:color w:val="auto"/>
          <w:sz w:val="24"/>
          <w:highlight w:val="none"/>
          <w:lang w:val="en-US" w:eastAsia="zh-CN"/>
        </w:rPr>
        <w:t>27.4</w:t>
      </w:r>
      <w:r>
        <w:rPr>
          <w:rFonts w:eastAsia="宋体"/>
          <w:color w:val="auto"/>
          <w:sz w:val="24"/>
          <w:highlight w:val="none"/>
        </w:rPr>
        <w:t>资格审查</w:t>
      </w:r>
      <w:r>
        <w:rPr>
          <w:rFonts w:hint="eastAsia" w:eastAsia="宋体"/>
          <w:color w:val="auto"/>
          <w:sz w:val="24"/>
          <w:highlight w:val="none"/>
        </w:rPr>
        <w:t>合格投标人不足3家的，不得评标。</w:t>
      </w:r>
    </w:p>
    <w:p w14:paraId="7A1F7D21">
      <w:pPr>
        <w:pStyle w:val="4"/>
        <w:keepNext w:val="0"/>
        <w:keepLines w:val="0"/>
        <w:pageBreakBefore w:val="0"/>
        <w:widowControl w:val="0"/>
        <w:numPr>
          <w:ilvl w:val="0"/>
          <w:numId w:val="0"/>
        </w:numPr>
        <w:kinsoku/>
        <w:wordWrap/>
        <w:overflowPunct/>
        <w:topLinePunct w:val="0"/>
        <w:autoSpaceDE/>
        <w:autoSpaceDN/>
        <w:bidi w:val="0"/>
        <w:adjustRightInd/>
        <w:snapToGrid/>
        <w:spacing w:before="180" w:after="180" w:line="240" w:lineRule="auto"/>
        <w:ind w:left="420" w:leftChars="0" w:hanging="420" w:firstLineChars="0"/>
        <w:textAlignment w:val="auto"/>
        <w:rPr>
          <w:rFonts w:hint="eastAsia" w:ascii="宋体" w:hAnsi="宋体" w:eastAsia="宋体" w:cs="宋体"/>
          <w:b/>
          <w:bCs/>
          <w:color w:val="auto"/>
          <w:kern w:val="2"/>
          <w:sz w:val="24"/>
          <w:szCs w:val="32"/>
          <w:highlight w:val="none"/>
          <w:lang w:val="en-US" w:eastAsia="zh-CN" w:bidi="ar-SA"/>
        </w:rPr>
      </w:pPr>
      <w:bookmarkStart w:id="186" w:name="_Toc140132789"/>
      <w:bookmarkStart w:id="187" w:name="_Toc155185878"/>
      <w:bookmarkStart w:id="188" w:name="_Toc163492856"/>
      <w:r>
        <w:rPr>
          <w:rFonts w:hint="eastAsia" w:ascii="宋体" w:hAnsi="宋体" w:eastAsia="宋体" w:cs="宋体"/>
          <w:b/>
          <w:bCs/>
          <w:color w:val="auto"/>
          <w:kern w:val="2"/>
          <w:sz w:val="24"/>
          <w:szCs w:val="32"/>
          <w:highlight w:val="none"/>
          <w:lang w:val="en-US" w:eastAsia="zh-CN" w:bidi="ar-SA"/>
        </w:rPr>
        <w:t>（七）评标</w:t>
      </w:r>
      <w:bookmarkEnd w:id="186"/>
      <w:bookmarkEnd w:id="187"/>
      <w:bookmarkEnd w:id="188"/>
    </w:p>
    <w:p w14:paraId="7EBE7ABE">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189" w:name="_Toc140132790"/>
      <w:bookmarkStart w:id="190" w:name="_Toc163492857"/>
      <w:r>
        <w:rPr>
          <w:rFonts w:hint="eastAsia" w:ascii="宋体" w:hAnsi="宋体" w:eastAsia="宋体" w:cs="宋体"/>
          <w:b/>
          <w:bCs/>
          <w:color w:val="auto"/>
          <w:kern w:val="2"/>
          <w:sz w:val="24"/>
          <w:szCs w:val="28"/>
          <w:highlight w:val="none"/>
          <w:lang w:val="en-US" w:eastAsia="zh-CN" w:bidi="ar-SA"/>
        </w:rPr>
        <w:t>28.评标委员会</w:t>
      </w:r>
      <w:bookmarkEnd w:id="189"/>
      <w:bookmarkEnd w:id="190"/>
    </w:p>
    <w:p w14:paraId="1EA2B13D">
      <w:pPr>
        <w:pStyle w:val="37"/>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lang w:val="en-US" w:eastAsia="zh-CN"/>
        </w:rPr>
        <w:t>8</w:t>
      </w:r>
      <w:r>
        <w:rPr>
          <w:rFonts w:hint="eastAsia" w:ascii="宋体" w:hAnsi="宋体" w:eastAsia="宋体"/>
          <w:color w:val="auto"/>
          <w:sz w:val="24"/>
          <w:highlight w:val="none"/>
        </w:rPr>
        <w:t>.1 评标由采购人依法组建的评标委员会负责。评标委员会由采购人代表和评审专家组成</w:t>
      </w:r>
      <w:r>
        <w:rPr>
          <w:rFonts w:hint="eastAsia" w:ascii="宋体" w:hAnsi="宋体" w:eastAsia="宋体"/>
          <w:color w:val="auto"/>
          <w:sz w:val="24"/>
          <w:highlight w:val="none"/>
          <w:lang w:eastAsia="zh-CN"/>
        </w:rPr>
        <w:t>，</w:t>
      </w:r>
      <w:r>
        <w:rPr>
          <w:rFonts w:hint="eastAsia" w:ascii="宋体" w:hAnsi="宋体" w:eastAsia="宋体"/>
          <w:color w:val="auto"/>
          <w:sz w:val="24"/>
          <w:highlight w:val="none"/>
          <w:lang w:val="en-US" w:eastAsia="zh-CN"/>
        </w:rPr>
        <w:t>成员人数应当为5</w:t>
      </w:r>
      <w:r>
        <w:rPr>
          <w:rFonts w:hint="eastAsia" w:ascii="宋体" w:hAnsi="宋体" w:eastAsia="宋体"/>
          <w:color w:val="auto"/>
          <w:sz w:val="24"/>
          <w:highlight w:val="none"/>
        </w:rPr>
        <w:t>人以上单数，其中</w:t>
      </w:r>
      <w:r>
        <w:rPr>
          <w:rFonts w:hint="eastAsia" w:ascii="宋体" w:hAnsi="宋体" w:eastAsia="宋体"/>
          <w:color w:val="auto"/>
          <w:sz w:val="24"/>
          <w:highlight w:val="none"/>
          <w:lang w:val="en-US" w:eastAsia="zh-CN"/>
        </w:rPr>
        <w:t>评审</w:t>
      </w:r>
      <w:r>
        <w:rPr>
          <w:rFonts w:hint="eastAsia" w:ascii="宋体" w:hAnsi="宋体" w:eastAsia="宋体"/>
          <w:color w:val="auto"/>
          <w:sz w:val="24"/>
          <w:highlight w:val="none"/>
        </w:rPr>
        <w:t>专家不</w:t>
      </w:r>
      <w:r>
        <w:rPr>
          <w:rFonts w:hint="eastAsia" w:ascii="宋体" w:hAnsi="宋体" w:eastAsia="宋体"/>
          <w:color w:val="auto"/>
          <w:sz w:val="24"/>
          <w:highlight w:val="none"/>
          <w:lang w:val="en-US" w:eastAsia="zh-CN"/>
        </w:rPr>
        <w:t>得</w:t>
      </w:r>
      <w:r>
        <w:rPr>
          <w:rFonts w:hint="eastAsia" w:ascii="宋体" w:hAnsi="宋体" w:eastAsia="宋体"/>
          <w:color w:val="auto"/>
          <w:sz w:val="24"/>
          <w:highlight w:val="none"/>
        </w:rPr>
        <w:t>少于</w:t>
      </w:r>
      <w:r>
        <w:rPr>
          <w:rFonts w:hint="eastAsia" w:ascii="宋体" w:hAnsi="宋体" w:eastAsia="宋体"/>
          <w:color w:val="auto"/>
          <w:sz w:val="24"/>
          <w:highlight w:val="none"/>
          <w:lang w:val="en-US" w:eastAsia="zh-CN"/>
        </w:rPr>
        <w:t>成员总数的</w:t>
      </w:r>
      <w:r>
        <w:rPr>
          <w:rFonts w:hint="eastAsia" w:ascii="宋体" w:hAnsi="宋体" w:eastAsia="宋体"/>
          <w:color w:val="auto"/>
          <w:sz w:val="24"/>
          <w:highlight w:val="none"/>
        </w:rPr>
        <w:t>三分之二。</w:t>
      </w:r>
      <w:r>
        <w:rPr>
          <w:rFonts w:hint="default" w:ascii="宋体" w:hAnsi="宋体" w:eastAsia="宋体"/>
          <w:color w:val="auto"/>
          <w:sz w:val="24"/>
          <w:highlight w:val="none"/>
          <w:lang w:val="en-US" w:eastAsia="zh-CN"/>
        </w:rPr>
        <w:t>采购人或者采购代理机构应当从省级以上财政部门设立的政府采购评审专家库中，通过随机方式抽取评审专家。</w:t>
      </w:r>
    </w:p>
    <w:p w14:paraId="32DE7801">
      <w:pPr>
        <w:pStyle w:val="37"/>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28.2 </w:t>
      </w:r>
      <w:r>
        <w:rPr>
          <w:rFonts w:ascii="宋体" w:hAnsi="宋体" w:eastAsia="宋体"/>
          <w:color w:val="auto"/>
          <w:sz w:val="24"/>
          <w:highlight w:val="none"/>
          <w:lang w:val="en-US" w:eastAsia="zh-CN"/>
        </w:rPr>
        <w:t>采购项目符合下列情形之一的，评标委员会成员人数应当为</w:t>
      </w:r>
      <w:r>
        <w:rPr>
          <w:rFonts w:hint="default" w:ascii="宋体" w:hAnsi="宋体" w:eastAsia="宋体"/>
          <w:color w:val="auto"/>
          <w:sz w:val="24"/>
          <w:highlight w:val="none"/>
          <w:lang w:val="en-US" w:eastAsia="zh-CN"/>
        </w:rPr>
        <w:t>7人以上单数：</w:t>
      </w:r>
    </w:p>
    <w:p w14:paraId="05C639B0">
      <w:pPr>
        <w:pStyle w:val="37"/>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rPr>
      </w:pPr>
      <w:r>
        <w:rPr>
          <w:rFonts w:hint="default" w:ascii="宋体" w:hAnsi="宋体" w:eastAsia="宋体"/>
          <w:color w:val="auto"/>
          <w:sz w:val="24"/>
          <w:highlight w:val="none"/>
          <w:lang w:val="en-US" w:eastAsia="zh-CN"/>
        </w:rPr>
        <w:t>（</w:t>
      </w:r>
      <w:r>
        <w:rPr>
          <w:rFonts w:hint="eastAsia" w:ascii="宋体" w:hAnsi="宋体" w:eastAsia="宋体"/>
          <w:color w:val="auto"/>
          <w:sz w:val="24"/>
          <w:highlight w:val="none"/>
          <w:lang w:val="en-US" w:eastAsia="zh-CN"/>
        </w:rPr>
        <w:t>1</w:t>
      </w:r>
      <w:r>
        <w:rPr>
          <w:rFonts w:hint="default" w:ascii="宋体" w:hAnsi="宋体" w:eastAsia="宋体"/>
          <w:color w:val="auto"/>
          <w:sz w:val="24"/>
          <w:highlight w:val="none"/>
          <w:lang w:val="en-US" w:eastAsia="zh-CN"/>
        </w:rPr>
        <w:t>）采购预算金额在1000万元以上；</w:t>
      </w:r>
    </w:p>
    <w:p w14:paraId="67DFE620">
      <w:pPr>
        <w:pStyle w:val="37"/>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rPr>
      </w:pPr>
      <w:r>
        <w:rPr>
          <w:rFonts w:hint="default" w:ascii="宋体" w:hAnsi="宋体" w:eastAsia="宋体"/>
          <w:color w:val="auto"/>
          <w:sz w:val="24"/>
          <w:highlight w:val="none"/>
          <w:lang w:val="en-US" w:eastAsia="zh-CN"/>
        </w:rPr>
        <w:t>（</w:t>
      </w:r>
      <w:r>
        <w:rPr>
          <w:rFonts w:hint="eastAsia" w:ascii="宋体" w:hAnsi="宋体" w:eastAsia="宋体"/>
          <w:color w:val="auto"/>
          <w:sz w:val="24"/>
          <w:highlight w:val="none"/>
          <w:lang w:val="en-US" w:eastAsia="zh-CN"/>
        </w:rPr>
        <w:t>2</w:t>
      </w:r>
      <w:r>
        <w:rPr>
          <w:rFonts w:hint="default" w:ascii="宋体" w:hAnsi="宋体" w:eastAsia="宋体"/>
          <w:color w:val="auto"/>
          <w:sz w:val="24"/>
          <w:highlight w:val="none"/>
          <w:lang w:val="en-US" w:eastAsia="zh-CN"/>
        </w:rPr>
        <w:t>）技术复杂；</w:t>
      </w:r>
    </w:p>
    <w:p w14:paraId="6B9FB10B">
      <w:pPr>
        <w:pStyle w:val="37"/>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rPr>
      </w:pPr>
      <w:r>
        <w:rPr>
          <w:rFonts w:hint="default" w:ascii="宋体" w:hAnsi="宋体" w:eastAsia="宋体"/>
          <w:color w:val="auto"/>
          <w:sz w:val="24"/>
          <w:highlight w:val="none"/>
          <w:lang w:val="en-US" w:eastAsia="zh-CN"/>
        </w:rPr>
        <w:t>（</w:t>
      </w:r>
      <w:r>
        <w:rPr>
          <w:rFonts w:hint="eastAsia" w:ascii="宋体" w:hAnsi="宋体" w:eastAsia="宋体"/>
          <w:color w:val="auto"/>
          <w:sz w:val="24"/>
          <w:highlight w:val="none"/>
          <w:lang w:val="en-US" w:eastAsia="zh-CN"/>
        </w:rPr>
        <w:t>3</w:t>
      </w:r>
      <w:r>
        <w:rPr>
          <w:rFonts w:hint="default" w:ascii="宋体" w:hAnsi="宋体" w:eastAsia="宋体"/>
          <w:color w:val="auto"/>
          <w:sz w:val="24"/>
          <w:highlight w:val="none"/>
          <w:lang w:val="en-US" w:eastAsia="zh-CN"/>
        </w:rPr>
        <w:t>）社会影响较大。</w:t>
      </w:r>
    </w:p>
    <w:p w14:paraId="4590A674">
      <w:pPr>
        <w:pStyle w:val="37"/>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28.3</w:t>
      </w:r>
      <w:r>
        <w:rPr>
          <w:rFonts w:hint="default" w:ascii="宋体" w:hAnsi="宋体" w:eastAsia="宋体"/>
          <w:color w:val="auto"/>
          <w:sz w:val="24"/>
          <w:highlight w:val="none"/>
          <w:lang w:val="en-US" w:eastAsia="zh-CN"/>
        </w:rPr>
        <w:t>评审专家对本单位的采购项目只能作为采购人代表参与评标，对技术复杂、专业性强的采购项目，通过随机方式难以确定合适评审专家的，经主管预算单位同意，采购人可以自行选定相应专业领域的评审专家。采购代理机构工作人员不得参加由本机构代理的政府采购项目的评标。</w:t>
      </w:r>
    </w:p>
    <w:p w14:paraId="16E92807">
      <w:pPr>
        <w:pStyle w:val="37"/>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28.4</w:t>
      </w:r>
      <w:r>
        <w:rPr>
          <w:rFonts w:hint="default" w:ascii="宋体" w:hAnsi="宋体" w:eastAsia="宋体"/>
          <w:color w:val="auto"/>
          <w:sz w:val="24"/>
          <w:highlight w:val="none"/>
          <w:lang w:val="en-US" w:eastAsia="zh-CN"/>
        </w:rPr>
        <w:t>评标委员会成员名单在评标结果公告前应当保密。</w:t>
      </w:r>
    </w:p>
    <w:p w14:paraId="2F8842E2">
      <w:pPr>
        <w:pStyle w:val="37"/>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28.5</w:t>
      </w:r>
      <w:r>
        <w:rPr>
          <w:rFonts w:hint="default" w:ascii="宋体" w:hAnsi="宋体" w:eastAsia="宋体"/>
          <w:color w:val="auto"/>
          <w:sz w:val="24"/>
          <w:highlight w:val="none"/>
          <w:lang w:val="en-US" w:eastAsia="zh-CN"/>
        </w:rPr>
        <w:t>评标中因评标委员会成员缺席、回避或者健康等特殊原因导致评标委员会组成不符合本办法规定的，采购人或者采购代理机构应当依法补足后继续评标。被更换的评标委员会成员所作出的评标意见无效。</w:t>
      </w:r>
    </w:p>
    <w:p w14:paraId="28948BF7">
      <w:pPr>
        <w:pStyle w:val="37"/>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28.6</w:t>
      </w:r>
      <w:r>
        <w:rPr>
          <w:rFonts w:hint="default" w:ascii="宋体" w:hAnsi="宋体" w:eastAsia="宋体"/>
          <w:color w:val="auto"/>
          <w:sz w:val="24"/>
          <w:highlight w:val="none"/>
          <w:lang w:val="en-US" w:eastAsia="zh-CN"/>
        </w:rPr>
        <w:t>无法及时补足评标委员会成员的，采购人或者采购代理机构应当停止评标活动，封存所有投标文件和开标、评标资料，依法重新组建评标委员会进行评标。原评标委员会所作出的评标意见无效。</w:t>
      </w:r>
    </w:p>
    <w:p w14:paraId="301CAD81">
      <w:pPr>
        <w:pStyle w:val="37"/>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eastAsia="宋体"/>
          <w:color w:val="auto"/>
          <w:sz w:val="24"/>
          <w:highlight w:val="none"/>
        </w:rPr>
        <w:t>2</w:t>
      </w:r>
      <w:r>
        <w:rPr>
          <w:rFonts w:hint="eastAsia" w:eastAsia="宋体"/>
          <w:color w:val="auto"/>
          <w:sz w:val="24"/>
          <w:highlight w:val="none"/>
          <w:lang w:val="en-US" w:eastAsia="zh-CN"/>
        </w:rPr>
        <w:t>8</w:t>
      </w:r>
      <w:r>
        <w:rPr>
          <w:rFonts w:hint="eastAsia" w:eastAsia="宋体"/>
          <w:color w:val="auto"/>
          <w:sz w:val="24"/>
          <w:highlight w:val="none"/>
        </w:rPr>
        <w:t>.</w:t>
      </w:r>
      <w:r>
        <w:rPr>
          <w:rFonts w:hint="eastAsia" w:eastAsia="宋体"/>
          <w:color w:val="auto"/>
          <w:sz w:val="24"/>
          <w:highlight w:val="none"/>
          <w:lang w:val="en-US" w:eastAsia="zh-CN"/>
        </w:rPr>
        <w:t>7</w:t>
      </w:r>
      <w:r>
        <w:rPr>
          <w:rFonts w:hint="eastAsia" w:eastAsia="宋体"/>
          <w:color w:val="auto"/>
          <w:sz w:val="24"/>
          <w:highlight w:val="none"/>
        </w:rPr>
        <w:t xml:space="preserve"> 评标委员会成员有下列情形之一的，应当回避：</w:t>
      </w:r>
    </w:p>
    <w:p w14:paraId="0656ACEF">
      <w:pPr>
        <w:pStyle w:val="37"/>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hint="eastAsia" w:eastAsia="宋体"/>
          <w:color w:val="auto"/>
          <w:sz w:val="24"/>
          <w:highlight w:val="none"/>
        </w:rPr>
        <w:t>（1）参加采购活动前3年内与投标人存在劳动关系；</w:t>
      </w:r>
    </w:p>
    <w:p w14:paraId="55B6A1BF">
      <w:pPr>
        <w:pStyle w:val="37"/>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hint="eastAsia" w:eastAsia="宋体"/>
          <w:color w:val="auto"/>
          <w:sz w:val="24"/>
          <w:highlight w:val="none"/>
        </w:rPr>
        <w:t>（2）参加采购活动前3年内担任投标人的董事、监事；</w:t>
      </w:r>
    </w:p>
    <w:p w14:paraId="61A1D2B8">
      <w:pPr>
        <w:pStyle w:val="37"/>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hint="eastAsia" w:eastAsia="宋体"/>
          <w:color w:val="auto"/>
          <w:sz w:val="24"/>
          <w:highlight w:val="none"/>
        </w:rPr>
        <w:t>（3）参加采购活动前3年内是投标人的控股股东或实际控制人；</w:t>
      </w:r>
    </w:p>
    <w:p w14:paraId="2961D582">
      <w:pPr>
        <w:pStyle w:val="37"/>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hint="eastAsia" w:eastAsia="宋体"/>
          <w:color w:val="auto"/>
          <w:sz w:val="24"/>
          <w:highlight w:val="none"/>
        </w:rPr>
        <w:t>（4）与投标人的法定代表人或者负责人有夫妻、直系血亲、三代以内旁系血亲或者近姻亲关系；</w:t>
      </w:r>
    </w:p>
    <w:p w14:paraId="20FB9B78">
      <w:pPr>
        <w:pStyle w:val="37"/>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（5）与投标人有其他可能影响采购活动公平、公正进行的关系。</w:t>
      </w:r>
    </w:p>
    <w:p w14:paraId="25BEA5A7">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191" w:name="_Toc140132791"/>
      <w:bookmarkStart w:id="192" w:name="_Toc163492858"/>
      <w:r>
        <w:rPr>
          <w:rFonts w:hint="eastAsia" w:ascii="宋体" w:hAnsi="宋体" w:eastAsia="宋体" w:cs="宋体"/>
          <w:b/>
          <w:bCs/>
          <w:color w:val="auto"/>
          <w:kern w:val="2"/>
          <w:sz w:val="24"/>
          <w:szCs w:val="28"/>
          <w:highlight w:val="none"/>
          <w:lang w:val="en-US" w:eastAsia="zh-CN" w:bidi="ar-SA"/>
        </w:rPr>
        <w:t>29.评标</w:t>
      </w:r>
      <w:bookmarkEnd w:id="191"/>
      <w:bookmarkEnd w:id="192"/>
    </w:p>
    <w:p w14:paraId="6D0B095D">
      <w:pPr>
        <w:pStyle w:val="37"/>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eastAsia="zh-CN"/>
        </w:rPr>
      </w:pPr>
      <w:r>
        <w:rPr>
          <w:rFonts w:hint="eastAsia" w:eastAsia="宋体"/>
          <w:color w:val="auto"/>
          <w:sz w:val="24"/>
          <w:highlight w:val="none"/>
          <w:lang w:val="en-US" w:eastAsia="zh-CN"/>
        </w:rPr>
        <w:t>29</w:t>
      </w:r>
      <w:r>
        <w:rPr>
          <w:rFonts w:hint="eastAsia" w:eastAsia="宋体"/>
          <w:color w:val="auto"/>
          <w:sz w:val="24"/>
          <w:highlight w:val="none"/>
        </w:rPr>
        <w:t>.1</w:t>
      </w:r>
      <w:r>
        <w:rPr>
          <w:rFonts w:hint="eastAsia" w:eastAsia="宋体"/>
          <w:color w:val="auto"/>
          <w:sz w:val="24"/>
          <w:highlight w:val="none"/>
          <w:lang w:val="en-US" w:eastAsia="zh-CN"/>
        </w:rPr>
        <w:t xml:space="preserve"> 评标方法分为综合评分法和</w:t>
      </w:r>
      <w:r>
        <w:rPr>
          <w:rFonts w:eastAsia="宋体"/>
          <w:color w:val="auto"/>
          <w:sz w:val="24"/>
          <w:highlight w:val="none"/>
        </w:rPr>
        <w:t>最低评标价法</w:t>
      </w:r>
      <w:r>
        <w:rPr>
          <w:rFonts w:hint="eastAsia" w:eastAsia="宋体"/>
          <w:color w:val="auto"/>
          <w:sz w:val="24"/>
          <w:highlight w:val="none"/>
          <w:lang w:eastAsia="zh-CN"/>
        </w:rPr>
        <w:t>，</w:t>
      </w:r>
      <w:r>
        <w:rPr>
          <w:rFonts w:eastAsia="宋体"/>
          <w:color w:val="auto"/>
          <w:sz w:val="24"/>
          <w:highlight w:val="none"/>
        </w:rPr>
        <w:t>本项目</w:t>
      </w:r>
      <w:r>
        <w:rPr>
          <w:rFonts w:hint="eastAsia" w:eastAsia="宋体"/>
          <w:color w:val="auto"/>
          <w:sz w:val="24"/>
          <w:highlight w:val="none"/>
        </w:rPr>
        <w:t>评标</w:t>
      </w:r>
      <w:r>
        <w:rPr>
          <w:rFonts w:hint="eastAsia" w:eastAsia="宋体"/>
          <w:color w:val="auto"/>
          <w:sz w:val="24"/>
          <w:highlight w:val="none"/>
          <w:lang w:val="en-US" w:eastAsia="zh-CN"/>
        </w:rPr>
        <w:t>方法详见</w:t>
      </w:r>
      <w:r>
        <w:rPr>
          <w:rFonts w:hint="eastAsia" w:eastAsia="宋体"/>
          <w:color w:val="auto"/>
          <w:sz w:val="24"/>
          <w:highlight w:val="none"/>
        </w:rPr>
        <w:t>“投标人须知前附表”</w:t>
      </w:r>
      <w:r>
        <w:rPr>
          <w:rFonts w:hint="eastAsia" w:eastAsia="宋体"/>
          <w:color w:val="auto"/>
          <w:sz w:val="24"/>
          <w:highlight w:val="none"/>
          <w:lang w:eastAsia="zh-CN"/>
        </w:rPr>
        <w:t>。</w:t>
      </w:r>
    </w:p>
    <w:p w14:paraId="2BC22B3E">
      <w:pPr>
        <w:pStyle w:val="37"/>
        <w:rPr>
          <w:rFonts w:eastAsia="宋体"/>
          <w:color w:val="auto"/>
          <w:sz w:val="24"/>
          <w:highlight w:val="none"/>
        </w:rPr>
      </w:pPr>
      <w:r>
        <w:rPr>
          <w:rFonts w:eastAsia="宋体"/>
          <w:color w:val="auto"/>
          <w:sz w:val="24"/>
          <w:highlight w:val="none"/>
        </w:rPr>
        <w:t>2</w:t>
      </w:r>
      <w:r>
        <w:rPr>
          <w:rFonts w:hint="eastAsia" w:eastAsia="宋体"/>
          <w:color w:val="auto"/>
          <w:sz w:val="24"/>
          <w:highlight w:val="none"/>
          <w:lang w:val="en-US" w:eastAsia="zh-CN"/>
        </w:rPr>
        <w:t>9.1.1</w:t>
      </w:r>
      <w:r>
        <w:rPr>
          <w:rFonts w:eastAsia="宋体"/>
          <w:color w:val="auto"/>
          <w:sz w:val="24"/>
          <w:highlight w:val="none"/>
        </w:rPr>
        <w:t>综合评分法，是指投标文件满足招标文件全部实质性要求</w:t>
      </w:r>
      <w:r>
        <w:rPr>
          <w:rFonts w:hint="eastAsia" w:eastAsia="宋体"/>
          <w:color w:val="auto"/>
          <w:sz w:val="24"/>
          <w:highlight w:val="none"/>
          <w:lang w:eastAsia="zh-CN"/>
        </w:rPr>
        <w:t>，</w:t>
      </w:r>
      <w:r>
        <w:rPr>
          <w:rFonts w:eastAsia="宋体"/>
          <w:color w:val="auto"/>
          <w:sz w:val="24"/>
          <w:highlight w:val="none"/>
        </w:rPr>
        <w:t>且按照评审因素的量化指标评审得分最高的投标人为中标候选人的评标方法。</w:t>
      </w:r>
    </w:p>
    <w:p w14:paraId="0E3867EE">
      <w:pPr>
        <w:pStyle w:val="37"/>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29.1.2.</w:t>
      </w:r>
      <w:r>
        <w:rPr>
          <w:rFonts w:eastAsia="宋体"/>
          <w:color w:val="auto"/>
          <w:sz w:val="24"/>
          <w:highlight w:val="none"/>
        </w:rPr>
        <w:t>最低评标价法，是指投标文件满足招标文件全部实质性要求</w:t>
      </w:r>
      <w:r>
        <w:rPr>
          <w:rFonts w:hint="eastAsia" w:eastAsia="宋体"/>
          <w:color w:val="auto"/>
          <w:sz w:val="24"/>
          <w:highlight w:val="none"/>
          <w:lang w:eastAsia="zh-CN"/>
        </w:rPr>
        <w:t>，</w:t>
      </w:r>
      <w:r>
        <w:rPr>
          <w:rFonts w:eastAsia="宋体"/>
          <w:color w:val="auto"/>
          <w:sz w:val="24"/>
          <w:highlight w:val="none"/>
        </w:rPr>
        <w:t>且投标报价最低的投标人为中标候选人的评标方法。</w:t>
      </w:r>
    </w:p>
    <w:p w14:paraId="418DE4CD">
      <w:pPr>
        <w:pStyle w:val="37"/>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hint="eastAsia" w:eastAsia="宋体"/>
          <w:color w:val="auto"/>
          <w:sz w:val="24"/>
          <w:highlight w:val="none"/>
          <w:lang w:val="en-US" w:eastAsia="zh-CN"/>
        </w:rPr>
        <w:t>29</w:t>
      </w:r>
      <w:r>
        <w:rPr>
          <w:rFonts w:hint="eastAsia" w:eastAsia="宋体"/>
          <w:color w:val="auto"/>
          <w:sz w:val="24"/>
          <w:highlight w:val="none"/>
        </w:rPr>
        <w:t>.</w:t>
      </w:r>
      <w:r>
        <w:rPr>
          <w:rFonts w:hint="eastAsia" w:eastAsia="宋体"/>
          <w:color w:val="auto"/>
          <w:sz w:val="24"/>
          <w:highlight w:val="none"/>
          <w:lang w:val="en-US" w:eastAsia="zh-CN"/>
        </w:rPr>
        <w:t xml:space="preserve">2 </w:t>
      </w:r>
      <w:r>
        <w:rPr>
          <w:rFonts w:hint="eastAsia" w:eastAsia="宋体"/>
          <w:color w:val="auto"/>
          <w:sz w:val="24"/>
          <w:highlight w:val="none"/>
        </w:rPr>
        <w:t>评标委员会按照“第五章</w:t>
      </w:r>
      <w:r>
        <w:rPr>
          <w:rFonts w:hint="eastAsia" w:eastAsia="宋体"/>
          <w:color w:val="auto"/>
          <w:sz w:val="24"/>
          <w:highlight w:val="none"/>
          <w:lang w:val="en-US" w:eastAsia="zh-CN"/>
        </w:rPr>
        <w:t xml:space="preserve"> </w:t>
      </w:r>
      <w:r>
        <w:rPr>
          <w:rFonts w:hint="eastAsia" w:eastAsia="宋体"/>
          <w:color w:val="auto"/>
          <w:sz w:val="24"/>
          <w:highlight w:val="none"/>
        </w:rPr>
        <w:t>评标</w:t>
      </w:r>
      <w:r>
        <w:rPr>
          <w:rFonts w:hint="eastAsia" w:eastAsia="宋体"/>
          <w:color w:val="auto"/>
          <w:sz w:val="24"/>
          <w:highlight w:val="none"/>
          <w:lang w:val="en-US" w:eastAsia="zh-CN"/>
        </w:rPr>
        <w:t>方</w:t>
      </w:r>
      <w:r>
        <w:rPr>
          <w:rFonts w:hint="eastAsia" w:eastAsia="宋体"/>
          <w:color w:val="auto"/>
          <w:sz w:val="24"/>
          <w:highlight w:val="none"/>
        </w:rPr>
        <w:t>法及标准”</w:t>
      </w:r>
      <w:r>
        <w:rPr>
          <w:rFonts w:hint="eastAsia" w:eastAsia="宋体"/>
          <w:color w:val="auto"/>
          <w:sz w:val="24"/>
          <w:highlight w:val="none"/>
          <w:lang w:val="en-US" w:eastAsia="zh-CN"/>
        </w:rPr>
        <w:t>的</w:t>
      </w:r>
      <w:r>
        <w:rPr>
          <w:rFonts w:hint="eastAsia" w:eastAsia="宋体"/>
          <w:color w:val="auto"/>
          <w:sz w:val="24"/>
          <w:highlight w:val="none"/>
        </w:rPr>
        <w:t>规定对投标文件进行评审。“第五章</w:t>
      </w:r>
      <w:r>
        <w:rPr>
          <w:rFonts w:hint="eastAsia" w:eastAsia="宋体"/>
          <w:color w:val="auto"/>
          <w:sz w:val="24"/>
          <w:highlight w:val="none"/>
          <w:lang w:val="en-US" w:eastAsia="zh-CN"/>
        </w:rPr>
        <w:t xml:space="preserve"> </w:t>
      </w:r>
      <w:r>
        <w:rPr>
          <w:rFonts w:hint="eastAsia" w:eastAsia="宋体"/>
          <w:color w:val="auto"/>
          <w:sz w:val="24"/>
          <w:highlight w:val="none"/>
        </w:rPr>
        <w:t>评标</w:t>
      </w:r>
      <w:r>
        <w:rPr>
          <w:rFonts w:hint="eastAsia" w:eastAsia="宋体"/>
          <w:color w:val="auto"/>
          <w:sz w:val="24"/>
          <w:highlight w:val="none"/>
          <w:lang w:val="en-US" w:eastAsia="zh-CN"/>
        </w:rPr>
        <w:t>方</w:t>
      </w:r>
      <w:r>
        <w:rPr>
          <w:rFonts w:hint="eastAsia" w:eastAsia="宋体"/>
          <w:color w:val="auto"/>
          <w:sz w:val="24"/>
          <w:highlight w:val="none"/>
        </w:rPr>
        <w:t>法及标准”没有规定的方法、评审因素和标准，不作为评标依据。</w:t>
      </w:r>
    </w:p>
    <w:p w14:paraId="1A9007D8">
      <w:pPr>
        <w:pStyle w:val="37"/>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lang w:val="en-US" w:eastAsia="zh-CN"/>
        </w:rPr>
        <w:t>29</w:t>
      </w:r>
      <w:r>
        <w:rPr>
          <w:rFonts w:hint="eastAsia" w:eastAsia="宋体"/>
          <w:color w:val="auto"/>
          <w:sz w:val="24"/>
          <w:highlight w:val="none"/>
        </w:rPr>
        <w:t>.</w:t>
      </w:r>
      <w:r>
        <w:rPr>
          <w:rFonts w:hint="eastAsia" w:eastAsia="宋体"/>
          <w:color w:val="auto"/>
          <w:sz w:val="24"/>
          <w:highlight w:val="none"/>
          <w:lang w:val="en-US" w:eastAsia="zh-CN"/>
        </w:rPr>
        <w:t xml:space="preserve">3 </w:t>
      </w:r>
      <w:r>
        <w:rPr>
          <w:rFonts w:hint="eastAsia" w:eastAsia="宋体"/>
          <w:color w:val="auto"/>
          <w:sz w:val="24"/>
          <w:highlight w:val="none"/>
        </w:rPr>
        <w:t>评标委员会按“投标人须知前附表”规定的中标候选人数量在评标报告中向采购人推荐中标候选人。</w:t>
      </w:r>
    </w:p>
    <w:p w14:paraId="1E63454C">
      <w:pPr>
        <w:pStyle w:val="37"/>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29.4 开标之后，直到签订合同止，凡是属于审查、澄清、评价和比较投标的有关资料以及定标意向等，均不得向投标人或者其他与评标无关的人员透露。</w:t>
      </w:r>
    </w:p>
    <w:p w14:paraId="57927CBE">
      <w:pPr>
        <w:pStyle w:val="37"/>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29.5 在确定中标人之前，投标人试图在投标文件审查、澄清、比较和评标时对评标委员会、采购人和采购代理机构施加任何影响都可能导致其</w:t>
      </w:r>
      <w:r>
        <w:rPr>
          <w:rFonts w:hint="eastAsia" w:eastAsia="宋体"/>
          <w:b/>
          <w:bCs/>
          <w:color w:val="auto"/>
          <w:sz w:val="24"/>
          <w:highlight w:val="none"/>
          <w:lang w:val="en-US" w:eastAsia="zh-CN"/>
        </w:rPr>
        <w:t>投标无效</w:t>
      </w:r>
      <w:r>
        <w:rPr>
          <w:rFonts w:hint="eastAsia" w:eastAsia="宋体"/>
          <w:color w:val="auto"/>
          <w:sz w:val="24"/>
          <w:highlight w:val="none"/>
          <w:lang w:val="en-US" w:eastAsia="zh-CN"/>
        </w:rPr>
        <w:t>。</w:t>
      </w:r>
    </w:p>
    <w:p w14:paraId="32A32003">
      <w:pPr>
        <w:pStyle w:val="37"/>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29.6 电子招投标的应急措施</w:t>
      </w:r>
    </w:p>
    <w:p w14:paraId="52525CD6">
      <w:pPr>
        <w:pStyle w:val="37"/>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29.6.1电子开标、评标如出现下列原因，导致系统无法正常运行或无法正常评标时，应采取应急措施。</w:t>
      </w:r>
    </w:p>
    <w:p w14:paraId="3D99F562">
      <w:pPr>
        <w:pStyle w:val="37"/>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（1）系统服务器发生故障，无法访问或无法使用系统；</w:t>
      </w:r>
    </w:p>
    <w:p w14:paraId="518B308A">
      <w:pPr>
        <w:pStyle w:val="37"/>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（2）系统的软件或数据库出现错误，不能进行正常操作；</w:t>
      </w:r>
    </w:p>
    <w:p w14:paraId="657BA7B3">
      <w:pPr>
        <w:pStyle w:val="37"/>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（3）系统发现有安全漏洞，有潜在的泄密危险；</w:t>
      </w:r>
    </w:p>
    <w:p w14:paraId="26B15397">
      <w:pPr>
        <w:pStyle w:val="37"/>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（4）病毒发作或受到外来病毒的攻击；</w:t>
      </w:r>
    </w:p>
    <w:p w14:paraId="6BCA43D9">
      <w:pPr>
        <w:pStyle w:val="37"/>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（5）出现其他不可抗拒的客观原因造成开评标系统无法正常使用。</w:t>
      </w:r>
    </w:p>
    <w:p w14:paraId="2BA3CE00">
      <w:pPr>
        <w:pStyle w:val="37"/>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出现上述情况时，应对未开标的暂停开标。已在系统内开标、评标的立即停止。采取应急措施时，必须对原有资料及信息作出妥善保密处理。</w:t>
      </w:r>
    </w:p>
    <w:p w14:paraId="791CC4F0">
      <w:pPr>
        <w:pStyle w:val="37"/>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29.6.2因系统原因导致投标人均无法解密电子投标文件时，采购代理机构可在开标现场直接导入投标人在投标截止时间前递交的未加密的电子投标文件进行开标、评标。</w:t>
      </w:r>
    </w:p>
    <w:p w14:paraId="28CD45E0">
      <w:pPr>
        <w:pStyle w:val="37"/>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29.7 投标人瑕疵滞后发现的处理规则</w:t>
      </w:r>
    </w:p>
    <w:p w14:paraId="11E85EAD">
      <w:pPr>
        <w:pStyle w:val="37"/>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29.7.1无论基于何种原因，各项本应作</w:t>
      </w:r>
      <w:r>
        <w:rPr>
          <w:rFonts w:hint="eastAsia" w:eastAsia="宋体"/>
          <w:b/>
          <w:bCs/>
          <w:color w:val="auto"/>
          <w:sz w:val="24"/>
          <w:highlight w:val="none"/>
          <w:lang w:val="en-US" w:eastAsia="zh-CN"/>
        </w:rPr>
        <w:t>无效投标</w:t>
      </w:r>
      <w:r>
        <w:rPr>
          <w:rFonts w:hint="eastAsia" w:eastAsia="宋体"/>
          <w:color w:val="auto"/>
          <w:sz w:val="24"/>
          <w:highlight w:val="none"/>
          <w:lang w:val="en-US" w:eastAsia="zh-CN"/>
        </w:rPr>
        <w:t>处理的情形即便未被及时发现而使该投标人进入初审、综合评审或其他后续程序，包括已经签订合同的情形，一旦该投标人的投标作无效投标处理或该投标人的此前评议结果被取消，其现有的位置将被其他投标人依序替代，相关的一切损失均由该投标人承担。</w:t>
      </w:r>
    </w:p>
    <w:p w14:paraId="34027149">
      <w:pPr>
        <w:pStyle w:val="4"/>
        <w:keepNext w:val="0"/>
        <w:keepLines w:val="0"/>
        <w:pageBreakBefore w:val="0"/>
        <w:widowControl w:val="0"/>
        <w:numPr>
          <w:ilvl w:val="0"/>
          <w:numId w:val="0"/>
        </w:numPr>
        <w:kinsoku/>
        <w:wordWrap/>
        <w:overflowPunct/>
        <w:topLinePunct w:val="0"/>
        <w:autoSpaceDE/>
        <w:autoSpaceDN/>
        <w:bidi w:val="0"/>
        <w:adjustRightInd/>
        <w:snapToGrid/>
        <w:spacing w:before="180" w:after="180" w:line="240" w:lineRule="auto"/>
        <w:ind w:left="420" w:leftChars="0" w:hanging="420" w:firstLineChars="0"/>
        <w:textAlignment w:val="auto"/>
        <w:rPr>
          <w:rFonts w:hint="eastAsia" w:ascii="宋体" w:hAnsi="宋体" w:eastAsia="宋体" w:cs="宋体"/>
          <w:b/>
          <w:bCs/>
          <w:color w:val="auto"/>
          <w:kern w:val="2"/>
          <w:sz w:val="24"/>
          <w:szCs w:val="32"/>
          <w:highlight w:val="none"/>
          <w:lang w:val="en-US" w:eastAsia="zh-CN" w:bidi="ar-SA"/>
        </w:rPr>
      </w:pPr>
      <w:bookmarkStart w:id="193" w:name="_Toc155185879"/>
      <w:bookmarkStart w:id="194" w:name="_Toc163492859"/>
      <w:bookmarkStart w:id="195" w:name="_Toc140132792"/>
      <w:r>
        <w:rPr>
          <w:rFonts w:hint="eastAsia" w:ascii="宋体" w:hAnsi="宋体" w:eastAsia="宋体" w:cs="宋体"/>
          <w:b/>
          <w:bCs/>
          <w:color w:val="auto"/>
          <w:kern w:val="2"/>
          <w:sz w:val="24"/>
          <w:szCs w:val="32"/>
          <w:highlight w:val="none"/>
          <w:lang w:val="en-US" w:eastAsia="zh-CN" w:bidi="ar-SA"/>
        </w:rPr>
        <w:t>（八）中标</w:t>
      </w:r>
      <w:bookmarkEnd w:id="193"/>
      <w:bookmarkEnd w:id="194"/>
      <w:bookmarkEnd w:id="195"/>
    </w:p>
    <w:p w14:paraId="37B6B950">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196" w:name="_Toc163492860"/>
      <w:bookmarkStart w:id="197" w:name="_Toc140132793"/>
      <w:r>
        <w:rPr>
          <w:rFonts w:hint="eastAsia" w:ascii="宋体" w:hAnsi="宋体" w:eastAsia="宋体" w:cs="宋体"/>
          <w:b/>
          <w:bCs/>
          <w:color w:val="auto"/>
          <w:kern w:val="2"/>
          <w:sz w:val="24"/>
          <w:szCs w:val="28"/>
          <w:highlight w:val="none"/>
          <w:lang w:val="en-US" w:eastAsia="zh-CN" w:bidi="ar-SA"/>
        </w:rPr>
        <w:t>30.确定中标人</w:t>
      </w:r>
      <w:bookmarkEnd w:id="196"/>
      <w:bookmarkEnd w:id="197"/>
    </w:p>
    <w:p w14:paraId="23CC2B81">
      <w:pPr>
        <w:keepNext w:val="0"/>
        <w:keepLines w:val="0"/>
        <w:pageBreakBefore w:val="0"/>
        <w:widowControl w:val="0"/>
        <w:suppressLineNumbers w:val="0"/>
        <w:kinsoku/>
        <w:overflowPunct/>
        <w:topLinePunct w:val="0"/>
        <w:autoSpaceDE/>
        <w:autoSpaceDN/>
        <w:bidi w:val="0"/>
        <w:adjustRightInd/>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eastAsia="宋体"/>
          <w:color w:val="auto"/>
          <w:sz w:val="24"/>
          <w:highlight w:val="none"/>
          <w:lang w:val="en-US" w:eastAsia="zh-CN"/>
        </w:rPr>
        <w:t>30.1</w:t>
      </w:r>
      <w:r>
        <w:rPr>
          <w:rFonts w:hint="eastAsia" w:ascii="宋体" w:hAnsi="宋体" w:eastAsia="宋体" w:cs="宋体"/>
          <w:color w:val="auto"/>
          <w:kern w:val="0"/>
          <w:sz w:val="24"/>
          <w:szCs w:val="24"/>
          <w:highlight w:val="none"/>
          <w:lang w:val="en-US" w:eastAsia="zh-CN" w:bidi="ar"/>
        </w:rPr>
        <w:t>采购人将在评标报告确定的中标候选人名单中按顺序确定中标人，中标候选人并列的，按照</w:t>
      </w:r>
      <w:r>
        <w:rPr>
          <w:rFonts w:hint="eastAsia" w:eastAsia="宋体"/>
          <w:color w:val="auto"/>
          <w:sz w:val="24"/>
          <w:highlight w:val="none"/>
        </w:rPr>
        <w:t>“投标人须知前附表”</w:t>
      </w:r>
      <w:r>
        <w:rPr>
          <w:rFonts w:hint="eastAsia" w:ascii="宋体" w:hAnsi="宋体" w:eastAsia="宋体" w:cs="宋体"/>
          <w:color w:val="auto"/>
          <w:kern w:val="0"/>
          <w:sz w:val="24"/>
          <w:szCs w:val="24"/>
          <w:highlight w:val="none"/>
          <w:lang w:val="en-US" w:eastAsia="zh-CN" w:bidi="ar"/>
        </w:rPr>
        <w:t>确定中标人；招标文件未规定的，采取随机抽取的方式确定。采购人是否委托评标委员会直接确定中标人，见</w:t>
      </w:r>
      <w:r>
        <w:rPr>
          <w:rFonts w:hint="eastAsia" w:eastAsia="宋体"/>
          <w:color w:val="auto"/>
          <w:sz w:val="24"/>
          <w:highlight w:val="none"/>
        </w:rPr>
        <w:t>“投标人须知前附表”</w:t>
      </w:r>
      <w:r>
        <w:rPr>
          <w:rFonts w:hint="eastAsia" w:ascii="宋体" w:hAnsi="宋体" w:eastAsia="宋体" w:cs="宋体"/>
          <w:color w:val="auto"/>
          <w:kern w:val="0"/>
          <w:sz w:val="24"/>
          <w:szCs w:val="24"/>
          <w:highlight w:val="none"/>
          <w:lang w:val="en-US" w:eastAsia="zh-CN" w:bidi="ar"/>
        </w:rPr>
        <w:t>。</w:t>
      </w:r>
    </w:p>
    <w:p w14:paraId="1B14917F">
      <w:pPr>
        <w:keepNext w:val="0"/>
        <w:keepLines w:val="0"/>
        <w:pageBreakBefore w:val="0"/>
        <w:widowControl w:val="0"/>
        <w:suppressLineNumbers w:val="0"/>
        <w:kinsoku/>
        <w:overflowPunct/>
        <w:topLinePunct w:val="0"/>
        <w:autoSpaceDE/>
        <w:autoSpaceDN/>
        <w:bidi w:val="0"/>
        <w:adjustRightInd/>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3</w:t>
      </w:r>
      <w:r>
        <w:rPr>
          <w:rFonts w:hint="eastAsia" w:eastAsia="宋体" w:cs="宋体"/>
          <w:color w:val="auto"/>
          <w:kern w:val="0"/>
          <w:sz w:val="24"/>
          <w:szCs w:val="24"/>
          <w:highlight w:val="none"/>
          <w:lang w:val="en-US" w:eastAsia="zh-CN" w:bidi="ar"/>
        </w:rPr>
        <w:t>0</w:t>
      </w:r>
      <w:r>
        <w:rPr>
          <w:rFonts w:hint="eastAsia" w:ascii="宋体" w:hAnsi="宋体" w:eastAsia="宋体" w:cs="宋体"/>
          <w:color w:val="auto"/>
          <w:kern w:val="0"/>
          <w:sz w:val="24"/>
          <w:szCs w:val="24"/>
          <w:highlight w:val="none"/>
          <w:lang w:val="en-US" w:eastAsia="zh-CN" w:bidi="ar"/>
        </w:rPr>
        <w:t>.</w:t>
      </w:r>
      <w:r>
        <w:rPr>
          <w:rFonts w:hint="eastAsia" w:eastAsia="宋体" w:cs="宋体"/>
          <w:color w:val="auto"/>
          <w:kern w:val="0"/>
          <w:sz w:val="24"/>
          <w:szCs w:val="24"/>
          <w:highlight w:val="none"/>
          <w:lang w:val="en-US" w:eastAsia="zh-CN" w:bidi="ar"/>
        </w:rPr>
        <w:t>2采</w:t>
      </w:r>
      <w:r>
        <w:rPr>
          <w:rFonts w:hint="eastAsia" w:ascii="宋体" w:hAnsi="宋体" w:eastAsia="宋体" w:cs="宋体"/>
          <w:color w:val="auto"/>
          <w:kern w:val="0"/>
          <w:sz w:val="24"/>
          <w:szCs w:val="24"/>
          <w:highlight w:val="none"/>
          <w:lang w:val="en-US" w:eastAsia="zh-CN" w:bidi="ar"/>
        </w:rPr>
        <w:t>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w:t>
      </w:r>
      <w:r>
        <w:rPr>
          <w:rFonts w:hint="eastAsia" w:eastAsia="宋体"/>
          <w:color w:val="auto"/>
          <w:sz w:val="24"/>
          <w:highlight w:val="none"/>
        </w:rPr>
        <w:t>“投标人须知前附表”</w:t>
      </w:r>
      <w:r>
        <w:rPr>
          <w:rFonts w:hint="eastAsia" w:ascii="宋体" w:hAnsi="宋体" w:eastAsia="宋体" w:cs="宋体"/>
          <w:color w:val="auto"/>
          <w:kern w:val="0"/>
          <w:sz w:val="24"/>
          <w:szCs w:val="24"/>
          <w:highlight w:val="none"/>
          <w:lang w:val="en-US" w:eastAsia="zh-CN" w:bidi="ar"/>
        </w:rPr>
        <w:t>规定的方式确定一个投标人获得中标人推荐资格，招标文件未规定的采取随机抽取方式确定，其他同品牌投标人不作为中标候选人。</w:t>
      </w:r>
    </w:p>
    <w:p w14:paraId="5EF9107C">
      <w:pPr>
        <w:keepNext w:val="0"/>
        <w:keepLines w:val="0"/>
        <w:pageBreakBefore w:val="0"/>
        <w:widowControl w:val="0"/>
        <w:suppressLineNumbers w:val="0"/>
        <w:kinsoku/>
        <w:overflowPunct/>
        <w:topLinePunct w:val="0"/>
        <w:autoSpaceDE/>
        <w:autoSpaceDN/>
        <w:bidi w:val="0"/>
        <w:adjustRightInd/>
        <w:ind w:firstLine="480" w:firstLineChars="200"/>
        <w:jc w:val="left"/>
        <w:textAlignment w:val="auto"/>
        <w:rPr>
          <w:rFonts w:hint="eastAsia" w:eastAsia="宋体" w:cs="宋体"/>
          <w:color w:val="auto"/>
          <w:kern w:val="0"/>
          <w:sz w:val="24"/>
          <w:szCs w:val="24"/>
          <w:highlight w:val="none"/>
          <w:lang w:val="en-US" w:eastAsia="zh-CN" w:bidi="ar"/>
        </w:rPr>
      </w:pPr>
      <w:r>
        <w:rPr>
          <w:rFonts w:hint="eastAsia" w:eastAsia="宋体" w:cs="宋体"/>
          <w:color w:val="auto"/>
          <w:kern w:val="0"/>
          <w:sz w:val="24"/>
          <w:szCs w:val="24"/>
          <w:highlight w:val="none"/>
          <w:lang w:val="en-US" w:eastAsia="zh-CN" w:bidi="ar"/>
        </w:rPr>
        <w:t>30.3采用最低评标价法的采购项目，提供相同品牌产品的不同投标人参加同一合同项下投标的，以其中通过资格审查、符合性审查且报价最低的参加评标；报价相同的，由采购人或者采购人委托评标委员会按照</w:t>
      </w:r>
      <w:r>
        <w:rPr>
          <w:rFonts w:hint="eastAsia" w:eastAsia="宋体"/>
          <w:color w:val="auto"/>
          <w:sz w:val="24"/>
          <w:highlight w:val="none"/>
        </w:rPr>
        <w:t>“投标人须知前附表”</w:t>
      </w:r>
      <w:r>
        <w:rPr>
          <w:rFonts w:hint="eastAsia" w:eastAsia="宋体" w:cs="宋体"/>
          <w:color w:val="auto"/>
          <w:kern w:val="0"/>
          <w:sz w:val="24"/>
          <w:szCs w:val="24"/>
          <w:highlight w:val="none"/>
          <w:lang w:val="en-US" w:eastAsia="zh-CN" w:bidi="ar"/>
        </w:rPr>
        <w:t>规定的方式确定一个参加评标的投标人，招标文件未规定的采取随机抽取方式确定，其他投标无效。</w:t>
      </w:r>
    </w:p>
    <w:p w14:paraId="4A5A7398">
      <w:pPr>
        <w:keepNext w:val="0"/>
        <w:keepLines w:val="0"/>
        <w:pageBreakBefore w:val="0"/>
        <w:widowControl w:val="0"/>
        <w:suppressLineNumbers w:val="0"/>
        <w:kinsoku/>
        <w:overflowPunct/>
        <w:topLinePunct w:val="0"/>
        <w:autoSpaceDE/>
        <w:autoSpaceDN/>
        <w:bidi w:val="0"/>
        <w:adjustRightInd/>
        <w:ind w:firstLine="480" w:firstLineChars="200"/>
        <w:jc w:val="left"/>
        <w:textAlignment w:val="auto"/>
        <w:rPr>
          <w:rFonts w:eastAsia="宋体"/>
          <w:color w:val="auto"/>
          <w:sz w:val="24"/>
          <w:highlight w:val="none"/>
        </w:rPr>
      </w:pPr>
      <w:r>
        <w:rPr>
          <w:rFonts w:hint="eastAsia" w:eastAsia="宋体" w:cs="宋体"/>
          <w:color w:val="auto"/>
          <w:kern w:val="0"/>
          <w:sz w:val="24"/>
          <w:szCs w:val="24"/>
          <w:highlight w:val="none"/>
          <w:lang w:val="en-US" w:eastAsia="zh-CN" w:bidi="ar"/>
        </w:rPr>
        <w:t>30.4非单一产品采购项目，采购人应当根据采购项目技术构成、产品价格比重等合理确定核心产品，并在</w:t>
      </w:r>
      <w:r>
        <w:rPr>
          <w:rFonts w:hint="eastAsia" w:eastAsia="宋体"/>
          <w:color w:val="auto"/>
          <w:sz w:val="24"/>
          <w:highlight w:val="none"/>
        </w:rPr>
        <w:t>“投标人须知前附表”</w:t>
      </w:r>
      <w:r>
        <w:rPr>
          <w:rFonts w:hint="eastAsia" w:eastAsia="宋体" w:cs="宋体"/>
          <w:color w:val="auto"/>
          <w:kern w:val="0"/>
          <w:sz w:val="24"/>
          <w:szCs w:val="24"/>
          <w:highlight w:val="none"/>
          <w:lang w:val="en-US" w:eastAsia="zh-CN" w:bidi="ar"/>
        </w:rPr>
        <w:t>中载明。多家投标人提供的核心产品品牌相同的，按前两款规定处理。</w:t>
      </w:r>
      <w:r>
        <w:rPr>
          <w:rFonts w:hint="eastAsia" w:ascii="宋体" w:hAnsi="宋体" w:eastAsia="宋体" w:cs="宋体"/>
          <w:color w:val="auto"/>
          <w:kern w:val="0"/>
          <w:sz w:val="24"/>
          <w:szCs w:val="24"/>
          <w:highlight w:val="none"/>
          <w:lang w:val="en-US" w:eastAsia="zh-CN" w:bidi="ar"/>
        </w:rPr>
        <w:t xml:space="preserve"> </w:t>
      </w:r>
    </w:p>
    <w:p w14:paraId="18971451">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198" w:name="_Toc140132794"/>
      <w:bookmarkStart w:id="199" w:name="_Toc163492861"/>
      <w:r>
        <w:rPr>
          <w:rFonts w:hint="eastAsia" w:ascii="宋体" w:hAnsi="宋体" w:eastAsia="宋体" w:cs="宋体"/>
          <w:b/>
          <w:bCs/>
          <w:color w:val="auto"/>
          <w:kern w:val="2"/>
          <w:sz w:val="24"/>
          <w:szCs w:val="28"/>
          <w:highlight w:val="none"/>
          <w:lang w:val="en-US" w:eastAsia="zh-CN" w:bidi="ar-SA"/>
        </w:rPr>
        <w:t>31.中标结果公告</w:t>
      </w:r>
      <w:bookmarkEnd w:id="198"/>
      <w:bookmarkEnd w:id="199"/>
    </w:p>
    <w:p w14:paraId="712AF3E4">
      <w:pPr>
        <w:pStyle w:val="37"/>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eastAsia="宋体"/>
          <w:bCs/>
          <w:color w:val="auto"/>
          <w:sz w:val="24"/>
          <w:highlight w:val="none"/>
        </w:rPr>
        <w:t>3</w:t>
      </w:r>
      <w:r>
        <w:rPr>
          <w:rFonts w:hint="eastAsia" w:eastAsia="宋体"/>
          <w:bCs/>
          <w:color w:val="auto"/>
          <w:sz w:val="24"/>
          <w:highlight w:val="none"/>
          <w:lang w:val="en-US" w:eastAsia="zh-CN"/>
        </w:rPr>
        <w:t>1</w:t>
      </w:r>
      <w:r>
        <w:rPr>
          <w:rFonts w:hint="eastAsia" w:eastAsia="宋体"/>
          <w:color w:val="auto"/>
          <w:sz w:val="24"/>
          <w:highlight w:val="none"/>
        </w:rPr>
        <w:t>.1</w:t>
      </w:r>
      <w:r>
        <w:rPr>
          <w:rFonts w:hint="eastAsia" w:eastAsia="宋体"/>
          <w:color w:val="auto"/>
          <w:sz w:val="24"/>
          <w:highlight w:val="none"/>
          <w:lang w:val="en-US" w:eastAsia="zh-CN"/>
        </w:rPr>
        <w:t>采购人或</w:t>
      </w:r>
      <w:r>
        <w:rPr>
          <w:rFonts w:hint="eastAsia" w:eastAsia="宋体"/>
          <w:color w:val="auto"/>
          <w:sz w:val="24"/>
          <w:highlight w:val="none"/>
        </w:rPr>
        <w:t>采购代理机构应当自中标人确定之日起2个工作日内，在</w:t>
      </w:r>
      <w:r>
        <w:rPr>
          <w:rFonts w:hint="eastAsia" w:eastAsia="宋体"/>
          <w:color w:val="auto"/>
          <w:sz w:val="24"/>
          <w:highlight w:val="none"/>
          <w:lang w:val="en-US" w:eastAsia="zh-CN"/>
        </w:rPr>
        <w:t>发布招标公告的同一</w:t>
      </w:r>
      <w:r>
        <w:rPr>
          <w:rFonts w:hint="eastAsia" w:eastAsia="宋体"/>
          <w:color w:val="auto"/>
          <w:sz w:val="24"/>
          <w:highlight w:val="none"/>
        </w:rPr>
        <w:t>媒体上发布中标结果公告，</w:t>
      </w:r>
      <w:r>
        <w:rPr>
          <w:rFonts w:hint="eastAsia" w:eastAsia="宋体"/>
          <w:color w:val="auto"/>
          <w:sz w:val="24"/>
          <w:highlight w:val="none"/>
          <w:lang w:val="en-US" w:eastAsia="zh-CN"/>
        </w:rPr>
        <w:t>同时向中标人</w:t>
      </w:r>
      <w:r>
        <w:rPr>
          <w:rFonts w:hint="eastAsia" w:eastAsia="宋体"/>
          <w:color w:val="auto"/>
          <w:sz w:val="24"/>
          <w:highlight w:val="none"/>
        </w:rPr>
        <w:t>发出中标通知书</w:t>
      </w:r>
      <w:r>
        <w:rPr>
          <w:rFonts w:hint="eastAsia" w:eastAsia="宋体"/>
          <w:color w:val="auto"/>
          <w:sz w:val="24"/>
          <w:highlight w:val="none"/>
          <w:lang w:eastAsia="zh-CN"/>
        </w:rPr>
        <w:t>。招标文件随中标结果同时公告，</w:t>
      </w:r>
      <w:r>
        <w:rPr>
          <w:rFonts w:hint="eastAsia" w:eastAsia="宋体"/>
          <w:color w:val="auto"/>
          <w:sz w:val="24"/>
          <w:highlight w:val="none"/>
        </w:rPr>
        <w:t>中标结果公告期限为1个工作日。</w:t>
      </w:r>
    </w:p>
    <w:p w14:paraId="5352A1FC">
      <w:pPr>
        <w:pStyle w:val="37"/>
        <w:keepNext w:val="0"/>
        <w:keepLines w:val="0"/>
        <w:pageBreakBefore w:val="0"/>
        <w:widowControl w:val="0"/>
        <w:kinsoku/>
        <w:overflowPunct/>
        <w:topLinePunct w:val="0"/>
        <w:autoSpaceDE/>
        <w:autoSpaceDN/>
        <w:bidi w:val="0"/>
        <w:adjustRightInd/>
        <w:textAlignment w:val="auto"/>
        <w:rPr>
          <w:rFonts w:hint="eastAsia" w:eastAsia="宋体"/>
          <w:bCs/>
          <w:color w:val="auto"/>
          <w:sz w:val="24"/>
          <w:highlight w:val="none"/>
          <w:lang w:eastAsia="zh-CN"/>
        </w:rPr>
      </w:pPr>
      <w:r>
        <w:rPr>
          <w:rFonts w:hint="eastAsia" w:eastAsia="宋体"/>
          <w:bCs/>
          <w:color w:val="auto"/>
          <w:sz w:val="24"/>
          <w:highlight w:val="none"/>
        </w:rPr>
        <w:t>3</w:t>
      </w:r>
      <w:r>
        <w:rPr>
          <w:rFonts w:hint="eastAsia" w:eastAsia="宋体"/>
          <w:bCs/>
          <w:color w:val="auto"/>
          <w:sz w:val="24"/>
          <w:highlight w:val="none"/>
          <w:lang w:val="en-US" w:eastAsia="zh-CN"/>
        </w:rPr>
        <w:t>1</w:t>
      </w:r>
      <w:r>
        <w:rPr>
          <w:rFonts w:eastAsia="宋体"/>
          <w:bCs/>
          <w:color w:val="auto"/>
          <w:sz w:val="24"/>
          <w:highlight w:val="none"/>
        </w:rPr>
        <w:t>.2</w:t>
      </w:r>
      <w:r>
        <w:rPr>
          <w:rFonts w:hint="eastAsia" w:eastAsia="宋体"/>
          <w:bCs/>
          <w:color w:val="auto"/>
          <w:sz w:val="24"/>
          <w:highlight w:val="none"/>
          <w:lang w:eastAsia="zh-CN"/>
        </w:rPr>
        <w:t>中标</w:t>
      </w:r>
      <w:r>
        <w:rPr>
          <w:rFonts w:hint="eastAsia" w:eastAsia="宋体"/>
          <w:bCs/>
          <w:color w:val="auto"/>
          <w:sz w:val="24"/>
          <w:highlight w:val="none"/>
          <w:lang w:val="en-US" w:eastAsia="zh-CN"/>
        </w:rPr>
        <w:t>人</w:t>
      </w:r>
      <w:r>
        <w:rPr>
          <w:rFonts w:hint="eastAsia" w:eastAsia="宋体"/>
          <w:bCs/>
          <w:color w:val="auto"/>
          <w:sz w:val="24"/>
          <w:highlight w:val="none"/>
          <w:lang w:eastAsia="zh-CN"/>
        </w:rPr>
        <w:t>为中小企业</w:t>
      </w:r>
      <w:r>
        <w:rPr>
          <w:rFonts w:hint="eastAsia" w:eastAsia="宋体"/>
          <w:bCs/>
          <w:color w:val="auto"/>
          <w:sz w:val="24"/>
          <w:highlight w:val="none"/>
          <w:lang w:val="en-US" w:eastAsia="zh-CN"/>
        </w:rPr>
        <w:t>享受中小企业扶持政策的</w:t>
      </w:r>
      <w:r>
        <w:rPr>
          <w:rFonts w:hint="eastAsia" w:eastAsia="宋体"/>
          <w:bCs/>
          <w:color w:val="auto"/>
          <w:sz w:val="24"/>
          <w:highlight w:val="none"/>
          <w:lang w:eastAsia="zh-CN"/>
        </w:rPr>
        <w:t>，其“中小企业声明函”随中标结果同时公告。中标</w:t>
      </w:r>
      <w:r>
        <w:rPr>
          <w:rFonts w:hint="eastAsia" w:eastAsia="宋体"/>
          <w:bCs/>
          <w:color w:val="auto"/>
          <w:sz w:val="24"/>
          <w:highlight w:val="none"/>
          <w:lang w:val="en-US" w:eastAsia="zh-CN"/>
        </w:rPr>
        <w:t>人</w:t>
      </w:r>
      <w:r>
        <w:rPr>
          <w:rFonts w:hint="eastAsia" w:eastAsia="宋体"/>
          <w:bCs/>
          <w:color w:val="auto"/>
          <w:sz w:val="24"/>
          <w:highlight w:val="none"/>
          <w:lang w:eastAsia="zh-CN"/>
        </w:rPr>
        <w:t>为残疾人福利性单位的，其“残疾人福利性单位声明函”随中标结果同时公告。</w:t>
      </w:r>
    </w:p>
    <w:p w14:paraId="284DD9EA">
      <w:pPr>
        <w:pStyle w:val="37"/>
        <w:keepNext w:val="0"/>
        <w:keepLines w:val="0"/>
        <w:pageBreakBefore w:val="0"/>
        <w:widowControl w:val="0"/>
        <w:kinsoku/>
        <w:overflowPunct/>
        <w:topLinePunct w:val="0"/>
        <w:autoSpaceDE/>
        <w:autoSpaceDN/>
        <w:bidi w:val="0"/>
        <w:adjustRightInd/>
        <w:textAlignment w:val="auto"/>
        <w:rPr>
          <w:rFonts w:hint="eastAsia" w:ascii="宋体" w:hAnsi="宋体" w:eastAsia="宋体"/>
          <w:bCs/>
          <w:color w:val="auto"/>
          <w:sz w:val="24"/>
          <w:highlight w:val="none"/>
        </w:rPr>
      </w:pPr>
      <w:r>
        <w:rPr>
          <w:rFonts w:hint="eastAsia" w:ascii="宋体" w:hAnsi="宋体" w:eastAsia="宋体"/>
          <w:bCs/>
          <w:color w:val="auto"/>
          <w:sz w:val="24"/>
          <w:highlight w:val="none"/>
          <w:lang w:val="en-US" w:eastAsia="zh-CN"/>
        </w:rPr>
        <w:t>31.3</w:t>
      </w:r>
      <w:r>
        <w:rPr>
          <w:rFonts w:hint="eastAsia" w:ascii="宋体" w:hAnsi="宋体" w:eastAsia="宋体"/>
          <w:bCs/>
          <w:color w:val="auto"/>
          <w:sz w:val="24"/>
          <w:highlight w:val="none"/>
        </w:rPr>
        <w:t>项目采购采用最低评标价法的，公告中标结果时同时公告因落实政府采购政策等原因进行价格扣除后中标</w:t>
      </w:r>
      <w:r>
        <w:rPr>
          <w:rFonts w:hint="eastAsia" w:ascii="宋体" w:hAnsi="宋体" w:eastAsia="宋体"/>
          <w:bCs/>
          <w:color w:val="auto"/>
          <w:sz w:val="24"/>
          <w:highlight w:val="none"/>
          <w:lang w:val="en-US" w:eastAsia="zh-CN"/>
        </w:rPr>
        <w:t>人</w:t>
      </w:r>
      <w:r>
        <w:rPr>
          <w:rFonts w:hint="eastAsia" w:ascii="宋体" w:hAnsi="宋体" w:eastAsia="宋体"/>
          <w:bCs/>
          <w:color w:val="auto"/>
          <w:sz w:val="24"/>
          <w:highlight w:val="none"/>
        </w:rPr>
        <w:t>的评审报价；项目采购采用综合评分法的，公告中标结果时同时公告中标</w:t>
      </w:r>
      <w:r>
        <w:rPr>
          <w:rFonts w:hint="eastAsia" w:ascii="宋体" w:hAnsi="宋体" w:eastAsia="宋体"/>
          <w:bCs/>
          <w:color w:val="auto"/>
          <w:sz w:val="24"/>
          <w:highlight w:val="none"/>
          <w:lang w:val="en-US" w:eastAsia="zh-CN"/>
        </w:rPr>
        <w:t>供应商</w:t>
      </w:r>
      <w:r>
        <w:rPr>
          <w:rFonts w:hint="eastAsia" w:ascii="宋体" w:hAnsi="宋体" w:eastAsia="宋体"/>
          <w:bCs/>
          <w:color w:val="auto"/>
          <w:sz w:val="24"/>
          <w:highlight w:val="none"/>
        </w:rPr>
        <w:t>的评审总得分。</w:t>
      </w:r>
    </w:p>
    <w:p w14:paraId="24E8EB4D">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200" w:name="_Toc163492862"/>
      <w:bookmarkStart w:id="201" w:name="_Toc140132795"/>
      <w:r>
        <w:rPr>
          <w:rFonts w:hint="eastAsia" w:ascii="宋体" w:hAnsi="宋体" w:eastAsia="宋体" w:cs="宋体"/>
          <w:b/>
          <w:bCs/>
          <w:color w:val="auto"/>
          <w:kern w:val="2"/>
          <w:sz w:val="24"/>
          <w:szCs w:val="28"/>
          <w:highlight w:val="none"/>
          <w:lang w:val="en-US" w:eastAsia="zh-CN" w:bidi="ar-SA"/>
        </w:rPr>
        <w:t>32.中标通知</w:t>
      </w:r>
      <w:bookmarkEnd w:id="200"/>
      <w:bookmarkEnd w:id="201"/>
    </w:p>
    <w:p w14:paraId="41D33E18">
      <w:pPr>
        <w:pStyle w:val="37"/>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eastAsia="宋体"/>
          <w:bCs/>
          <w:color w:val="auto"/>
          <w:sz w:val="24"/>
          <w:highlight w:val="none"/>
        </w:rPr>
        <w:t>3</w:t>
      </w:r>
      <w:r>
        <w:rPr>
          <w:rFonts w:hint="eastAsia" w:eastAsia="宋体"/>
          <w:bCs/>
          <w:color w:val="auto"/>
          <w:sz w:val="24"/>
          <w:highlight w:val="none"/>
          <w:lang w:val="en-US" w:eastAsia="zh-CN"/>
        </w:rPr>
        <w:t>2</w:t>
      </w:r>
      <w:r>
        <w:rPr>
          <w:rFonts w:hint="eastAsia" w:eastAsia="宋体"/>
          <w:color w:val="auto"/>
          <w:sz w:val="24"/>
          <w:highlight w:val="none"/>
        </w:rPr>
        <w:t>.1采购人和采购代理机构以书面形式向中标人发出中标通知书，同时将招标结果通知未中标的投标人。对未通过资格审查的投标人，应当告知其未通过的原因；采用综合评分法评审的，还应当告知未中标人本人的评审得分与排序。</w:t>
      </w:r>
    </w:p>
    <w:p w14:paraId="67E9F9A5">
      <w:pPr>
        <w:pStyle w:val="37"/>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32.2中标通知书对采购人和中标人均具有法律效力。中标通知书发出后，采购人改变中标结果的，或者中标人放弃中标项目的，应当依法承担法律责任。</w:t>
      </w:r>
    </w:p>
    <w:p w14:paraId="004C264E">
      <w:pPr>
        <w:pStyle w:val="4"/>
        <w:keepNext w:val="0"/>
        <w:keepLines w:val="0"/>
        <w:pageBreakBefore w:val="0"/>
        <w:widowControl w:val="0"/>
        <w:numPr>
          <w:ilvl w:val="0"/>
          <w:numId w:val="0"/>
        </w:numPr>
        <w:kinsoku/>
        <w:wordWrap/>
        <w:overflowPunct/>
        <w:topLinePunct w:val="0"/>
        <w:autoSpaceDE/>
        <w:autoSpaceDN/>
        <w:bidi w:val="0"/>
        <w:adjustRightInd/>
        <w:snapToGrid/>
        <w:spacing w:before="180" w:after="180" w:line="240" w:lineRule="auto"/>
        <w:ind w:left="420" w:leftChars="0" w:hanging="420" w:firstLineChars="0"/>
        <w:textAlignment w:val="auto"/>
        <w:rPr>
          <w:rFonts w:hint="eastAsia" w:ascii="宋体" w:hAnsi="宋体" w:eastAsia="宋体" w:cs="宋体"/>
          <w:b/>
          <w:bCs/>
          <w:color w:val="auto"/>
          <w:kern w:val="2"/>
          <w:sz w:val="24"/>
          <w:szCs w:val="32"/>
          <w:highlight w:val="none"/>
          <w:lang w:val="en-US" w:eastAsia="zh-CN" w:bidi="ar-SA"/>
        </w:rPr>
      </w:pPr>
      <w:bookmarkStart w:id="202" w:name="_Toc163492863"/>
      <w:r>
        <w:rPr>
          <w:rFonts w:hint="eastAsia" w:ascii="宋体" w:hAnsi="宋体" w:eastAsia="宋体" w:cs="宋体"/>
          <w:b/>
          <w:bCs/>
          <w:color w:val="auto"/>
          <w:kern w:val="2"/>
          <w:sz w:val="24"/>
          <w:szCs w:val="32"/>
          <w:highlight w:val="none"/>
          <w:lang w:val="en-US" w:eastAsia="zh-CN" w:bidi="ar-SA"/>
        </w:rPr>
        <w:t>（九）签订</w:t>
      </w:r>
      <w:bookmarkStart w:id="203" w:name="_Toc155185880"/>
      <w:bookmarkStart w:id="204" w:name="_Toc140132796"/>
      <w:r>
        <w:rPr>
          <w:rFonts w:hint="eastAsia" w:ascii="宋体" w:hAnsi="宋体" w:eastAsia="宋体" w:cs="宋体"/>
          <w:b/>
          <w:bCs/>
          <w:color w:val="auto"/>
          <w:kern w:val="2"/>
          <w:sz w:val="24"/>
          <w:szCs w:val="32"/>
          <w:highlight w:val="none"/>
          <w:lang w:val="en-US" w:eastAsia="zh-CN" w:bidi="ar-SA"/>
        </w:rPr>
        <w:t>合同</w:t>
      </w:r>
      <w:bookmarkEnd w:id="202"/>
      <w:bookmarkEnd w:id="203"/>
      <w:bookmarkEnd w:id="204"/>
    </w:p>
    <w:p w14:paraId="547E6B99">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205" w:name="_Toc140132797"/>
      <w:bookmarkStart w:id="206" w:name="_Toc163492864"/>
      <w:r>
        <w:rPr>
          <w:rFonts w:hint="eastAsia" w:ascii="宋体" w:hAnsi="宋体" w:eastAsia="宋体" w:cs="宋体"/>
          <w:b/>
          <w:bCs/>
          <w:color w:val="auto"/>
          <w:kern w:val="2"/>
          <w:sz w:val="24"/>
          <w:szCs w:val="28"/>
          <w:highlight w:val="none"/>
          <w:lang w:val="en-US" w:eastAsia="zh-CN" w:bidi="ar-SA"/>
        </w:rPr>
        <w:t>33.履约保证金</w:t>
      </w:r>
      <w:bookmarkEnd w:id="205"/>
      <w:bookmarkEnd w:id="206"/>
    </w:p>
    <w:p w14:paraId="77717F01">
      <w:pPr>
        <w:pStyle w:val="37"/>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eastAsia="宋体"/>
          <w:bCs/>
          <w:color w:val="auto"/>
          <w:sz w:val="24"/>
          <w:highlight w:val="none"/>
        </w:rPr>
        <w:t>3</w:t>
      </w:r>
      <w:r>
        <w:rPr>
          <w:rFonts w:hint="eastAsia" w:eastAsia="宋体"/>
          <w:bCs/>
          <w:color w:val="auto"/>
          <w:sz w:val="24"/>
          <w:highlight w:val="none"/>
          <w:lang w:val="en-US" w:eastAsia="zh-CN"/>
        </w:rPr>
        <w:t>3</w:t>
      </w:r>
      <w:r>
        <w:rPr>
          <w:rFonts w:hint="eastAsia" w:eastAsia="宋体"/>
          <w:color w:val="auto"/>
          <w:sz w:val="24"/>
          <w:highlight w:val="none"/>
        </w:rPr>
        <w:t>.1在签订合同前，中标人应按“投标人须知前附表”规定的金额、担保形式和采购人认可的履约担保格式向采购人提交履约保证金。</w:t>
      </w:r>
    </w:p>
    <w:p w14:paraId="73BC7DAF">
      <w:pPr>
        <w:pStyle w:val="37"/>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eastAsia="宋体"/>
          <w:bCs/>
          <w:color w:val="auto"/>
          <w:sz w:val="24"/>
          <w:highlight w:val="none"/>
        </w:rPr>
        <w:t>3</w:t>
      </w:r>
      <w:r>
        <w:rPr>
          <w:rFonts w:hint="eastAsia" w:eastAsia="宋体"/>
          <w:bCs/>
          <w:color w:val="auto"/>
          <w:sz w:val="24"/>
          <w:highlight w:val="none"/>
          <w:lang w:val="en-US" w:eastAsia="zh-CN"/>
        </w:rPr>
        <w:t>3</w:t>
      </w:r>
      <w:r>
        <w:rPr>
          <w:rFonts w:hint="eastAsia" w:eastAsia="宋体"/>
          <w:color w:val="auto"/>
          <w:sz w:val="24"/>
          <w:highlight w:val="none"/>
        </w:rPr>
        <w:t>.2中标人不能按本章第</w:t>
      </w:r>
      <w:r>
        <w:rPr>
          <w:rFonts w:eastAsia="宋体"/>
          <w:color w:val="auto"/>
          <w:sz w:val="24"/>
          <w:highlight w:val="none"/>
        </w:rPr>
        <w:t>3</w:t>
      </w:r>
      <w:r>
        <w:rPr>
          <w:rFonts w:hint="eastAsia" w:eastAsia="宋体"/>
          <w:color w:val="auto"/>
          <w:sz w:val="24"/>
          <w:highlight w:val="none"/>
          <w:lang w:val="en-US" w:eastAsia="zh-CN"/>
        </w:rPr>
        <w:t>3</w:t>
      </w:r>
      <w:r>
        <w:rPr>
          <w:rFonts w:hint="eastAsia" w:eastAsia="宋体"/>
          <w:color w:val="auto"/>
          <w:sz w:val="24"/>
          <w:highlight w:val="none"/>
        </w:rPr>
        <w:t>.1项要求提交履约担保的，视为放弃中标，给采购人造成损失的，中标人还应当承担民事责任。</w:t>
      </w:r>
    </w:p>
    <w:p w14:paraId="4B3DD6F8">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207" w:name="_Toc140132798"/>
      <w:bookmarkStart w:id="208" w:name="_Toc163492865"/>
      <w:r>
        <w:rPr>
          <w:rFonts w:hint="eastAsia" w:ascii="宋体" w:hAnsi="宋体" w:eastAsia="宋体" w:cs="宋体"/>
          <w:b/>
          <w:bCs/>
          <w:color w:val="auto"/>
          <w:kern w:val="2"/>
          <w:sz w:val="24"/>
          <w:szCs w:val="28"/>
          <w:highlight w:val="none"/>
          <w:lang w:val="en-US" w:eastAsia="zh-CN" w:bidi="ar-SA"/>
        </w:rPr>
        <w:t>34.签订合同</w:t>
      </w:r>
      <w:bookmarkEnd w:id="207"/>
      <w:bookmarkEnd w:id="208"/>
    </w:p>
    <w:p w14:paraId="77507EBB">
      <w:pPr>
        <w:pStyle w:val="37"/>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eastAsia="宋体"/>
          <w:bCs/>
          <w:color w:val="auto"/>
          <w:sz w:val="24"/>
          <w:highlight w:val="none"/>
        </w:rPr>
        <w:t>3</w:t>
      </w:r>
      <w:r>
        <w:rPr>
          <w:rFonts w:hint="eastAsia" w:eastAsia="宋体"/>
          <w:bCs/>
          <w:color w:val="auto"/>
          <w:sz w:val="24"/>
          <w:highlight w:val="none"/>
          <w:lang w:val="en-US" w:eastAsia="zh-CN"/>
        </w:rPr>
        <w:t>4</w:t>
      </w:r>
      <w:r>
        <w:rPr>
          <w:rFonts w:hint="eastAsia" w:eastAsia="宋体"/>
          <w:color w:val="auto"/>
          <w:sz w:val="24"/>
          <w:highlight w:val="none"/>
        </w:rPr>
        <w:t>.1 采购人和中标人应当自中标通知书发出之日起</w:t>
      </w:r>
      <w:r>
        <w:rPr>
          <w:rFonts w:hint="eastAsia" w:eastAsia="宋体"/>
          <w:color w:val="auto"/>
          <w:sz w:val="24"/>
          <w:highlight w:val="none"/>
          <w:lang w:val="en-US" w:eastAsia="zh-CN"/>
        </w:rPr>
        <w:t>25</w:t>
      </w:r>
      <w:r>
        <w:rPr>
          <w:rFonts w:hint="eastAsia" w:eastAsia="宋体"/>
          <w:color w:val="auto"/>
          <w:sz w:val="24"/>
          <w:highlight w:val="none"/>
        </w:rPr>
        <w:t>天内，根据招标文件和中标人的投标文件订立书面合同。</w:t>
      </w:r>
      <w:r>
        <w:rPr>
          <w:rFonts w:hint="eastAsia" w:ascii="宋体" w:hAnsi="宋体" w:eastAsia="宋体"/>
          <w:color w:val="auto"/>
          <w:sz w:val="24"/>
          <w:highlight w:val="none"/>
        </w:rPr>
        <w:t>采购人因不可抗力原因迟延签订合同的，应当自不可抗力事由消除之日起7日内完成合同签订事宜。</w:t>
      </w:r>
      <w:r>
        <w:rPr>
          <w:rFonts w:hint="eastAsia" w:eastAsia="宋体"/>
          <w:color w:val="auto"/>
          <w:sz w:val="24"/>
          <w:highlight w:val="none"/>
        </w:rPr>
        <w:t>所签订的合同不得对招标文件和中标人投标文件作实质性修改。中标人无正当理由拒签合同，给采购人造成损失的，中标人还应当承担民事责任。</w:t>
      </w:r>
    </w:p>
    <w:p w14:paraId="72CF4FDD">
      <w:pPr>
        <w:pStyle w:val="37"/>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34.2 中标人拒绝与采购人签订合同的，采购人可以按照评标报告推荐的中标候选人名单排序，确定下一候选人为中标人，也可以重新开展政府采购活动。</w:t>
      </w:r>
    </w:p>
    <w:p w14:paraId="0D3421B6">
      <w:pPr>
        <w:pStyle w:val="37"/>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eastAsia="宋体"/>
          <w:bCs/>
          <w:color w:val="auto"/>
          <w:sz w:val="24"/>
          <w:highlight w:val="none"/>
        </w:rPr>
        <w:t>3</w:t>
      </w:r>
      <w:r>
        <w:rPr>
          <w:rFonts w:hint="eastAsia" w:eastAsia="宋体"/>
          <w:bCs/>
          <w:color w:val="auto"/>
          <w:sz w:val="24"/>
          <w:highlight w:val="none"/>
          <w:lang w:val="en-US" w:eastAsia="zh-CN"/>
        </w:rPr>
        <w:t>4</w:t>
      </w:r>
      <w:r>
        <w:rPr>
          <w:rFonts w:hint="eastAsia" w:eastAsia="宋体"/>
          <w:color w:val="auto"/>
          <w:sz w:val="24"/>
          <w:highlight w:val="none"/>
        </w:rPr>
        <w:t>.</w:t>
      </w:r>
      <w:r>
        <w:rPr>
          <w:rFonts w:hint="eastAsia" w:eastAsia="宋体"/>
          <w:color w:val="auto"/>
          <w:sz w:val="24"/>
          <w:highlight w:val="none"/>
          <w:lang w:val="en-US" w:eastAsia="zh-CN"/>
        </w:rPr>
        <w:t>3</w:t>
      </w:r>
      <w:r>
        <w:rPr>
          <w:rFonts w:hint="eastAsia" w:eastAsia="宋体"/>
          <w:color w:val="auto"/>
          <w:sz w:val="24"/>
          <w:highlight w:val="none"/>
        </w:rPr>
        <w:t xml:space="preserve"> 采购人和中标人不得向对方提出任何不合理的要求，作为签订合同的条件，双方不得私下订立背离合同实质性内容的协议。</w:t>
      </w:r>
    </w:p>
    <w:p w14:paraId="5551DDAE">
      <w:pPr>
        <w:pStyle w:val="37"/>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34.4 联合体中标的，联合体各方应当共同与采购人签订合同，就采购合同约定的事项向采购人承担连带责任。</w:t>
      </w:r>
    </w:p>
    <w:p w14:paraId="2BA187E8">
      <w:pPr>
        <w:pStyle w:val="37"/>
        <w:keepNext w:val="0"/>
        <w:keepLines w:val="0"/>
        <w:pageBreakBefore w:val="0"/>
        <w:widowControl w:val="0"/>
        <w:kinsoku/>
        <w:overflowPunct/>
        <w:topLinePunct w:val="0"/>
        <w:autoSpaceDE/>
        <w:autoSpaceDN/>
        <w:bidi w:val="0"/>
        <w:adjustRightInd/>
        <w:textAlignment w:val="auto"/>
        <w:rPr>
          <w:rFonts w:hint="eastAsia" w:eastAsia="宋体"/>
          <w:b/>
          <w:bCs/>
          <w:color w:val="auto"/>
          <w:sz w:val="24"/>
          <w:highlight w:val="none"/>
          <w:lang w:val="en-US" w:eastAsia="zh-CN"/>
        </w:rPr>
      </w:pPr>
      <w:r>
        <w:rPr>
          <w:rFonts w:hint="eastAsia" w:eastAsia="宋体"/>
          <w:color w:val="auto"/>
          <w:sz w:val="24"/>
          <w:highlight w:val="none"/>
          <w:lang w:val="en-US" w:eastAsia="zh-CN"/>
        </w:rPr>
        <w:t>34.5 本项目的非主体、非关键性工作是否允许分包，见“投标人须知前附表”。采购人允许采用分包方式履行合同的，中标人可以依法在中标后将中标项目的非主体、非关键性工作采取分包方式履行合同。政府采购合同分包履行的，应当在投标文件中载明分包承担主体，分包承担主体应当具备相应资质条件且不得再次分包，否则</w:t>
      </w:r>
      <w:r>
        <w:rPr>
          <w:rFonts w:hint="eastAsia" w:eastAsia="宋体"/>
          <w:b/>
          <w:bCs/>
          <w:color w:val="auto"/>
          <w:sz w:val="24"/>
          <w:highlight w:val="none"/>
          <w:lang w:val="en-US" w:eastAsia="zh-CN"/>
        </w:rPr>
        <w:t>投标无效</w:t>
      </w:r>
      <w:r>
        <w:rPr>
          <w:rFonts w:hint="eastAsia" w:eastAsia="宋体"/>
          <w:color w:val="auto"/>
          <w:sz w:val="24"/>
          <w:highlight w:val="none"/>
          <w:lang w:val="en-US" w:eastAsia="zh-CN"/>
        </w:rPr>
        <w:t>。中标人就采购项目和分包项目向采购人负责，分包供应商就分包项目承担责任。</w:t>
      </w:r>
      <w:r>
        <w:rPr>
          <w:rFonts w:hint="eastAsia" w:eastAsia="宋体"/>
          <w:b/>
          <w:bCs/>
          <w:color w:val="auto"/>
          <w:sz w:val="24"/>
          <w:highlight w:val="none"/>
          <w:lang w:val="en-US" w:eastAsia="zh-CN"/>
        </w:rPr>
        <w:t>政府采购合同不能转包。</w:t>
      </w:r>
    </w:p>
    <w:p w14:paraId="13D12B87">
      <w:pPr>
        <w:pStyle w:val="37"/>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eastAsia="宋体"/>
          <w:bCs/>
          <w:color w:val="auto"/>
          <w:sz w:val="24"/>
          <w:highlight w:val="none"/>
        </w:rPr>
        <w:t>3</w:t>
      </w:r>
      <w:r>
        <w:rPr>
          <w:rFonts w:hint="eastAsia" w:eastAsia="宋体"/>
          <w:bCs/>
          <w:color w:val="auto"/>
          <w:sz w:val="24"/>
          <w:highlight w:val="none"/>
          <w:lang w:val="en-US" w:eastAsia="zh-CN"/>
        </w:rPr>
        <w:t>4</w:t>
      </w:r>
      <w:r>
        <w:rPr>
          <w:rFonts w:hint="eastAsia" w:eastAsia="宋体"/>
          <w:color w:val="auto"/>
          <w:sz w:val="24"/>
          <w:highlight w:val="none"/>
        </w:rPr>
        <w:t>.</w:t>
      </w:r>
      <w:r>
        <w:rPr>
          <w:rFonts w:hint="eastAsia" w:eastAsia="宋体"/>
          <w:color w:val="auto"/>
          <w:sz w:val="24"/>
          <w:highlight w:val="none"/>
          <w:lang w:val="en-US" w:eastAsia="zh-CN"/>
        </w:rPr>
        <w:t>6</w:t>
      </w:r>
      <w:r>
        <w:rPr>
          <w:rFonts w:hint="eastAsia" w:eastAsia="宋体"/>
          <w:color w:val="auto"/>
          <w:sz w:val="24"/>
          <w:highlight w:val="none"/>
        </w:rPr>
        <w:t>采购合同履行中，采购人需追加与合同标的相同的</w:t>
      </w:r>
      <w:r>
        <w:rPr>
          <w:rFonts w:hint="eastAsia" w:eastAsia="宋体"/>
          <w:color w:val="auto"/>
          <w:sz w:val="24"/>
          <w:highlight w:val="none"/>
          <w:lang w:val="en-US" w:eastAsia="zh-CN"/>
        </w:rPr>
        <w:t>货物、工程或者服务</w:t>
      </w:r>
      <w:r>
        <w:rPr>
          <w:rFonts w:hint="eastAsia" w:eastAsia="宋体"/>
          <w:color w:val="auto"/>
          <w:sz w:val="24"/>
          <w:highlight w:val="none"/>
        </w:rPr>
        <w:t>的，在不改变合同其他条款的前提下，可以与中标人协商签订补充合同，但所有补充合同的采购金额不得超过原合同采购金额的百分之十。</w:t>
      </w:r>
    </w:p>
    <w:p w14:paraId="259D0E8B">
      <w:pPr>
        <w:pStyle w:val="37"/>
        <w:keepNext w:val="0"/>
        <w:keepLines w:val="0"/>
        <w:pageBreakBefore w:val="0"/>
        <w:widowControl w:val="0"/>
        <w:kinsoku/>
        <w:overflowPunct/>
        <w:topLinePunct w:val="0"/>
        <w:autoSpaceDE/>
        <w:autoSpaceDN/>
        <w:bidi w:val="0"/>
        <w:adjustRightInd/>
        <w:textAlignment w:val="auto"/>
        <w:rPr>
          <w:rFonts w:hint="default"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34.7 采购人应于签订合同之日起2个工作日内在政采云平台备案公示。</w:t>
      </w:r>
    </w:p>
    <w:p w14:paraId="12490EB6">
      <w:pPr>
        <w:pStyle w:val="4"/>
        <w:keepNext w:val="0"/>
        <w:keepLines w:val="0"/>
        <w:pageBreakBefore w:val="0"/>
        <w:widowControl w:val="0"/>
        <w:numPr>
          <w:ilvl w:val="0"/>
          <w:numId w:val="0"/>
        </w:numPr>
        <w:kinsoku/>
        <w:wordWrap/>
        <w:overflowPunct/>
        <w:topLinePunct w:val="0"/>
        <w:autoSpaceDE/>
        <w:autoSpaceDN/>
        <w:bidi w:val="0"/>
        <w:adjustRightInd/>
        <w:snapToGrid/>
        <w:spacing w:before="180" w:after="180" w:line="240" w:lineRule="auto"/>
        <w:ind w:left="420" w:leftChars="0" w:hanging="420" w:firstLineChars="0"/>
        <w:textAlignment w:val="auto"/>
        <w:rPr>
          <w:rFonts w:hint="eastAsia" w:ascii="宋体" w:hAnsi="宋体" w:eastAsia="宋体" w:cs="宋体"/>
          <w:b/>
          <w:bCs/>
          <w:color w:val="auto"/>
          <w:kern w:val="2"/>
          <w:sz w:val="24"/>
          <w:szCs w:val="32"/>
          <w:highlight w:val="none"/>
          <w:lang w:val="en-US" w:eastAsia="zh-CN" w:bidi="ar-SA"/>
        </w:rPr>
      </w:pPr>
      <w:bookmarkStart w:id="209" w:name="_Toc163492866"/>
      <w:bookmarkStart w:id="210" w:name="_Toc140132799"/>
      <w:bookmarkStart w:id="211" w:name="_Toc155185881"/>
      <w:r>
        <w:rPr>
          <w:rFonts w:hint="eastAsia" w:ascii="宋体" w:hAnsi="宋体" w:eastAsia="宋体" w:cs="宋体"/>
          <w:b/>
          <w:bCs/>
          <w:color w:val="auto"/>
          <w:kern w:val="2"/>
          <w:sz w:val="24"/>
          <w:szCs w:val="32"/>
          <w:highlight w:val="none"/>
          <w:lang w:val="en-US" w:eastAsia="zh-CN" w:bidi="ar-SA"/>
        </w:rPr>
        <w:t>（十）质疑和投诉</w:t>
      </w:r>
      <w:bookmarkEnd w:id="209"/>
      <w:bookmarkEnd w:id="210"/>
      <w:bookmarkEnd w:id="211"/>
    </w:p>
    <w:p w14:paraId="23BE6A9F">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212" w:name="_Toc163492867"/>
      <w:bookmarkStart w:id="213" w:name="_Toc140132800"/>
      <w:r>
        <w:rPr>
          <w:rFonts w:hint="eastAsia" w:ascii="宋体" w:hAnsi="宋体" w:eastAsia="宋体" w:cs="宋体"/>
          <w:b/>
          <w:bCs/>
          <w:color w:val="auto"/>
          <w:kern w:val="2"/>
          <w:sz w:val="24"/>
          <w:szCs w:val="28"/>
          <w:highlight w:val="none"/>
          <w:lang w:val="en-US" w:eastAsia="zh-CN" w:bidi="ar-SA"/>
        </w:rPr>
        <w:t>35.质疑</w:t>
      </w:r>
      <w:bookmarkEnd w:id="212"/>
      <w:bookmarkEnd w:id="213"/>
    </w:p>
    <w:p w14:paraId="097AA162">
      <w:pPr>
        <w:pStyle w:val="37"/>
        <w:keepNext w:val="0"/>
        <w:keepLines w:val="0"/>
        <w:pageBreakBefore w:val="0"/>
        <w:widowControl w:val="0"/>
        <w:kinsoku/>
        <w:overflowPunct/>
        <w:topLinePunct w:val="0"/>
        <w:autoSpaceDE/>
        <w:autoSpaceDN/>
        <w:bidi w:val="0"/>
        <w:adjustRightInd/>
        <w:textAlignment w:val="auto"/>
        <w:rPr>
          <w:rFonts w:hint="default" w:eastAsia="宋体"/>
          <w:color w:val="auto"/>
          <w:sz w:val="24"/>
          <w:highlight w:val="none"/>
          <w:lang w:val="en-US" w:eastAsia="zh-CN"/>
        </w:rPr>
      </w:pPr>
      <w:r>
        <w:rPr>
          <w:rFonts w:eastAsia="宋体"/>
          <w:color w:val="auto"/>
          <w:sz w:val="24"/>
          <w:highlight w:val="none"/>
        </w:rPr>
        <w:t>3</w:t>
      </w:r>
      <w:r>
        <w:rPr>
          <w:rFonts w:hint="eastAsia" w:eastAsia="宋体"/>
          <w:color w:val="auto"/>
          <w:sz w:val="24"/>
          <w:highlight w:val="none"/>
          <w:lang w:val="en-US" w:eastAsia="zh-CN"/>
        </w:rPr>
        <w:t>5</w:t>
      </w:r>
      <w:r>
        <w:rPr>
          <w:rFonts w:hint="eastAsia" w:eastAsia="宋体"/>
          <w:color w:val="auto"/>
          <w:sz w:val="24"/>
          <w:highlight w:val="none"/>
        </w:rPr>
        <w:t>.1供应商认为采购文件、采购过程、中标结果使自己的权益受到损害的，可以在知道或者应知其权益受到损害之日起7个工作日内，以书面形式向采购人、采购代理机构提出质疑</w:t>
      </w:r>
      <w:r>
        <w:rPr>
          <w:rFonts w:hint="eastAsia" w:eastAsia="宋体"/>
          <w:color w:val="auto"/>
          <w:sz w:val="24"/>
          <w:highlight w:val="none"/>
          <w:lang w:eastAsia="zh-CN"/>
        </w:rPr>
        <w:t>，</w:t>
      </w:r>
      <w:r>
        <w:rPr>
          <w:rFonts w:hint="eastAsia" w:eastAsia="宋体"/>
          <w:color w:val="auto"/>
          <w:sz w:val="24"/>
          <w:highlight w:val="none"/>
          <w:lang w:val="en-US" w:eastAsia="zh-CN"/>
        </w:rPr>
        <w:t>详见“投标人须知前附表”</w:t>
      </w:r>
      <w:r>
        <w:rPr>
          <w:rFonts w:hint="eastAsia" w:eastAsia="宋体"/>
          <w:color w:val="auto"/>
          <w:sz w:val="24"/>
          <w:highlight w:val="none"/>
        </w:rPr>
        <w:t>。供应商在法定质疑期内一次性提出针对同一采购程序环节的质疑。</w:t>
      </w:r>
    </w:p>
    <w:p w14:paraId="35972B93">
      <w:pPr>
        <w:pStyle w:val="37"/>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eastAsia="宋体"/>
          <w:color w:val="auto"/>
          <w:sz w:val="24"/>
          <w:highlight w:val="none"/>
        </w:rPr>
        <w:t>3</w:t>
      </w:r>
      <w:r>
        <w:rPr>
          <w:rFonts w:hint="eastAsia" w:eastAsia="宋体"/>
          <w:color w:val="auto"/>
          <w:sz w:val="24"/>
          <w:highlight w:val="none"/>
          <w:lang w:val="en-US" w:eastAsia="zh-CN"/>
        </w:rPr>
        <w:t>5</w:t>
      </w:r>
      <w:r>
        <w:rPr>
          <w:rFonts w:hint="eastAsia" w:eastAsia="宋体"/>
          <w:color w:val="auto"/>
          <w:sz w:val="24"/>
          <w:highlight w:val="none"/>
        </w:rPr>
        <w:t>.2提出质疑的供应商（以下简称质疑供应商）应当是参与所质疑项目采购活动的供应商。</w:t>
      </w:r>
    </w:p>
    <w:p w14:paraId="6503DC74">
      <w:pPr>
        <w:pStyle w:val="37"/>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lang w:val="en-US" w:eastAsia="zh-CN"/>
        </w:rPr>
        <w:t>35.3</w:t>
      </w:r>
      <w:r>
        <w:rPr>
          <w:rFonts w:hint="eastAsia" w:eastAsia="宋体"/>
          <w:color w:val="auto"/>
          <w:sz w:val="24"/>
          <w:highlight w:val="none"/>
        </w:rPr>
        <w:t>潜在供应商已依法获取其可质疑的采购文件的，可以对该文件提出质疑。对采购文件提出质疑的，应当在获取采购文件或者采购文件公告期限届满之日起7个工作日内提出。</w:t>
      </w:r>
    </w:p>
    <w:p w14:paraId="7A916D67">
      <w:pPr>
        <w:pStyle w:val="37"/>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lang w:val="en-US" w:eastAsia="zh-CN"/>
        </w:rPr>
        <w:t>35.4</w:t>
      </w:r>
      <w:r>
        <w:rPr>
          <w:rFonts w:hint="eastAsia" w:eastAsia="宋体"/>
          <w:color w:val="auto"/>
          <w:sz w:val="24"/>
          <w:highlight w:val="none"/>
        </w:rPr>
        <w:t>供应商提出质疑应当提交质疑函和必要的证明材料。质疑函应当包括下列内容：</w:t>
      </w:r>
    </w:p>
    <w:p w14:paraId="57C1F480">
      <w:pPr>
        <w:pStyle w:val="37"/>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1</w:t>
      </w:r>
      <w:r>
        <w:rPr>
          <w:rFonts w:hint="eastAsia" w:eastAsia="宋体"/>
          <w:color w:val="auto"/>
          <w:sz w:val="24"/>
          <w:highlight w:val="none"/>
        </w:rPr>
        <w:t>）供应商的姓名或者名称、地址、邮编、联系人及联系电话；</w:t>
      </w:r>
    </w:p>
    <w:p w14:paraId="2B1F4E61">
      <w:pPr>
        <w:pStyle w:val="37"/>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2</w:t>
      </w:r>
      <w:r>
        <w:rPr>
          <w:rFonts w:hint="eastAsia" w:eastAsia="宋体"/>
          <w:color w:val="auto"/>
          <w:sz w:val="24"/>
          <w:highlight w:val="none"/>
        </w:rPr>
        <w:t>）质疑项目的名称、</w:t>
      </w:r>
      <w:r>
        <w:rPr>
          <w:rFonts w:hint="eastAsia" w:eastAsia="宋体"/>
          <w:color w:val="auto"/>
          <w:sz w:val="24"/>
          <w:highlight w:val="none"/>
          <w:lang w:val="en-US" w:eastAsia="zh-CN"/>
        </w:rPr>
        <w:t>项目</w:t>
      </w:r>
      <w:r>
        <w:rPr>
          <w:rFonts w:hint="eastAsia" w:eastAsia="宋体"/>
          <w:color w:val="auto"/>
          <w:sz w:val="24"/>
          <w:highlight w:val="none"/>
        </w:rPr>
        <w:t>编号</w:t>
      </w:r>
      <w:r>
        <w:rPr>
          <w:rFonts w:hint="eastAsia" w:eastAsia="宋体"/>
          <w:color w:val="auto"/>
          <w:sz w:val="24"/>
          <w:highlight w:val="none"/>
          <w:lang w:val="en-US" w:eastAsia="zh-CN"/>
        </w:rPr>
        <w:t>/包号</w:t>
      </w:r>
      <w:r>
        <w:rPr>
          <w:rFonts w:hint="eastAsia" w:eastAsia="宋体"/>
          <w:color w:val="auto"/>
          <w:sz w:val="24"/>
          <w:highlight w:val="none"/>
        </w:rPr>
        <w:t>；</w:t>
      </w:r>
    </w:p>
    <w:p w14:paraId="1AA8BB74">
      <w:pPr>
        <w:pStyle w:val="37"/>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3</w:t>
      </w:r>
      <w:r>
        <w:rPr>
          <w:rFonts w:hint="eastAsia" w:eastAsia="宋体"/>
          <w:color w:val="auto"/>
          <w:sz w:val="24"/>
          <w:highlight w:val="none"/>
        </w:rPr>
        <w:t>）具体、明确的质疑事项和与质疑事项相关的请求；</w:t>
      </w:r>
    </w:p>
    <w:p w14:paraId="6456E8B1">
      <w:pPr>
        <w:pStyle w:val="37"/>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4</w:t>
      </w:r>
      <w:r>
        <w:rPr>
          <w:rFonts w:hint="eastAsia" w:eastAsia="宋体"/>
          <w:color w:val="auto"/>
          <w:sz w:val="24"/>
          <w:highlight w:val="none"/>
        </w:rPr>
        <w:t>）事实依据；</w:t>
      </w:r>
    </w:p>
    <w:p w14:paraId="4D032ABB">
      <w:pPr>
        <w:pStyle w:val="37"/>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5</w:t>
      </w:r>
      <w:r>
        <w:rPr>
          <w:rFonts w:hint="eastAsia" w:eastAsia="宋体"/>
          <w:color w:val="auto"/>
          <w:sz w:val="24"/>
          <w:highlight w:val="none"/>
        </w:rPr>
        <w:t>）必要的法律依据；</w:t>
      </w:r>
    </w:p>
    <w:p w14:paraId="2E14DE4D">
      <w:pPr>
        <w:pStyle w:val="37"/>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6</w:t>
      </w:r>
      <w:r>
        <w:rPr>
          <w:rFonts w:hint="eastAsia" w:eastAsia="宋体"/>
          <w:color w:val="auto"/>
          <w:sz w:val="24"/>
          <w:highlight w:val="none"/>
        </w:rPr>
        <w:t>）提出质疑的日期。</w:t>
      </w:r>
    </w:p>
    <w:p w14:paraId="553B627B">
      <w:pPr>
        <w:pStyle w:val="37"/>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hint="eastAsia" w:eastAsia="宋体"/>
          <w:color w:val="auto"/>
          <w:sz w:val="24"/>
          <w:highlight w:val="none"/>
        </w:rPr>
        <w:t>供应商为自然人的，应当由本人签字；供应商为法人或者其他组织的，应当由法定代表人、主要负责人，或者其授权代表签字或者盖章，并加盖公章。</w:t>
      </w:r>
    </w:p>
    <w:p w14:paraId="5F1352A8">
      <w:pPr>
        <w:pStyle w:val="37"/>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eastAsia="宋体"/>
          <w:color w:val="auto"/>
          <w:sz w:val="24"/>
          <w:highlight w:val="none"/>
        </w:rPr>
        <w:t>3</w:t>
      </w:r>
      <w:r>
        <w:rPr>
          <w:rFonts w:hint="eastAsia" w:eastAsia="宋体"/>
          <w:color w:val="auto"/>
          <w:sz w:val="24"/>
          <w:highlight w:val="none"/>
          <w:lang w:val="en-US" w:eastAsia="zh-CN"/>
        </w:rPr>
        <w:t>5</w:t>
      </w:r>
      <w:r>
        <w:rPr>
          <w:rFonts w:hint="eastAsia" w:eastAsia="宋体"/>
          <w:color w:val="auto"/>
          <w:sz w:val="24"/>
          <w:highlight w:val="none"/>
        </w:rPr>
        <w:t>.5质疑函不符合上述要求的，采购人或代理机构应书面告知具体事项，质疑人应当按要求进行修改或补充，并在质疑有效期限内提交。</w:t>
      </w:r>
    </w:p>
    <w:p w14:paraId="4A4B9243">
      <w:pPr>
        <w:pStyle w:val="37"/>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rPr>
      </w:pPr>
      <w:r>
        <w:rPr>
          <w:rFonts w:hint="eastAsia" w:eastAsia="宋体"/>
          <w:snapToGrid w:val="0"/>
          <w:color w:val="auto"/>
          <w:sz w:val="24"/>
          <w:highlight w:val="none"/>
        </w:rPr>
        <w:t>3</w:t>
      </w:r>
      <w:r>
        <w:rPr>
          <w:rFonts w:hint="eastAsia" w:eastAsia="宋体"/>
          <w:snapToGrid w:val="0"/>
          <w:color w:val="auto"/>
          <w:sz w:val="24"/>
          <w:highlight w:val="none"/>
          <w:lang w:val="en-US" w:eastAsia="zh-CN"/>
        </w:rPr>
        <w:t>5</w:t>
      </w:r>
      <w:r>
        <w:rPr>
          <w:rFonts w:hint="eastAsia" w:eastAsia="宋体"/>
          <w:snapToGrid w:val="0"/>
          <w:color w:val="auto"/>
          <w:sz w:val="24"/>
          <w:highlight w:val="none"/>
        </w:rPr>
        <w:t>.</w:t>
      </w:r>
      <w:r>
        <w:rPr>
          <w:rFonts w:hint="eastAsia" w:eastAsia="宋体"/>
          <w:snapToGrid w:val="0"/>
          <w:color w:val="auto"/>
          <w:sz w:val="24"/>
          <w:highlight w:val="none"/>
          <w:lang w:val="en-US" w:eastAsia="zh-CN"/>
        </w:rPr>
        <w:t>6</w:t>
      </w:r>
      <w:r>
        <w:rPr>
          <w:rFonts w:hint="eastAsia" w:eastAsia="宋体"/>
          <w:snapToGrid w:val="0"/>
          <w:color w:val="auto"/>
          <w:sz w:val="24"/>
          <w:highlight w:val="none"/>
        </w:rPr>
        <w:t>投标人进行虚假和恶意</w:t>
      </w:r>
      <w:r>
        <w:rPr>
          <w:rFonts w:hint="eastAsia" w:eastAsia="宋体"/>
          <w:snapToGrid w:val="0"/>
          <w:color w:val="auto"/>
          <w:sz w:val="24"/>
          <w:highlight w:val="none"/>
          <w:lang w:val="en-US" w:eastAsia="zh-CN"/>
        </w:rPr>
        <w:t>质疑投诉</w:t>
      </w:r>
      <w:r>
        <w:rPr>
          <w:rFonts w:hint="eastAsia" w:eastAsia="宋体"/>
          <w:snapToGrid w:val="0"/>
          <w:color w:val="auto"/>
          <w:sz w:val="24"/>
          <w:highlight w:val="none"/>
        </w:rPr>
        <w:t>的，采购代理机构将提请有关部门将其列入不良记录名单，在一至三年内禁止参加政府采购活动，并将处理决定在相关政府采购媒体上公布。</w:t>
      </w:r>
    </w:p>
    <w:p w14:paraId="3E72DE8B">
      <w:pPr>
        <w:pStyle w:val="37"/>
        <w:keepNext w:val="0"/>
        <w:keepLines w:val="0"/>
        <w:pageBreakBefore w:val="0"/>
        <w:widowControl w:val="0"/>
        <w:kinsoku/>
        <w:overflowPunct/>
        <w:topLinePunct w:val="0"/>
        <w:autoSpaceDE/>
        <w:autoSpaceDN/>
        <w:bidi w:val="0"/>
        <w:adjustRightInd/>
        <w:textAlignment w:val="auto"/>
        <w:rPr>
          <w:rFonts w:hint="default" w:eastAsia="宋体"/>
          <w:snapToGrid w:val="0"/>
          <w:color w:val="auto"/>
          <w:sz w:val="24"/>
          <w:highlight w:val="none"/>
          <w:lang w:val="en-US" w:eastAsia="zh-CN"/>
        </w:rPr>
      </w:pPr>
      <w:r>
        <w:rPr>
          <w:rFonts w:hint="eastAsia" w:eastAsia="宋体"/>
          <w:snapToGrid w:val="0"/>
          <w:color w:val="auto"/>
          <w:sz w:val="24"/>
          <w:highlight w:val="none"/>
          <w:lang w:val="en-US" w:eastAsia="zh-CN"/>
        </w:rPr>
        <w:t>35.7</w:t>
      </w:r>
      <w:r>
        <w:rPr>
          <w:rFonts w:hint="eastAsia" w:eastAsia="宋体"/>
          <w:color w:val="auto"/>
          <w:sz w:val="24"/>
          <w:highlight w:val="none"/>
        </w:rPr>
        <w:t>质疑函</w:t>
      </w:r>
      <w:r>
        <w:rPr>
          <w:rFonts w:hint="eastAsia" w:eastAsia="宋体"/>
          <w:color w:val="auto"/>
          <w:sz w:val="24"/>
          <w:highlight w:val="none"/>
          <w:lang w:val="en-US" w:eastAsia="zh-CN"/>
        </w:rPr>
        <w:t>应当使用中文，并采用财政部门制定的范本。</w:t>
      </w:r>
    </w:p>
    <w:p w14:paraId="57BB856E">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214" w:name="_Toc140132801"/>
      <w:bookmarkStart w:id="215" w:name="_Toc163492868"/>
      <w:r>
        <w:rPr>
          <w:rFonts w:hint="eastAsia" w:ascii="宋体" w:hAnsi="宋体" w:eastAsia="宋体" w:cs="宋体"/>
          <w:b/>
          <w:bCs/>
          <w:color w:val="auto"/>
          <w:kern w:val="2"/>
          <w:sz w:val="24"/>
          <w:szCs w:val="28"/>
          <w:highlight w:val="none"/>
          <w:lang w:val="en-US" w:eastAsia="zh-CN" w:bidi="ar-SA"/>
        </w:rPr>
        <w:t>36.质疑答复</w:t>
      </w:r>
      <w:bookmarkEnd w:id="214"/>
      <w:bookmarkEnd w:id="215"/>
    </w:p>
    <w:p w14:paraId="43D7F91D">
      <w:pPr>
        <w:pStyle w:val="37"/>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eastAsia="宋体"/>
          <w:color w:val="auto"/>
          <w:sz w:val="24"/>
          <w:highlight w:val="none"/>
        </w:rPr>
        <w:t>3</w:t>
      </w:r>
      <w:r>
        <w:rPr>
          <w:rFonts w:hint="eastAsia" w:eastAsia="宋体"/>
          <w:color w:val="auto"/>
          <w:sz w:val="24"/>
          <w:highlight w:val="none"/>
          <w:lang w:val="en-US" w:eastAsia="zh-CN"/>
        </w:rPr>
        <w:t>6</w:t>
      </w:r>
      <w:r>
        <w:rPr>
          <w:rFonts w:hint="eastAsia" w:eastAsia="宋体"/>
          <w:color w:val="auto"/>
          <w:sz w:val="24"/>
          <w:highlight w:val="none"/>
        </w:rPr>
        <w:t>.1采购人、采购代理机构不得拒收质疑供应商在法定质疑期内发出的质疑函，应当在收到质疑函后7个工作日内作出答复，并以书面形式通知质疑供应商和其他有关供应商。</w:t>
      </w:r>
    </w:p>
    <w:p w14:paraId="6776834F">
      <w:pPr>
        <w:pStyle w:val="37"/>
        <w:keepNext w:val="0"/>
        <w:keepLines w:val="0"/>
        <w:pageBreakBefore w:val="0"/>
        <w:widowControl w:val="0"/>
        <w:kinsoku/>
        <w:overflowPunct/>
        <w:topLinePunct w:val="0"/>
        <w:autoSpaceDE/>
        <w:autoSpaceDN/>
        <w:bidi w:val="0"/>
        <w:adjustRightInd/>
        <w:textAlignment w:val="auto"/>
        <w:rPr>
          <w:rFonts w:hint="default" w:eastAsia="宋体"/>
          <w:color w:val="auto"/>
          <w:sz w:val="24"/>
          <w:highlight w:val="none"/>
          <w:lang w:val="en-US" w:eastAsia="zh-CN"/>
        </w:rPr>
      </w:pPr>
      <w:r>
        <w:rPr>
          <w:rFonts w:hint="eastAsia" w:eastAsia="宋体"/>
          <w:color w:val="auto"/>
          <w:sz w:val="24"/>
          <w:highlight w:val="none"/>
          <w:lang w:val="en-US" w:eastAsia="zh-CN"/>
        </w:rPr>
        <w:t>36.2供应商对评审过程、中标结果提出质疑的，采购人、采购代理机构可以组织原评标委员会协助答复质疑。</w:t>
      </w:r>
    </w:p>
    <w:p w14:paraId="14E02AAA">
      <w:pPr>
        <w:pStyle w:val="37"/>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zh-CN" w:eastAsia="zh-CN"/>
        </w:rPr>
      </w:pPr>
      <w:bookmarkStart w:id="216" w:name="_Toc163492869"/>
      <w:bookmarkStart w:id="217" w:name="_Toc140132802"/>
      <w:r>
        <w:rPr>
          <w:rFonts w:hint="eastAsia" w:eastAsia="宋体"/>
          <w:color w:val="auto"/>
          <w:sz w:val="24"/>
          <w:highlight w:val="none"/>
          <w:lang w:val="zh-CN" w:eastAsia="zh-CN"/>
        </w:rPr>
        <w:t>质疑答复应当包括下列内容：</w:t>
      </w:r>
    </w:p>
    <w:p w14:paraId="457CAA68">
      <w:pPr>
        <w:pStyle w:val="37"/>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zh-CN" w:eastAsia="zh-CN"/>
        </w:rPr>
      </w:pPr>
      <w:r>
        <w:rPr>
          <w:rFonts w:hint="eastAsia" w:eastAsia="宋体"/>
          <w:color w:val="auto"/>
          <w:sz w:val="24"/>
          <w:highlight w:val="none"/>
          <w:lang w:val="zh-CN" w:eastAsia="zh-CN"/>
        </w:rPr>
        <w:t>（</w:t>
      </w:r>
      <w:r>
        <w:rPr>
          <w:rFonts w:hint="eastAsia" w:eastAsia="宋体"/>
          <w:color w:val="auto"/>
          <w:sz w:val="24"/>
          <w:highlight w:val="none"/>
          <w:lang w:val="en-US" w:eastAsia="zh-CN"/>
        </w:rPr>
        <w:t>1</w:t>
      </w:r>
      <w:r>
        <w:rPr>
          <w:rFonts w:hint="eastAsia" w:eastAsia="宋体"/>
          <w:color w:val="auto"/>
          <w:sz w:val="24"/>
          <w:highlight w:val="none"/>
          <w:lang w:val="zh-CN" w:eastAsia="zh-CN"/>
        </w:rPr>
        <w:t>）质疑供应商的姓名或者名称；</w:t>
      </w:r>
    </w:p>
    <w:p w14:paraId="462FCFC0">
      <w:pPr>
        <w:pStyle w:val="37"/>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zh-CN" w:eastAsia="zh-CN"/>
        </w:rPr>
      </w:pPr>
      <w:r>
        <w:rPr>
          <w:rFonts w:hint="eastAsia" w:eastAsia="宋体"/>
          <w:color w:val="auto"/>
          <w:sz w:val="24"/>
          <w:highlight w:val="none"/>
          <w:lang w:val="zh-CN" w:eastAsia="zh-CN"/>
        </w:rPr>
        <w:t>（</w:t>
      </w:r>
      <w:r>
        <w:rPr>
          <w:rFonts w:hint="eastAsia" w:eastAsia="宋体"/>
          <w:color w:val="auto"/>
          <w:sz w:val="24"/>
          <w:highlight w:val="none"/>
          <w:lang w:val="en-US" w:eastAsia="zh-CN"/>
        </w:rPr>
        <w:t>2</w:t>
      </w:r>
      <w:r>
        <w:rPr>
          <w:rFonts w:hint="eastAsia" w:eastAsia="宋体"/>
          <w:color w:val="auto"/>
          <w:sz w:val="24"/>
          <w:highlight w:val="none"/>
          <w:lang w:val="zh-CN" w:eastAsia="zh-CN"/>
        </w:rPr>
        <w:t>）收到质疑函的日期、质疑项目名称及</w:t>
      </w:r>
      <w:r>
        <w:rPr>
          <w:rFonts w:hint="eastAsia" w:eastAsia="宋体"/>
          <w:color w:val="auto"/>
          <w:sz w:val="24"/>
          <w:highlight w:val="none"/>
          <w:lang w:val="en-US" w:eastAsia="zh-CN"/>
        </w:rPr>
        <w:t>项目</w:t>
      </w:r>
      <w:r>
        <w:rPr>
          <w:rFonts w:hint="eastAsia" w:eastAsia="宋体"/>
          <w:color w:val="auto"/>
          <w:sz w:val="24"/>
          <w:highlight w:val="none"/>
          <w:lang w:val="zh-CN" w:eastAsia="zh-CN"/>
        </w:rPr>
        <w:t>编号/包号；</w:t>
      </w:r>
    </w:p>
    <w:p w14:paraId="18D72157">
      <w:pPr>
        <w:pStyle w:val="37"/>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zh-CN" w:eastAsia="zh-CN"/>
        </w:rPr>
      </w:pPr>
      <w:r>
        <w:rPr>
          <w:rFonts w:hint="eastAsia" w:eastAsia="宋体"/>
          <w:color w:val="auto"/>
          <w:sz w:val="24"/>
          <w:highlight w:val="none"/>
          <w:lang w:val="zh-CN" w:eastAsia="zh-CN"/>
        </w:rPr>
        <w:t>（</w:t>
      </w:r>
      <w:r>
        <w:rPr>
          <w:rFonts w:hint="eastAsia" w:eastAsia="宋体"/>
          <w:color w:val="auto"/>
          <w:sz w:val="24"/>
          <w:highlight w:val="none"/>
          <w:lang w:val="en-US" w:eastAsia="zh-CN"/>
        </w:rPr>
        <w:t>3</w:t>
      </w:r>
      <w:r>
        <w:rPr>
          <w:rFonts w:hint="eastAsia" w:eastAsia="宋体"/>
          <w:color w:val="auto"/>
          <w:sz w:val="24"/>
          <w:highlight w:val="none"/>
          <w:lang w:val="zh-CN" w:eastAsia="zh-CN"/>
        </w:rPr>
        <w:t>）质疑事项、质疑答复的具体内容、事实依据和法律依据；</w:t>
      </w:r>
    </w:p>
    <w:p w14:paraId="416368F5">
      <w:pPr>
        <w:pStyle w:val="37"/>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zh-CN" w:eastAsia="zh-CN"/>
        </w:rPr>
      </w:pPr>
      <w:r>
        <w:rPr>
          <w:rFonts w:hint="eastAsia" w:eastAsia="宋体"/>
          <w:color w:val="auto"/>
          <w:sz w:val="24"/>
          <w:highlight w:val="none"/>
          <w:lang w:val="zh-CN" w:eastAsia="zh-CN"/>
        </w:rPr>
        <w:t>（</w:t>
      </w:r>
      <w:r>
        <w:rPr>
          <w:rFonts w:hint="eastAsia" w:eastAsia="宋体"/>
          <w:color w:val="auto"/>
          <w:sz w:val="24"/>
          <w:highlight w:val="none"/>
          <w:lang w:val="en-US" w:eastAsia="zh-CN"/>
        </w:rPr>
        <w:t>4</w:t>
      </w:r>
      <w:r>
        <w:rPr>
          <w:rFonts w:hint="eastAsia" w:eastAsia="宋体"/>
          <w:color w:val="auto"/>
          <w:sz w:val="24"/>
          <w:highlight w:val="none"/>
          <w:lang w:val="zh-CN" w:eastAsia="zh-CN"/>
        </w:rPr>
        <w:t>）告知质疑供应商依法投诉的权利；</w:t>
      </w:r>
    </w:p>
    <w:p w14:paraId="36EE7969">
      <w:pPr>
        <w:pStyle w:val="37"/>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zh-CN" w:eastAsia="zh-CN"/>
        </w:rPr>
      </w:pPr>
      <w:r>
        <w:rPr>
          <w:rFonts w:hint="eastAsia" w:eastAsia="宋体"/>
          <w:color w:val="auto"/>
          <w:sz w:val="24"/>
          <w:highlight w:val="none"/>
          <w:lang w:val="zh-CN" w:eastAsia="zh-CN"/>
        </w:rPr>
        <w:t>（</w:t>
      </w:r>
      <w:r>
        <w:rPr>
          <w:rFonts w:hint="eastAsia" w:eastAsia="宋体"/>
          <w:color w:val="auto"/>
          <w:sz w:val="24"/>
          <w:highlight w:val="none"/>
          <w:lang w:val="en-US" w:eastAsia="zh-CN"/>
        </w:rPr>
        <w:t>5</w:t>
      </w:r>
      <w:r>
        <w:rPr>
          <w:rFonts w:hint="eastAsia" w:eastAsia="宋体"/>
          <w:color w:val="auto"/>
          <w:sz w:val="24"/>
          <w:highlight w:val="none"/>
          <w:lang w:val="zh-CN" w:eastAsia="zh-CN"/>
        </w:rPr>
        <w:t>）质疑答复人名称；</w:t>
      </w:r>
    </w:p>
    <w:p w14:paraId="7E632C0C">
      <w:pPr>
        <w:pStyle w:val="37"/>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zh-CN" w:eastAsia="zh-CN"/>
        </w:rPr>
      </w:pPr>
      <w:r>
        <w:rPr>
          <w:rFonts w:hint="eastAsia" w:eastAsia="宋体"/>
          <w:color w:val="auto"/>
          <w:sz w:val="24"/>
          <w:highlight w:val="none"/>
          <w:lang w:val="zh-CN" w:eastAsia="zh-CN"/>
        </w:rPr>
        <w:t>（</w:t>
      </w:r>
      <w:r>
        <w:rPr>
          <w:rFonts w:hint="eastAsia" w:eastAsia="宋体"/>
          <w:color w:val="auto"/>
          <w:sz w:val="24"/>
          <w:highlight w:val="none"/>
          <w:lang w:val="en-US" w:eastAsia="zh-CN"/>
        </w:rPr>
        <w:t>6</w:t>
      </w:r>
      <w:r>
        <w:rPr>
          <w:rFonts w:hint="eastAsia" w:eastAsia="宋体"/>
          <w:color w:val="auto"/>
          <w:sz w:val="24"/>
          <w:highlight w:val="none"/>
          <w:lang w:val="zh-CN" w:eastAsia="zh-CN"/>
        </w:rPr>
        <w:t>）答复质疑的日期。</w:t>
      </w:r>
    </w:p>
    <w:p w14:paraId="56A5E1E9">
      <w:pPr>
        <w:pStyle w:val="37"/>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zh-CN" w:eastAsia="zh-CN"/>
        </w:rPr>
      </w:pPr>
      <w:r>
        <w:rPr>
          <w:rFonts w:hint="eastAsia" w:eastAsia="宋体"/>
          <w:color w:val="auto"/>
          <w:sz w:val="24"/>
          <w:highlight w:val="none"/>
          <w:lang w:val="zh-CN" w:eastAsia="zh-CN"/>
        </w:rPr>
        <w:t>质疑答复的内容不得涉及商业秘密。</w:t>
      </w:r>
    </w:p>
    <w:p w14:paraId="6D6B407C">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r>
        <w:rPr>
          <w:rFonts w:hint="eastAsia" w:ascii="宋体" w:hAnsi="宋体" w:eastAsia="宋体" w:cs="宋体"/>
          <w:b/>
          <w:bCs/>
          <w:color w:val="auto"/>
          <w:kern w:val="2"/>
          <w:sz w:val="24"/>
          <w:szCs w:val="28"/>
          <w:highlight w:val="none"/>
          <w:lang w:val="en-US" w:eastAsia="zh-CN" w:bidi="ar-SA"/>
        </w:rPr>
        <w:t>37.投诉</w:t>
      </w:r>
      <w:bookmarkEnd w:id="216"/>
      <w:bookmarkEnd w:id="217"/>
    </w:p>
    <w:p w14:paraId="5BD0CD3B">
      <w:pPr>
        <w:pStyle w:val="37"/>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lang w:val="en-US" w:eastAsia="zh-CN"/>
        </w:rPr>
        <w:t>37.1</w:t>
      </w:r>
      <w:r>
        <w:rPr>
          <w:rFonts w:hint="eastAsia" w:eastAsia="宋体"/>
          <w:color w:val="auto"/>
          <w:sz w:val="24"/>
          <w:highlight w:val="none"/>
        </w:rPr>
        <w:t>质疑供应商对采购人、采购代理机构的答复不满意，或者采购人、采购代理机构未在规定时间内作出答复的，可以在答复期满后15个工作日内向</w:t>
      </w:r>
      <w:r>
        <w:rPr>
          <w:rFonts w:hint="eastAsia" w:eastAsia="宋体"/>
          <w:color w:val="auto"/>
          <w:sz w:val="24"/>
          <w:highlight w:val="none"/>
          <w:lang w:val="en-US" w:eastAsia="zh-CN"/>
        </w:rPr>
        <w:t>同级政府采购监督管理部门</w:t>
      </w:r>
      <w:r>
        <w:rPr>
          <w:rFonts w:hint="eastAsia" w:eastAsia="宋体"/>
          <w:color w:val="auto"/>
          <w:sz w:val="24"/>
          <w:highlight w:val="none"/>
        </w:rPr>
        <w:t>提起投诉。</w:t>
      </w:r>
    </w:p>
    <w:p w14:paraId="348027D2">
      <w:pPr>
        <w:pStyle w:val="37"/>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lang w:val="en-US" w:eastAsia="zh-CN"/>
        </w:rPr>
        <w:t>37.2</w:t>
      </w:r>
      <w:r>
        <w:rPr>
          <w:rFonts w:hint="eastAsia" w:eastAsia="宋体"/>
          <w:color w:val="auto"/>
          <w:sz w:val="24"/>
          <w:highlight w:val="none"/>
        </w:rPr>
        <w:t>投诉人投诉时,应当提交投诉书和必要的证明材料，并按照被投诉采购人、采购代理机构（以下简称被投诉人）和与投诉事项有关的供应商数量提供投诉书的副本。投诉书应当包括下列内容：</w:t>
      </w:r>
    </w:p>
    <w:p w14:paraId="057A5A91">
      <w:pPr>
        <w:pStyle w:val="37"/>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1</w:t>
      </w:r>
      <w:r>
        <w:rPr>
          <w:rFonts w:hint="eastAsia" w:eastAsia="宋体"/>
          <w:color w:val="auto"/>
          <w:sz w:val="24"/>
          <w:highlight w:val="none"/>
        </w:rPr>
        <w:t>）投诉人和被投诉人的姓名或者名称、通讯地址、邮编、联系人及联系电话；</w:t>
      </w:r>
    </w:p>
    <w:p w14:paraId="4B753851">
      <w:pPr>
        <w:pStyle w:val="37"/>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2</w:t>
      </w:r>
      <w:r>
        <w:rPr>
          <w:rFonts w:hint="eastAsia" w:eastAsia="宋体"/>
          <w:color w:val="auto"/>
          <w:sz w:val="24"/>
          <w:highlight w:val="none"/>
        </w:rPr>
        <w:t>）质疑和质疑答复情况说明及相关证明材料；</w:t>
      </w:r>
    </w:p>
    <w:p w14:paraId="086B0607">
      <w:pPr>
        <w:pStyle w:val="37"/>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3</w:t>
      </w:r>
      <w:r>
        <w:rPr>
          <w:rFonts w:hint="eastAsia" w:eastAsia="宋体"/>
          <w:color w:val="auto"/>
          <w:sz w:val="24"/>
          <w:highlight w:val="none"/>
        </w:rPr>
        <w:t>）具体、明确的投诉事项和与投诉事项相关的投诉请求；</w:t>
      </w:r>
    </w:p>
    <w:p w14:paraId="78BC80FD">
      <w:pPr>
        <w:pStyle w:val="37"/>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4</w:t>
      </w:r>
      <w:r>
        <w:rPr>
          <w:rFonts w:hint="eastAsia" w:eastAsia="宋体"/>
          <w:color w:val="auto"/>
          <w:sz w:val="24"/>
          <w:highlight w:val="none"/>
        </w:rPr>
        <w:t>）事实依据；</w:t>
      </w:r>
    </w:p>
    <w:p w14:paraId="2AD666C0">
      <w:pPr>
        <w:pStyle w:val="37"/>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5</w:t>
      </w:r>
      <w:r>
        <w:rPr>
          <w:rFonts w:hint="eastAsia" w:eastAsia="宋体"/>
          <w:color w:val="auto"/>
          <w:sz w:val="24"/>
          <w:highlight w:val="none"/>
        </w:rPr>
        <w:t>）法律依据；</w:t>
      </w:r>
    </w:p>
    <w:p w14:paraId="28B1919B">
      <w:pPr>
        <w:pStyle w:val="37"/>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6</w:t>
      </w:r>
      <w:r>
        <w:rPr>
          <w:rFonts w:hint="eastAsia" w:eastAsia="宋体"/>
          <w:color w:val="auto"/>
          <w:sz w:val="24"/>
          <w:highlight w:val="none"/>
        </w:rPr>
        <w:t>）提起投诉的日期。</w:t>
      </w:r>
    </w:p>
    <w:p w14:paraId="29B1C185">
      <w:pPr>
        <w:pStyle w:val="37"/>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投诉人为自然人的，应当由本人签字；投诉人为法人或者其他组织的，应当由法定代表人、主要负责人，或者其授权代表签字或者盖章，并加盖公章。</w:t>
      </w:r>
    </w:p>
    <w:p w14:paraId="2A3BCE0B">
      <w:pPr>
        <w:pStyle w:val="37"/>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lang w:val="en-US" w:eastAsia="zh-CN"/>
        </w:rPr>
        <w:t>37.3</w:t>
      </w:r>
      <w:r>
        <w:rPr>
          <w:rFonts w:hint="eastAsia" w:eastAsia="宋体"/>
          <w:color w:val="auto"/>
          <w:sz w:val="24"/>
          <w:highlight w:val="none"/>
        </w:rPr>
        <w:t>供应商</w:t>
      </w:r>
      <w:r>
        <w:rPr>
          <w:rFonts w:hint="eastAsia" w:eastAsia="宋体"/>
          <w:color w:val="auto"/>
          <w:sz w:val="24"/>
          <w:highlight w:val="none"/>
          <w:lang w:val="en-US" w:eastAsia="zh-CN"/>
        </w:rPr>
        <w:t>质疑、</w:t>
      </w:r>
      <w:r>
        <w:rPr>
          <w:rFonts w:hint="eastAsia" w:eastAsia="宋体"/>
          <w:color w:val="auto"/>
          <w:sz w:val="24"/>
          <w:highlight w:val="none"/>
        </w:rPr>
        <w:t>投诉</w:t>
      </w:r>
      <w:r>
        <w:rPr>
          <w:rFonts w:hint="eastAsia" w:eastAsia="宋体"/>
          <w:color w:val="auto"/>
          <w:sz w:val="24"/>
          <w:highlight w:val="none"/>
          <w:lang w:val="en-US" w:eastAsia="zh-CN"/>
        </w:rPr>
        <w:t>应当有明确的请求和必要的证明材料</w:t>
      </w:r>
      <w:r>
        <w:rPr>
          <w:rFonts w:hint="eastAsia" w:eastAsia="宋体"/>
          <w:color w:val="auto"/>
          <w:sz w:val="24"/>
          <w:highlight w:val="none"/>
          <w:lang w:eastAsia="zh-CN"/>
        </w:rPr>
        <w:t>。</w:t>
      </w:r>
      <w:r>
        <w:rPr>
          <w:rFonts w:hint="eastAsia" w:eastAsia="宋体"/>
          <w:color w:val="auto"/>
          <w:sz w:val="24"/>
          <w:highlight w:val="none"/>
        </w:rPr>
        <w:t>供应商投诉的事项不得超出</w:t>
      </w:r>
      <w:r>
        <w:rPr>
          <w:rFonts w:hint="eastAsia" w:eastAsia="宋体"/>
          <w:color w:val="auto"/>
          <w:sz w:val="24"/>
          <w:highlight w:val="none"/>
          <w:lang w:val="en-US" w:eastAsia="zh-CN"/>
        </w:rPr>
        <w:t>已</w:t>
      </w:r>
      <w:r>
        <w:rPr>
          <w:rFonts w:hint="eastAsia" w:eastAsia="宋体"/>
          <w:color w:val="auto"/>
          <w:sz w:val="24"/>
          <w:highlight w:val="none"/>
        </w:rPr>
        <w:t>质疑事项的范围，但基于质疑答复内容提出的投诉事项除外。</w:t>
      </w:r>
    </w:p>
    <w:p w14:paraId="4A2CC2E9">
      <w:pPr>
        <w:pStyle w:val="37"/>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snapToGrid w:val="0"/>
          <w:color w:val="auto"/>
          <w:sz w:val="24"/>
          <w:highlight w:val="none"/>
          <w:lang w:val="en-US" w:eastAsia="zh-CN"/>
        </w:rPr>
        <w:t>37.4</w:t>
      </w:r>
      <w:r>
        <w:rPr>
          <w:rFonts w:hint="eastAsia" w:eastAsia="宋体"/>
          <w:color w:val="auto"/>
          <w:sz w:val="24"/>
          <w:highlight w:val="none"/>
          <w:lang w:val="en-US" w:eastAsia="zh-CN"/>
        </w:rPr>
        <w:t>投诉书应当使用中文，并采用财政部门制定的范本。</w:t>
      </w:r>
    </w:p>
    <w:p w14:paraId="076E00EB">
      <w:pPr>
        <w:pStyle w:val="4"/>
        <w:keepNext w:val="0"/>
        <w:keepLines w:val="0"/>
        <w:pageBreakBefore w:val="0"/>
        <w:widowControl w:val="0"/>
        <w:numPr>
          <w:ilvl w:val="0"/>
          <w:numId w:val="0"/>
        </w:numPr>
        <w:kinsoku/>
        <w:wordWrap/>
        <w:overflowPunct/>
        <w:topLinePunct w:val="0"/>
        <w:autoSpaceDE/>
        <w:autoSpaceDN/>
        <w:bidi w:val="0"/>
        <w:adjustRightInd/>
        <w:snapToGrid/>
        <w:spacing w:before="180" w:after="180" w:line="240" w:lineRule="auto"/>
        <w:ind w:left="420" w:leftChars="0" w:hanging="420" w:firstLineChars="0"/>
        <w:textAlignment w:val="auto"/>
        <w:rPr>
          <w:rFonts w:hint="eastAsia" w:ascii="宋体" w:hAnsi="宋体" w:eastAsia="宋体" w:cs="宋体"/>
          <w:b/>
          <w:bCs/>
          <w:color w:val="auto"/>
          <w:kern w:val="2"/>
          <w:sz w:val="24"/>
          <w:szCs w:val="32"/>
          <w:highlight w:val="none"/>
          <w:lang w:val="en-US" w:eastAsia="zh-CN" w:bidi="ar-SA"/>
        </w:rPr>
      </w:pPr>
      <w:bookmarkStart w:id="218" w:name="_Toc155185882"/>
      <w:bookmarkStart w:id="219" w:name="_Toc140132803"/>
      <w:bookmarkStart w:id="220" w:name="_Toc163492870"/>
      <w:r>
        <w:rPr>
          <w:rFonts w:hint="eastAsia" w:ascii="宋体" w:hAnsi="宋体" w:eastAsia="宋体" w:cs="宋体"/>
          <w:b/>
          <w:bCs/>
          <w:color w:val="auto"/>
          <w:kern w:val="2"/>
          <w:sz w:val="24"/>
          <w:szCs w:val="32"/>
          <w:highlight w:val="none"/>
          <w:lang w:val="en-US" w:eastAsia="zh-CN" w:bidi="ar-SA"/>
        </w:rPr>
        <w:t>（十一）采购代理服务费</w:t>
      </w:r>
      <w:bookmarkEnd w:id="218"/>
      <w:bookmarkEnd w:id="219"/>
      <w:bookmarkEnd w:id="220"/>
    </w:p>
    <w:p w14:paraId="3EF5B76A">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221" w:name="_Toc163492871"/>
      <w:bookmarkStart w:id="222" w:name="_Toc140132804"/>
      <w:r>
        <w:rPr>
          <w:rFonts w:hint="eastAsia" w:ascii="宋体" w:hAnsi="宋体" w:eastAsia="宋体" w:cs="宋体"/>
          <w:b/>
          <w:bCs/>
          <w:color w:val="auto"/>
          <w:kern w:val="2"/>
          <w:sz w:val="24"/>
          <w:szCs w:val="28"/>
          <w:highlight w:val="none"/>
          <w:lang w:val="en-US" w:eastAsia="zh-CN" w:bidi="ar-SA"/>
        </w:rPr>
        <w:t>38.收取方式和标准</w:t>
      </w:r>
      <w:bookmarkEnd w:id="221"/>
      <w:bookmarkEnd w:id="222"/>
    </w:p>
    <w:p w14:paraId="0FDD9E25">
      <w:pPr>
        <w:pStyle w:val="37"/>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eastAsia="宋体"/>
          <w:bCs/>
          <w:color w:val="auto"/>
          <w:sz w:val="24"/>
          <w:highlight w:val="none"/>
        </w:rPr>
        <w:t>3</w:t>
      </w:r>
      <w:r>
        <w:rPr>
          <w:rFonts w:hint="eastAsia" w:eastAsia="宋体"/>
          <w:bCs/>
          <w:color w:val="auto"/>
          <w:sz w:val="24"/>
          <w:highlight w:val="none"/>
          <w:lang w:val="en-US" w:eastAsia="zh-CN"/>
        </w:rPr>
        <w:t>8</w:t>
      </w:r>
      <w:r>
        <w:rPr>
          <w:rFonts w:hint="eastAsia" w:eastAsia="宋体"/>
          <w:color w:val="auto"/>
          <w:sz w:val="24"/>
          <w:highlight w:val="none"/>
        </w:rPr>
        <w:t>.1采购代理机构按“投标人须知前附表”规定的方式和标准收取采购代理服务费。</w:t>
      </w:r>
    </w:p>
    <w:p w14:paraId="3ED844E1">
      <w:pPr>
        <w:pStyle w:val="4"/>
        <w:keepNext w:val="0"/>
        <w:keepLines w:val="0"/>
        <w:pageBreakBefore w:val="0"/>
        <w:widowControl w:val="0"/>
        <w:numPr>
          <w:ilvl w:val="0"/>
          <w:numId w:val="0"/>
        </w:numPr>
        <w:kinsoku/>
        <w:wordWrap/>
        <w:overflowPunct/>
        <w:topLinePunct w:val="0"/>
        <w:autoSpaceDE/>
        <w:autoSpaceDN/>
        <w:bidi w:val="0"/>
        <w:adjustRightInd/>
        <w:snapToGrid/>
        <w:spacing w:before="180" w:after="180" w:line="240" w:lineRule="auto"/>
        <w:ind w:left="420" w:leftChars="0" w:hanging="420" w:firstLineChars="0"/>
        <w:textAlignment w:val="auto"/>
        <w:rPr>
          <w:rFonts w:hint="eastAsia" w:ascii="宋体" w:hAnsi="宋体" w:eastAsia="宋体" w:cs="宋体"/>
          <w:b/>
          <w:bCs/>
          <w:color w:val="auto"/>
          <w:kern w:val="2"/>
          <w:sz w:val="24"/>
          <w:szCs w:val="32"/>
          <w:highlight w:val="none"/>
          <w:lang w:val="en-US" w:eastAsia="zh-CN" w:bidi="ar-SA"/>
        </w:rPr>
      </w:pPr>
      <w:bookmarkStart w:id="223" w:name="_Toc155185883"/>
      <w:bookmarkStart w:id="224" w:name="_Toc163492872"/>
      <w:bookmarkStart w:id="225" w:name="_Toc140132805"/>
      <w:r>
        <w:rPr>
          <w:rFonts w:hint="eastAsia" w:ascii="宋体" w:hAnsi="宋体" w:eastAsia="宋体" w:cs="宋体"/>
          <w:b/>
          <w:bCs/>
          <w:color w:val="auto"/>
          <w:kern w:val="2"/>
          <w:sz w:val="24"/>
          <w:szCs w:val="32"/>
          <w:highlight w:val="none"/>
          <w:lang w:val="en-US" w:eastAsia="zh-CN" w:bidi="ar-SA"/>
        </w:rPr>
        <w:t>（十二）无效投标和废标</w:t>
      </w:r>
      <w:bookmarkEnd w:id="223"/>
      <w:bookmarkEnd w:id="224"/>
      <w:bookmarkEnd w:id="225"/>
    </w:p>
    <w:p w14:paraId="25869235">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226" w:name="_Toc140132806"/>
      <w:bookmarkStart w:id="227" w:name="_Toc163492873"/>
      <w:r>
        <w:rPr>
          <w:rFonts w:hint="eastAsia" w:ascii="宋体" w:hAnsi="宋体" w:eastAsia="宋体" w:cs="宋体"/>
          <w:b/>
          <w:bCs/>
          <w:color w:val="auto"/>
          <w:kern w:val="2"/>
          <w:sz w:val="24"/>
          <w:szCs w:val="28"/>
          <w:highlight w:val="none"/>
          <w:lang w:val="en-US" w:eastAsia="zh-CN" w:bidi="ar-SA"/>
        </w:rPr>
        <w:t>39.无效投标</w:t>
      </w:r>
      <w:bookmarkEnd w:id="226"/>
      <w:bookmarkEnd w:id="227"/>
    </w:p>
    <w:p w14:paraId="0EBD1306">
      <w:pPr>
        <w:pStyle w:val="37"/>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hint="eastAsia" w:eastAsia="宋体"/>
          <w:color w:val="auto"/>
          <w:sz w:val="24"/>
          <w:highlight w:val="none"/>
          <w:lang w:val="en-US" w:eastAsia="zh-CN"/>
        </w:rPr>
        <w:t>39</w:t>
      </w:r>
      <w:r>
        <w:rPr>
          <w:rFonts w:hint="eastAsia" w:eastAsia="宋体"/>
          <w:color w:val="auto"/>
          <w:sz w:val="24"/>
          <w:highlight w:val="none"/>
        </w:rPr>
        <w:t>.1投标文件存在“第四章</w:t>
      </w:r>
      <w:r>
        <w:rPr>
          <w:rFonts w:hint="eastAsia" w:eastAsia="宋体"/>
          <w:color w:val="auto"/>
          <w:sz w:val="24"/>
          <w:highlight w:val="none"/>
          <w:lang w:val="en-US" w:eastAsia="zh-CN"/>
        </w:rPr>
        <w:t xml:space="preserve"> </w:t>
      </w:r>
      <w:r>
        <w:rPr>
          <w:rFonts w:hint="eastAsia" w:eastAsia="宋体"/>
          <w:color w:val="auto"/>
          <w:sz w:val="24"/>
          <w:highlight w:val="none"/>
        </w:rPr>
        <w:t>资格审查”、“第五章</w:t>
      </w:r>
      <w:r>
        <w:rPr>
          <w:rFonts w:hint="eastAsia" w:eastAsia="宋体"/>
          <w:color w:val="auto"/>
          <w:sz w:val="24"/>
          <w:highlight w:val="none"/>
          <w:lang w:val="en-US" w:eastAsia="zh-CN"/>
        </w:rPr>
        <w:t xml:space="preserve"> </w:t>
      </w:r>
      <w:r>
        <w:rPr>
          <w:rFonts w:hint="eastAsia" w:eastAsia="宋体"/>
          <w:color w:val="auto"/>
          <w:sz w:val="24"/>
          <w:highlight w:val="none"/>
        </w:rPr>
        <w:t>评标</w:t>
      </w:r>
      <w:r>
        <w:rPr>
          <w:rFonts w:hint="eastAsia" w:eastAsia="宋体"/>
          <w:color w:val="auto"/>
          <w:sz w:val="24"/>
          <w:highlight w:val="none"/>
          <w:lang w:val="en-US" w:eastAsia="zh-CN"/>
        </w:rPr>
        <w:t>方</w:t>
      </w:r>
      <w:r>
        <w:rPr>
          <w:rFonts w:hint="eastAsia" w:eastAsia="宋体"/>
          <w:color w:val="auto"/>
          <w:sz w:val="24"/>
          <w:highlight w:val="none"/>
        </w:rPr>
        <w:t>法及标准”</w:t>
      </w:r>
      <w:r>
        <w:rPr>
          <w:rFonts w:hint="eastAsia" w:eastAsia="宋体"/>
          <w:color w:val="auto"/>
          <w:sz w:val="24"/>
          <w:highlight w:val="none"/>
          <w:lang w:val="en-US" w:eastAsia="zh-CN"/>
        </w:rPr>
        <w:t>及本招标文件</w:t>
      </w:r>
      <w:r>
        <w:rPr>
          <w:rFonts w:hint="eastAsia" w:eastAsia="宋体"/>
          <w:color w:val="auto"/>
          <w:sz w:val="24"/>
          <w:highlight w:val="none"/>
        </w:rPr>
        <w:t>规定的投标无效情形的，其</w:t>
      </w:r>
      <w:r>
        <w:rPr>
          <w:rFonts w:hint="eastAsia" w:eastAsia="宋体"/>
          <w:b/>
          <w:bCs/>
          <w:color w:val="auto"/>
          <w:sz w:val="24"/>
          <w:highlight w:val="none"/>
        </w:rPr>
        <w:t>投标无效</w:t>
      </w:r>
      <w:r>
        <w:rPr>
          <w:rFonts w:hint="eastAsia" w:eastAsia="宋体"/>
          <w:color w:val="auto"/>
          <w:sz w:val="24"/>
          <w:highlight w:val="none"/>
        </w:rPr>
        <w:t>。</w:t>
      </w:r>
    </w:p>
    <w:p w14:paraId="7306E47B">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228" w:name="_Toc163492874"/>
      <w:bookmarkStart w:id="229" w:name="_Toc140132807"/>
      <w:r>
        <w:rPr>
          <w:rFonts w:hint="eastAsia" w:ascii="宋体" w:hAnsi="宋体" w:eastAsia="宋体" w:cs="宋体"/>
          <w:b/>
          <w:bCs/>
          <w:color w:val="auto"/>
          <w:kern w:val="2"/>
          <w:sz w:val="24"/>
          <w:szCs w:val="28"/>
          <w:highlight w:val="none"/>
          <w:lang w:val="en-US" w:eastAsia="zh-CN" w:bidi="ar-SA"/>
        </w:rPr>
        <w:t>40.废标</w:t>
      </w:r>
      <w:bookmarkEnd w:id="228"/>
      <w:bookmarkEnd w:id="229"/>
    </w:p>
    <w:p w14:paraId="5BFCDD79">
      <w:pPr>
        <w:pStyle w:val="37"/>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eastAsia="zh-CN"/>
        </w:rPr>
      </w:pPr>
      <w:r>
        <w:rPr>
          <w:rFonts w:eastAsia="宋体"/>
          <w:color w:val="auto"/>
          <w:sz w:val="24"/>
          <w:highlight w:val="none"/>
        </w:rPr>
        <w:t>4</w:t>
      </w:r>
      <w:r>
        <w:rPr>
          <w:rFonts w:hint="eastAsia" w:eastAsia="宋体"/>
          <w:color w:val="auto"/>
          <w:sz w:val="24"/>
          <w:highlight w:val="none"/>
          <w:lang w:val="en-US" w:eastAsia="zh-CN"/>
        </w:rPr>
        <w:t>0</w:t>
      </w:r>
      <w:r>
        <w:rPr>
          <w:rFonts w:hint="eastAsia" w:eastAsia="宋体"/>
          <w:color w:val="auto"/>
          <w:sz w:val="24"/>
          <w:highlight w:val="none"/>
        </w:rPr>
        <w:t>.1在招标采购中出现有“第五章</w:t>
      </w:r>
      <w:r>
        <w:rPr>
          <w:rFonts w:hint="eastAsia" w:eastAsia="宋体"/>
          <w:color w:val="auto"/>
          <w:sz w:val="24"/>
          <w:highlight w:val="none"/>
          <w:lang w:val="en-US" w:eastAsia="zh-CN"/>
        </w:rPr>
        <w:t xml:space="preserve"> </w:t>
      </w:r>
      <w:r>
        <w:rPr>
          <w:rFonts w:hint="eastAsia" w:eastAsia="宋体"/>
          <w:color w:val="auto"/>
          <w:sz w:val="24"/>
          <w:highlight w:val="none"/>
        </w:rPr>
        <w:t>评标</w:t>
      </w:r>
      <w:r>
        <w:rPr>
          <w:rFonts w:hint="eastAsia" w:eastAsia="宋体"/>
          <w:color w:val="auto"/>
          <w:sz w:val="24"/>
          <w:highlight w:val="none"/>
          <w:lang w:val="en-US" w:eastAsia="zh-CN"/>
        </w:rPr>
        <w:t>方</w:t>
      </w:r>
      <w:r>
        <w:rPr>
          <w:rFonts w:hint="eastAsia" w:eastAsia="宋体"/>
          <w:color w:val="auto"/>
          <w:sz w:val="24"/>
          <w:highlight w:val="none"/>
        </w:rPr>
        <w:t>法及标准”</w:t>
      </w:r>
      <w:r>
        <w:rPr>
          <w:rFonts w:hint="eastAsia" w:eastAsia="宋体"/>
          <w:color w:val="auto"/>
          <w:sz w:val="24"/>
          <w:highlight w:val="none"/>
          <w:lang w:val="en-US" w:eastAsia="zh-CN"/>
        </w:rPr>
        <w:t>及本招标文件</w:t>
      </w:r>
      <w:r>
        <w:rPr>
          <w:rFonts w:hint="eastAsia" w:eastAsia="宋体"/>
          <w:color w:val="auto"/>
          <w:sz w:val="24"/>
          <w:highlight w:val="none"/>
        </w:rPr>
        <w:t>规定的废标情形的，应予以</w:t>
      </w:r>
      <w:r>
        <w:rPr>
          <w:rFonts w:hint="eastAsia" w:eastAsia="宋体"/>
          <w:b/>
          <w:bCs/>
          <w:color w:val="auto"/>
          <w:sz w:val="24"/>
          <w:highlight w:val="none"/>
        </w:rPr>
        <w:t>废标</w:t>
      </w:r>
      <w:r>
        <w:rPr>
          <w:rFonts w:hint="eastAsia" w:eastAsia="宋体"/>
          <w:color w:val="auto"/>
          <w:sz w:val="24"/>
          <w:highlight w:val="none"/>
          <w:lang w:eastAsia="zh-CN"/>
        </w:rPr>
        <w:t>。</w:t>
      </w:r>
    </w:p>
    <w:p w14:paraId="0C4DEC92">
      <w:pPr>
        <w:pStyle w:val="4"/>
        <w:keepNext w:val="0"/>
        <w:keepLines w:val="0"/>
        <w:pageBreakBefore w:val="0"/>
        <w:widowControl w:val="0"/>
        <w:numPr>
          <w:ilvl w:val="0"/>
          <w:numId w:val="0"/>
        </w:numPr>
        <w:kinsoku/>
        <w:wordWrap/>
        <w:overflowPunct/>
        <w:topLinePunct w:val="0"/>
        <w:autoSpaceDE/>
        <w:autoSpaceDN/>
        <w:bidi w:val="0"/>
        <w:adjustRightInd/>
        <w:snapToGrid/>
        <w:spacing w:before="180" w:after="180" w:line="240" w:lineRule="auto"/>
        <w:ind w:left="420" w:leftChars="0" w:hanging="420" w:firstLineChars="0"/>
        <w:textAlignment w:val="auto"/>
        <w:rPr>
          <w:rFonts w:hint="eastAsia" w:ascii="宋体" w:hAnsi="宋体" w:eastAsia="宋体" w:cs="宋体"/>
          <w:b/>
          <w:bCs/>
          <w:color w:val="auto"/>
          <w:kern w:val="2"/>
          <w:sz w:val="24"/>
          <w:szCs w:val="32"/>
          <w:highlight w:val="none"/>
          <w:lang w:val="en-US" w:eastAsia="zh-CN" w:bidi="ar-SA"/>
        </w:rPr>
      </w:pPr>
      <w:bookmarkStart w:id="230" w:name="_Toc140132766"/>
      <w:bookmarkStart w:id="231" w:name="_Toc163492875"/>
      <w:bookmarkStart w:id="232" w:name="_Toc155185884"/>
      <w:bookmarkStart w:id="233" w:name="_Toc140132808"/>
      <w:r>
        <w:rPr>
          <w:rFonts w:hint="eastAsia" w:ascii="宋体" w:hAnsi="宋体" w:eastAsia="宋体" w:cs="宋体"/>
          <w:b/>
          <w:bCs/>
          <w:color w:val="auto"/>
          <w:kern w:val="2"/>
          <w:sz w:val="24"/>
          <w:szCs w:val="32"/>
          <w:highlight w:val="none"/>
          <w:lang w:val="en-US" w:eastAsia="zh-CN" w:bidi="ar-SA"/>
        </w:rPr>
        <w:t>（十三）落实政府采购政策</w:t>
      </w:r>
      <w:bookmarkEnd w:id="230"/>
      <w:bookmarkEnd w:id="231"/>
      <w:r>
        <w:rPr>
          <w:rFonts w:hint="eastAsia" w:ascii="宋体" w:hAnsi="宋体" w:eastAsia="宋体" w:cs="宋体"/>
          <w:b/>
          <w:bCs/>
          <w:color w:val="auto"/>
          <w:kern w:val="2"/>
          <w:sz w:val="24"/>
          <w:szCs w:val="32"/>
          <w:highlight w:val="none"/>
          <w:lang w:val="en-US" w:eastAsia="zh-CN" w:bidi="ar-SA"/>
        </w:rPr>
        <w:t>（包括但不限于下列具体政策要求）</w:t>
      </w:r>
    </w:p>
    <w:p w14:paraId="5800BCE0">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234" w:name="_Toc163492876"/>
      <w:r>
        <w:rPr>
          <w:rFonts w:hint="eastAsia" w:ascii="宋体" w:hAnsi="宋体" w:eastAsia="宋体" w:cs="宋体"/>
          <w:b/>
          <w:bCs/>
          <w:color w:val="auto"/>
          <w:kern w:val="2"/>
          <w:sz w:val="24"/>
          <w:szCs w:val="28"/>
          <w:highlight w:val="none"/>
          <w:lang w:val="en-US" w:eastAsia="zh-CN" w:bidi="ar-SA"/>
        </w:rPr>
        <w:t>41.支持国产和进口产品审批</w:t>
      </w:r>
      <w:bookmarkEnd w:id="234"/>
    </w:p>
    <w:p w14:paraId="26D924DD">
      <w:pPr>
        <w:pStyle w:val="37"/>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rPr>
      </w:pPr>
      <w:r>
        <w:rPr>
          <w:rFonts w:eastAsia="宋体"/>
          <w:snapToGrid w:val="0"/>
          <w:color w:val="auto"/>
          <w:sz w:val="24"/>
          <w:highlight w:val="none"/>
        </w:rPr>
        <w:t>4</w:t>
      </w:r>
      <w:r>
        <w:rPr>
          <w:rFonts w:hint="eastAsia" w:eastAsia="宋体"/>
          <w:snapToGrid w:val="0"/>
          <w:color w:val="auto"/>
          <w:sz w:val="24"/>
          <w:highlight w:val="none"/>
          <w:lang w:val="en-US" w:eastAsia="zh-CN"/>
        </w:rPr>
        <w:t>1</w:t>
      </w:r>
      <w:r>
        <w:rPr>
          <w:rFonts w:hint="eastAsia" w:eastAsia="宋体"/>
          <w:snapToGrid w:val="0"/>
          <w:color w:val="auto"/>
          <w:sz w:val="24"/>
          <w:highlight w:val="none"/>
        </w:rPr>
        <w:t>.1除“投标人须知前附表”另有规定外，政府采购应当采购本国</w:t>
      </w:r>
      <w:r>
        <w:rPr>
          <w:rFonts w:hint="eastAsia" w:eastAsia="宋体"/>
          <w:snapToGrid w:val="0"/>
          <w:color w:val="auto"/>
          <w:sz w:val="24"/>
          <w:highlight w:val="none"/>
          <w:lang w:val="en-US" w:eastAsia="zh-CN"/>
        </w:rPr>
        <w:t>货物、工程和服务</w:t>
      </w:r>
      <w:r>
        <w:rPr>
          <w:rFonts w:hint="eastAsia" w:eastAsia="宋体"/>
          <w:snapToGrid w:val="0"/>
          <w:color w:val="auto"/>
          <w:sz w:val="24"/>
          <w:highlight w:val="none"/>
        </w:rPr>
        <w:t>，确需采购进口产品的，采购人应当按照</w:t>
      </w:r>
      <w:r>
        <w:rPr>
          <w:rFonts w:hint="eastAsia" w:eastAsia="宋体"/>
          <w:snapToGrid w:val="0"/>
          <w:color w:val="auto"/>
          <w:sz w:val="24"/>
          <w:highlight w:val="none"/>
          <w:lang w:val="en-US" w:eastAsia="zh-CN"/>
        </w:rPr>
        <w:t>《政府采购进口产品管理办法》（财库〔2007〕119 号文）、</w:t>
      </w:r>
      <w:r>
        <w:rPr>
          <w:rFonts w:hint="eastAsia" w:eastAsia="宋体"/>
          <w:snapToGrid w:val="0"/>
          <w:color w:val="auto"/>
          <w:sz w:val="24"/>
          <w:highlight w:val="none"/>
        </w:rPr>
        <w:t>《关于政府采购进口产品管理有关问题的通知》（财办库〔</w:t>
      </w:r>
      <w:r>
        <w:rPr>
          <w:rFonts w:eastAsia="宋体"/>
          <w:snapToGrid w:val="0"/>
          <w:color w:val="auto"/>
          <w:sz w:val="24"/>
          <w:highlight w:val="none"/>
        </w:rPr>
        <w:t>2008〕248号）规定执行（进口产品审批制，科研院所监管部门另有规定的从其规定）。</w:t>
      </w:r>
      <w:r>
        <w:rPr>
          <w:rFonts w:hint="eastAsia" w:eastAsia="宋体"/>
          <w:snapToGrid w:val="0"/>
          <w:color w:val="auto"/>
          <w:sz w:val="24"/>
          <w:highlight w:val="none"/>
        </w:rPr>
        <w:t>项目若涉及采购进口产品的，具体要求详见“第三章</w:t>
      </w:r>
      <w:r>
        <w:rPr>
          <w:rFonts w:eastAsia="宋体"/>
          <w:snapToGrid w:val="0"/>
          <w:color w:val="auto"/>
          <w:sz w:val="24"/>
          <w:highlight w:val="none"/>
        </w:rPr>
        <w:t xml:space="preserve"> 采购需求”</w:t>
      </w:r>
      <w:r>
        <w:rPr>
          <w:rFonts w:hint="eastAsia" w:eastAsia="宋体"/>
          <w:snapToGrid w:val="0"/>
          <w:color w:val="auto"/>
          <w:sz w:val="24"/>
          <w:highlight w:val="none"/>
        </w:rPr>
        <w:t>。</w:t>
      </w:r>
    </w:p>
    <w:p w14:paraId="201F13F9">
      <w:pPr>
        <w:pStyle w:val="37"/>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 xml:space="preserve">41.2进口产品指通过中国海关报关验放进入中国境内且产自关境外的产品，包括已经进入中国境内的进口产品。 </w:t>
      </w:r>
    </w:p>
    <w:p w14:paraId="0C404CE2">
      <w:pPr>
        <w:pStyle w:val="37"/>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41.3若采购需求中写明允许采购进口产品，投标人应保证所投产品可履行合法报通关手续进入中国关境内。</w:t>
      </w:r>
    </w:p>
    <w:p w14:paraId="50A8DE9A">
      <w:pPr>
        <w:pStyle w:val="37"/>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41.4若采购需求中未写明允许采购进口产品，如投标人所投产品为进口产品，其投标将被认定为</w:t>
      </w:r>
      <w:r>
        <w:rPr>
          <w:rFonts w:hint="eastAsia" w:eastAsia="宋体"/>
          <w:b/>
          <w:bCs/>
          <w:snapToGrid w:val="0"/>
          <w:color w:val="auto"/>
          <w:sz w:val="24"/>
          <w:highlight w:val="none"/>
          <w:lang w:val="en-US" w:eastAsia="zh-CN"/>
        </w:rPr>
        <w:t>投标无效</w:t>
      </w:r>
      <w:r>
        <w:rPr>
          <w:rFonts w:hint="eastAsia" w:eastAsia="宋体"/>
          <w:snapToGrid w:val="0"/>
          <w:color w:val="auto"/>
          <w:sz w:val="24"/>
          <w:highlight w:val="none"/>
          <w:lang w:val="en-US" w:eastAsia="zh-CN"/>
        </w:rPr>
        <w:t>。</w:t>
      </w:r>
    </w:p>
    <w:p w14:paraId="6764F885">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235" w:name="_Toc163492877"/>
      <w:r>
        <w:rPr>
          <w:rFonts w:hint="eastAsia" w:ascii="宋体" w:hAnsi="宋体" w:eastAsia="宋体" w:cs="宋体"/>
          <w:b/>
          <w:bCs/>
          <w:color w:val="auto"/>
          <w:kern w:val="2"/>
          <w:sz w:val="24"/>
          <w:szCs w:val="28"/>
          <w:highlight w:val="none"/>
          <w:lang w:val="en-US" w:eastAsia="zh-CN" w:bidi="ar-SA"/>
        </w:rPr>
        <w:t>42.中小企业、监狱企业及残疾人福利性单位</w:t>
      </w:r>
      <w:bookmarkEnd w:id="235"/>
    </w:p>
    <w:p w14:paraId="6CF3C244">
      <w:pPr>
        <w:pStyle w:val="37"/>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hint="eastAsia" w:eastAsia="宋体"/>
          <w:snapToGrid w:val="0"/>
          <w:color w:val="auto"/>
          <w:sz w:val="24"/>
          <w:highlight w:val="none"/>
        </w:rPr>
        <w:t>.</w:t>
      </w:r>
      <w:r>
        <w:rPr>
          <w:rFonts w:hint="eastAsia" w:eastAsia="宋体"/>
          <w:snapToGrid w:val="0"/>
          <w:color w:val="auto"/>
          <w:sz w:val="24"/>
          <w:highlight w:val="none"/>
          <w:lang w:val="en-US" w:eastAsia="zh-CN"/>
        </w:rPr>
        <w:t>1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w:t>
      </w:r>
      <w:r>
        <w:rPr>
          <w:rFonts w:hint="default" w:eastAsia="宋体"/>
          <w:snapToGrid w:val="0"/>
          <w:color w:val="auto"/>
          <w:sz w:val="24"/>
          <w:highlight w:val="none"/>
          <w:lang w:val="en-US" w:eastAsia="zh-CN"/>
        </w:rPr>
        <w:t>2022</w:t>
      </w:r>
      <w:r>
        <w:rPr>
          <w:rFonts w:hint="eastAsia" w:eastAsia="宋体"/>
          <w:snapToGrid w:val="0"/>
          <w:color w:val="auto"/>
          <w:sz w:val="24"/>
          <w:highlight w:val="none"/>
          <w:lang w:val="en-US" w:eastAsia="zh-CN"/>
        </w:rPr>
        <w:t>〕</w:t>
      </w:r>
      <w:r>
        <w:rPr>
          <w:rFonts w:hint="default" w:eastAsia="宋体"/>
          <w:snapToGrid w:val="0"/>
          <w:color w:val="auto"/>
          <w:sz w:val="24"/>
          <w:highlight w:val="none"/>
          <w:lang w:val="en-US" w:eastAsia="zh-CN"/>
        </w:rPr>
        <w:t xml:space="preserve">19 </w:t>
      </w:r>
      <w:r>
        <w:rPr>
          <w:rFonts w:hint="eastAsia" w:eastAsia="宋体"/>
          <w:snapToGrid w:val="0"/>
          <w:color w:val="auto"/>
          <w:sz w:val="24"/>
          <w:highlight w:val="none"/>
          <w:lang w:val="en-US" w:eastAsia="zh-CN"/>
        </w:rPr>
        <w:t>号）、《政府采购促进中小企业发展管理办法》（财库〔</w:t>
      </w:r>
      <w:r>
        <w:rPr>
          <w:rFonts w:hint="default" w:eastAsia="宋体"/>
          <w:snapToGrid w:val="0"/>
          <w:color w:val="auto"/>
          <w:sz w:val="24"/>
          <w:highlight w:val="none"/>
          <w:lang w:val="en-US" w:eastAsia="zh-CN"/>
        </w:rPr>
        <w:t>2020</w:t>
      </w:r>
      <w:r>
        <w:rPr>
          <w:rFonts w:hint="eastAsia" w:eastAsia="宋体"/>
          <w:snapToGrid w:val="0"/>
          <w:color w:val="auto"/>
          <w:sz w:val="24"/>
          <w:highlight w:val="none"/>
          <w:lang w:val="en-US" w:eastAsia="zh-CN"/>
        </w:rPr>
        <w:t>〕</w:t>
      </w:r>
      <w:r>
        <w:rPr>
          <w:rFonts w:hint="default" w:eastAsia="宋体"/>
          <w:snapToGrid w:val="0"/>
          <w:color w:val="auto"/>
          <w:sz w:val="24"/>
          <w:highlight w:val="none"/>
          <w:lang w:val="en-US" w:eastAsia="zh-CN"/>
        </w:rPr>
        <w:t xml:space="preserve">46 </w:t>
      </w:r>
      <w:r>
        <w:rPr>
          <w:rFonts w:hint="eastAsia" w:eastAsia="宋体"/>
          <w:snapToGrid w:val="0"/>
          <w:color w:val="auto"/>
          <w:sz w:val="24"/>
          <w:highlight w:val="none"/>
          <w:lang w:val="en-US" w:eastAsia="zh-CN"/>
        </w:rPr>
        <w:t>号）、《关于印发中小企业划型标准规定的通知》（工信部联企业〔</w:t>
      </w:r>
      <w:r>
        <w:rPr>
          <w:rFonts w:hint="default" w:eastAsia="宋体"/>
          <w:snapToGrid w:val="0"/>
          <w:color w:val="auto"/>
          <w:sz w:val="24"/>
          <w:highlight w:val="none"/>
          <w:lang w:val="en-US" w:eastAsia="zh-CN"/>
        </w:rPr>
        <w:t>2011</w:t>
      </w:r>
      <w:r>
        <w:rPr>
          <w:rFonts w:hint="eastAsia" w:eastAsia="宋体"/>
          <w:snapToGrid w:val="0"/>
          <w:color w:val="auto"/>
          <w:sz w:val="24"/>
          <w:highlight w:val="none"/>
          <w:lang w:val="en-US" w:eastAsia="zh-CN"/>
        </w:rPr>
        <w:t>〕</w:t>
      </w:r>
      <w:r>
        <w:rPr>
          <w:rFonts w:hint="default" w:eastAsia="宋体"/>
          <w:snapToGrid w:val="0"/>
          <w:color w:val="auto"/>
          <w:sz w:val="24"/>
          <w:highlight w:val="none"/>
          <w:lang w:val="en-US" w:eastAsia="zh-CN"/>
        </w:rPr>
        <w:t xml:space="preserve">300 </w:t>
      </w:r>
      <w:r>
        <w:rPr>
          <w:rFonts w:hint="eastAsia" w:eastAsia="宋体"/>
          <w:snapToGrid w:val="0"/>
          <w:color w:val="auto"/>
          <w:sz w:val="24"/>
          <w:highlight w:val="none"/>
          <w:lang w:val="en-US" w:eastAsia="zh-CN"/>
        </w:rPr>
        <w:t xml:space="preserve">号）、《金融业企业划型标准规定》（〔2015〕309 号）等国务院批准的中小企业划分标准执行。 </w:t>
      </w:r>
    </w:p>
    <w:p w14:paraId="775C3158">
      <w:pPr>
        <w:pStyle w:val="37"/>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hint="eastAsia" w:eastAsia="宋体"/>
          <w:snapToGrid w:val="0"/>
          <w:color w:val="auto"/>
          <w:sz w:val="24"/>
          <w:highlight w:val="none"/>
        </w:rPr>
        <w:t>.</w:t>
      </w:r>
      <w:r>
        <w:rPr>
          <w:rFonts w:hint="eastAsia" w:eastAsia="宋体"/>
          <w:snapToGrid w:val="0"/>
          <w:color w:val="auto"/>
          <w:sz w:val="24"/>
          <w:highlight w:val="none"/>
          <w:lang w:val="en-US" w:eastAsia="zh-CN"/>
        </w:rPr>
        <w:t>2</w:t>
      </w:r>
      <w:r>
        <w:rPr>
          <w:rFonts w:hint="eastAsia" w:eastAsia="宋体"/>
          <w:snapToGrid w:val="0"/>
          <w:color w:val="auto"/>
          <w:sz w:val="24"/>
          <w:highlight w:val="none"/>
        </w:rPr>
        <w:t>为促进中小企业发展，依据《关于印发&lt;政府采购促进中小企业发展管理办法&gt;的通知》（财库〔2020〕46号）、《财政部 司法部关于政府采购支持监狱企业发展有关问题的通知》（财库〔2014〕68号）、《关于促进残疾人就业政府采购政策的通知》（财库〔2017〕141号）的规定，本项目供应商如</w:t>
      </w:r>
      <w:r>
        <w:rPr>
          <w:rFonts w:hint="eastAsia" w:eastAsia="宋体"/>
          <w:snapToGrid w:val="0"/>
          <w:color w:val="auto"/>
          <w:sz w:val="24"/>
          <w:highlight w:val="none"/>
          <w:lang w:eastAsia="zh-CN"/>
        </w:rPr>
        <w:t>需享受中小企业相关政策的，且</w:t>
      </w:r>
      <w:r>
        <w:rPr>
          <w:rFonts w:hint="eastAsia" w:eastAsia="宋体"/>
          <w:snapToGrid w:val="0"/>
          <w:color w:val="auto"/>
          <w:sz w:val="24"/>
          <w:highlight w:val="none"/>
        </w:rPr>
        <w:t>符合上述文件规定的，</w:t>
      </w:r>
      <w:r>
        <w:rPr>
          <w:rFonts w:hint="eastAsia" w:eastAsia="宋体"/>
          <w:snapToGrid w:val="0"/>
          <w:color w:val="auto"/>
          <w:sz w:val="24"/>
          <w:highlight w:val="none"/>
          <w:lang w:eastAsia="zh-CN"/>
        </w:rPr>
        <w:t>应按本</w:t>
      </w:r>
      <w:r>
        <w:rPr>
          <w:rFonts w:hint="eastAsia" w:eastAsia="宋体"/>
          <w:snapToGrid w:val="0"/>
          <w:color w:val="auto"/>
          <w:sz w:val="24"/>
          <w:highlight w:val="none"/>
          <w:lang w:val="en-US" w:eastAsia="zh-CN"/>
        </w:rPr>
        <w:t>招标</w:t>
      </w:r>
      <w:r>
        <w:rPr>
          <w:rFonts w:hint="eastAsia" w:eastAsia="宋体"/>
          <w:snapToGrid w:val="0"/>
          <w:color w:val="auto"/>
          <w:sz w:val="24"/>
          <w:highlight w:val="none"/>
          <w:lang w:eastAsia="zh-CN"/>
        </w:rPr>
        <w:t>文件规定格式</w:t>
      </w:r>
      <w:r>
        <w:rPr>
          <w:rFonts w:hint="eastAsia" w:eastAsia="宋体"/>
          <w:snapToGrid w:val="0"/>
          <w:color w:val="auto"/>
          <w:sz w:val="24"/>
          <w:highlight w:val="none"/>
        </w:rPr>
        <w:t>提供</w:t>
      </w:r>
      <w:r>
        <w:rPr>
          <w:rFonts w:hint="eastAsia" w:eastAsia="宋体"/>
          <w:snapToGrid w:val="0"/>
          <w:color w:val="auto"/>
          <w:sz w:val="24"/>
          <w:highlight w:val="none"/>
          <w:lang w:eastAsia="zh-CN"/>
        </w:rPr>
        <w:t>“</w:t>
      </w:r>
      <w:r>
        <w:rPr>
          <w:rFonts w:hint="eastAsia" w:eastAsia="宋体"/>
          <w:snapToGrid w:val="0"/>
          <w:color w:val="auto"/>
          <w:sz w:val="24"/>
          <w:highlight w:val="none"/>
        </w:rPr>
        <w:t>中小企业声明函</w:t>
      </w:r>
      <w:r>
        <w:rPr>
          <w:rFonts w:hint="eastAsia" w:eastAsia="宋体"/>
          <w:snapToGrid w:val="0"/>
          <w:color w:val="auto"/>
          <w:sz w:val="24"/>
          <w:highlight w:val="none"/>
          <w:lang w:eastAsia="zh-CN"/>
        </w:rPr>
        <w:t>”</w:t>
      </w:r>
      <w:r>
        <w:rPr>
          <w:rFonts w:hint="eastAsia" w:eastAsia="宋体"/>
          <w:snapToGrid w:val="0"/>
          <w:color w:val="auto"/>
          <w:sz w:val="24"/>
          <w:highlight w:val="none"/>
          <w:lang w:val="en-US" w:eastAsia="zh-CN"/>
        </w:rPr>
        <w:t>或“</w:t>
      </w:r>
      <w:r>
        <w:rPr>
          <w:rFonts w:hint="eastAsia" w:eastAsia="宋体"/>
          <w:snapToGrid w:val="0"/>
          <w:color w:val="auto"/>
          <w:sz w:val="24"/>
          <w:highlight w:val="none"/>
        </w:rPr>
        <w:t>监狱企业证明文件</w:t>
      </w:r>
      <w:r>
        <w:rPr>
          <w:rFonts w:hint="eastAsia" w:eastAsia="宋体"/>
          <w:snapToGrid w:val="0"/>
          <w:color w:val="auto"/>
          <w:sz w:val="24"/>
          <w:highlight w:val="none"/>
          <w:lang w:eastAsia="zh-CN"/>
        </w:rPr>
        <w:t>”</w:t>
      </w:r>
      <w:r>
        <w:rPr>
          <w:rFonts w:hint="eastAsia" w:eastAsia="宋体"/>
          <w:snapToGrid w:val="0"/>
          <w:color w:val="auto"/>
          <w:sz w:val="24"/>
          <w:highlight w:val="none"/>
          <w:lang w:val="en-US" w:eastAsia="zh-CN"/>
        </w:rPr>
        <w:t>或</w:t>
      </w:r>
      <w:r>
        <w:rPr>
          <w:rFonts w:hint="eastAsia" w:eastAsia="宋体"/>
          <w:snapToGrid w:val="0"/>
          <w:color w:val="auto"/>
          <w:sz w:val="24"/>
          <w:highlight w:val="none"/>
          <w:lang w:eastAsia="zh-CN"/>
        </w:rPr>
        <w:t>“</w:t>
      </w:r>
      <w:r>
        <w:rPr>
          <w:rFonts w:hint="eastAsia" w:eastAsia="宋体"/>
          <w:snapToGrid w:val="0"/>
          <w:color w:val="auto"/>
          <w:sz w:val="24"/>
          <w:highlight w:val="none"/>
        </w:rPr>
        <w:t>残疾人福利性单位声明函</w:t>
      </w:r>
      <w:r>
        <w:rPr>
          <w:rFonts w:hint="eastAsia" w:eastAsia="宋体"/>
          <w:snapToGrid w:val="0"/>
          <w:color w:val="auto"/>
          <w:sz w:val="24"/>
          <w:highlight w:val="none"/>
          <w:lang w:eastAsia="zh-CN"/>
        </w:rPr>
        <w:t>”</w:t>
      </w:r>
      <w:r>
        <w:rPr>
          <w:rFonts w:hint="eastAsia" w:eastAsia="宋体"/>
          <w:snapToGrid w:val="0"/>
          <w:color w:val="auto"/>
          <w:sz w:val="24"/>
          <w:highlight w:val="none"/>
        </w:rPr>
        <w:t>，评审时，</w:t>
      </w:r>
      <w:r>
        <w:rPr>
          <w:rFonts w:hint="eastAsia" w:eastAsia="宋体"/>
          <w:snapToGrid w:val="0"/>
          <w:color w:val="auto"/>
          <w:sz w:val="24"/>
          <w:highlight w:val="none"/>
          <w:lang w:val="en-US" w:eastAsia="zh-CN"/>
        </w:rPr>
        <w:t>评标委员会</w:t>
      </w:r>
      <w:r>
        <w:rPr>
          <w:rFonts w:hint="eastAsia" w:eastAsia="宋体"/>
          <w:snapToGrid w:val="0"/>
          <w:color w:val="auto"/>
          <w:sz w:val="24"/>
          <w:highlight w:val="none"/>
        </w:rPr>
        <w:t>将依据</w:t>
      </w:r>
      <w:r>
        <w:rPr>
          <w:rFonts w:hint="eastAsia" w:eastAsia="宋体"/>
          <w:snapToGrid w:val="0"/>
          <w:color w:val="auto"/>
          <w:sz w:val="24"/>
          <w:highlight w:val="none"/>
          <w:lang w:eastAsia="zh-CN"/>
        </w:rPr>
        <w:t>本</w:t>
      </w:r>
      <w:r>
        <w:rPr>
          <w:rFonts w:hint="eastAsia" w:eastAsia="宋体"/>
          <w:snapToGrid w:val="0"/>
          <w:color w:val="auto"/>
          <w:sz w:val="24"/>
          <w:highlight w:val="none"/>
          <w:lang w:val="en-US" w:eastAsia="zh-CN"/>
        </w:rPr>
        <w:t>招标</w:t>
      </w:r>
      <w:r>
        <w:rPr>
          <w:rFonts w:hint="eastAsia" w:eastAsia="宋体"/>
          <w:snapToGrid w:val="0"/>
          <w:color w:val="auto"/>
          <w:sz w:val="24"/>
          <w:highlight w:val="none"/>
          <w:lang w:eastAsia="zh-CN"/>
        </w:rPr>
        <w:t>文件</w:t>
      </w:r>
      <w:r>
        <w:rPr>
          <w:rFonts w:hint="eastAsia" w:eastAsia="宋体"/>
          <w:snapToGrid w:val="0"/>
          <w:color w:val="auto"/>
          <w:sz w:val="24"/>
          <w:highlight w:val="none"/>
        </w:rPr>
        <w:t>“</w:t>
      </w:r>
      <w:r>
        <w:rPr>
          <w:rFonts w:hint="eastAsia" w:eastAsia="宋体"/>
          <w:snapToGrid w:val="0"/>
          <w:color w:val="auto"/>
          <w:sz w:val="24"/>
          <w:highlight w:val="none"/>
          <w:lang w:val="en-US" w:eastAsia="zh-CN"/>
        </w:rPr>
        <w:t>投标人</w:t>
      </w:r>
      <w:r>
        <w:rPr>
          <w:rFonts w:hint="eastAsia" w:eastAsia="宋体"/>
          <w:snapToGrid w:val="0"/>
          <w:color w:val="auto"/>
          <w:sz w:val="24"/>
          <w:highlight w:val="none"/>
        </w:rPr>
        <w:t>须知前附表”规定的报价扣除比例，对供应商报价进行价格扣除，用扣除后的价格参与评审</w:t>
      </w:r>
      <w:r>
        <w:rPr>
          <w:rFonts w:hint="eastAsia" w:eastAsia="宋体"/>
          <w:snapToGrid w:val="0"/>
          <w:color w:val="auto"/>
          <w:sz w:val="24"/>
          <w:highlight w:val="none"/>
          <w:lang w:eastAsia="zh-CN"/>
        </w:rPr>
        <w:t>；</w:t>
      </w:r>
      <w:r>
        <w:rPr>
          <w:rFonts w:hint="eastAsia" w:eastAsia="宋体"/>
          <w:snapToGrid w:val="0"/>
          <w:color w:val="auto"/>
          <w:sz w:val="24"/>
          <w:highlight w:val="none"/>
          <w:lang w:val="en-US" w:eastAsia="zh-CN"/>
        </w:rPr>
        <w:t>招标</w:t>
      </w:r>
      <w:r>
        <w:rPr>
          <w:rFonts w:hint="eastAsia" w:eastAsia="宋体"/>
          <w:snapToGrid w:val="0"/>
          <w:color w:val="auto"/>
          <w:sz w:val="24"/>
          <w:highlight w:val="none"/>
          <w:lang w:eastAsia="zh-CN"/>
        </w:rPr>
        <w:t>公告中明确项目专门面向中小企业采购的，“</w:t>
      </w:r>
      <w:r>
        <w:rPr>
          <w:rFonts w:hint="eastAsia" w:eastAsia="宋体"/>
          <w:snapToGrid w:val="0"/>
          <w:color w:val="auto"/>
          <w:sz w:val="24"/>
          <w:highlight w:val="none"/>
        </w:rPr>
        <w:t>中小企业声明函</w:t>
      </w:r>
      <w:r>
        <w:rPr>
          <w:rFonts w:hint="eastAsia" w:eastAsia="宋体"/>
          <w:snapToGrid w:val="0"/>
          <w:color w:val="auto"/>
          <w:sz w:val="24"/>
          <w:highlight w:val="none"/>
          <w:lang w:eastAsia="zh-CN"/>
        </w:rPr>
        <w:t>”为资格要求文件，</w:t>
      </w:r>
      <w:r>
        <w:rPr>
          <w:rFonts w:hint="eastAsia" w:eastAsia="宋体"/>
          <w:snapToGrid w:val="0"/>
          <w:color w:val="auto"/>
          <w:sz w:val="24"/>
          <w:highlight w:val="none"/>
        </w:rPr>
        <w:t>供应商</w:t>
      </w:r>
      <w:r>
        <w:rPr>
          <w:rFonts w:hint="eastAsia" w:eastAsia="宋体"/>
          <w:snapToGrid w:val="0"/>
          <w:color w:val="auto"/>
          <w:sz w:val="24"/>
          <w:highlight w:val="none"/>
          <w:lang w:eastAsia="zh-CN"/>
        </w:rPr>
        <w:t>参与</w:t>
      </w:r>
      <w:r>
        <w:rPr>
          <w:rFonts w:hint="eastAsia" w:eastAsia="宋体"/>
          <w:snapToGrid w:val="0"/>
          <w:color w:val="auto"/>
          <w:sz w:val="24"/>
          <w:highlight w:val="none"/>
          <w:lang w:val="en-US" w:eastAsia="zh-CN"/>
        </w:rPr>
        <w:t>投标</w:t>
      </w:r>
      <w:r>
        <w:rPr>
          <w:rFonts w:hint="eastAsia" w:eastAsia="宋体"/>
          <w:snapToGrid w:val="0"/>
          <w:color w:val="auto"/>
          <w:sz w:val="24"/>
          <w:highlight w:val="none"/>
          <w:lang w:eastAsia="zh-CN"/>
        </w:rPr>
        <w:t>须按本</w:t>
      </w:r>
      <w:r>
        <w:rPr>
          <w:rFonts w:hint="eastAsia" w:eastAsia="宋体"/>
          <w:snapToGrid w:val="0"/>
          <w:color w:val="auto"/>
          <w:sz w:val="24"/>
          <w:highlight w:val="none"/>
          <w:lang w:val="en-US" w:eastAsia="zh-CN"/>
        </w:rPr>
        <w:t>招标</w:t>
      </w:r>
      <w:r>
        <w:rPr>
          <w:rFonts w:hint="eastAsia" w:eastAsia="宋体"/>
          <w:snapToGrid w:val="0"/>
          <w:color w:val="auto"/>
          <w:sz w:val="24"/>
          <w:highlight w:val="none"/>
          <w:lang w:eastAsia="zh-CN"/>
        </w:rPr>
        <w:t>文件规定格式</w:t>
      </w:r>
      <w:r>
        <w:rPr>
          <w:rFonts w:hint="eastAsia" w:eastAsia="宋体"/>
          <w:snapToGrid w:val="0"/>
          <w:color w:val="auto"/>
          <w:sz w:val="24"/>
          <w:highlight w:val="none"/>
        </w:rPr>
        <w:t>提供</w:t>
      </w:r>
      <w:r>
        <w:rPr>
          <w:rFonts w:hint="eastAsia" w:eastAsia="宋体"/>
          <w:snapToGrid w:val="0"/>
          <w:color w:val="auto"/>
          <w:sz w:val="24"/>
          <w:highlight w:val="none"/>
          <w:lang w:eastAsia="zh-CN"/>
        </w:rPr>
        <w:t>“</w:t>
      </w:r>
      <w:r>
        <w:rPr>
          <w:rFonts w:hint="eastAsia" w:eastAsia="宋体"/>
          <w:snapToGrid w:val="0"/>
          <w:color w:val="auto"/>
          <w:sz w:val="24"/>
          <w:highlight w:val="none"/>
        </w:rPr>
        <w:t>中小企业声明函</w:t>
      </w:r>
      <w:r>
        <w:rPr>
          <w:rFonts w:hint="eastAsia" w:eastAsia="宋体"/>
          <w:snapToGrid w:val="0"/>
          <w:color w:val="auto"/>
          <w:sz w:val="24"/>
          <w:highlight w:val="none"/>
          <w:lang w:eastAsia="zh-CN"/>
        </w:rPr>
        <w:t>”</w:t>
      </w:r>
      <w:r>
        <w:rPr>
          <w:rFonts w:hint="eastAsia" w:eastAsia="宋体"/>
          <w:snapToGrid w:val="0"/>
          <w:color w:val="auto"/>
          <w:sz w:val="24"/>
          <w:highlight w:val="none"/>
          <w:lang w:val="en-US" w:eastAsia="zh-CN"/>
        </w:rPr>
        <w:t>或“</w:t>
      </w:r>
      <w:r>
        <w:rPr>
          <w:rFonts w:hint="eastAsia" w:eastAsia="宋体"/>
          <w:snapToGrid w:val="0"/>
          <w:color w:val="auto"/>
          <w:sz w:val="24"/>
          <w:highlight w:val="none"/>
        </w:rPr>
        <w:t>监狱企业证明文件</w:t>
      </w:r>
      <w:r>
        <w:rPr>
          <w:rFonts w:hint="eastAsia" w:eastAsia="宋体"/>
          <w:snapToGrid w:val="0"/>
          <w:color w:val="auto"/>
          <w:sz w:val="24"/>
          <w:highlight w:val="none"/>
          <w:lang w:eastAsia="zh-CN"/>
        </w:rPr>
        <w:t>”</w:t>
      </w:r>
      <w:r>
        <w:rPr>
          <w:rFonts w:hint="eastAsia" w:eastAsia="宋体"/>
          <w:snapToGrid w:val="0"/>
          <w:color w:val="auto"/>
          <w:sz w:val="24"/>
          <w:highlight w:val="none"/>
          <w:lang w:val="en-US" w:eastAsia="zh-CN"/>
        </w:rPr>
        <w:t>或</w:t>
      </w:r>
      <w:r>
        <w:rPr>
          <w:rFonts w:hint="eastAsia" w:eastAsia="宋体"/>
          <w:snapToGrid w:val="0"/>
          <w:color w:val="auto"/>
          <w:sz w:val="24"/>
          <w:highlight w:val="none"/>
          <w:lang w:eastAsia="zh-CN"/>
        </w:rPr>
        <w:t>“</w:t>
      </w:r>
      <w:r>
        <w:rPr>
          <w:rFonts w:hint="eastAsia" w:eastAsia="宋体"/>
          <w:snapToGrid w:val="0"/>
          <w:color w:val="auto"/>
          <w:sz w:val="24"/>
          <w:highlight w:val="none"/>
        </w:rPr>
        <w:t>残疾人福利性单位声明函</w:t>
      </w:r>
      <w:r>
        <w:rPr>
          <w:rFonts w:hint="eastAsia" w:eastAsia="宋体"/>
          <w:snapToGrid w:val="0"/>
          <w:color w:val="auto"/>
          <w:sz w:val="24"/>
          <w:highlight w:val="none"/>
          <w:lang w:eastAsia="zh-CN"/>
        </w:rPr>
        <w:t>”等作为资格证明文件。</w:t>
      </w:r>
      <w:r>
        <w:rPr>
          <w:rFonts w:hint="eastAsia" w:eastAsia="宋体"/>
          <w:snapToGrid w:val="0"/>
          <w:color w:val="auto"/>
          <w:sz w:val="24"/>
          <w:highlight w:val="none"/>
          <w:lang w:val="en-US" w:eastAsia="zh-CN"/>
        </w:rPr>
        <w:t xml:space="preserve"> </w:t>
      </w:r>
    </w:p>
    <w:p w14:paraId="743E5E0E">
      <w:pPr>
        <w:pStyle w:val="37"/>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3</w:t>
      </w:r>
      <w:r>
        <w:rPr>
          <w:rFonts w:hint="default" w:eastAsia="宋体"/>
          <w:snapToGrid w:val="0"/>
          <w:color w:val="auto"/>
          <w:sz w:val="24"/>
          <w:highlight w:val="none"/>
          <w:lang w:val="en-US" w:eastAsia="zh-CN"/>
        </w:rPr>
        <w:t xml:space="preserve"> </w:t>
      </w:r>
      <w:r>
        <w:rPr>
          <w:rFonts w:hint="eastAsia" w:eastAsia="宋体"/>
          <w:snapToGrid w:val="0"/>
          <w:color w:val="auto"/>
          <w:sz w:val="24"/>
          <w:highlight w:val="none"/>
          <w:lang w:val="en-US" w:eastAsia="zh-CN"/>
        </w:rPr>
        <w:t xml:space="preserve">投标人提供的货物、工程或者服务符合下列情形的，享受中小企业扶持政策： </w:t>
      </w:r>
    </w:p>
    <w:p w14:paraId="07E7A00A">
      <w:pPr>
        <w:pStyle w:val="37"/>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rPr>
      </w:pPr>
      <w:r>
        <w:rPr>
          <w:rFonts w:hint="eastAsia" w:eastAsia="宋体"/>
          <w:snapToGrid w:val="0"/>
          <w:color w:val="auto"/>
          <w:sz w:val="24"/>
          <w:highlight w:val="none"/>
          <w:lang w:val="en-US" w:eastAsia="zh-CN"/>
        </w:rPr>
        <w:t>（</w:t>
      </w:r>
      <w:r>
        <w:rPr>
          <w:rFonts w:hint="default" w:eastAsia="宋体"/>
          <w:snapToGrid w:val="0"/>
          <w:color w:val="auto"/>
          <w:sz w:val="24"/>
          <w:highlight w:val="none"/>
          <w:lang w:val="en-US" w:eastAsia="zh-CN"/>
        </w:rPr>
        <w:t>1</w:t>
      </w:r>
      <w:r>
        <w:rPr>
          <w:rFonts w:hint="eastAsia" w:eastAsia="宋体"/>
          <w:snapToGrid w:val="0"/>
          <w:color w:val="auto"/>
          <w:sz w:val="24"/>
          <w:highlight w:val="none"/>
          <w:lang w:val="en-US" w:eastAsia="zh-CN"/>
        </w:rPr>
        <w:t xml:space="preserve">）在货物采购项目中，货物由中小企业制造，即货物由中小企业生产且使用该中小企业商号或者注册商标； </w:t>
      </w:r>
    </w:p>
    <w:p w14:paraId="128FB5A1">
      <w:pPr>
        <w:pStyle w:val="37"/>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rPr>
      </w:pPr>
      <w:r>
        <w:rPr>
          <w:rFonts w:hint="eastAsia" w:eastAsia="宋体"/>
          <w:snapToGrid w:val="0"/>
          <w:color w:val="auto"/>
          <w:sz w:val="24"/>
          <w:highlight w:val="none"/>
          <w:lang w:val="en-US" w:eastAsia="zh-CN"/>
        </w:rPr>
        <w:t>（</w:t>
      </w:r>
      <w:r>
        <w:rPr>
          <w:rFonts w:hint="default" w:eastAsia="宋体"/>
          <w:snapToGrid w:val="0"/>
          <w:color w:val="auto"/>
          <w:sz w:val="24"/>
          <w:highlight w:val="none"/>
          <w:lang w:val="en-US" w:eastAsia="zh-CN"/>
        </w:rPr>
        <w:t>2</w:t>
      </w:r>
      <w:r>
        <w:rPr>
          <w:rFonts w:hint="eastAsia" w:eastAsia="宋体"/>
          <w:snapToGrid w:val="0"/>
          <w:color w:val="auto"/>
          <w:sz w:val="24"/>
          <w:highlight w:val="none"/>
          <w:lang w:val="en-US" w:eastAsia="zh-CN"/>
        </w:rPr>
        <w:t xml:space="preserve">）在工程采购项目中，工程由中小企业承建，即工程施工单位为中小企业； </w:t>
      </w:r>
    </w:p>
    <w:p w14:paraId="4557B965">
      <w:pPr>
        <w:pStyle w:val="37"/>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rPr>
      </w:pPr>
      <w:r>
        <w:rPr>
          <w:rFonts w:hint="eastAsia" w:eastAsia="宋体"/>
          <w:snapToGrid w:val="0"/>
          <w:color w:val="auto"/>
          <w:sz w:val="24"/>
          <w:highlight w:val="none"/>
          <w:lang w:val="en-US" w:eastAsia="zh-CN"/>
        </w:rPr>
        <w:t>（</w:t>
      </w:r>
      <w:r>
        <w:rPr>
          <w:rFonts w:hint="default" w:eastAsia="宋体"/>
          <w:snapToGrid w:val="0"/>
          <w:color w:val="auto"/>
          <w:sz w:val="24"/>
          <w:highlight w:val="none"/>
          <w:lang w:val="en-US" w:eastAsia="zh-CN"/>
        </w:rPr>
        <w:t>3</w:t>
      </w:r>
      <w:r>
        <w:rPr>
          <w:rFonts w:hint="eastAsia" w:eastAsia="宋体"/>
          <w:snapToGrid w:val="0"/>
          <w:color w:val="auto"/>
          <w:sz w:val="24"/>
          <w:highlight w:val="none"/>
          <w:lang w:val="en-US" w:eastAsia="zh-CN"/>
        </w:rPr>
        <w:t>）在服务采购项目中，服务由中小企业承接，即提供服务的人员为中小企业依照《中华人民共和国劳动合同法》订立劳动合同的从业人员。</w:t>
      </w:r>
    </w:p>
    <w:p w14:paraId="5C38B69F">
      <w:pPr>
        <w:pStyle w:val="37"/>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eastAsia="宋体"/>
          <w:snapToGrid w:val="0"/>
          <w:color w:val="auto"/>
          <w:sz w:val="24"/>
          <w:highlight w:val="none"/>
          <w:lang w:val="en-US" w:eastAsia="zh-CN"/>
        </w:rPr>
        <w:t>.</w:t>
      </w:r>
      <w:r>
        <w:rPr>
          <w:rFonts w:hint="eastAsia" w:eastAsia="宋体"/>
          <w:snapToGrid w:val="0"/>
          <w:color w:val="auto"/>
          <w:sz w:val="24"/>
          <w:highlight w:val="none"/>
          <w:lang w:val="en-US" w:eastAsia="zh-CN"/>
        </w:rPr>
        <w:t>4</w:t>
      </w:r>
      <w:r>
        <w:rPr>
          <w:rFonts w:eastAsia="宋体"/>
          <w:snapToGrid w:val="0"/>
          <w:color w:val="auto"/>
          <w:sz w:val="24"/>
          <w:highlight w:val="none"/>
          <w:lang w:val="en-US" w:eastAsia="zh-CN"/>
        </w:rPr>
        <w:t xml:space="preserve"> </w:t>
      </w:r>
      <w:r>
        <w:rPr>
          <w:rFonts w:hint="eastAsia" w:eastAsia="宋体"/>
          <w:snapToGrid w:val="0"/>
          <w:color w:val="auto"/>
          <w:sz w:val="24"/>
          <w:highlight w:val="none"/>
          <w:lang w:val="en-US" w:eastAsia="zh-CN"/>
        </w:rPr>
        <w:t xml:space="preserve">在货物采购项目中，投标人提供的货物既有中小企业制造货物，也有大型企业制造货物的，不享受中小企业扶持政策。 </w:t>
      </w:r>
    </w:p>
    <w:p w14:paraId="0B6C9A16">
      <w:pPr>
        <w:pStyle w:val="37"/>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5</w:t>
      </w:r>
      <w:r>
        <w:rPr>
          <w:rFonts w:hint="default" w:eastAsia="宋体"/>
          <w:snapToGrid w:val="0"/>
          <w:color w:val="auto"/>
          <w:sz w:val="24"/>
          <w:highlight w:val="none"/>
          <w:lang w:val="en-US" w:eastAsia="zh-CN"/>
        </w:rPr>
        <w:t xml:space="preserve"> </w:t>
      </w:r>
      <w:r>
        <w:rPr>
          <w:rFonts w:hint="eastAsia" w:eastAsia="宋体"/>
          <w:snapToGrid w:val="0"/>
          <w:color w:val="auto"/>
          <w:sz w:val="24"/>
          <w:highlight w:val="none"/>
          <w:lang w:val="en-US" w:eastAsia="zh-CN"/>
        </w:rPr>
        <w:t xml:space="preserve">以联合体形式参加政府采购活动，联合体各方均为中小企业的，联合体视同中小企业。其中，联合体各方均为小微企业的，联合体视同小微企业。  </w:t>
      </w:r>
    </w:p>
    <w:p w14:paraId="589A89E3">
      <w:pPr>
        <w:pStyle w:val="37"/>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6</w:t>
      </w:r>
      <w:r>
        <w:rPr>
          <w:rFonts w:hint="default" w:eastAsia="宋体"/>
          <w:snapToGrid w:val="0"/>
          <w:color w:val="auto"/>
          <w:sz w:val="24"/>
          <w:highlight w:val="none"/>
          <w:lang w:val="en-US" w:eastAsia="zh-CN"/>
        </w:rPr>
        <w:t xml:space="preserve"> </w:t>
      </w:r>
      <w:r>
        <w:rPr>
          <w:rFonts w:hint="eastAsia" w:eastAsia="宋体"/>
          <w:snapToGrid w:val="0"/>
          <w:color w:val="auto"/>
          <w:sz w:val="24"/>
          <w:highlight w:val="none"/>
          <w:lang w:val="en-US" w:eastAsia="zh-CN"/>
        </w:rPr>
        <w:t xml:space="preserve">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 </w:t>
      </w:r>
    </w:p>
    <w:p w14:paraId="1EF9D90B">
      <w:pPr>
        <w:pStyle w:val="37"/>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7</w:t>
      </w:r>
      <w:r>
        <w:rPr>
          <w:rFonts w:hint="default" w:eastAsia="宋体"/>
          <w:snapToGrid w:val="0"/>
          <w:color w:val="auto"/>
          <w:sz w:val="24"/>
          <w:highlight w:val="none"/>
          <w:lang w:val="en-US" w:eastAsia="zh-CN"/>
        </w:rPr>
        <w:t xml:space="preserve"> </w:t>
      </w:r>
      <w:r>
        <w:rPr>
          <w:rFonts w:hint="eastAsia" w:eastAsia="宋体"/>
          <w:snapToGrid w:val="0"/>
          <w:color w:val="auto"/>
          <w:sz w:val="24"/>
          <w:highlight w:val="none"/>
          <w:lang w:val="en-US" w:eastAsia="zh-CN"/>
        </w:rPr>
        <w:t xml:space="preserve">在政府采购活动中，残疾人福利性单位视同小型、微型企业，享受预留份额、评审中价格扣除等促进中小企业发展的政府采购政策。残疾人福利性单位定义：享受政府采购支持政策的残疾人福利性单位应当同时满足以下条件： </w:t>
      </w:r>
    </w:p>
    <w:p w14:paraId="2EADF7DB">
      <w:pPr>
        <w:pStyle w:val="37"/>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7</w:t>
      </w:r>
      <w:r>
        <w:rPr>
          <w:rFonts w:hint="default" w:eastAsia="宋体"/>
          <w:snapToGrid w:val="0"/>
          <w:color w:val="auto"/>
          <w:sz w:val="24"/>
          <w:highlight w:val="none"/>
          <w:lang w:val="en-US" w:eastAsia="zh-CN"/>
        </w:rPr>
        <w:t xml:space="preserve">.1 </w:t>
      </w:r>
      <w:r>
        <w:rPr>
          <w:rFonts w:hint="eastAsia" w:eastAsia="宋体"/>
          <w:snapToGrid w:val="0"/>
          <w:color w:val="auto"/>
          <w:sz w:val="24"/>
          <w:highlight w:val="none"/>
          <w:lang w:val="en-US" w:eastAsia="zh-CN"/>
        </w:rPr>
        <w:t xml:space="preserve">安置的残疾人占本单位在职职工人数的比例不低于 </w:t>
      </w:r>
      <w:r>
        <w:rPr>
          <w:rFonts w:hint="default" w:eastAsia="宋体"/>
          <w:snapToGrid w:val="0"/>
          <w:color w:val="auto"/>
          <w:sz w:val="24"/>
          <w:highlight w:val="none"/>
          <w:lang w:val="en-US" w:eastAsia="zh-CN"/>
        </w:rPr>
        <w:t xml:space="preserve">25% </w:t>
      </w:r>
      <w:r>
        <w:rPr>
          <w:rFonts w:hint="eastAsia" w:eastAsia="宋体"/>
          <w:snapToGrid w:val="0"/>
          <w:color w:val="auto"/>
          <w:sz w:val="24"/>
          <w:highlight w:val="none"/>
          <w:lang w:val="en-US" w:eastAsia="zh-CN"/>
        </w:rPr>
        <w:t xml:space="preserve">（含 </w:t>
      </w:r>
      <w:r>
        <w:rPr>
          <w:rFonts w:hint="default" w:eastAsia="宋体"/>
          <w:snapToGrid w:val="0"/>
          <w:color w:val="auto"/>
          <w:sz w:val="24"/>
          <w:highlight w:val="none"/>
          <w:lang w:val="en-US" w:eastAsia="zh-CN"/>
        </w:rPr>
        <w:t>25%</w:t>
      </w:r>
      <w:r>
        <w:rPr>
          <w:rFonts w:hint="eastAsia" w:eastAsia="宋体"/>
          <w:snapToGrid w:val="0"/>
          <w:color w:val="auto"/>
          <w:sz w:val="24"/>
          <w:highlight w:val="none"/>
          <w:lang w:val="en-US" w:eastAsia="zh-CN"/>
        </w:rPr>
        <w:t xml:space="preserve">），并且安置的残疾人人数不少于 </w:t>
      </w:r>
      <w:r>
        <w:rPr>
          <w:rFonts w:hint="default" w:eastAsia="宋体"/>
          <w:snapToGrid w:val="0"/>
          <w:color w:val="auto"/>
          <w:sz w:val="24"/>
          <w:highlight w:val="none"/>
          <w:lang w:val="en-US" w:eastAsia="zh-CN"/>
        </w:rPr>
        <w:t xml:space="preserve">10 </w:t>
      </w:r>
      <w:r>
        <w:rPr>
          <w:rFonts w:hint="eastAsia" w:eastAsia="宋体"/>
          <w:snapToGrid w:val="0"/>
          <w:color w:val="auto"/>
          <w:sz w:val="24"/>
          <w:highlight w:val="none"/>
          <w:lang w:val="en-US" w:eastAsia="zh-CN"/>
        </w:rPr>
        <w:t xml:space="preserve">人（含 </w:t>
      </w:r>
      <w:r>
        <w:rPr>
          <w:rFonts w:hint="default" w:eastAsia="宋体"/>
          <w:snapToGrid w:val="0"/>
          <w:color w:val="auto"/>
          <w:sz w:val="24"/>
          <w:highlight w:val="none"/>
          <w:lang w:val="en-US" w:eastAsia="zh-CN"/>
        </w:rPr>
        <w:t>10</w:t>
      </w:r>
      <w:r>
        <w:rPr>
          <w:rFonts w:hint="eastAsia" w:eastAsia="宋体"/>
          <w:snapToGrid w:val="0"/>
          <w:color w:val="auto"/>
          <w:sz w:val="24"/>
          <w:highlight w:val="none"/>
          <w:lang w:val="en-US" w:eastAsia="zh-CN"/>
        </w:rPr>
        <w:t xml:space="preserve">人）； </w:t>
      </w:r>
    </w:p>
    <w:p w14:paraId="5B128E6C">
      <w:pPr>
        <w:pStyle w:val="37"/>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7</w:t>
      </w:r>
      <w:r>
        <w:rPr>
          <w:rFonts w:hint="default" w:eastAsia="宋体"/>
          <w:snapToGrid w:val="0"/>
          <w:color w:val="auto"/>
          <w:sz w:val="24"/>
          <w:highlight w:val="none"/>
          <w:lang w:val="en-US" w:eastAsia="zh-CN"/>
        </w:rPr>
        <w:t xml:space="preserve">.2 </w:t>
      </w:r>
      <w:r>
        <w:rPr>
          <w:rFonts w:hint="eastAsia" w:eastAsia="宋体"/>
          <w:snapToGrid w:val="0"/>
          <w:color w:val="auto"/>
          <w:sz w:val="24"/>
          <w:highlight w:val="none"/>
          <w:lang w:val="en-US" w:eastAsia="zh-CN"/>
        </w:rPr>
        <w:t xml:space="preserve">依法与安置的每位残疾人签订了1年以上（含1年）的劳动合同或服务协议； </w:t>
      </w:r>
    </w:p>
    <w:p w14:paraId="750299D4">
      <w:pPr>
        <w:pStyle w:val="37"/>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7</w:t>
      </w:r>
      <w:r>
        <w:rPr>
          <w:rFonts w:hint="default" w:eastAsia="宋体"/>
          <w:snapToGrid w:val="0"/>
          <w:color w:val="auto"/>
          <w:sz w:val="24"/>
          <w:highlight w:val="none"/>
          <w:lang w:val="en-US" w:eastAsia="zh-CN"/>
        </w:rPr>
        <w:t xml:space="preserve">.3 </w:t>
      </w:r>
      <w:r>
        <w:rPr>
          <w:rFonts w:hint="eastAsia" w:eastAsia="宋体"/>
          <w:snapToGrid w:val="0"/>
          <w:color w:val="auto"/>
          <w:sz w:val="24"/>
          <w:highlight w:val="none"/>
          <w:lang w:val="en-US" w:eastAsia="zh-CN"/>
        </w:rPr>
        <w:t xml:space="preserve">为安置的每位残疾人按月足额缴纳了基本养老保险、基本医疗保险、失业保险、工伤保险和生育保险等社会保险费； </w:t>
      </w:r>
    </w:p>
    <w:p w14:paraId="5494926D">
      <w:pPr>
        <w:pStyle w:val="37"/>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7</w:t>
      </w:r>
      <w:r>
        <w:rPr>
          <w:rFonts w:hint="default" w:eastAsia="宋体"/>
          <w:snapToGrid w:val="0"/>
          <w:color w:val="auto"/>
          <w:sz w:val="24"/>
          <w:highlight w:val="none"/>
          <w:lang w:val="en-US" w:eastAsia="zh-CN"/>
        </w:rPr>
        <w:t xml:space="preserve">.4 </w:t>
      </w:r>
      <w:r>
        <w:rPr>
          <w:rFonts w:hint="eastAsia" w:eastAsia="宋体"/>
          <w:snapToGrid w:val="0"/>
          <w:color w:val="auto"/>
          <w:sz w:val="24"/>
          <w:highlight w:val="none"/>
          <w:lang w:val="en-US" w:eastAsia="zh-CN"/>
        </w:rPr>
        <w:t xml:space="preserve">通过银行等金融机构向安置的每位残疾人，按月支付了不低于单位所在区县适用的经省级人民政府批准的月最低工资标准的工资； </w:t>
      </w:r>
    </w:p>
    <w:p w14:paraId="6AD696D2">
      <w:pPr>
        <w:pStyle w:val="37"/>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7</w:t>
      </w:r>
      <w:r>
        <w:rPr>
          <w:rFonts w:hint="default" w:eastAsia="宋体"/>
          <w:snapToGrid w:val="0"/>
          <w:color w:val="auto"/>
          <w:sz w:val="24"/>
          <w:highlight w:val="none"/>
          <w:lang w:val="en-US" w:eastAsia="zh-CN"/>
        </w:rPr>
        <w:t xml:space="preserve">.5 </w:t>
      </w:r>
      <w:r>
        <w:rPr>
          <w:rFonts w:hint="eastAsia" w:eastAsia="宋体"/>
          <w:snapToGrid w:val="0"/>
          <w:color w:val="auto"/>
          <w:sz w:val="24"/>
          <w:highlight w:val="none"/>
          <w:lang w:val="en-US" w:eastAsia="zh-CN"/>
        </w:rPr>
        <w:t xml:space="preserve">提供本单位制造的货物、承担的工程或者服务（以下简称产品），或者提供其他残疾人福利性单位制造的货物（不包括使用非残疾人福利性单位注册商标的货物）； </w:t>
      </w:r>
    </w:p>
    <w:p w14:paraId="6F6930A8">
      <w:pPr>
        <w:pStyle w:val="37"/>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7</w:t>
      </w:r>
      <w:r>
        <w:rPr>
          <w:rFonts w:hint="default" w:eastAsia="宋体"/>
          <w:snapToGrid w:val="0"/>
          <w:color w:val="auto"/>
          <w:sz w:val="24"/>
          <w:highlight w:val="none"/>
          <w:lang w:val="en-US" w:eastAsia="zh-CN"/>
        </w:rPr>
        <w:t xml:space="preserve">.6 </w:t>
      </w:r>
      <w:r>
        <w:rPr>
          <w:rFonts w:hint="eastAsia" w:eastAsia="宋体"/>
          <w:snapToGrid w:val="0"/>
          <w:color w:val="auto"/>
          <w:sz w:val="24"/>
          <w:highlight w:val="none"/>
          <w:lang w:val="en-US" w:eastAsia="zh-CN"/>
        </w:rPr>
        <w:t>前款所称残疾人是指法定劳动年龄内，持有《中华人民共和国残疾人证》或者《中华人民共和国残疾军人证（</w:t>
      </w:r>
      <w:r>
        <w:rPr>
          <w:rFonts w:eastAsia="宋体"/>
          <w:snapToGrid w:val="0"/>
          <w:color w:val="auto"/>
          <w:sz w:val="24"/>
          <w:highlight w:val="none"/>
          <w:lang w:val="en-US" w:eastAsia="zh-CN"/>
        </w:rPr>
        <w:t xml:space="preserve">1 </w:t>
      </w:r>
      <w:r>
        <w:rPr>
          <w:rFonts w:hint="eastAsia" w:eastAsia="宋体"/>
          <w:snapToGrid w:val="0"/>
          <w:color w:val="auto"/>
          <w:sz w:val="24"/>
          <w:highlight w:val="none"/>
          <w:lang w:val="en-US" w:eastAsia="zh-CN"/>
        </w:rPr>
        <w:t xml:space="preserve">至 </w:t>
      </w:r>
      <w:r>
        <w:rPr>
          <w:rFonts w:hint="default" w:eastAsia="宋体"/>
          <w:snapToGrid w:val="0"/>
          <w:color w:val="auto"/>
          <w:sz w:val="24"/>
          <w:highlight w:val="none"/>
          <w:lang w:val="en-US" w:eastAsia="zh-CN"/>
        </w:rPr>
        <w:t xml:space="preserve">8 </w:t>
      </w:r>
      <w:r>
        <w:rPr>
          <w:rFonts w:hint="eastAsia" w:eastAsia="宋体"/>
          <w:snapToGrid w:val="0"/>
          <w:color w:val="auto"/>
          <w:sz w:val="24"/>
          <w:highlight w:val="none"/>
          <w:lang w:val="en-US" w:eastAsia="zh-CN"/>
        </w:rPr>
        <w:t xml:space="preserve">级）》的自然人，包括具有劳动条件和劳动意愿的精神残疾人。在职职工人数是指与残疾人福利性单位建立劳动关系并依法签订劳动合同或服务协议的雇员人数。 </w:t>
      </w:r>
    </w:p>
    <w:p w14:paraId="50A69BFA">
      <w:pPr>
        <w:pStyle w:val="37"/>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8</w:t>
      </w:r>
      <w:r>
        <w:rPr>
          <w:rFonts w:hint="default" w:eastAsia="宋体"/>
          <w:snapToGrid w:val="0"/>
          <w:color w:val="auto"/>
          <w:sz w:val="24"/>
          <w:highlight w:val="none"/>
          <w:lang w:val="en-US" w:eastAsia="zh-CN"/>
        </w:rPr>
        <w:t xml:space="preserve"> </w:t>
      </w:r>
      <w:r>
        <w:rPr>
          <w:rFonts w:hint="eastAsia" w:eastAsia="宋体"/>
          <w:snapToGrid w:val="0"/>
          <w:color w:val="auto"/>
          <w:sz w:val="24"/>
          <w:highlight w:val="none"/>
          <w:lang w:val="en-US" w:eastAsia="zh-CN"/>
        </w:rPr>
        <w:t>本项目是否专门面向中小企业预留采购份额见“第一章 招标公告”。    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9</w:t>
      </w:r>
      <w:r>
        <w:rPr>
          <w:rFonts w:hint="default" w:eastAsia="宋体"/>
          <w:snapToGrid w:val="0"/>
          <w:color w:val="auto"/>
          <w:sz w:val="24"/>
          <w:highlight w:val="none"/>
          <w:lang w:val="en-US" w:eastAsia="zh-CN"/>
        </w:rPr>
        <w:t xml:space="preserve"> </w:t>
      </w:r>
      <w:r>
        <w:rPr>
          <w:rFonts w:hint="eastAsia" w:eastAsia="宋体"/>
          <w:snapToGrid w:val="0"/>
          <w:color w:val="auto"/>
          <w:sz w:val="24"/>
          <w:highlight w:val="none"/>
          <w:lang w:val="en-US" w:eastAsia="zh-CN"/>
        </w:rPr>
        <w:t>采购标的对应的中小企业划分标准所属行业见“投标人须知前附表”。    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10</w:t>
      </w:r>
      <w:r>
        <w:rPr>
          <w:rFonts w:hint="default" w:eastAsia="宋体"/>
          <w:snapToGrid w:val="0"/>
          <w:color w:val="auto"/>
          <w:sz w:val="24"/>
          <w:highlight w:val="none"/>
          <w:lang w:val="en-US" w:eastAsia="zh-CN"/>
        </w:rPr>
        <w:t xml:space="preserve"> </w:t>
      </w:r>
      <w:r>
        <w:rPr>
          <w:rFonts w:hint="eastAsia" w:eastAsia="宋体"/>
          <w:snapToGrid w:val="0"/>
          <w:color w:val="auto"/>
          <w:sz w:val="24"/>
          <w:highlight w:val="none"/>
          <w:lang w:val="en-US" w:eastAsia="zh-CN"/>
        </w:rPr>
        <w:t>小微企业价格评审优惠的政策调整：见“投标人须知前附表”及“第五章 评标方法及标准”。</w:t>
      </w:r>
    </w:p>
    <w:p w14:paraId="17DD5FF7">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236" w:name="_Toc163492878"/>
      <w:r>
        <w:rPr>
          <w:rFonts w:hint="eastAsia" w:ascii="宋体" w:hAnsi="宋体" w:eastAsia="宋体" w:cs="宋体"/>
          <w:b/>
          <w:bCs/>
          <w:color w:val="auto"/>
          <w:kern w:val="2"/>
          <w:sz w:val="24"/>
          <w:szCs w:val="28"/>
          <w:highlight w:val="none"/>
          <w:lang w:val="en-US" w:eastAsia="zh-CN" w:bidi="ar-SA"/>
        </w:rPr>
        <w:t>43.政府采购节能产品、环境标志产品</w:t>
      </w:r>
      <w:bookmarkEnd w:id="236"/>
    </w:p>
    <w:p w14:paraId="741E7E7A">
      <w:pPr>
        <w:pStyle w:val="37"/>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rPr>
      </w:pPr>
      <w:r>
        <w:rPr>
          <w:rFonts w:hint="eastAsia" w:eastAsia="宋体"/>
          <w:snapToGrid w:val="0"/>
          <w:color w:val="auto"/>
          <w:sz w:val="24"/>
          <w:highlight w:val="none"/>
          <w:lang w:val="en-US" w:eastAsia="zh-CN"/>
        </w:rPr>
        <w:t>43</w:t>
      </w:r>
      <w:r>
        <w:rPr>
          <w:rFonts w:eastAsia="宋体"/>
          <w:snapToGrid w:val="0"/>
          <w:color w:val="auto"/>
          <w:sz w:val="24"/>
          <w:highlight w:val="none"/>
          <w:lang w:val="en-US" w:eastAsia="zh-CN"/>
        </w:rPr>
        <w:t xml:space="preserve">.1 </w:t>
      </w:r>
      <w:r>
        <w:rPr>
          <w:rFonts w:hint="eastAsia" w:eastAsia="宋体"/>
          <w:snapToGrid w:val="0"/>
          <w:color w:val="auto"/>
          <w:sz w:val="24"/>
          <w:highlight w:val="none"/>
          <w:lang w:val="en-US" w:eastAsia="zh-CN"/>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关于政府采购节能产品、环境标志产品的相关规定依据《关于调整优化节能产品、环境标志产品政府采购执行机制的通知》（财库〔</w:t>
      </w:r>
      <w:r>
        <w:rPr>
          <w:rFonts w:hint="default" w:eastAsia="宋体"/>
          <w:snapToGrid w:val="0"/>
          <w:color w:val="auto"/>
          <w:sz w:val="24"/>
          <w:highlight w:val="none"/>
          <w:lang w:val="en-US" w:eastAsia="zh-CN"/>
        </w:rPr>
        <w:t>2019</w:t>
      </w:r>
      <w:r>
        <w:rPr>
          <w:rFonts w:hint="eastAsia" w:eastAsia="宋体"/>
          <w:snapToGrid w:val="0"/>
          <w:color w:val="auto"/>
          <w:sz w:val="24"/>
          <w:highlight w:val="none"/>
          <w:lang w:val="en-US" w:eastAsia="zh-CN"/>
        </w:rPr>
        <w:t>〕</w:t>
      </w:r>
      <w:r>
        <w:rPr>
          <w:rFonts w:hint="default" w:eastAsia="宋体"/>
          <w:snapToGrid w:val="0"/>
          <w:color w:val="auto"/>
          <w:sz w:val="24"/>
          <w:highlight w:val="none"/>
          <w:lang w:val="en-US" w:eastAsia="zh-CN"/>
        </w:rPr>
        <w:t xml:space="preserve">9 </w:t>
      </w:r>
      <w:r>
        <w:rPr>
          <w:rFonts w:hint="eastAsia" w:eastAsia="宋体"/>
          <w:snapToGrid w:val="0"/>
          <w:color w:val="auto"/>
          <w:sz w:val="24"/>
          <w:highlight w:val="none"/>
          <w:lang w:val="en-US" w:eastAsia="zh-CN"/>
        </w:rPr>
        <w:t>号）、《关于印发环境标志产品政府采购品目清单的通知》（财库〔2019〕18号）、《关于印发节能产品政府采购品目清单的通知》（财库〔2019〕19号）的规定。</w:t>
      </w:r>
    </w:p>
    <w:p w14:paraId="2EC4C51A">
      <w:pPr>
        <w:pStyle w:val="37"/>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rPr>
      </w:pPr>
      <w:r>
        <w:rPr>
          <w:rFonts w:hint="eastAsia" w:eastAsia="宋体"/>
          <w:snapToGrid w:val="0"/>
          <w:color w:val="auto"/>
          <w:sz w:val="24"/>
          <w:highlight w:val="none"/>
          <w:lang w:val="en-US" w:eastAsia="zh-CN"/>
        </w:rPr>
        <w:t>43</w:t>
      </w:r>
      <w:r>
        <w:rPr>
          <w:rFonts w:hint="default" w:eastAsia="宋体"/>
          <w:snapToGrid w:val="0"/>
          <w:color w:val="auto"/>
          <w:sz w:val="24"/>
          <w:highlight w:val="none"/>
          <w:lang w:val="en-US" w:eastAsia="zh-CN"/>
        </w:rPr>
        <w:t xml:space="preserve">.2 </w:t>
      </w:r>
      <w:r>
        <w:rPr>
          <w:rFonts w:hint="eastAsia" w:eastAsia="宋体"/>
          <w:snapToGrid w:val="0"/>
          <w:color w:val="auto"/>
          <w:sz w:val="24"/>
          <w:highlight w:val="none"/>
          <w:lang w:val="en-US" w:eastAsia="zh-CN"/>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 </w:t>
      </w:r>
    </w:p>
    <w:p w14:paraId="25CFE0EE">
      <w:pPr>
        <w:pStyle w:val="37"/>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rPr>
      </w:pPr>
      <w:r>
        <w:rPr>
          <w:rFonts w:hint="eastAsia" w:eastAsia="宋体"/>
          <w:snapToGrid w:val="0"/>
          <w:color w:val="auto"/>
          <w:sz w:val="24"/>
          <w:highlight w:val="none"/>
          <w:lang w:val="en-US" w:eastAsia="zh-CN"/>
        </w:rPr>
        <w:t>43</w:t>
      </w:r>
      <w:r>
        <w:rPr>
          <w:rFonts w:hint="default" w:eastAsia="宋体"/>
          <w:snapToGrid w:val="0"/>
          <w:color w:val="auto"/>
          <w:sz w:val="24"/>
          <w:highlight w:val="none"/>
          <w:lang w:val="en-US" w:eastAsia="zh-CN"/>
        </w:rPr>
        <w:t xml:space="preserve">.3 </w:t>
      </w:r>
      <w:r>
        <w:rPr>
          <w:rFonts w:hint="eastAsia" w:eastAsia="宋体"/>
          <w:snapToGrid w:val="0"/>
          <w:color w:val="auto"/>
          <w:sz w:val="24"/>
          <w:highlight w:val="none"/>
          <w:lang w:val="en-US" w:eastAsia="zh-CN"/>
        </w:rPr>
        <w:t>如本项目采购产品属于实施政府强制采购品目清单范围的节能产品，则投标人所报产品必须获得国家确定的认证机构出具的、处于有效期之内的节能产品认证证书，否则</w:t>
      </w:r>
      <w:r>
        <w:rPr>
          <w:rFonts w:hint="eastAsia" w:eastAsia="宋体"/>
          <w:b/>
          <w:bCs/>
          <w:snapToGrid w:val="0"/>
          <w:color w:val="auto"/>
          <w:sz w:val="24"/>
          <w:highlight w:val="none"/>
          <w:lang w:val="en-US" w:eastAsia="zh-CN"/>
        </w:rPr>
        <w:t>投标无效</w:t>
      </w:r>
      <w:r>
        <w:rPr>
          <w:rFonts w:hint="eastAsia" w:eastAsia="宋体"/>
          <w:snapToGrid w:val="0"/>
          <w:color w:val="auto"/>
          <w:sz w:val="24"/>
          <w:highlight w:val="none"/>
          <w:lang w:val="en-US" w:eastAsia="zh-CN"/>
        </w:rPr>
        <w:t xml:space="preserve">。 </w:t>
      </w:r>
    </w:p>
    <w:p w14:paraId="04E599F1">
      <w:pPr>
        <w:pStyle w:val="37"/>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rPr>
      </w:pPr>
      <w:r>
        <w:rPr>
          <w:rFonts w:hint="eastAsia" w:eastAsia="宋体"/>
          <w:snapToGrid w:val="0"/>
          <w:color w:val="auto"/>
          <w:sz w:val="24"/>
          <w:highlight w:val="none"/>
          <w:lang w:val="en-US" w:eastAsia="zh-CN"/>
        </w:rPr>
        <w:t>43</w:t>
      </w:r>
      <w:r>
        <w:rPr>
          <w:rFonts w:hint="default" w:eastAsia="宋体"/>
          <w:snapToGrid w:val="0"/>
          <w:color w:val="auto"/>
          <w:sz w:val="24"/>
          <w:highlight w:val="none"/>
          <w:lang w:val="en-US" w:eastAsia="zh-CN"/>
        </w:rPr>
        <w:t xml:space="preserve">.4 </w:t>
      </w:r>
      <w:r>
        <w:rPr>
          <w:rFonts w:hint="eastAsia" w:eastAsia="宋体"/>
          <w:snapToGrid w:val="0"/>
          <w:color w:val="auto"/>
          <w:sz w:val="24"/>
          <w:highlight w:val="none"/>
          <w:lang w:val="en-US" w:eastAsia="zh-CN"/>
        </w:rPr>
        <w:t>非政府强制采购的节能产品或环境标志产品，依据品目清单和认证证书实施政府优先采购。优先采购的具体规定见“第五章 评标方法及标准”（如涉及）。</w:t>
      </w:r>
    </w:p>
    <w:p w14:paraId="51B3D928">
      <w:pPr>
        <w:pStyle w:val="37"/>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snapToGrid w:val="0"/>
          <w:color w:val="auto"/>
          <w:sz w:val="24"/>
          <w:highlight w:val="none"/>
          <w:lang w:val="en-US" w:eastAsia="zh-CN"/>
        </w:rPr>
        <w:t xml:space="preserve">43.5 </w:t>
      </w:r>
      <w:r>
        <w:rPr>
          <w:rFonts w:hint="eastAsia" w:eastAsia="宋体"/>
          <w:snapToGrid w:val="0"/>
          <w:color w:val="auto"/>
          <w:sz w:val="24"/>
          <w:highlight w:val="none"/>
        </w:rPr>
        <w:t>投标人所投产品如属于节能产品政府采购品目清单、环境标志产品政府采购品目清单范围的，须提供国家确定的认证机构出具的、处于有效期内的产品认证证书，认证证书的产品型号与所投产品不一致的，视为未提供。属于政府强制采购产品的，</w:t>
      </w:r>
      <w:r>
        <w:rPr>
          <w:rFonts w:eastAsia="宋体"/>
          <w:snapToGrid w:val="0"/>
          <w:color w:val="auto"/>
          <w:sz w:val="24"/>
          <w:highlight w:val="none"/>
        </w:rPr>
        <w:t>已作为投标时强制性要求不再</w:t>
      </w:r>
      <w:r>
        <w:rPr>
          <w:rFonts w:hint="eastAsia" w:eastAsia="宋体"/>
          <w:snapToGrid w:val="0"/>
          <w:color w:val="auto"/>
          <w:sz w:val="24"/>
          <w:highlight w:val="none"/>
        </w:rPr>
        <w:t>给予</w:t>
      </w:r>
      <w:r>
        <w:rPr>
          <w:rFonts w:hint="eastAsia" w:eastAsia="宋体"/>
          <w:snapToGrid w:val="0"/>
          <w:color w:val="auto"/>
          <w:sz w:val="24"/>
          <w:highlight w:val="none"/>
          <w:lang w:val="en-US" w:eastAsia="zh-CN"/>
        </w:rPr>
        <w:t>评审优惠</w:t>
      </w:r>
      <w:r>
        <w:rPr>
          <w:rFonts w:hint="eastAsia" w:eastAsia="宋体"/>
          <w:snapToGrid w:val="0"/>
          <w:color w:val="auto"/>
          <w:sz w:val="24"/>
          <w:highlight w:val="none"/>
        </w:rPr>
        <w:t>，未提供认证证书的视为</w:t>
      </w:r>
      <w:r>
        <w:rPr>
          <w:rFonts w:hint="eastAsia" w:eastAsia="宋体"/>
          <w:b/>
          <w:bCs/>
          <w:snapToGrid w:val="0"/>
          <w:color w:val="auto"/>
          <w:sz w:val="24"/>
          <w:highlight w:val="none"/>
          <w:lang w:val="en-US" w:eastAsia="zh-CN"/>
        </w:rPr>
        <w:t>投标</w:t>
      </w:r>
      <w:r>
        <w:rPr>
          <w:rFonts w:hint="eastAsia" w:eastAsia="宋体"/>
          <w:b/>
          <w:bCs/>
          <w:snapToGrid w:val="0"/>
          <w:color w:val="auto"/>
          <w:sz w:val="24"/>
          <w:highlight w:val="none"/>
        </w:rPr>
        <w:t>无效</w:t>
      </w:r>
      <w:r>
        <w:rPr>
          <w:rFonts w:hint="eastAsia" w:eastAsia="宋体"/>
          <w:snapToGrid w:val="0"/>
          <w:color w:val="auto"/>
          <w:sz w:val="24"/>
          <w:highlight w:val="none"/>
        </w:rPr>
        <w:t>。属于</w:t>
      </w:r>
      <w:r>
        <w:rPr>
          <w:rFonts w:hint="eastAsia" w:eastAsia="宋体"/>
          <w:snapToGrid w:val="0"/>
          <w:color w:val="auto"/>
          <w:sz w:val="24"/>
          <w:highlight w:val="none"/>
          <w:lang w:val="en-US" w:eastAsia="zh-CN"/>
        </w:rPr>
        <w:t>优先采购</w:t>
      </w:r>
      <w:r>
        <w:rPr>
          <w:rFonts w:hint="eastAsia" w:eastAsia="宋体"/>
          <w:snapToGrid w:val="0"/>
          <w:color w:val="auto"/>
          <w:sz w:val="24"/>
          <w:highlight w:val="none"/>
        </w:rPr>
        <w:t>节能产品政府采购品目清单、环境标志产品政府采购品目清单</w:t>
      </w:r>
      <w:r>
        <w:rPr>
          <w:rFonts w:hint="eastAsia" w:eastAsia="宋体"/>
          <w:snapToGrid w:val="0"/>
          <w:color w:val="auto"/>
          <w:sz w:val="24"/>
          <w:highlight w:val="none"/>
          <w:lang w:eastAsia="zh-CN"/>
        </w:rPr>
        <w:t>、</w:t>
      </w:r>
      <w:r>
        <w:rPr>
          <w:rFonts w:hint="eastAsia" w:eastAsia="宋体"/>
          <w:snapToGrid w:val="0"/>
          <w:color w:val="auto"/>
          <w:sz w:val="24"/>
          <w:highlight w:val="none"/>
          <w:lang w:val="en-US" w:eastAsia="zh-CN"/>
        </w:rPr>
        <w:t>创新产品</w:t>
      </w:r>
      <w:r>
        <w:rPr>
          <w:rFonts w:hint="eastAsia" w:eastAsia="宋体"/>
          <w:snapToGrid w:val="0"/>
          <w:color w:val="auto"/>
          <w:sz w:val="24"/>
          <w:highlight w:val="none"/>
        </w:rPr>
        <w:t>范围的，按照“</w:t>
      </w:r>
      <w:r>
        <w:rPr>
          <w:rFonts w:hint="eastAsia" w:eastAsia="宋体"/>
          <w:color w:val="auto"/>
          <w:sz w:val="24"/>
          <w:highlight w:val="none"/>
          <w:lang w:val="en-US" w:eastAsia="zh-CN"/>
        </w:rPr>
        <w:t>第五章 评标方法及标准</w:t>
      </w:r>
      <w:r>
        <w:rPr>
          <w:rFonts w:hint="eastAsia" w:eastAsia="宋体"/>
          <w:snapToGrid w:val="0"/>
          <w:color w:val="auto"/>
          <w:sz w:val="24"/>
          <w:highlight w:val="none"/>
        </w:rPr>
        <w:t>”中相关规定</w:t>
      </w:r>
      <w:r>
        <w:rPr>
          <w:rFonts w:hint="eastAsia" w:eastAsia="宋体"/>
          <w:color w:val="auto"/>
          <w:sz w:val="24"/>
          <w:highlight w:val="none"/>
          <w:lang w:val="en-US" w:eastAsia="zh-CN"/>
        </w:rPr>
        <w:t>在评审时给予优惠，具体详见</w:t>
      </w:r>
      <w:r>
        <w:rPr>
          <w:rFonts w:hint="eastAsia" w:eastAsia="宋体"/>
          <w:snapToGrid w:val="0"/>
          <w:color w:val="auto"/>
          <w:sz w:val="24"/>
          <w:highlight w:val="none"/>
          <w:lang w:val="en-US" w:eastAsia="zh-CN"/>
        </w:rPr>
        <w:t>“投标人须知前附表”及</w:t>
      </w:r>
      <w:r>
        <w:rPr>
          <w:rFonts w:hint="eastAsia" w:eastAsia="宋体"/>
          <w:color w:val="auto"/>
          <w:sz w:val="24"/>
          <w:highlight w:val="none"/>
          <w:lang w:val="en-US" w:eastAsia="zh-CN"/>
        </w:rPr>
        <w:t>“第五章 评标方法及标准”</w:t>
      </w:r>
      <w:r>
        <w:rPr>
          <w:rFonts w:hint="eastAsia" w:eastAsia="宋体"/>
          <w:color w:val="auto"/>
          <w:sz w:val="24"/>
          <w:highlight w:val="none"/>
        </w:rPr>
        <w:t>。</w:t>
      </w:r>
    </w:p>
    <w:p w14:paraId="5F04C72A">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default" w:ascii="宋体" w:hAnsi="宋体" w:eastAsia="宋体" w:cs="宋体"/>
          <w:b/>
          <w:bCs/>
          <w:color w:val="auto"/>
          <w:kern w:val="2"/>
          <w:sz w:val="24"/>
          <w:szCs w:val="28"/>
          <w:highlight w:val="none"/>
          <w:lang w:val="en-US" w:eastAsia="zh-CN" w:bidi="ar-SA"/>
        </w:rPr>
      </w:pPr>
      <w:bookmarkStart w:id="237" w:name="_Toc163492879"/>
      <w:r>
        <w:rPr>
          <w:rFonts w:hint="eastAsia" w:ascii="宋体" w:hAnsi="宋体" w:eastAsia="宋体" w:cs="宋体"/>
          <w:b/>
          <w:bCs/>
          <w:color w:val="auto"/>
          <w:kern w:val="2"/>
          <w:sz w:val="24"/>
          <w:szCs w:val="28"/>
          <w:highlight w:val="none"/>
          <w:lang w:val="en-US" w:eastAsia="zh-CN" w:bidi="ar-SA"/>
        </w:rPr>
        <w:t xml:space="preserve">44.正版软件  </w:t>
      </w:r>
    </w:p>
    <w:p w14:paraId="7504E407">
      <w:pPr>
        <w:pStyle w:val="37"/>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44.</w:t>
      </w:r>
      <w:r>
        <w:rPr>
          <w:rFonts w:hint="eastAsia"/>
          <w:snapToGrid w:val="0"/>
          <w:color w:val="auto"/>
          <w:sz w:val="24"/>
          <w:highlight w:val="none"/>
          <w:lang w:val="en-US" w:eastAsia="zh-CN"/>
        </w:rPr>
        <w:t>1</w:t>
      </w:r>
      <w:r>
        <w:rPr>
          <w:rFonts w:hint="eastAsia" w:eastAsia="宋体"/>
          <w:snapToGrid w:val="0"/>
          <w:color w:val="auto"/>
          <w:sz w:val="24"/>
          <w:highlight w:val="none"/>
          <w:lang w:val="en-US" w:eastAsia="zh-CN"/>
        </w:rPr>
        <w:t xml:space="preserve"> 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号）、《国务院办公厅关于印发政府机关使用正版软件管理办法的通知》国办发〔2013〕88号。</w:t>
      </w:r>
    </w:p>
    <w:p w14:paraId="139B1CB1">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default" w:ascii="宋体" w:hAnsi="宋体" w:eastAsia="宋体" w:cs="宋体"/>
          <w:b/>
          <w:bCs/>
          <w:color w:val="auto"/>
          <w:kern w:val="2"/>
          <w:sz w:val="24"/>
          <w:szCs w:val="28"/>
          <w:highlight w:val="none"/>
          <w:lang w:val="en-US" w:eastAsia="zh-CN" w:bidi="ar-SA"/>
        </w:rPr>
      </w:pPr>
      <w:r>
        <w:rPr>
          <w:rFonts w:hint="eastAsia" w:ascii="宋体" w:hAnsi="宋体" w:eastAsia="宋体" w:cs="宋体"/>
          <w:b/>
          <w:bCs/>
          <w:color w:val="auto"/>
          <w:kern w:val="2"/>
          <w:sz w:val="24"/>
          <w:szCs w:val="28"/>
          <w:highlight w:val="none"/>
          <w:lang w:val="en-US" w:eastAsia="zh-CN" w:bidi="ar-SA"/>
        </w:rPr>
        <w:t xml:space="preserve">45.网络安全专用产品   </w:t>
      </w:r>
    </w:p>
    <w:p w14:paraId="13C08773">
      <w:pPr>
        <w:pStyle w:val="37"/>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45.1本项目中如涉及网络关键设备或网络安全专用产品的，应严格执行国家互联网信息办公室、工业和信息化部、公安部、财政部和国家认证认可监督管理委员会 2023年第 1 号《关于调整网络安全专用产品安全管理有关事项的公告》及国家互联网信息办公室、工业和信息化部、公安部和国家认证认可监督管理委员会 2023 年第 2号《关于调整&lt;网络关键设备和网络安全专用产品目录&gt;的公告》等相关文件要求，所投标（响应）设备或产品至少符合以下条件之一：一是已由具备资格的机构安全认证合格或安全检测符合要求；二是已获得《计算机信息系统安全专用产品销售许可证》，且在有效期内。采购人、中标(成交)人双方签订合同及验收环节，应包含上述网络安全要求的条款。</w:t>
      </w:r>
    </w:p>
    <w:p w14:paraId="575DAF11">
      <w:pPr>
        <w:pStyle w:val="37"/>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 xml:space="preserve">45.2本项目中如涉及国家强制性产品认证证书（CCC 认证证书）、电信设备进网许可证、无线电发射设备核准证等市场准入类资质的，应严格执行国家相关法律法规的要求。采购人、中标(成交)人双方签订合同及验收环节，应包含上述市场准入类资质要求的条款。 </w:t>
      </w:r>
    </w:p>
    <w:p w14:paraId="567E703D">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default" w:ascii="宋体" w:hAnsi="宋体" w:eastAsia="宋体" w:cs="宋体"/>
          <w:b/>
          <w:bCs/>
          <w:color w:val="auto"/>
          <w:kern w:val="2"/>
          <w:sz w:val="24"/>
          <w:szCs w:val="28"/>
          <w:highlight w:val="none"/>
          <w:lang w:val="en-US" w:eastAsia="zh-CN" w:bidi="ar-SA"/>
        </w:rPr>
      </w:pPr>
      <w:r>
        <w:rPr>
          <w:rFonts w:hint="eastAsia" w:ascii="宋体" w:hAnsi="宋体" w:eastAsia="宋体" w:cs="宋体"/>
          <w:b/>
          <w:bCs/>
          <w:color w:val="auto"/>
          <w:kern w:val="2"/>
          <w:sz w:val="24"/>
          <w:szCs w:val="28"/>
          <w:highlight w:val="none"/>
          <w:lang w:val="en-US" w:eastAsia="zh-CN" w:bidi="ar-SA"/>
        </w:rPr>
        <w:t xml:space="preserve">46.采购需求标准   </w:t>
      </w:r>
    </w:p>
    <w:p w14:paraId="77C63652">
      <w:pPr>
        <w:pStyle w:val="37"/>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 xml:space="preserve">46.1 商品包装、快递包装政府采购需求标准（试行） </w:t>
      </w:r>
    </w:p>
    <w:p w14:paraId="3DA94789">
      <w:pPr>
        <w:pStyle w:val="37"/>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 xml:space="preserve">为助力打好污染防治攻坚战，推广使用绿色包装，根据财政部关于印发《商品包装政府采购需求标准（试行）》、《快递包装政府采购需求标准（试行）》的通知（财办库〔2020〕123 号），本项目如涉及商品包装和快递包装的，则其具体要求见第三章《采购需求》。 </w:t>
      </w:r>
    </w:p>
    <w:p w14:paraId="27B020C7">
      <w:pPr>
        <w:pStyle w:val="37"/>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 xml:space="preserve">46.2 绿色数据中心政府采购需求标准（试行） </w:t>
      </w:r>
    </w:p>
    <w:p w14:paraId="16173830">
      <w:pPr>
        <w:pStyle w:val="37"/>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 xml:space="preserve">为加快数据中心绿色转型，根据财政部 生态环境部 工业和信息化部关于印发《绿色数据中心政府采购需求标准（试行）》的通知（财库〔2023〕7 号），本项目如涉及绿色数据中心，则具体要求见第三章《采购需求》。 </w:t>
      </w:r>
    </w:p>
    <w:p w14:paraId="752FA939">
      <w:pPr>
        <w:pStyle w:val="37"/>
        <w:keepNext w:val="0"/>
        <w:keepLines w:val="0"/>
        <w:pageBreakBefore w:val="0"/>
        <w:widowControl w:val="0"/>
        <w:kinsoku/>
        <w:overflowPunct/>
        <w:topLinePunct w:val="0"/>
        <w:autoSpaceDE/>
        <w:autoSpaceDN/>
        <w:bidi w:val="0"/>
        <w:adjustRightInd/>
        <w:textAlignment w:val="auto"/>
        <w:rPr>
          <w:rFonts w:hint="default" w:eastAsia="宋体"/>
          <w:snapToGrid w:val="0"/>
          <w:color w:val="auto"/>
          <w:sz w:val="24"/>
          <w:highlight w:val="none"/>
          <w:lang w:val="en-US" w:eastAsia="zh-CN"/>
        </w:rPr>
      </w:pPr>
      <w:r>
        <w:rPr>
          <w:rFonts w:hint="eastAsia" w:eastAsia="宋体"/>
          <w:snapToGrid w:val="0"/>
          <w:color w:val="auto"/>
          <w:sz w:val="24"/>
          <w:highlight w:val="none"/>
          <w:lang w:val="en-US" w:eastAsia="zh-CN"/>
        </w:rPr>
        <w:t>46.3台式计算机政府采购需求标准</w:t>
      </w:r>
    </w:p>
    <w:p w14:paraId="3830872B">
      <w:pPr>
        <w:pStyle w:val="37"/>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为提高台式计算机政府采购需求管理的科学化、规范化水平，进一步落实政府采购公平竞争原则，优化营商环境，营造良好的产业生态，财政部 工业和信息化部关于印发《台式计算机政府采购需求标准（2023年版）》的通知（财库〔2023〕29号），本项目如涉及台式计算机采购，则具体要求见第三章《采购需求》。</w:t>
      </w:r>
    </w:p>
    <w:p w14:paraId="3E8B3153">
      <w:pPr>
        <w:pStyle w:val="37"/>
        <w:keepNext w:val="0"/>
        <w:keepLines w:val="0"/>
        <w:pageBreakBefore w:val="0"/>
        <w:widowControl w:val="0"/>
        <w:kinsoku/>
        <w:overflowPunct/>
        <w:topLinePunct w:val="0"/>
        <w:autoSpaceDE/>
        <w:autoSpaceDN/>
        <w:bidi w:val="0"/>
        <w:adjustRightInd/>
        <w:textAlignment w:val="auto"/>
        <w:rPr>
          <w:rFonts w:hint="default" w:eastAsia="宋体"/>
          <w:snapToGrid w:val="0"/>
          <w:color w:val="auto"/>
          <w:sz w:val="24"/>
          <w:highlight w:val="none"/>
          <w:lang w:val="en-US" w:eastAsia="zh-CN"/>
        </w:rPr>
      </w:pPr>
      <w:r>
        <w:rPr>
          <w:rFonts w:hint="eastAsia" w:eastAsia="宋体"/>
          <w:snapToGrid w:val="0"/>
          <w:color w:val="auto"/>
          <w:sz w:val="24"/>
          <w:highlight w:val="none"/>
          <w:lang w:val="en-US" w:eastAsia="zh-CN"/>
        </w:rPr>
        <w:t>46.4便携式计算机政府采购需求标准</w:t>
      </w:r>
    </w:p>
    <w:p w14:paraId="2DDABA79">
      <w:pPr>
        <w:pStyle w:val="37"/>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为提高便携式计算机政府采购需求管理的科学化、规范化水平，进一步落实政府采购公平竞争原则，优化营商环境，营造良好的产业生态，财政部 工业和信息化部关于印发《便携式计算机政府采购需求标准（2023年版）》的通知（财库〔2023〕30号），本项目如涉及便携式计算机采购，则具体要求见第三章《采购需求》。</w:t>
      </w:r>
    </w:p>
    <w:p w14:paraId="385FE90A">
      <w:pPr>
        <w:pStyle w:val="37"/>
        <w:keepNext w:val="0"/>
        <w:keepLines w:val="0"/>
        <w:pageBreakBefore w:val="0"/>
        <w:widowControl w:val="0"/>
        <w:kinsoku/>
        <w:overflowPunct/>
        <w:topLinePunct w:val="0"/>
        <w:autoSpaceDE/>
        <w:autoSpaceDN/>
        <w:bidi w:val="0"/>
        <w:adjustRightInd/>
        <w:textAlignment w:val="auto"/>
        <w:rPr>
          <w:rFonts w:hint="default" w:eastAsia="宋体"/>
          <w:snapToGrid w:val="0"/>
          <w:color w:val="auto"/>
          <w:sz w:val="24"/>
          <w:highlight w:val="none"/>
          <w:lang w:val="en-US" w:eastAsia="zh-CN"/>
        </w:rPr>
      </w:pPr>
      <w:r>
        <w:rPr>
          <w:rFonts w:hint="eastAsia" w:eastAsia="宋体"/>
          <w:snapToGrid w:val="0"/>
          <w:color w:val="auto"/>
          <w:sz w:val="24"/>
          <w:highlight w:val="none"/>
          <w:lang w:val="en-US" w:eastAsia="zh-CN"/>
        </w:rPr>
        <w:t>46.5一体式计算机政府采购需求标准</w:t>
      </w:r>
    </w:p>
    <w:p w14:paraId="30E81396">
      <w:pPr>
        <w:pStyle w:val="37"/>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为提高一体式计算机政府采购需求管理的科学化、规范化水平，进一步落实政府采购公平竞争原则，优化营商环境，营造良好的产业生态，财政部 工业和信息化部关于印发《一体式计算机政府采购需求标准（2023年版）》的通知（财库〔2023〕31号），本项目如涉及一体式计算机采购，则具体要求见第三章《采购需求》。</w:t>
      </w:r>
    </w:p>
    <w:p w14:paraId="07FD3B31">
      <w:pPr>
        <w:pStyle w:val="37"/>
        <w:keepNext w:val="0"/>
        <w:keepLines w:val="0"/>
        <w:pageBreakBefore w:val="0"/>
        <w:widowControl w:val="0"/>
        <w:kinsoku/>
        <w:overflowPunct/>
        <w:topLinePunct w:val="0"/>
        <w:autoSpaceDE/>
        <w:autoSpaceDN/>
        <w:bidi w:val="0"/>
        <w:adjustRightInd/>
        <w:textAlignment w:val="auto"/>
        <w:rPr>
          <w:rFonts w:hint="default" w:eastAsia="宋体"/>
          <w:snapToGrid w:val="0"/>
          <w:color w:val="auto"/>
          <w:sz w:val="24"/>
          <w:highlight w:val="none"/>
          <w:lang w:val="en-US" w:eastAsia="zh-CN"/>
        </w:rPr>
      </w:pPr>
      <w:r>
        <w:rPr>
          <w:rFonts w:hint="eastAsia" w:eastAsia="宋体"/>
          <w:snapToGrid w:val="0"/>
          <w:color w:val="auto"/>
          <w:sz w:val="24"/>
          <w:highlight w:val="none"/>
          <w:lang w:val="en-US" w:eastAsia="zh-CN"/>
        </w:rPr>
        <w:t>46.6工作站政府采购需求标准</w:t>
      </w:r>
    </w:p>
    <w:p w14:paraId="23F8A15A">
      <w:pPr>
        <w:pStyle w:val="37"/>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为提高工作站政府采购需求管理的科学化、规范化水平，进一步落实政府采购公平竞争原则，优化营商环境，营造良好的产业生态，财政部 工业和信息化部关于印发《工作站政府采购需求标准（2023年版）》的通知（财库〔2023〕32号），本项目如涉及工作站采购，则具体要求见第三章《采购需求》。</w:t>
      </w:r>
    </w:p>
    <w:p w14:paraId="6FE6E6D6">
      <w:pPr>
        <w:pStyle w:val="37"/>
        <w:keepNext w:val="0"/>
        <w:keepLines w:val="0"/>
        <w:pageBreakBefore w:val="0"/>
        <w:widowControl w:val="0"/>
        <w:kinsoku/>
        <w:overflowPunct/>
        <w:topLinePunct w:val="0"/>
        <w:autoSpaceDE/>
        <w:autoSpaceDN/>
        <w:bidi w:val="0"/>
        <w:adjustRightInd/>
        <w:textAlignment w:val="auto"/>
        <w:rPr>
          <w:rFonts w:hint="default" w:eastAsia="宋体"/>
          <w:snapToGrid w:val="0"/>
          <w:color w:val="auto"/>
          <w:sz w:val="24"/>
          <w:highlight w:val="none"/>
          <w:lang w:val="en-US" w:eastAsia="zh-CN"/>
        </w:rPr>
      </w:pPr>
      <w:r>
        <w:rPr>
          <w:rFonts w:hint="eastAsia" w:eastAsia="宋体"/>
          <w:snapToGrid w:val="0"/>
          <w:color w:val="auto"/>
          <w:sz w:val="24"/>
          <w:highlight w:val="none"/>
          <w:lang w:val="en-US" w:eastAsia="zh-CN"/>
        </w:rPr>
        <w:t>46.7通用服务器政府采购需求标准</w:t>
      </w:r>
    </w:p>
    <w:p w14:paraId="2DC5EFFC">
      <w:pPr>
        <w:pStyle w:val="37"/>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为提高通用服务器政府采购需求管理的科学化、规范化水平，进一步落实政府采购公平竞争原则，优化营商环境，营造良好的产业生态，财政部 工业和信息化部关于印发《通用服务器政府采购需求标准（2023年版）》的通知（财库〔2023〕33号），本项目如涉及通用服务器采购，则具体要求见第三章《采购需求》。</w:t>
      </w:r>
    </w:p>
    <w:p w14:paraId="5822E475">
      <w:pPr>
        <w:pStyle w:val="37"/>
        <w:keepNext w:val="0"/>
        <w:keepLines w:val="0"/>
        <w:pageBreakBefore w:val="0"/>
        <w:widowControl w:val="0"/>
        <w:kinsoku/>
        <w:overflowPunct/>
        <w:topLinePunct w:val="0"/>
        <w:autoSpaceDE/>
        <w:autoSpaceDN/>
        <w:bidi w:val="0"/>
        <w:adjustRightInd/>
        <w:textAlignment w:val="auto"/>
        <w:rPr>
          <w:rFonts w:hint="default" w:eastAsia="宋体"/>
          <w:snapToGrid w:val="0"/>
          <w:color w:val="auto"/>
          <w:sz w:val="24"/>
          <w:highlight w:val="none"/>
          <w:lang w:val="en-US" w:eastAsia="zh-CN"/>
        </w:rPr>
      </w:pPr>
      <w:r>
        <w:rPr>
          <w:rFonts w:hint="eastAsia" w:eastAsia="宋体"/>
          <w:snapToGrid w:val="0"/>
          <w:color w:val="auto"/>
          <w:sz w:val="24"/>
          <w:highlight w:val="none"/>
          <w:lang w:val="en-US" w:eastAsia="zh-CN"/>
        </w:rPr>
        <w:t>46.8操作系统政府采购需求标准</w:t>
      </w:r>
    </w:p>
    <w:p w14:paraId="0C0F87EE">
      <w:pPr>
        <w:pStyle w:val="37"/>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为提高操作系统政府采购需求管理的科学化、规范化水平，进一步落实政府采购公平竞争原则，优化营商环境，营造良好的产业生态，财政部 工业和信息化部关于印发《操作系统政府采购需求标准（2023年版）》的通知（财库〔2023〕34号），本项目如涉及操作系统采购，则具体要求见第三章《采购需求》。</w:t>
      </w:r>
    </w:p>
    <w:p w14:paraId="1177BDB0">
      <w:pPr>
        <w:pStyle w:val="37"/>
        <w:keepNext w:val="0"/>
        <w:keepLines w:val="0"/>
        <w:pageBreakBefore w:val="0"/>
        <w:widowControl w:val="0"/>
        <w:kinsoku/>
        <w:overflowPunct/>
        <w:topLinePunct w:val="0"/>
        <w:autoSpaceDE/>
        <w:autoSpaceDN/>
        <w:bidi w:val="0"/>
        <w:adjustRightInd/>
        <w:textAlignment w:val="auto"/>
        <w:rPr>
          <w:rFonts w:hint="default" w:eastAsia="宋体"/>
          <w:snapToGrid w:val="0"/>
          <w:color w:val="auto"/>
          <w:sz w:val="24"/>
          <w:highlight w:val="none"/>
          <w:lang w:val="en-US" w:eastAsia="zh-CN"/>
        </w:rPr>
      </w:pPr>
      <w:r>
        <w:rPr>
          <w:rFonts w:hint="eastAsia" w:eastAsia="宋体"/>
          <w:snapToGrid w:val="0"/>
          <w:color w:val="auto"/>
          <w:sz w:val="24"/>
          <w:highlight w:val="none"/>
          <w:lang w:val="en-US" w:eastAsia="zh-CN"/>
        </w:rPr>
        <w:t>46.9数据库政府采购需求标准</w:t>
      </w:r>
    </w:p>
    <w:p w14:paraId="45BE4E61">
      <w:pPr>
        <w:pStyle w:val="37"/>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为提高数据库政府采购需求管理的科学化、规范化水平，进一步落实政府采购公平竞争原则，优化营商环境，营造良好的产业生态，财政部 工业和信息化部关于印发《数据库政府采购需求标准（2023年版）》的通知（财库〔2023〕35号），本项目如涉及数据库采购，则具体要求见第三章《采购需求》。</w:t>
      </w:r>
    </w:p>
    <w:p w14:paraId="116745F5">
      <w:pPr>
        <w:pStyle w:val="37"/>
        <w:keepNext w:val="0"/>
        <w:keepLines w:val="0"/>
        <w:pageBreakBefore w:val="0"/>
        <w:widowControl w:val="0"/>
        <w:kinsoku/>
        <w:overflowPunct/>
        <w:topLinePunct w:val="0"/>
        <w:autoSpaceDE/>
        <w:autoSpaceDN/>
        <w:bidi w:val="0"/>
        <w:adjustRightInd/>
        <w:textAlignment w:val="auto"/>
        <w:rPr>
          <w:rFonts w:hint="default" w:eastAsia="宋体"/>
          <w:snapToGrid w:val="0"/>
          <w:color w:val="auto"/>
          <w:sz w:val="24"/>
          <w:highlight w:val="none"/>
          <w:lang w:val="en-US" w:eastAsia="zh-CN"/>
        </w:rPr>
      </w:pPr>
      <w:r>
        <w:rPr>
          <w:rFonts w:hint="eastAsia" w:eastAsia="宋体"/>
          <w:snapToGrid w:val="0"/>
          <w:color w:val="auto"/>
          <w:sz w:val="24"/>
          <w:highlight w:val="none"/>
          <w:lang w:val="en-US" w:eastAsia="zh-CN"/>
        </w:rPr>
        <w:t>46.10物业管理服务政府采购需求标准（办公场所类）（试行）</w:t>
      </w:r>
    </w:p>
    <w:p w14:paraId="0169F247">
      <w:pPr>
        <w:pStyle w:val="37"/>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为贯彻落实中央全面深化改革委员会审议通过的《深化政府采购制度改革方案》有关要求，推动政府采购需求标准建设，财政部办公厅关于印发《物业管理服务政府采购需求标准（办公场所类）（试行）》的通知（财办库〔2024〕113号），本项目如涉及物业管理服务采购，则具体要求见第三章《采购需求》。</w:t>
      </w:r>
    </w:p>
    <w:p w14:paraId="07C1DA2C">
      <w:pPr>
        <w:pStyle w:val="4"/>
        <w:keepNext w:val="0"/>
        <w:keepLines w:val="0"/>
        <w:pageBreakBefore w:val="0"/>
        <w:widowControl w:val="0"/>
        <w:numPr>
          <w:ilvl w:val="0"/>
          <w:numId w:val="0"/>
        </w:numPr>
        <w:kinsoku/>
        <w:wordWrap/>
        <w:overflowPunct/>
        <w:topLinePunct w:val="0"/>
        <w:autoSpaceDE/>
        <w:autoSpaceDN/>
        <w:bidi w:val="0"/>
        <w:adjustRightInd/>
        <w:snapToGrid/>
        <w:spacing w:before="180" w:after="180" w:line="240" w:lineRule="auto"/>
        <w:ind w:left="420" w:leftChars="0" w:hanging="420" w:firstLineChars="0"/>
        <w:textAlignment w:val="auto"/>
        <w:rPr>
          <w:rFonts w:hint="eastAsia" w:ascii="宋体" w:hAnsi="宋体" w:eastAsia="宋体" w:cs="宋体"/>
          <w:b/>
          <w:bCs/>
          <w:color w:val="auto"/>
          <w:kern w:val="2"/>
          <w:sz w:val="24"/>
          <w:szCs w:val="32"/>
          <w:highlight w:val="none"/>
          <w:lang w:val="en-US" w:eastAsia="zh-CN" w:bidi="ar-SA"/>
        </w:rPr>
      </w:pPr>
      <w:r>
        <w:rPr>
          <w:rFonts w:hint="eastAsia" w:ascii="宋体" w:hAnsi="宋体" w:eastAsia="宋体" w:cs="宋体"/>
          <w:b/>
          <w:bCs/>
          <w:color w:val="auto"/>
          <w:kern w:val="2"/>
          <w:sz w:val="24"/>
          <w:szCs w:val="32"/>
          <w:highlight w:val="none"/>
          <w:lang w:val="en-US" w:eastAsia="zh-CN" w:bidi="ar-SA"/>
        </w:rPr>
        <w:t>（十四）政府采购合同融资政策</w:t>
      </w:r>
      <w:bookmarkEnd w:id="232"/>
      <w:bookmarkEnd w:id="233"/>
      <w:bookmarkEnd w:id="237"/>
    </w:p>
    <w:p w14:paraId="7CF32745">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238" w:name="_Toc163492880"/>
      <w:r>
        <w:rPr>
          <w:rFonts w:hint="eastAsia" w:ascii="宋体" w:hAnsi="宋体" w:eastAsia="宋体" w:cs="宋体"/>
          <w:b/>
          <w:bCs/>
          <w:color w:val="auto"/>
          <w:kern w:val="2"/>
          <w:sz w:val="24"/>
          <w:szCs w:val="28"/>
          <w:highlight w:val="none"/>
          <w:lang w:val="en-US" w:eastAsia="zh-CN" w:bidi="ar-SA"/>
        </w:rPr>
        <w:t>47.政府采购合同融资政策</w:t>
      </w:r>
      <w:bookmarkEnd w:id="238"/>
    </w:p>
    <w:p w14:paraId="2F908697">
      <w:pPr>
        <w:pStyle w:val="37"/>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4</w:t>
      </w:r>
      <w:r>
        <w:rPr>
          <w:rFonts w:hint="eastAsia" w:eastAsia="宋体"/>
          <w:color w:val="auto"/>
          <w:sz w:val="24"/>
          <w:highlight w:val="none"/>
          <w:lang w:val="en-US" w:eastAsia="zh-CN"/>
        </w:rPr>
        <w:t>7</w:t>
      </w:r>
      <w:r>
        <w:rPr>
          <w:rFonts w:eastAsia="宋体"/>
          <w:color w:val="auto"/>
          <w:sz w:val="24"/>
          <w:highlight w:val="none"/>
        </w:rPr>
        <w:t>.</w:t>
      </w:r>
      <w:r>
        <w:rPr>
          <w:rFonts w:hint="eastAsia" w:eastAsia="宋体"/>
          <w:color w:val="auto"/>
          <w:sz w:val="24"/>
          <w:highlight w:val="none"/>
        </w:rPr>
        <w:t>1政府采购合同融资政策：见投标人须知前附表。</w:t>
      </w:r>
    </w:p>
    <w:p w14:paraId="198FC626">
      <w:pPr>
        <w:pStyle w:val="4"/>
        <w:keepNext w:val="0"/>
        <w:keepLines w:val="0"/>
        <w:pageBreakBefore w:val="0"/>
        <w:widowControl w:val="0"/>
        <w:numPr>
          <w:ilvl w:val="0"/>
          <w:numId w:val="0"/>
        </w:numPr>
        <w:kinsoku/>
        <w:wordWrap/>
        <w:overflowPunct/>
        <w:topLinePunct w:val="0"/>
        <w:autoSpaceDE/>
        <w:autoSpaceDN/>
        <w:bidi w:val="0"/>
        <w:adjustRightInd/>
        <w:snapToGrid/>
        <w:spacing w:before="180" w:after="180" w:line="240" w:lineRule="auto"/>
        <w:ind w:left="420" w:leftChars="0" w:hanging="420" w:firstLineChars="0"/>
        <w:textAlignment w:val="auto"/>
        <w:rPr>
          <w:rFonts w:hint="eastAsia" w:ascii="宋体" w:hAnsi="宋体" w:eastAsia="宋体" w:cs="宋体"/>
          <w:b/>
          <w:bCs/>
          <w:color w:val="auto"/>
          <w:kern w:val="2"/>
          <w:sz w:val="24"/>
          <w:szCs w:val="32"/>
          <w:highlight w:val="none"/>
          <w:lang w:val="en-US" w:eastAsia="zh-CN" w:bidi="ar-SA"/>
        </w:rPr>
      </w:pPr>
      <w:bookmarkStart w:id="239" w:name="_Toc163492881"/>
      <w:r>
        <w:rPr>
          <w:rFonts w:hint="eastAsia" w:ascii="宋体" w:hAnsi="宋体" w:eastAsia="宋体" w:cs="宋体"/>
          <w:b/>
          <w:bCs/>
          <w:color w:val="auto"/>
          <w:kern w:val="2"/>
          <w:sz w:val="24"/>
          <w:szCs w:val="32"/>
          <w:highlight w:val="none"/>
          <w:lang w:val="en-US" w:eastAsia="zh-CN" w:bidi="ar-SA"/>
        </w:rPr>
        <w:t>（十五）其他</w:t>
      </w:r>
      <w:bookmarkEnd w:id="239"/>
    </w:p>
    <w:p w14:paraId="370F802C">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240" w:name="_Toc163492882"/>
      <w:r>
        <w:rPr>
          <w:rFonts w:hint="eastAsia" w:ascii="宋体" w:hAnsi="宋体" w:eastAsia="宋体" w:cs="宋体"/>
          <w:b/>
          <w:bCs/>
          <w:color w:val="auto"/>
          <w:kern w:val="2"/>
          <w:sz w:val="24"/>
          <w:szCs w:val="28"/>
          <w:highlight w:val="none"/>
          <w:lang w:val="en-US" w:eastAsia="zh-CN" w:bidi="ar-SA"/>
        </w:rPr>
        <w:t>48.需要补充的其他内容</w:t>
      </w:r>
      <w:bookmarkEnd w:id="240"/>
    </w:p>
    <w:p w14:paraId="32516407">
      <w:pPr>
        <w:pStyle w:val="37"/>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hint="eastAsia" w:eastAsia="宋体"/>
          <w:color w:val="auto"/>
          <w:sz w:val="24"/>
          <w:highlight w:val="none"/>
        </w:rPr>
        <w:t>4</w:t>
      </w:r>
      <w:r>
        <w:rPr>
          <w:rFonts w:hint="eastAsia" w:eastAsia="宋体"/>
          <w:color w:val="auto"/>
          <w:sz w:val="24"/>
          <w:highlight w:val="none"/>
          <w:lang w:val="en-US" w:eastAsia="zh-CN"/>
        </w:rPr>
        <w:t>8</w:t>
      </w:r>
      <w:r>
        <w:rPr>
          <w:rFonts w:eastAsia="宋体"/>
          <w:color w:val="auto"/>
          <w:sz w:val="24"/>
          <w:highlight w:val="none"/>
        </w:rPr>
        <w:t>.1</w:t>
      </w:r>
      <w:r>
        <w:rPr>
          <w:rFonts w:hint="eastAsia" w:eastAsia="宋体"/>
          <w:color w:val="auto"/>
          <w:sz w:val="24"/>
          <w:highlight w:val="none"/>
        </w:rPr>
        <w:t>需要补充的其他内容：见投标人须知前附表。</w:t>
      </w:r>
    </w:p>
    <w:p w14:paraId="1BD29CBA">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241" w:name="_Toc163492883"/>
      <w:bookmarkStart w:id="242" w:name="_Toc140132810"/>
      <w:bookmarkStart w:id="243" w:name="_Toc155185886"/>
      <w:r>
        <w:rPr>
          <w:rFonts w:hint="eastAsia" w:ascii="宋体" w:hAnsi="宋体" w:eastAsia="宋体" w:cs="宋体"/>
          <w:b/>
          <w:bCs/>
          <w:color w:val="auto"/>
          <w:kern w:val="2"/>
          <w:sz w:val="24"/>
          <w:szCs w:val="28"/>
          <w:highlight w:val="none"/>
          <w:lang w:val="en-US" w:eastAsia="zh-CN" w:bidi="ar-SA"/>
        </w:rPr>
        <w:t>49.适用法律</w:t>
      </w:r>
      <w:bookmarkEnd w:id="241"/>
      <w:bookmarkEnd w:id="242"/>
      <w:bookmarkEnd w:id="243"/>
    </w:p>
    <w:p w14:paraId="0953B8AD">
      <w:pPr>
        <w:pStyle w:val="37"/>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rPr>
      </w:pPr>
      <w:r>
        <w:rPr>
          <w:rFonts w:hint="eastAsia" w:eastAsia="宋体"/>
          <w:snapToGrid w:val="0"/>
          <w:color w:val="auto"/>
          <w:sz w:val="24"/>
          <w:highlight w:val="none"/>
          <w:lang w:val="en-US" w:eastAsia="zh-CN"/>
        </w:rPr>
        <w:t>49</w:t>
      </w:r>
      <w:r>
        <w:rPr>
          <w:rFonts w:eastAsia="宋体"/>
          <w:snapToGrid w:val="0"/>
          <w:color w:val="auto"/>
          <w:sz w:val="24"/>
          <w:highlight w:val="none"/>
        </w:rPr>
        <w:t>.1</w:t>
      </w:r>
      <w:r>
        <w:rPr>
          <w:rFonts w:hint="eastAsia" w:eastAsia="宋体"/>
          <w:snapToGrid w:val="0"/>
          <w:color w:val="auto"/>
          <w:sz w:val="24"/>
          <w:highlight w:val="none"/>
        </w:rPr>
        <w:t>采购人、采购代理机构及投标人的一切采购活动均适用《中华人民共和国政府采购法》、《中华人民共和国政府采购法实施条例》、《政府采购货物和服务招标投标管理办法》（财政部令第87号）及相关法律法规。</w:t>
      </w:r>
    </w:p>
    <w:p w14:paraId="6AD32247">
      <w:pPr>
        <w:pStyle w:val="37"/>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hint="eastAsia" w:eastAsia="宋体"/>
          <w:snapToGrid w:val="0"/>
          <w:color w:val="auto"/>
          <w:sz w:val="24"/>
          <w:highlight w:val="none"/>
          <w:lang w:val="en-US" w:eastAsia="zh-CN"/>
        </w:rPr>
        <w:t>49</w:t>
      </w:r>
      <w:r>
        <w:rPr>
          <w:rFonts w:eastAsia="宋体"/>
          <w:snapToGrid w:val="0"/>
          <w:color w:val="auto"/>
          <w:sz w:val="24"/>
          <w:highlight w:val="none"/>
        </w:rPr>
        <w:t>.2</w:t>
      </w:r>
      <w:r>
        <w:rPr>
          <w:rFonts w:hint="eastAsia" w:eastAsia="宋体"/>
          <w:snapToGrid w:val="0"/>
          <w:color w:val="auto"/>
          <w:sz w:val="24"/>
          <w:highlight w:val="none"/>
        </w:rPr>
        <w:t>政府采购合同的履行、违约责任和解决争议的方法等适用《中华人民共和国民法典》。</w:t>
      </w:r>
    </w:p>
    <w:p w14:paraId="468836B9">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244" w:name="_Toc163492884"/>
      <w:bookmarkStart w:id="245" w:name="_Toc155185887"/>
      <w:r>
        <w:rPr>
          <w:rFonts w:hint="eastAsia" w:ascii="宋体" w:hAnsi="宋体" w:eastAsia="宋体" w:cs="宋体"/>
          <w:b/>
          <w:bCs/>
          <w:color w:val="auto"/>
          <w:kern w:val="2"/>
          <w:sz w:val="24"/>
          <w:szCs w:val="28"/>
          <w:highlight w:val="none"/>
          <w:lang w:val="en-US" w:eastAsia="zh-CN" w:bidi="ar-SA"/>
        </w:rPr>
        <w:t>50.解释权</w:t>
      </w:r>
      <w:bookmarkEnd w:id="244"/>
      <w:bookmarkEnd w:id="245"/>
    </w:p>
    <w:p w14:paraId="5C6D27F8">
      <w:pPr>
        <w:pStyle w:val="37"/>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rPr>
      </w:pPr>
      <w:r>
        <w:rPr>
          <w:rFonts w:hint="eastAsia" w:eastAsia="宋体"/>
          <w:snapToGrid w:val="0"/>
          <w:color w:val="auto"/>
          <w:sz w:val="24"/>
          <w:highlight w:val="none"/>
          <w:lang w:val="en-US" w:eastAsia="zh-CN"/>
        </w:rPr>
        <w:t>50</w:t>
      </w:r>
      <w:r>
        <w:rPr>
          <w:rFonts w:eastAsia="宋体"/>
          <w:snapToGrid w:val="0"/>
          <w:color w:val="auto"/>
          <w:sz w:val="24"/>
          <w:highlight w:val="none"/>
        </w:rPr>
        <w:t>.</w:t>
      </w:r>
      <w:r>
        <w:rPr>
          <w:rFonts w:hint="eastAsia" w:eastAsia="宋体"/>
          <w:snapToGrid w:val="0"/>
          <w:color w:val="auto"/>
          <w:sz w:val="24"/>
          <w:highlight w:val="none"/>
        </w:rPr>
        <w:t>1本招标文件最终解释权归采购人或采购代理机构所有。</w:t>
      </w:r>
    </w:p>
    <w:p w14:paraId="57F4529F">
      <w:pPr>
        <w:pStyle w:val="2"/>
        <w:keepNext w:val="0"/>
        <w:keepLines w:val="0"/>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宋体" w:hAnsi="宋体" w:eastAsia="宋体" w:cs="宋体"/>
          <w:b/>
          <w:bCs/>
          <w:color w:val="auto"/>
          <w:kern w:val="44"/>
          <w:sz w:val="36"/>
          <w:szCs w:val="36"/>
          <w:highlight w:val="none"/>
          <w:lang w:val="en-US" w:eastAsia="zh-CN" w:bidi="ar-SA"/>
        </w:rPr>
      </w:pPr>
      <w:bookmarkStart w:id="246" w:name="_Toc163492885"/>
      <w:bookmarkStart w:id="247" w:name="_Toc155185888"/>
    </w:p>
    <w:p w14:paraId="026FE00A">
      <w:pPr>
        <w:rPr>
          <w:rFonts w:hint="eastAsia" w:ascii="宋体" w:hAnsi="宋体" w:eastAsia="宋体" w:cs="宋体"/>
          <w:b/>
          <w:bCs/>
          <w:color w:val="auto"/>
          <w:kern w:val="44"/>
          <w:sz w:val="36"/>
          <w:szCs w:val="36"/>
          <w:highlight w:val="none"/>
          <w:lang w:val="en-US" w:eastAsia="zh-CN" w:bidi="ar-SA"/>
        </w:rPr>
      </w:pPr>
    </w:p>
    <w:p w14:paraId="19E9A3FC">
      <w:pPr>
        <w:pStyle w:val="13"/>
        <w:rPr>
          <w:rFonts w:hint="eastAsia" w:ascii="宋体" w:hAnsi="宋体" w:eastAsia="宋体" w:cs="宋体"/>
          <w:b/>
          <w:bCs/>
          <w:color w:val="auto"/>
          <w:kern w:val="44"/>
          <w:sz w:val="36"/>
          <w:szCs w:val="36"/>
          <w:highlight w:val="none"/>
          <w:lang w:val="en-US" w:eastAsia="zh-CN" w:bidi="ar-SA"/>
        </w:rPr>
      </w:pPr>
    </w:p>
    <w:p w14:paraId="59509236">
      <w:pPr>
        <w:pStyle w:val="13"/>
        <w:rPr>
          <w:rFonts w:hint="eastAsia" w:ascii="宋体" w:hAnsi="宋体" w:eastAsia="宋体" w:cs="宋体"/>
          <w:b/>
          <w:bCs/>
          <w:color w:val="auto"/>
          <w:kern w:val="44"/>
          <w:sz w:val="36"/>
          <w:szCs w:val="36"/>
          <w:highlight w:val="none"/>
          <w:lang w:val="en-US" w:eastAsia="zh-CN" w:bidi="ar-SA"/>
        </w:rPr>
      </w:pPr>
    </w:p>
    <w:p w14:paraId="3B66E3C5">
      <w:pPr>
        <w:pStyle w:val="13"/>
        <w:rPr>
          <w:rFonts w:hint="eastAsia" w:ascii="宋体" w:hAnsi="宋体" w:eastAsia="宋体" w:cs="宋体"/>
          <w:b/>
          <w:bCs/>
          <w:color w:val="auto"/>
          <w:kern w:val="44"/>
          <w:sz w:val="36"/>
          <w:szCs w:val="36"/>
          <w:highlight w:val="none"/>
          <w:lang w:val="en-US" w:eastAsia="zh-CN" w:bidi="ar-SA"/>
        </w:rPr>
      </w:pPr>
    </w:p>
    <w:p w14:paraId="73341B29">
      <w:pPr>
        <w:pStyle w:val="13"/>
        <w:rPr>
          <w:rFonts w:hint="eastAsia" w:ascii="宋体" w:hAnsi="宋体" w:eastAsia="宋体" w:cs="宋体"/>
          <w:b/>
          <w:bCs/>
          <w:color w:val="auto"/>
          <w:kern w:val="44"/>
          <w:sz w:val="36"/>
          <w:szCs w:val="36"/>
          <w:highlight w:val="none"/>
          <w:lang w:val="en-US" w:eastAsia="zh-CN" w:bidi="ar-SA"/>
        </w:rPr>
      </w:pPr>
    </w:p>
    <w:p w14:paraId="70704BD1">
      <w:pPr>
        <w:pStyle w:val="2"/>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宋体" w:hAnsi="宋体" w:eastAsia="宋体" w:cs="宋体"/>
          <w:b/>
          <w:bCs/>
          <w:color w:val="000000" w:themeColor="text1"/>
          <w:kern w:val="44"/>
          <w:sz w:val="36"/>
          <w:szCs w:val="36"/>
          <w:highlight w:val="none"/>
          <w:lang w:val="en-US" w:eastAsia="zh-CN" w:bidi="ar-SA"/>
          <w14:textFill>
            <w14:solidFill>
              <w14:schemeClr w14:val="tx1"/>
            </w14:solidFill>
          </w14:textFill>
        </w:rPr>
      </w:pPr>
      <w:bookmarkStart w:id="248" w:name="_Toc21689"/>
      <w:r>
        <w:rPr>
          <w:rFonts w:hint="eastAsia" w:ascii="宋体" w:hAnsi="宋体" w:eastAsia="宋体" w:cs="宋体"/>
          <w:b/>
          <w:bCs/>
          <w:color w:val="000000" w:themeColor="text1"/>
          <w:kern w:val="44"/>
          <w:sz w:val="36"/>
          <w:szCs w:val="36"/>
          <w:highlight w:val="none"/>
          <w:lang w:val="en-US" w:eastAsia="zh-CN" w:bidi="ar-SA"/>
          <w14:textFill>
            <w14:solidFill>
              <w14:schemeClr w14:val="tx1"/>
            </w14:solidFill>
          </w14:textFill>
        </w:rPr>
        <w:t>第三章 采购需求</w:t>
      </w:r>
      <w:bookmarkEnd w:id="246"/>
      <w:bookmarkEnd w:id="247"/>
      <w:bookmarkEnd w:id="248"/>
    </w:p>
    <w:p w14:paraId="398BAAE6">
      <w:pPr>
        <w:keepNext w:val="0"/>
        <w:keepLines w:val="0"/>
        <w:pageBreakBefore w:val="0"/>
        <w:widowControl w:val="0"/>
        <w:kinsoku/>
        <w:overflowPunct/>
        <w:topLinePunct w:val="0"/>
        <w:autoSpaceDE/>
        <w:autoSpaceDN/>
        <w:bidi w:val="0"/>
        <w:adjustRightInd/>
        <w:snapToGrid/>
        <w:spacing w:line="360" w:lineRule="exact"/>
        <w:textAlignment w:val="auto"/>
        <w:rPr>
          <w:color w:val="auto"/>
          <w:sz w:val="24"/>
          <w:szCs w:val="24"/>
          <w:highlight w:val="none"/>
        </w:rPr>
      </w:pPr>
      <w:r>
        <w:rPr>
          <w:rFonts w:hint="eastAsia"/>
          <w:color w:val="auto"/>
          <w:sz w:val="24"/>
          <w:szCs w:val="24"/>
          <w:highlight w:val="none"/>
        </w:rPr>
        <w:t>【以下内容应根据项目情况作出具体采购需求描述，同时，制定各条款具体内容时与采购需求无关的将不得纳入】</w:t>
      </w:r>
    </w:p>
    <w:p w14:paraId="2C43F922">
      <w:pPr>
        <w:pStyle w:val="37"/>
        <w:keepNext w:val="0"/>
        <w:keepLines w:val="0"/>
        <w:pageBreakBefore w:val="0"/>
        <w:widowControl w:val="0"/>
        <w:kinsoku/>
        <w:overflowPunct/>
        <w:topLinePunct w:val="0"/>
        <w:autoSpaceDE/>
        <w:autoSpaceDN/>
        <w:bidi w:val="0"/>
        <w:adjustRightInd/>
        <w:snapToGrid/>
        <w:spacing w:line="360" w:lineRule="exact"/>
        <w:textAlignment w:val="auto"/>
        <w:rPr>
          <w:rFonts w:hint="eastAsia"/>
          <w:b/>
          <w:bCs/>
          <w:snapToGrid w:val="0"/>
          <w:color w:val="auto"/>
          <w:sz w:val="24"/>
          <w:szCs w:val="24"/>
          <w:highlight w:val="none"/>
          <w:lang w:val="en-US" w:eastAsia="zh-CN"/>
        </w:rPr>
      </w:pPr>
      <w:bookmarkStart w:id="249" w:name="_Toc140132812"/>
      <w:bookmarkStart w:id="250" w:name="_Toc155185889"/>
      <w:bookmarkStart w:id="251" w:name="_Toc163492886"/>
      <w:r>
        <w:rPr>
          <w:rFonts w:hint="eastAsia"/>
          <w:b/>
          <w:bCs/>
          <w:snapToGrid w:val="0"/>
          <w:color w:val="auto"/>
          <w:sz w:val="24"/>
          <w:szCs w:val="24"/>
          <w:highlight w:val="none"/>
          <w:lang w:val="en-US" w:eastAsia="zh-CN"/>
        </w:rPr>
        <w:t xml:space="preserve">说明： </w:t>
      </w:r>
    </w:p>
    <w:p w14:paraId="04A97FB9">
      <w:pPr>
        <w:pStyle w:val="37"/>
        <w:keepNext w:val="0"/>
        <w:keepLines w:val="0"/>
        <w:pageBreakBefore w:val="0"/>
        <w:widowControl w:val="0"/>
        <w:kinsoku/>
        <w:overflowPunct/>
        <w:topLinePunct w:val="0"/>
        <w:autoSpaceDE/>
        <w:autoSpaceDN/>
        <w:bidi w:val="0"/>
        <w:adjustRightInd/>
        <w:snapToGrid/>
        <w:spacing w:line="360" w:lineRule="exact"/>
        <w:textAlignment w:val="auto"/>
        <w:rPr>
          <w:rFonts w:hint="eastAsia"/>
          <w:snapToGrid w:val="0"/>
          <w:color w:val="auto"/>
          <w:sz w:val="24"/>
          <w:szCs w:val="24"/>
          <w:highlight w:val="none"/>
          <w:lang w:val="en-US" w:eastAsia="zh-CN"/>
        </w:rPr>
      </w:pPr>
      <w:r>
        <w:rPr>
          <w:rFonts w:hint="eastAsia"/>
          <w:snapToGrid w:val="0"/>
          <w:color w:val="auto"/>
          <w:sz w:val="24"/>
          <w:szCs w:val="24"/>
          <w:highlight w:val="none"/>
          <w:lang w:val="en-US" w:eastAsia="zh-CN"/>
        </w:rPr>
        <w:t>1. 当采购项目涉及数据中心相关设备、运维服务时，采购需求应当符合《绿色数据中心政府采购需求标准（试行）》（财库〔</w:t>
      </w:r>
      <w:r>
        <w:rPr>
          <w:rFonts w:hint="default"/>
          <w:snapToGrid w:val="0"/>
          <w:color w:val="auto"/>
          <w:sz w:val="24"/>
          <w:szCs w:val="24"/>
          <w:highlight w:val="none"/>
          <w:lang w:val="en-US" w:eastAsia="zh-CN"/>
        </w:rPr>
        <w:t>2023</w:t>
      </w:r>
      <w:r>
        <w:rPr>
          <w:rFonts w:hint="eastAsia"/>
          <w:snapToGrid w:val="0"/>
          <w:color w:val="auto"/>
          <w:sz w:val="24"/>
          <w:szCs w:val="24"/>
          <w:highlight w:val="none"/>
          <w:lang w:val="en-US" w:eastAsia="zh-CN"/>
        </w:rPr>
        <w:t>〕</w:t>
      </w:r>
      <w:r>
        <w:rPr>
          <w:rFonts w:hint="default"/>
          <w:snapToGrid w:val="0"/>
          <w:color w:val="auto"/>
          <w:sz w:val="24"/>
          <w:szCs w:val="24"/>
          <w:highlight w:val="none"/>
          <w:lang w:val="en-US" w:eastAsia="zh-CN"/>
        </w:rPr>
        <w:t xml:space="preserve">7 </w:t>
      </w:r>
      <w:r>
        <w:rPr>
          <w:rFonts w:hint="eastAsia"/>
          <w:snapToGrid w:val="0"/>
          <w:color w:val="auto"/>
          <w:sz w:val="24"/>
          <w:szCs w:val="24"/>
          <w:highlight w:val="none"/>
          <w:lang w:val="en-US" w:eastAsia="zh-CN"/>
        </w:rPr>
        <w:t xml:space="preserve">号）的有关要求。 </w:t>
      </w:r>
    </w:p>
    <w:p w14:paraId="19609329">
      <w:pPr>
        <w:pStyle w:val="37"/>
        <w:keepNext w:val="0"/>
        <w:keepLines w:val="0"/>
        <w:pageBreakBefore w:val="0"/>
        <w:widowControl w:val="0"/>
        <w:kinsoku/>
        <w:overflowPunct/>
        <w:topLinePunct w:val="0"/>
        <w:autoSpaceDE/>
        <w:autoSpaceDN/>
        <w:bidi w:val="0"/>
        <w:adjustRightInd/>
        <w:snapToGrid/>
        <w:spacing w:line="360" w:lineRule="exact"/>
        <w:textAlignment w:val="auto"/>
        <w:rPr>
          <w:rFonts w:hint="eastAsia"/>
          <w:snapToGrid w:val="0"/>
          <w:color w:val="auto"/>
          <w:sz w:val="24"/>
          <w:szCs w:val="24"/>
          <w:highlight w:val="none"/>
          <w:lang w:val="en-US" w:eastAsia="zh-CN"/>
        </w:rPr>
      </w:pPr>
      <w:r>
        <w:rPr>
          <w:rFonts w:hint="default"/>
          <w:snapToGrid w:val="0"/>
          <w:color w:val="auto"/>
          <w:sz w:val="24"/>
          <w:szCs w:val="24"/>
          <w:highlight w:val="none"/>
          <w:lang w:val="en-US" w:eastAsia="zh-CN"/>
        </w:rPr>
        <w:t xml:space="preserve">2. </w:t>
      </w:r>
      <w:r>
        <w:rPr>
          <w:rFonts w:hint="eastAsia"/>
          <w:snapToGrid w:val="0"/>
          <w:color w:val="auto"/>
          <w:sz w:val="24"/>
          <w:szCs w:val="24"/>
          <w:highlight w:val="none"/>
          <w:lang w:val="en-US" w:eastAsia="zh-CN"/>
        </w:rPr>
        <w:t>当采购项目涉及政务信息系统时，采购需求应当符合《政务信息系统政府采购管理暂行办法》（财库〔</w:t>
      </w:r>
      <w:r>
        <w:rPr>
          <w:rFonts w:hint="default"/>
          <w:snapToGrid w:val="0"/>
          <w:color w:val="auto"/>
          <w:sz w:val="24"/>
          <w:szCs w:val="24"/>
          <w:highlight w:val="none"/>
          <w:lang w:val="en-US" w:eastAsia="zh-CN"/>
        </w:rPr>
        <w:t>2017</w:t>
      </w:r>
      <w:r>
        <w:rPr>
          <w:rFonts w:hint="eastAsia"/>
          <w:snapToGrid w:val="0"/>
          <w:color w:val="auto"/>
          <w:sz w:val="24"/>
          <w:szCs w:val="24"/>
          <w:highlight w:val="none"/>
          <w:lang w:val="en-US" w:eastAsia="zh-CN"/>
        </w:rPr>
        <w:t>〕</w:t>
      </w:r>
      <w:r>
        <w:rPr>
          <w:rFonts w:hint="default"/>
          <w:snapToGrid w:val="0"/>
          <w:color w:val="auto"/>
          <w:sz w:val="24"/>
          <w:szCs w:val="24"/>
          <w:highlight w:val="none"/>
          <w:lang w:val="en-US" w:eastAsia="zh-CN"/>
        </w:rPr>
        <w:t xml:space="preserve">210 </w:t>
      </w:r>
      <w:r>
        <w:rPr>
          <w:rFonts w:hint="eastAsia"/>
          <w:snapToGrid w:val="0"/>
          <w:color w:val="auto"/>
          <w:sz w:val="24"/>
          <w:szCs w:val="24"/>
          <w:highlight w:val="none"/>
          <w:lang w:val="en-US" w:eastAsia="zh-CN"/>
        </w:rPr>
        <w:t xml:space="preserve">号）的相关要求。 </w:t>
      </w:r>
    </w:p>
    <w:p w14:paraId="60B38A7D">
      <w:pPr>
        <w:pStyle w:val="3"/>
        <w:pageBreakBefore w:val="0"/>
        <w:kinsoku/>
        <w:overflowPunct/>
        <w:topLinePunct w:val="0"/>
        <w:autoSpaceDE/>
        <w:autoSpaceDN/>
        <w:bidi w:val="0"/>
        <w:adjustRightInd/>
        <w:snapToGrid/>
        <w:spacing w:before="0" w:after="0" w:line="360" w:lineRule="exact"/>
        <w:textAlignment w:val="auto"/>
        <w:rPr>
          <w:rFonts w:hint="eastAsia"/>
          <w:color w:val="auto"/>
          <w:sz w:val="28"/>
          <w:szCs w:val="28"/>
          <w:lang w:val="en-US" w:eastAsia="zh-CN"/>
        </w:rPr>
      </w:pPr>
      <w:bookmarkStart w:id="252" w:name="_Toc1492"/>
      <w:bookmarkStart w:id="253" w:name="_Toc2251"/>
      <w:r>
        <w:rPr>
          <w:rFonts w:hint="eastAsia"/>
          <w:color w:val="auto"/>
          <w:sz w:val="28"/>
          <w:szCs w:val="28"/>
          <w:lang w:val="en-US" w:eastAsia="zh-CN"/>
        </w:rPr>
        <w:t>一、采购标的</w:t>
      </w:r>
      <w:bookmarkEnd w:id="252"/>
      <w:bookmarkEnd w:id="253"/>
      <w:r>
        <w:rPr>
          <w:rFonts w:hint="eastAsia"/>
          <w:color w:val="auto"/>
          <w:sz w:val="28"/>
          <w:szCs w:val="28"/>
          <w:lang w:val="en-US" w:eastAsia="zh-CN"/>
        </w:rPr>
        <w:t xml:space="preserve"> </w:t>
      </w:r>
    </w:p>
    <w:p w14:paraId="53604EB9">
      <w:pPr>
        <w:pStyle w:val="37"/>
        <w:pageBreakBefore w:val="0"/>
        <w:widowControl w:val="0"/>
        <w:kinsoku/>
        <w:overflowPunct/>
        <w:topLinePunct w:val="0"/>
        <w:autoSpaceDE/>
        <w:autoSpaceDN/>
        <w:bidi w:val="0"/>
        <w:adjustRightInd/>
        <w:snapToGrid/>
        <w:spacing w:line="360" w:lineRule="exact"/>
        <w:textAlignment w:val="auto"/>
        <w:rPr>
          <w:rFonts w:hint="eastAsia" w:ascii="宋体" w:hAnsi="宋体" w:eastAsia="宋体"/>
          <w:snapToGrid w:val="0"/>
          <w:color w:val="auto"/>
          <w:sz w:val="24"/>
          <w:szCs w:val="24"/>
          <w:highlight w:val="none"/>
          <w:lang w:val="en-US" w:eastAsia="zh-CN"/>
        </w:rPr>
      </w:pPr>
      <w:r>
        <w:rPr>
          <w:rFonts w:hint="default" w:ascii="宋体" w:hAnsi="宋体" w:eastAsia="宋体"/>
          <w:snapToGrid w:val="0"/>
          <w:color w:val="auto"/>
          <w:sz w:val="24"/>
          <w:szCs w:val="24"/>
          <w:highlight w:val="none"/>
          <w:lang w:val="en-US" w:eastAsia="zh-CN"/>
        </w:rPr>
        <w:t>1.</w:t>
      </w:r>
      <w:r>
        <w:rPr>
          <w:rFonts w:hint="eastAsia" w:ascii="宋体" w:hAnsi="宋体" w:eastAsia="宋体"/>
          <w:snapToGrid w:val="0"/>
          <w:color w:val="auto"/>
          <w:sz w:val="24"/>
          <w:szCs w:val="24"/>
          <w:highlight w:val="none"/>
          <w:lang w:val="en-US" w:eastAsia="zh-CN"/>
        </w:rPr>
        <w:t>采购内容：</w:t>
      </w:r>
      <w:r>
        <w:rPr>
          <w:rFonts w:hint="eastAsia" w:ascii="宋体" w:hAnsi="宋体" w:eastAsia="宋体" w:cs="宋体"/>
          <w:color w:val="auto"/>
          <w:sz w:val="24"/>
          <w:szCs w:val="24"/>
          <w:u w:val="none"/>
          <w:lang w:val="en-US" w:eastAsia="zh-CN"/>
        </w:rPr>
        <w:t>购置一批</w:t>
      </w:r>
      <w:r>
        <w:rPr>
          <w:rFonts w:hint="eastAsia" w:cs="宋体"/>
          <w:color w:val="auto"/>
          <w:sz w:val="24"/>
          <w:highlight w:val="none"/>
          <w:u w:val="none"/>
          <w:lang w:val="en-US" w:eastAsia="zh-CN"/>
        </w:rPr>
        <w:t>全自动喷气织样机、全自动喷气织机、全自动多臂剑杆织机、全自动大提花剑杆织布样机、数字式单纱整经机、数字式单纱浆纱机、数字式小样清梳联合制条机、空气压缩机、超声波工业加湿器。</w:t>
      </w:r>
    </w:p>
    <w:p w14:paraId="1FB32278">
      <w:pPr>
        <w:pStyle w:val="3"/>
        <w:pageBreakBefore w:val="0"/>
        <w:kinsoku/>
        <w:overflowPunct/>
        <w:topLinePunct w:val="0"/>
        <w:autoSpaceDE/>
        <w:autoSpaceDN/>
        <w:bidi w:val="0"/>
        <w:adjustRightInd/>
        <w:snapToGrid/>
        <w:spacing w:before="0" w:after="0" w:line="360" w:lineRule="exact"/>
        <w:textAlignment w:val="auto"/>
        <w:rPr>
          <w:rFonts w:hint="eastAsia"/>
          <w:color w:val="auto"/>
          <w:sz w:val="24"/>
          <w:szCs w:val="24"/>
          <w:lang w:val="en-US" w:eastAsia="zh-CN"/>
        </w:rPr>
      </w:pPr>
      <w:bookmarkStart w:id="254" w:name="_Toc17598"/>
      <w:bookmarkStart w:id="255" w:name="_Toc15003"/>
      <w:r>
        <w:rPr>
          <w:rFonts w:hint="eastAsia"/>
          <w:color w:val="auto"/>
          <w:sz w:val="28"/>
          <w:szCs w:val="28"/>
          <w:lang w:val="en-US" w:eastAsia="zh-CN"/>
        </w:rPr>
        <w:t>二、商务要求</w:t>
      </w:r>
      <w:bookmarkEnd w:id="254"/>
      <w:bookmarkEnd w:id="255"/>
    </w:p>
    <w:p w14:paraId="3B867A27">
      <w:pPr>
        <w:pStyle w:val="37"/>
        <w:keepNext w:val="0"/>
        <w:keepLines w:val="0"/>
        <w:pageBreakBefore w:val="0"/>
        <w:widowControl w:val="0"/>
        <w:kinsoku/>
        <w:wordWrap w:val="0"/>
        <w:overflowPunct/>
        <w:topLinePunct w:val="0"/>
        <w:autoSpaceDE/>
        <w:autoSpaceDN/>
        <w:bidi w:val="0"/>
        <w:adjustRightInd/>
        <w:snapToGrid/>
        <w:spacing w:line="360" w:lineRule="exact"/>
        <w:ind w:firstLine="482"/>
        <w:textAlignment w:val="auto"/>
        <w:rPr>
          <w:rFonts w:hint="eastAsia"/>
          <w:snapToGrid w:val="0"/>
          <w:color w:val="auto"/>
          <w:sz w:val="24"/>
          <w:szCs w:val="24"/>
          <w:highlight w:val="none"/>
          <w:lang w:val="en-US" w:eastAsia="zh-CN"/>
        </w:rPr>
      </w:pPr>
      <w:r>
        <w:rPr>
          <w:rFonts w:hint="eastAsia" w:ascii="宋体" w:hAnsi="宋体" w:eastAsia="宋体" w:cs="宋体"/>
          <w:i w:val="0"/>
          <w:iCs w:val="0"/>
          <w:color w:val="auto"/>
          <w:kern w:val="0"/>
          <w:sz w:val="21"/>
          <w:szCs w:val="21"/>
          <w:u w:val="none"/>
          <w:lang w:val="en-US" w:eastAsia="zh-CN" w:bidi="ar"/>
        </w:rPr>
        <w:t>★</w:t>
      </w:r>
      <w:r>
        <w:rPr>
          <w:rFonts w:hint="default"/>
          <w:snapToGrid w:val="0"/>
          <w:color w:val="auto"/>
          <w:sz w:val="24"/>
          <w:szCs w:val="24"/>
          <w:highlight w:val="none"/>
          <w:lang w:val="en-US" w:eastAsia="zh-CN"/>
        </w:rPr>
        <w:t>1.</w:t>
      </w:r>
      <w:r>
        <w:rPr>
          <w:rFonts w:hint="eastAsia"/>
          <w:color w:val="auto"/>
          <w:sz w:val="24"/>
          <w:szCs w:val="24"/>
          <w:highlight w:val="none"/>
        </w:rPr>
        <w:t>交货期限</w:t>
      </w:r>
      <w:r>
        <w:rPr>
          <w:rFonts w:hint="eastAsia"/>
          <w:snapToGrid w:val="0"/>
          <w:color w:val="auto"/>
          <w:sz w:val="24"/>
          <w:szCs w:val="24"/>
          <w:highlight w:val="none"/>
          <w:lang w:val="en-US" w:eastAsia="zh-CN"/>
        </w:rPr>
        <w:t>：</w:t>
      </w:r>
      <w:r>
        <w:rPr>
          <w:rFonts w:hint="eastAsia" w:ascii="宋体" w:hAnsi="宋体" w:eastAsia="宋体" w:cs="宋体"/>
          <w:color w:val="auto"/>
          <w:kern w:val="2"/>
          <w:sz w:val="24"/>
          <w:szCs w:val="24"/>
          <w:highlight w:val="none"/>
          <w:lang w:val="en-US" w:eastAsia="zh-CN" w:bidi="ar-SA"/>
        </w:rPr>
        <w:t>自合同签订之日起30天内完成供货、安装并达到交付使用标准。</w:t>
      </w:r>
    </w:p>
    <w:p w14:paraId="7DBD023F">
      <w:pPr>
        <w:pStyle w:val="37"/>
        <w:keepNext w:val="0"/>
        <w:keepLines w:val="0"/>
        <w:pageBreakBefore w:val="0"/>
        <w:widowControl w:val="0"/>
        <w:kinsoku/>
        <w:overflowPunct/>
        <w:topLinePunct w:val="0"/>
        <w:autoSpaceDE/>
        <w:autoSpaceDN/>
        <w:bidi w:val="0"/>
        <w:adjustRightInd/>
        <w:snapToGrid/>
        <w:spacing w:line="360" w:lineRule="exact"/>
        <w:textAlignment w:val="auto"/>
        <w:rPr>
          <w:rFonts w:hint="default"/>
          <w:snapToGrid w:val="0"/>
          <w:color w:val="auto"/>
          <w:sz w:val="24"/>
          <w:szCs w:val="24"/>
          <w:highlight w:val="none"/>
          <w:lang w:val="en-US" w:eastAsia="zh-CN"/>
        </w:rPr>
      </w:pPr>
      <w:r>
        <w:rPr>
          <w:rFonts w:hint="eastAsia" w:ascii="宋体" w:hAnsi="宋体" w:eastAsia="宋体" w:cs="宋体"/>
          <w:i w:val="0"/>
          <w:iCs w:val="0"/>
          <w:color w:val="auto"/>
          <w:kern w:val="0"/>
          <w:sz w:val="21"/>
          <w:szCs w:val="21"/>
          <w:u w:val="none"/>
          <w:lang w:val="en-US" w:eastAsia="zh-CN" w:bidi="ar"/>
        </w:rPr>
        <w:t>★</w:t>
      </w:r>
      <w:r>
        <w:rPr>
          <w:rFonts w:hint="eastAsia"/>
          <w:snapToGrid w:val="0"/>
          <w:color w:val="auto"/>
          <w:sz w:val="24"/>
          <w:szCs w:val="24"/>
          <w:highlight w:val="none"/>
          <w:lang w:val="en-US" w:eastAsia="zh-CN"/>
        </w:rPr>
        <w:t>2.交</w:t>
      </w:r>
      <w:r>
        <w:rPr>
          <w:rFonts w:hint="eastAsia"/>
          <w:color w:val="auto"/>
          <w:sz w:val="24"/>
          <w:szCs w:val="24"/>
          <w:highlight w:val="none"/>
        </w:rPr>
        <w:t>货</w:t>
      </w:r>
      <w:r>
        <w:rPr>
          <w:rFonts w:hint="eastAsia"/>
          <w:snapToGrid w:val="0"/>
          <w:color w:val="auto"/>
          <w:sz w:val="24"/>
          <w:szCs w:val="24"/>
          <w:highlight w:val="none"/>
          <w:lang w:val="en-US" w:eastAsia="zh-CN"/>
        </w:rPr>
        <w:t>地点</w:t>
      </w:r>
      <w:r>
        <w:rPr>
          <w:rFonts w:hint="eastAsia"/>
          <w:i w:val="0"/>
          <w:iCs w:val="0"/>
          <w:snapToGrid w:val="0"/>
          <w:color w:val="auto"/>
          <w:sz w:val="24"/>
          <w:szCs w:val="24"/>
          <w:highlight w:val="none"/>
          <w:lang w:val="en-US" w:eastAsia="zh-CN"/>
        </w:rPr>
        <w:t>：采购人指定地点。</w:t>
      </w:r>
    </w:p>
    <w:p w14:paraId="4A055367">
      <w:pPr>
        <w:keepNext w:val="0"/>
        <w:keepLines w:val="0"/>
        <w:pageBreakBefore w:val="0"/>
        <w:widowControl/>
        <w:suppressLineNumbers w:val="0"/>
        <w:kinsoku/>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宋体"/>
          <w:color w:val="auto"/>
          <w:sz w:val="24"/>
          <w:szCs w:val="24"/>
          <w:lang w:val="en-US" w:eastAsia="zh-CN"/>
        </w:rPr>
      </w:pPr>
      <w:r>
        <w:rPr>
          <w:rFonts w:hint="eastAsia"/>
          <w:snapToGrid w:val="0"/>
          <w:color w:val="auto"/>
          <w:sz w:val="24"/>
          <w:szCs w:val="24"/>
          <w:highlight w:val="none"/>
          <w:lang w:val="en-US" w:eastAsia="zh-CN"/>
        </w:rPr>
        <w:t>3.付款方式</w:t>
      </w:r>
      <w:r>
        <w:rPr>
          <w:rFonts w:ascii="宋体" w:hAnsi="宋体" w:eastAsia="宋体" w:cs="宋体"/>
          <w:color w:val="auto"/>
          <w:sz w:val="24"/>
          <w:szCs w:val="24"/>
        </w:rPr>
        <w:t>：</w:t>
      </w:r>
      <w:r>
        <w:rPr>
          <w:rFonts w:hint="eastAsia" w:ascii="宋体" w:hAnsi="宋体" w:eastAsia="宋体" w:cs="宋体"/>
          <w:color w:val="auto"/>
          <w:sz w:val="24"/>
          <w:szCs w:val="24"/>
          <w:lang w:val="en-US" w:eastAsia="zh-CN"/>
        </w:rPr>
        <w:t>合同签订后支付合同总价的30%预付款，供应商需提供金融机构出具的等额预付款保函，财务见保函后予以支付</w:t>
      </w:r>
      <w:r>
        <w:rPr>
          <w:rFonts w:hint="eastAsia" w:cs="宋体"/>
          <w:color w:val="auto"/>
          <w:sz w:val="24"/>
          <w:szCs w:val="24"/>
          <w:lang w:val="en-US" w:eastAsia="zh-CN"/>
        </w:rPr>
        <w:t>；</w:t>
      </w:r>
      <w:r>
        <w:rPr>
          <w:rFonts w:hint="eastAsia" w:ascii="宋体" w:hAnsi="宋体" w:eastAsia="宋体" w:cs="宋体"/>
          <w:color w:val="auto"/>
          <w:sz w:val="24"/>
          <w:szCs w:val="24"/>
          <w:lang w:val="en-US" w:eastAsia="zh-CN"/>
        </w:rPr>
        <w:t>货物全部到校开箱验收后，支付合同总价的50%进度款，经验收合格后，由乙方向甲方提供合同总金额全额的增值税专用发票，甲方见票</w:t>
      </w:r>
      <w:r>
        <w:rPr>
          <w:rFonts w:hint="eastAsia" w:cs="宋体"/>
          <w:color w:val="auto"/>
          <w:sz w:val="24"/>
          <w:szCs w:val="24"/>
          <w:lang w:val="en-US" w:eastAsia="zh-CN"/>
        </w:rPr>
        <w:t>后</w:t>
      </w:r>
      <w:r>
        <w:rPr>
          <w:rFonts w:hint="eastAsia" w:ascii="宋体" w:hAnsi="宋体" w:eastAsia="宋体" w:cs="宋体"/>
          <w:color w:val="auto"/>
          <w:sz w:val="24"/>
          <w:szCs w:val="24"/>
          <w:lang w:val="en-US" w:eastAsia="zh-CN"/>
        </w:rPr>
        <w:t>支付20%尾款至合同约定账户。</w:t>
      </w:r>
    </w:p>
    <w:p w14:paraId="10DD6D33">
      <w:pPr>
        <w:pStyle w:val="37"/>
        <w:keepNext w:val="0"/>
        <w:keepLines w:val="0"/>
        <w:pageBreakBefore w:val="0"/>
        <w:widowControl w:val="0"/>
        <w:kinsoku/>
        <w:overflowPunct/>
        <w:topLinePunct w:val="0"/>
        <w:autoSpaceDE/>
        <w:autoSpaceDN/>
        <w:bidi w:val="0"/>
        <w:adjustRightInd/>
        <w:snapToGrid/>
        <w:spacing w:line="360" w:lineRule="exact"/>
        <w:textAlignment w:val="auto"/>
        <w:rPr>
          <w:rFonts w:hint="eastAsia" w:cs="宋体"/>
          <w:color w:val="auto"/>
          <w:sz w:val="24"/>
          <w:szCs w:val="24"/>
          <w:lang w:val="en-US" w:eastAsia="zh-CN"/>
        </w:rPr>
      </w:pPr>
      <w:r>
        <w:rPr>
          <w:rFonts w:hint="eastAsia" w:ascii="宋体" w:hAnsi="宋体" w:eastAsia="宋体" w:cs="宋体"/>
          <w:i w:val="0"/>
          <w:iCs w:val="0"/>
          <w:color w:val="auto"/>
          <w:kern w:val="0"/>
          <w:sz w:val="21"/>
          <w:szCs w:val="21"/>
          <w:u w:val="none"/>
          <w:lang w:val="en-US" w:eastAsia="zh-CN" w:bidi="ar"/>
        </w:rPr>
        <w:t>★</w:t>
      </w:r>
      <w:r>
        <w:rPr>
          <w:rFonts w:hint="eastAsia" w:cs="宋体"/>
          <w:color w:val="auto"/>
          <w:sz w:val="24"/>
          <w:szCs w:val="24"/>
          <w:lang w:val="en-US" w:eastAsia="zh-CN"/>
        </w:rPr>
        <w:t>4.售后服务</w:t>
      </w:r>
    </w:p>
    <w:p w14:paraId="4CAB4368">
      <w:pPr>
        <w:pStyle w:val="37"/>
        <w:keepNext w:val="0"/>
        <w:keepLines w:val="0"/>
        <w:pageBreakBefore w:val="0"/>
        <w:widowControl w:val="0"/>
        <w:kinsoku/>
        <w:overflowPunct/>
        <w:topLinePunct w:val="0"/>
        <w:autoSpaceDE/>
        <w:autoSpaceDN/>
        <w:bidi w:val="0"/>
        <w:adjustRightInd/>
        <w:snapToGrid/>
        <w:spacing w:line="360" w:lineRule="exact"/>
        <w:ind w:firstLine="720" w:firstLineChars="300"/>
        <w:textAlignment w:val="auto"/>
        <w:rPr>
          <w:rFonts w:hint="eastAsia"/>
          <w:snapToGrid w:val="0"/>
          <w:color w:val="auto"/>
          <w:sz w:val="24"/>
          <w:szCs w:val="24"/>
          <w:highlight w:val="none"/>
          <w:lang w:val="en-US" w:eastAsia="zh-CN"/>
        </w:rPr>
      </w:pPr>
      <w:r>
        <w:rPr>
          <w:rFonts w:hint="eastAsia"/>
          <w:snapToGrid w:val="0"/>
          <w:color w:val="auto"/>
          <w:sz w:val="24"/>
          <w:szCs w:val="24"/>
          <w:highlight w:val="none"/>
          <w:lang w:val="en-US" w:eastAsia="zh-CN"/>
        </w:rPr>
        <w:t>①质保期：正常使用情况下，设备免费保修3年，终身成本维修。</w:t>
      </w:r>
    </w:p>
    <w:p w14:paraId="10C1F5A1">
      <w:pPr>
        <w:pStyle w:val="37"/>
        <w:keepNext w:val="0"/>
        <w:keepLines w:val="0"/>
        <w:pageBreakBefore w:val="0"/>
        <w:widowControl w:val="0"/>
        <w:kinsoku/>
        <w:overflowPunct/>
        <w:topLinePunct w:val="0"/>
        <w:autoSpaceDE/>
        <w:autoSpaceDN/>
        <w:bidi w:val="0"/>
        <w:adjustRightInd/>
        <w:snapToGrid/>
        <w:spacing w:line="360" w:lineRule="exact"/>
        <w:ind w:firstLine="720" w:firstLineChars="300"/>
        <w:textAlignment w:val="auto"/>
        <w:rPr>
          <w:rFonts w:hint="eastAsia" w:cs="宋体"/>
          <w:i w:val="0"/>
          <w:iCs w:val="0"/>
          <w:color w:val="auto"/>
          <w:kern w:val="0"/>
          <w:sz w:val="24"/>
          <w:szCs w:val="24"/>
          <w:u w:val="none"/>
          <w:lang w:val="en-US" w:eastAsia="zh-CN" w:bidi="ar"/>
        </w:rPr>
      </w:pPr>
      <w:r>
        <w:rPr>
          <w:rFonts w:hint="eastAsia" w:cs="宋体"/>
          <w:i w:val="0"/>
          <w:iCs w:val="0"/>
          <w:color w:val="auto"/>
          <w:kern w:val="0"/>
          <w:sz w:val="24"/>
          <w:szCs w:val="24"/>
          <w:u w:val="none"/>
          <w:lang w:val="en-US" w:eastAsia="zh-CN" w:bidi="ar"/>
        </w:rPr>
        <w:t>②</w:t>
      </w:r>
      <w:r>
        <w:rPr>
          <w:rFonts w:hint="eastAsia" w:ascii="宋体" w:hAnsi="宋体" w:eastAsia="宋体" w:cs="宋体"/>
          <w:i w:val="0"/>
          <w:iCs w:val="0"/>
          <w:color w:val="auto"/>
          <w:kern w:val="0"/>
          <w:sz w:val="24"/>
          <w:szCs w:val="24"/>
          <w:u w:val="none"/>
          <w:lang w:val="en-US" w:eastAsia="zh-CN" w:bidi="ar"/>
        </w:rPr>
        <w:t>5年内，每年定期维护1次</w:t>
      </w:r>
      <w:r>
        <w:rPr>
          <w:rFonts w:hint="eastAsia" w:cs="宋体"/>
          <w:i w:val="0"/>
          <w:iCs w:val="0"/>
          <w:color w:val="auto"/>
          <w:kern w:val="0"/>
          <w:sz w:val="24"/>
          <w:szCs w:val="24"/>
          <w:u w:val="none"/>
          <w:lang w:val="en-US" w:eastAsia="zh-CN" w:bidi="ar"/>
        </w:rPr>
        <w:t>（具体要求以签订合同为准）。</w:t>
      </w:r>
    </w:p>
    <w:p w14:paraId="658FB677">
      <w:pPr>
        <w:pStyle w:val="37"/>
        <w:keepNext w:val="0"/>
        <w:keepLines w:val="0"/>
        <w:pageBreakBefore w:val="0"/>
        <w:widowControl w:val="0"/>
        <w:kinsoku/>
        <w:overflowPunct/>
        <w:topLinePunct w:val="0"/>
        <w:autoSpaceDE/>
        <w:autoSpaceDN/>
        <w:bidi w:val="0"/>
        <w:adjustRightInd/>
        <w:snapToGrid/>
        <w:spacing w:line="360" w:lineRule="exact"/>
        <w:textAlignment w:val="auto"/>
        <w:rPr>
          <w:rFonts w:hint="eastAsia"/>
          <w:snapToGrid w:val="0"/>
          <w:color w:val="auto"/>
          <w:sz w:val="24"/>
          <w:szCs w:val="24"/>
          <w:highlight w:val="none"/>
          <w:lang w:val="en-US" w:eastAsia="zh-CN"/>
        </w:rPr>
      </w:pPr>
      <w:r>
        <w:rPr>
          <w:rFonts w:hint="eastAsia"/>
          <w:snapToGrid w:val="0"/>
          <w:color w:val="auto"/>
          <w:sz w:val="24"/>
          <w:szCs w:val="24"/>
          <w:highlight w:val="none"/>
          <w:lang w:val="en-US" w:eastAsia="zh-CN"/>
        </w:rPr>
        <w:t>5.包装和运输：须满足《关于印发〈商品包装政府采购需求标准（试行）〉、〈快递包装政府采购需求标准（试行）〉的通知》（财办库﹝</w:t>
      </w:r>
      <w:r>
        <w:rPr>
          <w:rFonts w:hint="default"/>
          <w:snapToGrid w:val="0"/>
          <w:color w:val="auto"/>
          <w:sz w:val="24"/>
          <w:szCs w:val="24"/>
          <w:highlight w:val="none"/>
          <w:lang w:val="en-US" w:eastAsia="zh-CN"/>
        </w:rPr>
        <w:t>2020</w:t>
      </w:r>
      <w:r>
        <w:rPr>
          <w:rFonts w:hint="eastAsia"/>
          <w:snapToGrid w:val="0"/>
          <w:color w:val="auto"/>
          <w:sz w:val="24"/>
          <w:szCs w:val="24"/>
          <w:highlight w:val="none"/>
          <w:lang w:val="en-US" w:eastAsia="zh-CN"/>
        </w:rPr>
        <w:t>﹞</w:t>
      </w:r>
      <w:r>
        <w:rPr>
          <w:rFonts w:hint="default"/>
          <w:snapToGrid w:val="0"/>
          <w:color w:val="auto"/>
          <w:sz w:val="24"/>
          <w:szCs w:val="24"/>
          <w:highlight w:val="none"/>
          <w:lang w:val="en-US" w:eastAsia="zh-CN"/>
        </w:rPr>
        <w:t xml:space="preserve">123 </w:t>
      </w:r>
      <w:r>
        <w:rPr>
          <w:rFonts w:hint="eastAsia"/>
          <w:snapToGrid w:val="0"/>
          <w:color w:val="auto"/>
          <w:sz w:val="24"/>
          <w:szCs w:val="24"/>
          <w:highlight w:val="none"/>
          <w:lang w:val="en-US" w:eastAsia="zh-CN"/>
        </w:rPr>
        <w:t>号））</w:t>
      </w:r>
    </w:p>
    <w:p w14:paraId="3E453975">
      <w:pPr>
        <w:pStyle w:val="3"/>
        <w:pageBreakBefore w:val="0"/>
        <w:widowControl w:val="0"/>
        <w:kinsoku/>
        <w:overflowPunct/>
        <w:topLinePunct w:val="0"/>
        <w:autoSpaceDE/>
        <w:autoSpaceDN/>
        <w:bidi w:val="0"/>
        <w:adjustRightInd/>
        <w:snapToGrid/>
        <w:spacing w:before="0" w:after="0" w:line="500" w:lineRule="exact"/>
        <w:textAlignment w:val="auto"/>
        <w:rPr>
          <w:rFonts w:hint="eastAsia" w:eastAsia="宋体"/>
          <w:color w:val="auto"/>
          <w:sz w:val="28"/>
          <w:szCs w:val="28"/>
          <w:lang w:val="en-US" w:eastAsia="zh-CN"/>
        </w:rPr>
      </w:pPr>
      <w:bookmarkStart w:id="256" w:name="_Toc14386"/>
      <w:bookmarkStart w:id="257" w:name="_Toc2541"/>
      <w:r>
        <w:rPr>
          <w:rFonts w:hint="eastAsia" w:eastAsia="宋体"/>
          <w:color w:val="auto"/>
          <w:sz w:val="28"/>
          <w:szCs w:val="28"/>
          <w:lang w:val="en-US" w:eastAsia="zh-CN"/>
        </w:rPr>
        <w:t>三、技术要求</w:t>
      </w:r>
      <w:bookmarkEnd w:id="256"/>
      <w:bookmarkEnd w:id="257"/>
    </w:p>
    <w:p w14:paraId="59361C6E">
      <w:pPr>
        <w:keepNext w:val="0"/>
        <w:keepLines w:val="0"/>
        <w:widowControl/>
        <w:suppressLineNumbers w:val="0"/>
        <w:jc w:val="left"/>
        <w:rPr>
          <w:rFonts w:hint="eastAsia"/>
          <w:b w:val="0"/>
          <w:bCs w:val="0"/>
          <w:color w:val="auto"/>
          <w:sz w:val="22"/>
          <w:szCs w:val="21"/>
          <w:lang w:val="en-US" w:eastAsia="zh-CN"/>
        </w:rPr>
      </w:pPr>
      <w:r>
        <w:rPr>
          <w:rFonts w:hint="eastAsia" w:cs="宋体"/>
          <w:b w:val="0"/>
          <w:bCs w:val="0"/>
          <w:color w:val="auto"/>
          <w:kern w:val="0"/>
          <w:sz w:val="24"/>
          <w:szCs w:val="24"/>
          <w:lang w:val="en-US" w:eastAsia="zh-CN" w:bidi="ar"/>
        </w:rPr>
        <w:t>3.</w:t>
      </w:r>
      <w:r>
        <w:rPr>
          <w:rFonts w:hint="eastAsia" w:ascii="宋体" w:hAnsi="宋体" w:eastAsia="宋体" w:cs="宋体"/>
          <w:b w:val="0"/>
          <w:bCs w:val="0"/>
          <w:color w:val="auto"/>
          <w:kern w:val="0"/>
          <w:sz w:val="24"/>
          <w:szCs w:val="24"/>
          <w:lang w:val="en-US" w:eastAsia="zh-CN" w:bidi="ar"/>
        </w:rPr>
        <w:t>1</w:t>
      </w:r>
      <w:r>
        <w:rPr>
          <w:rFonts w:hint="eastAsia" w:cs="宋体"/>
          <w:b w:val="0"/>
          <w:bCs w:val="0"/>
          <w:color w:val="auto"/>
          <w:kern w:val="0"/>
          <w:sz w:val="24"/>
          <w:szCs w:val="24"/>
          <w:lang w:val="en-US" w:eastAsia="zh-CN" w:bidi="ar"/>
        </w:rPr>
        <w:t>产品</w:t>
      </w:r>
      <w:r>
        <w:rPr>
          <w:rFonts w:hint="eastAsia" w:ascii="宋体" w:hAnsi="宋体" w:eastAsia="宋体" w:cs="宋体"/>
          <w:b w:val="0"/>
          <w:bCs w:val="0"/>
          <w:color w:val="auto"/>
          <w:kern w:val="0"/>
          <w:sz w:val="24"/>
          <w:szCs w:val="24"/>
          <w:lang w:val="en-US" w:eastAsia="zh-CN" w:bidi="ar"/>
        </w:rPr>
        <w:t>要求</w:t>
      </w:r>
    </w:p>
    <w:tbl>
      <w:tblPr>
        <w:tblStyle w:val="30"/>
        <w:tblW w:w="10065" w:type="dxa"/>
        <w:tblInd w:w="-42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77"/>
        <w:gridCol w:w="1273"/>
        <w:gridCol w:w="6675"/>
        <w:gridCol w:w="587"/>
        <w:gridCol w:w="553"/>
      </w:tblGrid>
      <w:tr w14:paraId="330ACF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trPr>
        <w:tc>
          <w:tcPr>
            <w:tcW w:w="977" w:type="dxa"/>
            <w:tcBorders>
              <w:top w:val="single" w:color="000000" w:sz="4" w:space="0"/>
              <w:left w:val="single" w:color="000000" w:sz="4" w:space="0"/>
              <w:bottom w:val="nil"/>
              <w:right w:val="single" w:color="000000" w:sz="4" w:space="0"/>
            </w:tcBorders>
            <w:shd w:val="clear" w:color="auto" w:fill="auto"/>
            <w:vAlign w:val="center"/>
          </w:tcPr>
          <w:p w14:paraId="1C5888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1273" w:type="dxa"/>
            <w:tcBorders>
              <w:top w:val="single" w:color="000000" w:sz="4" w:space="0"/>
              <w:left w:val="single" w:color="000000" w:sz="4" w:space="0"/>
              <w:bottom w:val="nil"/>
              <w:right w:val="single" w:color="000000" w:sz="4" w:space="0"/>
            </w:tcBorders>
            <w:shd w:val="clear" w:color="auto" w:fill="auto"/>
            <w:vAlign w:val="center"/>
          </w:tcPr>
          <w:p w14:paraId="7B4333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名称</w:t>
            </w:r>
          </w:p>
        </w:tc>
        <w:tc>
          <w:tcPr>
            <w:tcW w:w="6675" w:type="dxa"/>
            <w:tcBorders>
              <w:top w:val="single" w:color="000000" w:sz="4" w:space="0"/>
              <w:left w:val="single" w:color="000000" w:sz="4" w:space="0"/>
              <w:bottom w:val="nil"/>
              <w:right w:val="single" w:color="000000" w:sz="4" w:space="0"/>
            </w:tcBorders>
            <w:shd w:val="clear" w:color="auto" w:fill="auto"/>
            <w:vAlign w:val="center"/>
          </w:tcPr>
          <w:p w14:paraId="1A8A52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技术参数</w:t>
            </w:r>
          </w:p>
        </w:tc>
        <w:tc>
          <w:tcPr>
            <w:tcW w:w="587" w:type="dxa"/>
            <w:tcBorders>
              <w:top w:val="single" w:color="000000" w:sz="4" w:space="0"/>
              <w:left w:val="single" w:color="000000" w:sz="4" w:space="0"/>
              <w:bottom w:val="nil"/>
              <w:right w:val="single" w:color="000000" w:sz="4" w:space="0"/>
            </w:tcBorders>
            <w:shd w:val="clear" w:color="auto" w:fill="auto"/>
            <w:vAlign w:val="center"/>
          </w:tcPr>
          <w:p w14:paraId="16C7A5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w:t>
            </w:r>
          </w:p>
        </w:tc>
        <w:tc>
          <w:tcPr>
            <w:tcW w:w="553" w:type="dxa"/>
            <w:tcBorders>
              <w:top w:val="single" w:color="000000" w:sz="4" w:space="0"/>
              <w:left w:val="single" w:color="000000" w:sz="4" w:space="0"/>
              <w:bottom w:val="nil"/>
              <w:right w:val="single" w:color="000000" w:sz="4" w:space="0"/>
            </w:tcBorders>
            <w:shd w:val="clear" w:color="auto" w:fill="auto"/>
            <w:vAlign w:val="center"/>
          </w:tcPr>
          <w:p w14:paraId="4F818B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w:t>
            </w:r>
          </w:p>
        </w:tc>
      </w:tr>
      <w:tr w14:paraId="516FE1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2BA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F44A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全自动喷气织样机</w:t>
            </w:r>
          </w:p>
        </w:tc>
        <w:tc>
          <w:tcPr>
            <w:tcW w:w="6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F84C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▲1、幅宽：幅宽≥20英寸。</w:t>
            </w:r>
          </w:p>
          <w:p w14:paraId="6292D6E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2、送经：采用步进电机式电子送经。张力传感器感应张力。</w:t>
            </w:r>
          </w:p>
          <w:p w14:paraId="0598746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3、卷取：采用步进电机卷取，纬密可调节。</w:t>
            </w:r>
          </w:p>
          <w:p w14:paraId="1F5241C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▲4、开口：综框数量≥20页综框。</w:t>
            </w:r>
          </w:p>
          <w:p w14:paraId="5DACCD3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5、选色：4色选纬，定长储纬器。</w:t>
            </w:r>
          </w:p>
          <w:p w14:paraId="7DE9F77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6、打纬：伺服电机控制凸轮打纬，配备5片不同规格备用钢筘。</w:t>
            </w:r>
          </w:p>
          <w:p w14:paraId="2F1FC46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▲7、引纬：喷嘴数量≥4。</w:t>
            </w:r>
          </w:p>
          <w:p w14:paraId="516C246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8、纱线线密度：≥5tex。</w:t>
            </w:r>
          </w:p>
          <w:p w14:paraId="1688088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9、车速：≥25纬/分。</w:t>
            </w:r>
          </w:p>
          <w:p w14:paraId="0E38B0B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10、中央控制台：</w:t>
            </w:r>
          </w:p>
          <w:p w14:paraId="666725C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①硬件: 工业电脑，液晶显示器，可编程序控制器。</w:t>
            </w:r>
          </w:p>
          <w:p w14:paraId="7D8CBE9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②软件:WINDOWS操作系统,集成织物纹板设计软件。</w:t>
            </w:r>
          </w:p>
          <w:p w14:paraId="4318C77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11、穿筘：每台机器配备对应的穿筘工具及穿筘架。</w:t>
            </w:r>
          </w:p>
          <w:p w14:paraId="6709E4E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 xml:space="preserve">12、主要特点： </w:t>
            </w:r>
          </w:p>
          <w:p w14:paraId="068B12D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①整机机械设计布局合理，采用半封闭和局部全封闭，外形美观，操作安全。</w:t>
            </w:r>
          </w:p>
          <w:p w14:paraId="7348DCF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②步进电机卷取和送经机构：集中一侧全封闭。</w:t>
            </w:r>
          </w:p>
          <w:p w14:paraId="048754E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③小经轴结构采用拆卸式弹性联轴器结构。</w:t>
            </w:r>
          </w:p>
          <w:p w14:paraId="24185B0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④伺服电机控制打纬。</w:t>
            </w:r>
          </w:p>
          <w:p w14:paraId="1E26188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 xml:space="preserve">⑤采用新型插销式综框固定座。 </w:t>
            </w:r>
          </w:p>
          <w:p w14:paraId="4239F8B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⑥主动式剪纬机构。</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96E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73D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14:paraId="0769F6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D37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22DA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全自动喷气织机</w:t>
            </w:r>
          </w:p>
        </w:tc>
        <w:tc>
          <w:tcPr>
            <w:tcW w:w="6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7D70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▲1、幅宽：幅宽≥190cm。</w:t>
            </w:r>
          </w:p>
          <w:p w14:paraId="33FB313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2、纱线线密度：≥5tex。</w:t>
            </w:r>
          </w:p>
          <w:p w14:paraId="05D33B0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▲3、引纬：喷嘴数量≥2。</w:t>
            </w:r>
          </w:p>
          <w:p w14:paraId="30399A2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▲4、车速：车速≥500r/min。</w:t>
            </w:r>
          </w:p>
          <w:p w14:paraId="279DD23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5、动力：超启动马达，按钮式启动、停车、正反转缓慢运动。</w:t>
            </w:r>
          </w:p>
          <w:p w14:paraId="7BD9515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6、引纬：主喷嘴、辅喷嘴并用式，异形钢筘，辅助主喷嘴。</w:t>
            </w:r>
          </w:p>
          <w:p w14:paraId="2BAB44A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▲7、开口：积极式凸轮开口，综框≥8页。</w:t>
            </w:r>
          </w:p>
          <w:p w14:paraId="4752FDD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8、送经：电子送经。</w:t>
            </w:r>
          </w:p>
          <w:p w14:paraId="5A9D250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9、边盘直径：直径≥Φ800 mm。</w:t>
            </w:r>
          </w:p>
          <w:p w14:paraId="59DCA38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10、卷布形式：电子式卷取</w:t>
            </w:r>
            <w:r>
              <w:rPr>
                <w:rFonts w:hint="eastAsia" w:cs="宋体"/>
                <w:i w:val="0"/>
                <w:iCs w:val="0"/>
                <w:color w:val="000000"/>
                <w:sz w:val="21"/>
                <w:szCs w:val="21"/>
                <w:u w:val="none"/>
                <w:lang w:eastAsia="zh-CN"/>
              </w:rPr>
              <w:t>；</w:t>
            </w:r>
            <w:r>
              <w:rPr>
                <w:rFonts w:hint="eastAsia" w:ascii="宋体" w:hAnsi="宋体" w:eastAsia="宋体" w:cs="宋体"/>
                <w:i w:val="0"/>
                <w:iCs w:val="0"/>
                <w:color w:val="000000"/>
                <w:sz w:val="21"/>
                <w:szCs w:val="21"/>
                <w:u w:val="none"/>
              </w:rPr>
              <w:t>最大卷布直径：直径≥600mm。</w:t>
            </w:r>
          </w:p>
          <w:p w14:paraId="54356C5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1"/>
                <w:szCs w:val="21"/>
                <w:u w:val="none"/>
                <w:lang w:eastAsia="zh-CN"/>
              </w:rPr>
            </w:pPr>
            <w:r>
              <w:rPr>
                <w:rFonts w:hint="eastAsia" w:ascii="宋体" w:hAnsi="宋体" w:eastAsia="宋体" w:cs="宋体"/>
                <w:i w:val="0"/>
                <w:iCs w:val="0"/>
                <w:color w:val="000000"/>
                <w:sz w:val="21"/>
                <w:szCs w:val="21"/>
                <w:u w:val="none"/>
              </w:rPr>
              <w:t>1</w:t>
            </w:r>
            <w:r>
              <w:rPr>
                <w:rFonts w:hint="eastAsia" w:cs="宋体"/>
                <w:i w:val="0"/>
                <w:iCs w:val="0"/>
                <w:color w:val="000000"/>
                <w:sz w:val="21"/>
                <w:szCs w:val="21"/>
                <w:u w:val="none"/>
                <w:lang w:val="en-US" w:eastAsia="zh-CN"/>
              </w:rPr>
              <w:t>1</w:t>
            </w:r>
            <w:r>
              <w:rPr>
                <w:rFonts w:hint="eastAsia" w:ascii="宋体" w:hAnsi="宋体" w:eastAsia="宋体" w:cs="宋体"/>
                <w:i w:val="0"/>
                <w:iCs w:val="0"/>
                <w:color w:val="000000"/>
                <w:sz w:val="21"/>
                <w:szCs w:val="21"/>
                <w:u w:val="none"/>
              </w:rPr>
              <w:t>、纬密可调节</w:t>
            </w:r>
            <w:r>
              <w:rPr>
                <w:rFonts w:hint="eastAsia" w:cs="宋体"/>
                <w:i w:val="0"/>
                <w:iCs w:val="0"/>
                <w:color w:val="000000"/>
                <w:sz w:val="21"/>
                <w:szCs w:val="21"/>
                <w:u w:val="none"/>
                <w:lang w:eastAsia="zh-CN"/>
              </w:rPr>
              <w:t>；</w:t>
            </w:r>
            <w:r>
              <w:rPr>
                <w:rFonts w:hint="eastAsia" w:ascii="宋体" w:hAnsi="宋体" w:eastAsia="宋体" w:cs="宋体"/>
                <w:i w:val="0"/>
                <w:iCs w:val="0"/>
                <w:color w:val="000000"/>
                <w:sz w:val="21"/>
                <w:szCs w:val="21"/>
                <w:u w:val="none"/>
              </w:rPr>
              <w:t>打纬形式：六连杆打纬机构。</w:t>
            </w:r>
          </w:p>
          <w:p w14:paraId="658DF76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1</w:t>
            </w:r>
            <w:r>
              <w:rPr>
                <w:rFonts w:hint="eastAsia" w:cs="宋体"/>
                <w:i w:val="0"/>
                <w:iCs w:val="0"/>
                <w:color w:val="000000"/>
                <w:sz w:val="21"/>
                <w:szCs w:val="21"/>
                <w:u w:val="none"/>
                <w:lang w:val="en-US" w:eastAsia="zh-CN"/>
              </w:rPr>
              <w:t>2</w:t>
            </w:r>
            <w:r>
              <w:rPr>
                <w:rFonts w:hint="eastAsia" w:ascii="宋体" w:hAnsi="宋体" w:eastAsia="宋体" w:cs="宋体"/>
                <w:i w:val="0"/>
                <w:iCs w:val="0"/>
                <w:color w:val="000000"/>
                <w:sz w:val="21"/>
                <w:szCs w:val="21"/>
                <w:u w:val="none"/>
              </w:rPr>
              <w:t>、织布长度计数：触摸屏上显示布长，带定尺停车功能。</w:t>
            </w:r>
          </w:p>
          <w:p w14:paraId="19D5F90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1</w:t>
            </w:r>
            <w:r>
              <w:rPr>
                <w:rFonts w:hint="eastAsia" w:cs="宋体"/>
                <w:i w:val="0"/>
                <w:iCs w:val="0"/>
                <w:color w:val="000000"/>
                <w:sz w:val="21"/>
                <w:szCs w:val="21"/>
                <w:u w:val="none"/>
                <w:lang w:val="en-US" w:eastAsia="zh-CN"/>
              </w:rPr>
              <w:t>3</w:t>
            </w:r>
            <w:r>
              <w:rPr>
                <w:rFonts w:hint="eastAsia" w:ascii="宋体" w:hAnsi="宋体" w:eastAsia="宋体" w:cs="宋体"/>
                <w:i w:val="0"/>
                <w:iCs w:val="0"/>
                <w:color w:val="000000"/>
                <w:sz w:val="21"/>
                <w:szCs w:val="21"/>
                <w:u w:val="none"/>
              </w:rPr>
              <w:t>、边撑器：上置式。</w:t>
            </w:r>
          </w:p>
          <w:p w14:paraId="081BFBA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1</w:t>
            </w:r>
            <w:r>
              <w:rPr>
                <w:rFonts w:hint="eastAsia" w:cs="宋体"/>
                <w:i w:val="0"/>
                <w:iCs w:val="0"/>
                <w:color w:val="000000"/>
                <w:sz w:val="21"/>
                <w:szCs w:val="21"/>
                <w:u w:val="none"/>
                <w:lang w:val="en-US" w:eastAsia="zh-CN"/>
              </w:rPr>
              <w:t>4</w:t>
            </w:r>
            <w:r>
              <w:rPr>
                <w:rFonts w:hint="eastAsia" w:ascii="宋体" w:hAnsi="宋体" w:eastAsia="宋体" w:cs="宋体"/>
                <w:i w:val="0"/>
                <w:iCs w:val="0"/>
                <w:color w:val="000000"/>
                <w:sz w:val="21"/>
                <w:szCs w:val="21"/>
                <w:u w:val="none"/>
              </w:rPr>
              <w:t>、测长储纬：纬纱滚筒回转式储纬器。</w:t>
            </w:r>
          </w:p>
          <w:p w14:paraId="6C764F3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1</w:t>
            </w:r>
            <w:r>
              <w:rPr>
                <w:rFonts w:hint="eastAsia" w:cs="宋体"/>
                <w:i w:val="0"/>
                <w:iCs w:val="0"/>
                <w:color w:val="000000"/>
                <w:sz w:val="21"/>
                <w:szCs w:val="21"/>
                <w:u w:val="none"/>
                <w:lang w:val="en-US" w:eastAsia="zh-CN"/>
              </w:rPr>
              <w:t>5</w:t>
            </w:r>
            <w:r>
              <w:rPr>
                <w:rFonts w:hint="eastAsia" w:ascii="宋体" w:hAnsi="宋体" w:eastAsia="宋体" w:cs="宋体"/>
                <w:i w:val="0"/>
                <w:iCs w:val="0"/>
                <w:color w:val="000000"/>
                <w:sz w:val="21"/>
                <w:szCs w:val="21"/>
                <w:u w:val="none"/>
              </w:rPr>
              <w:t>、纬纱架：落地式双倍筒纱。</w:t>
            </w:r>
          </w:p>
          <w:p w14:paraId="63782CE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1</w:t>
            </w:r>
            <w:r>
              <w:rPr>
                <w:rFonts w:hint="eastAsia" w:cs="宋体"/>
                <w:i w:val="0"/>
                <w:iCs w:val="0"/>
                <w:color w:val="000000"/>
                <w:sz w:val="21"/>
                <w:szCs w:val="21"/>
                <w:u w:val="none"/>
                <w:lang w:val="en-US" w:eastAsia="zh-CN"/>
              </w:rPr>
              <w:t>6</w:t>
            </w:r>
            <w:r>
              <w:rPr>
                <w:rFonts w:hint="eastAsia" w:ascii="宋体" w:hAnsi="宋体" w:eastAsia="宋体" w:cs="宋体"/>
                <w:i w:val="0"/>
                <w:iCs w:val="0"/>
                <w:color w:val="000000"/>
                <w:sz w:val="21"/>
                <w:szCs w:val="21"/>
                <w:u w:val="none"/>
              </w:rPr>
              <w:t>、布边：行星齿轮方式。</w:t>
            </w:r>
          </w:p>
          <w:p w14:paraId="159A504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1</w:t>
            </w:r>
            <w:r>
              <w:rPr>
                <w:rFonts w:hint="eastAsia" w:cs="宋体"/>
                <w:i w:val="0"/>
                <w:iCs w:val="0"/>
                <w:color w:val="000000"/>
                <w:sz w:val="21"/>
                <w:szCs w:val="21"/>
                <w:u w:val="none"/>
                <w:lang w:val="en-US" w:eastAsia="zh-CN"/>
              </w:rPr>
              <w:t>7</w:t>
            </w:r>
            <w:r>
              <w:rPr>
                <w:rFonts w:hint="eastAsia" w:ascii="宋体" w:hAnsi="宋体" w:eastAsia="宋体" w:cs="宋体"/>
                <w:i w:val="0"/>
                <w:iCs w:val="0"/>
                <w:color w:val="000000"/>
                <w:sz w:val="21"/>
                <w:szCs w:val="21"/>
                <w:u w:val="none"/>
              </w:rPr>
              <w:t>、纱端处理：采用补纱方式握持住单侧纱端。</w:t>
            </w:r>
          </w:p>
          <w:p w14:paraId="40FE184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1"/>
                <w:szCs w:val="21"/>
                <w:u w:val="none"/>
              </w:rPr>
            </w:pPr>
            <w:r>
              <w:rPr>
                <w:rFonts w:hint="eastAsia" w:cs="宋体"/>
                <w:i w:val="0"/>
                <w:iCs w:val="0"/>
                <w:color w:val="000000"/>
                <w:sz w:val="21"/>
                <w:szCs w:val="21"/>
                <w:u w:val="none"/>
                <w:lang w:val="en-US" w:eastAsia="zh-CN"/>
              </w:rPr>
              <w:t>18</w:t>
            </w:r>
            <w:r>
              <w:rPr>
                <w:rFonts w:hint="eastAsia" w:ascii="宋体" w:hAnsi="宋体" w:eastAsia="宋体" w:cs="宋体"/>
                <w:i w:val="0"/>
                <w:iCs w:val="0"/>
                <w:color w:val="000000"/>
                <w:sz w:val="21"/>
                <w:szCs w:val="21"/>
                <w:u w:val="none"/>
              </w:rPr>
              <w:t>、剪纬：电子式剪刀。</w:t>
            </w:r>
          </w:p>
          <w:p w14:paraId="2220CAD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1"/>
                <w:szCs w:val="21"/>
                <w:u w:val="none"/>
              </w:rPr>
            </w:pPr>
            <w:r>
              <w:rPr>
                <w:rFonts w:hint="eastAsia" w:cs="宋体"/>
                <w:i w:val="0"/>
                <w:iCs w:val="0"/>
                <w:color w:val="000000"/>
                <w:sz w:val="21"/>
                <w:szCs w:val="21"/>
                <w:u w:val="none"/>
                <w:lang w:val="en-US" w:eastAsia="zh-CN"/>
              </w:rPr>
              <w:t>19</w:t>
            </w:r>
            <w:r>
              <w:rPr>
                <w:rFonts w:hint="eastAsia" w:ascii="宋体" w:hAnsi="宋体" w:eastAsia="宋体" w:cs="宋体"/>
                <w:i w:val="0"/>
                <w:iCs w:val="0"/>
                <w:color w:val="000000"/>
                <w:sz w:val="21"/>
                <w:szCs w:val="21"/>
                <w:u w:val="none"/>
              </w:rPr>
              <w:t>、断纬：光电反射式探纬器，带纬纱到达角度显示功能。</w:t>
            </w:r>
          </w:p>
          <w:p w14:paraId="629CAA1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2</w:t>
            </w:r>
            <w:r>
              <w:rPr>
                <w:rFonts w:hint="eastAsia" w:cs="宋体"/>
                <w:i w:val="0"/>
                <w:iCs w:val="0"/>
                <w:color w:val="000000"/>
                <w:sz w:val="21"/>
                <w:szCs w:val="21"/>
                <w:u w:val="none"/>
                <w:lang w:val="en-US" w:eastAsia="zh-CN"/>
              </w:rPr>
              <w:t>0</w:t>
            </w:r>
            <w:r>
              <w:rPr>
                <w:rFonts w:hint="eastAsia" w:ascii="宋体" w:hAnsi="宋体" w:eastAsia="宋体" w:cs="宋体"/>
                <w:i w:val="0"/>
                <w:iCs w:val="0"/>
                <w:color w:val="000000"/>
                <w:sz w:val="21"/>
                <w:szCs w:val="21"/>
                <w:u w:val="none"/>
              </w:rPr>
              <w:t>、断经：电气接触式，六排停经片。</w:t>
            </w:r>
          </w:p>
          <w:p w14:paraId="76EED35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2</w:t>
            </w:r>
            <w:r>
              <w:rPr>
                <w:rFonts w:hint="eastAsia" w:cs="宋体"/>
                <w:i w:val="0"/>
                <w:iCs w:val="0"/>
                <w:color w:val="000000"/>
                <w:sz w:val="21"/>
                <w:szCs w:val="21"/>
                <w:u w:val="none"/>
                <w:lang w:val="en-US" w:eastAsia="zh-CN"/>
              </w:rPr>
              <w:t>1</w:t>
            </w:r>
            <w:r>
              <w:rPr>
                <w:rFonts w:hint="eastAsia" w:ascii="宋体" w:hAnsi="宋体" w:eastAsia="宋体" w:cs="宋体"/>
                <w:i w:val="0"/>
                <w:iCs w:val="0"/>
                <w:color w:val="000000"/>
                <w:sz w:val="21"/>
                <w:szCs w:val="21"/>
                <w:u w:val="none"/>
              </w:rPr>
              <w:t>、停车装置：停车原因触摸屏显示，多功能4色灯停车显示。</w:t>
            </w:r>
          </w:p>
          <w:p w14:paraId="4E0E4AD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2</w:t>
            </w:r>
            <w:r>
              <w:rPr>
                <w:rFonts w:hint="eastAsia" w:cs="宋体"/>
                <w:i w:val="0"/>
                <w:iCs w:val="0"/>
                <w:color w:val="000000"/>
                <w:sz w:val="21"/>
                <w:szCs w:val="21"/>
                <w:u w:val="none"/>
                <w:lang w:val="en-US" w:eastAsia="zh-CN"/>
              </w:rPr>
              <w:t>2</w:t>
            </w:r>
            <w:r>
              <w:rPr>
                <w:rFonts w:hint="eastAsia" w:ascii="宋体" w:hAnsi="宋体" w:eastAsia="宋体" w:cs="宋体"/>
                <w:i w:val="0"/>
                <w:iCs w:val="0"/>
                <w:color w:val="000000"/>
                <w:sz w:val="21"/>
                <w:szCs w:val="21"/>
                <w:u w:val="none"/>
              </w:rPr>
              <w:t>、穿筘：每台机器配备对应的穿筘工具及穿筘架。</w:t>
            </w:r>
          </w:p>
          <w:p w14:paraId="06A6DA5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2</w:t>
            </w:r>
            <w:r>
              <w:rPr>
                <w:rFonts w:hint="eastAsia" w:cs="宋体"/>
                <w:i w:val="0"/>
                <w:iCs w:val="0"/>
                <w:color w:val="000000"/>
                <w:sz w:val="21"/>
                <w:szCs w:val="21"/>
                <w:u w:val="none"/>
                <w:lang w:val="en-US" w:eastAsia="zh-CN"/>
              </w:rPr>
              <w:t>3</w:t>
            </w:r>
            <w:r>
              <w:rPr>
                <w:rFonts w:hint="eastAsia" w:ascii="宋体" w:hAnsi="宋体" w:eastAsia="宋体" w:cs="宋体"/>
                <w:i w:val="0"/>
                <w:iCs w:val="0"/>
                <w:color w:val="000000"/>
                <w:sz w:val="21"/>
                <w:szCs w:val="21"/>
                <w:u w:val="none"/>
              </w:rPr>
              <w:t>、所供织机交付使用时，需提供织轴，其中经纱长度≥5000米，并完成穿经穿筘，织机可以正常织造。</w:t>
            </w:r>
          </w:p>
          <w:p w14:paraId="74E72A4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2</w:t>
            </w:r>
            <w:r>
              <w:rPr>
                <w:rFonts w:hint="eastAsia" w:cs="宋体"/>
                <w:i w:val="0"/>
                <w:iCs w:val="0"/>
                <w:color w:val="000000"/>
                <w:sz w:val="21"/>
                <w:szCs w:val="21"/>
                <w:u w:val="none"/>
                <w:lang w:val="en-US" w:eastAsia="zh-CN"/>
              </w:rPr>
              <w:t>4</w:t>
            </w:r>
            <w:r>
              <w:rPr>
                <w:rFonts w:hint="eastAsia" w:ascii="宋体" w:hAnsi="宋体" w:eastAsia="宋体" w:cs="宋体"/>
                <w:i w:val="0"/>
                <w:iCs w:val="0"/>
                <w:color w:val="000000"/>
                <w:sz w:val="21"/>
                <w:szCs w:val="21"/>
                <w:u w:val="none"/>
              </w:rPr>
              <w:t>、提供易损传动皮带1套，综丝2000根。</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EE3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DCC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4BE842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F23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02E5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全自动多臂剑杆织机</w:t>
            </w:r>
          </w:p>
        </w:tc>
        <w:tc>
          <w:tcPr>
            <w:tcW w:w="6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CDD0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▲1、幅宽：幅宽≥190cm。</w:t>
            </w:r>
          </w:p>
          <w:p w14:paraId="3996834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2、纱线线密度：≥5tex。</w:t>
            </w:r>
          </w:p>
          <w:p w14:paraId="3CD1621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3、织物重量：20～850克/平米。</w:t>
            </w:r>
          </w:p>
          <w:p w14:paraId="124703A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4、织造速度：≥300 r/min。</w:t>
            </w:r>
          </w:p>
          <w:p w14:paraId="6C1476A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5、最大入纬率：≥700米/分。</w:t>
            </w:r>
          </w:p>
          <w:p w14:paraId="1CAEB43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▲6、纬纱选择：≥8色高速电子选纬器。</w:t>
            </w:r>
          </w:p>
          <w:p w14:paraId="322A2F5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7、储纬：定鼓存储式电子储纬器。</w:t>
            </w:r>
          </w:p>
          <w:p w14:paraId="04F2A65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8、纬剪：机械式剪刀。</w:t>
            </w:r>
          </w:p>
          <w:p w14:paraId="391E7F3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9、动力传动控制：使用超级马达直接驱动。</w:t>
            </w:r>
          </w:p>
          <w:p w14:paraId="501988A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▲10、开口：高速电子多臂≥16页综框。</w:t>
            </w:r>
          </w:p>
          <w:p w14:paraId="0B1A14E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sz w:val="21"/>
                <w:szCs w:val="21"/>
                <w:highlight w:val="none"/>
                <w:u w:val="none"/>
              </w:rPr>
              <w:t>11、打纬：双侧共轭凸轮带动箱座。</w:t>
            </w:r>
          </w:p>
          <w:p w14:paraId="633FA57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sz w:val="21"/>
                <w:szCs w:val="21"/>
                <w:highlight w:val="none"/>
                <w:u w:val="none"/>
              </w:rPr>
              <w:t>▲12、引纬：空间曲柄连杆机构，挠性双剑杆。</w:t>
            </w:r>
          </w:p>
          <w:p w14:paraId="0038C7D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sz w:val="21"/>
                <w:szCs w:val="21"/>
                <w:highlight w:val="none"/>
                <w:u w:val="none"/>
              </w:rPr>
              <w:t>1</w:t>
            </w:r>
            <w:r>
              <w:rPr>
                <w:rFonts w:hint="eastAsia" w:cs="宋体"/>
                <w:i w:val="0"/>
                <w:iCs w:val="0"/>
                <w:color w:val="000000"/>
                <w:sz w:val="21"/>
                <w:szCs w:val="21"/>
                <w:highlight w:val="none"/>
                <w:u w:val="none"/>
                <w:lang w:val="en-US" w:eastAsia="zh-CN"/>
              </w:rPr>
              <w:t>3</w:t>
            </w:r>
            <w:r>
              <w:rPr>
                <w:rFonts w:hint="eastAsia" w:ascii="宋体" w:hAnsi="宋体" w:eastAsia="宋体" w:cs="宋体"/>
                <w:i w:val="0"/>
                <w:iCs w:val="0"/>
                <w:color w:val="000000"/>
                <w:sz w:val="21"/>
                <w:szCs w:val="21"/>
                <w:highlight w:val="none"/>
                <w:u w:val="none"/>
              </w:rPr>
              <w:t>、单经轴</w:t>
            </w:r>
            <w:r>
              <w:rPr>
                <w:rFonts w:hint="eastAsia" w:cs="宋体"/>
                <w:i w:val="0"/>
                <w:iCs w:val="0"/>
                <w:color w:val="000000"/>
                <w:sz w:val="21"/>
                <w:szCs w:val="21"/>
                <w:highlight w:val="none"/>
                <w:u w:val="none"/>
                <w:lang w:val="en-US" w:eastAsia="zh-CN"/>
              </w:rPr>
              <w:t>；连续式交流伺服电子送经</w:t>
            </w:r>
            <w:r>
              <w:rPr>
                <w:rFonts w:hint="eastAsia" w:ascii="宋体" w:hAnsi="宋体" w:eastAsia="宋体" w:cs="宋体"/>
                <w:i w:val="0"/>
                <w:iCs w:val="0"/>
                <w:color w:val="000000"/>
                <w:sz w:val="21"/>
                <w:szCs w:val="21"/>
                <w:highlight w:val="none"/>
                <w:u w:val="none"/>
              </w:rPr>
              <w:t>。</w:t>
            </w:r>
          </w:p>
          <w:p w14:paraId="2040453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sz w:val="21"/>
                <w:szCs w:val="21"/>
                <w:highlight w:val="none"/>
                <w:u w:val="none"/>
              </w:rPr>
              <w:t>1</w:t>
            </w:r>
            <w:r>
              <w:rPr>
                <w:rFonts w:hint="eastAsia" w:cs="宋体"/>
                <w:i w:val="0"/>
                <w:iCs w:val="0"/>
                <w:color w:val="000000"/>
                <w:sz w:val="21"/>
                <w:szCs w:val="21"/>
                <w:highlight w:val="none"/>
                <w:u w:val="none"/>
                <w:lang w:val="en-US" w:eastAsia="zh-CN"/>
              </w:rPr>
              <w:t>4</w:t>
            </w:r>
            <w:r>
              <w:rPr>
                <w:rFonts w:hint="eastAsia" w:ascii="宋体" w:hAnsi="宋体" w:eastAsia="宋体" w:cs="宋体"/>
                <w:i w:val="0"/>
                <w:iCs w:val="0"/>
                <w:color w:val="000000"/>
                <w:sz w:val="21"/>
                <w:szCs w:val="21"/>
                <w:highlight w:val="none"/>
                <w:u w:val="none"/>
              </w:rPr>
              <w:t>、边盘直径：≥Φ800mm。</w:t>
            </w:r>
          </w:p>
          <w:p w14:paraId="7435E03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sz w:val="21"/>
                <w:szCs w:val="21"/>
                <w:highlight w:val="none"/>
                <w:u w:val="none"/>
              </w:rPr>
              <w:t>1</w:t>
            </w:r>
            <w:r>
              <w:rPr>
                <w:rFonts w:hint="eastAsia" w:cs="宋体"/>
                <w:i w:val="0"/>
                <w:iCs w:val="0"/>
                <w:color w:val="000000"/>
                <w:sz w:val="21"/>
                <w:szCs w:val="21"/>
                <w:highlight w:val="none"/>
                <w:u w:val="none"/>
                <w:lang w:val="en-US" w:eastAsia="zh-CN"/>
              </w:rPr>
              <w:t>5</w:t>
            </w:r>
            <w:r>
              <w:rPr>
                <w:rFonts w:hint="eastAsia" w:ascii="宋体" w:hAnsi="宋体" w:eastAsia="宋体" w:cs="宋体"/>
                <w:i w:val="0"/>
                <w:iCs w:val="0"/>
                <w:color w:val="000000"/>
                <w:sz w:val="21"/>
                <w:szCs w:val="21"/>
                <w:highlight w:val="none"/>
                <w:u w:val="none"/>
              </w:rPr>
              <w:t>、卷取：连续式交流伺服电子卷取。</w:t>
            </w:r>
          </w:p>
          <w:p w14:paraId="6D4A899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sz w:val="21"/>
                <w:szCs w:val="21"/>
                <w:highlight w:val="none"/>
                <w:u w:val="none"/>
              </w:rPr>
              <w:t>1</w:t>
            </w:r>
            <w:r>
              <w:rPr>
                <w:rFonts w:hint="eastAsia" w:cs="宋体"/>
                <w:i w:val="0"/>
                <w:iCs w:val="0"/>
                <w:color w:val="000000"/>
                <w:sz w:val="21"/>
                <w:szCs w:val="21"/>
                <w:highlight w:val="none"/>
                <w:u w:val="none"/>
                <w:lang w:val="en-US" w:eastAsia="zh-CN"/>
              </w:rPr>
              <w:t>6</w:t>
            </w:r>
            <w:r>
              <w:rPr>
                <w:rFonts w:hint="eastAsia" w:ascii="宋体" w:hAnsi="宋体" w:eastAsia="宋体" w:cs="宋体"/>
                <w:i w:val="0"/>
                <w:iCs w:val="0"/>
                <w:color w:val="000000"/>
                <w:sz w:val="21"/>
                <w:szCs w:val="21"/>
                <w:highlight w:val="none"/>
                <w:u w:val="none"/>
              </w:rPr>
              <w:t>、最大卷布直经：≥Φ500mm。</w:t>
            </w:r>
          </w:p>
          <w:p w14:paraId="062E523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sz w:val="21"/>
                <w:szCs w:val="21"/>
                <w:highlight w:val="none"/>
                <w:u w:val="none"/>
              </w:rPr>
              <w:t>1</w:t>
            </w:r>
            <w:r>
              <w:rPr>
                <w:rFonts w:hint="eastAsia" w:cs="宋体"/>
                <w:i w:val="0"/>
                <w:iCs w:val="0"/>
                <w:color w:val="000000"/>
                <w:sz w:val="21"/>
                <w:szCs w:val="21"/>
                <w:highlight w:val="none"/>
                <w:u w:val="none"/>
                <w:lang w:val="en-US" w:eastAsia="zh-CN"/>
              </w:rPr>
              <w:t>7</w:t>
            </w:r>
            <w:r>
              <w:rPr>
                <w:rFonts w:hint="eastAsia" w:ascii="宋体" w:hAnsi="宋体" w:eastAsia="宋体" w:cs="宋体"/>
                <w:i w:val="0"/>
                <w:iCs w:val="0"/>
                <w:color w:val="000000"/>
                <w:sz w:val="21"/>
                <w:szCs w:val="21"/>
                <w:highlight w:val="none"/>
                <w:u w:val="none"/>
              </w:rPr>
              <w:t>、纬密范围：2～200根/厘米。</w:t>
            </w:r>
          </w:p>
          <w:p w14:paraId="75C7EB0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sz w:val="21"/>
                <w:szCs w:val="21"/>
                <w:highlight w:val="none"/>
                <w:u w:val="none"/>
              </w:rPr>
              <w:t>1</w:t>
            </w:r>
            <w:r>
              <w:rPr>
                <w:rFonts w:hint="eastAsia" w:cs="宋体"/>
                <w:i w:val="0"/>
                <w:iCs w:val="0"/>
                <w:color w:val="000000"/>
                <w:sz w:val="21"/>
                <w:szCs w:val="21"/>
                <w:highlight w:val="none"/>
                <w:u w:val="none"/>
                <w:lang w:val="en-US" w:eastAsia="zh-CN"/>
              </w:rPr>
              <w:t>8</w:t>
            </w:r>
            <w:r>
              <w:rPr>
                <w:rFonts w:hint="eastAsia" w:ascii="宋体" w:hAnsi="宋体" w:eastAsia="宋体" w:cs="宋体"/>
                <w:i w:val="0"/>
                <w:iCs w:val="0"/>
                <w:color w:val="000000"/>
                <w:sz w:val="21"/>
                <w:szCs w:val="21"/>
                <w:highlight w:val="none"/>
                <w:u w:val="none"/>
              </w:rPr>
              <w:t>、布边绞边装置：高速电子绞边装置。</w:t>
            </w:r>
          </w:p>
          <w:p w14:paraId="5F4ECCC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1"/>
                <w:szCs w:val="21"/>
                <w:highlight w:val="none"/>
                <w:u w:val="none"/>
              </w:rPr>
            </w:pPr>
            <w:r>
              <w:rPr>
                <w:rFonts w:hint="eastAsia" w:cs="宋体"/>
                <w:i w:val="0"/>
                <w:iCs w:val="0"/>
                <w:color w:val="000000"/>
                <w:sz w:val="21"/>
                <w:szCs w:val="21"/>
                <w:highlight w:val="none"/>
                <w:u w:val="none"/>
                <w:lang w:val="en-US" w:eastAsia="zh-CN"/>
              </w:rPr>
              <w:t>19</w:t>
            </w:r>
            <w:r>
              <w:rPr>
                <w:rFonts w:hint="eastAsia" w:ascii="宋体" w:hAnsi="宋体" w:eastAsia="宋体" w:cs="宋体"/>
                <w:i w:val="0"/>
                <w:iCs w:val="0"/>
                <w:color w:val="000000"/>
                <w:sz w:val="21"/>
                <w:szCs w:val="21"/>
                <w:highlight w:val="none"/>
                <w:u w:val="none"/>
              </w:rPr>
              <w:t>、边剪：电子式。</w:t>
            </w:r>
          </w:p>
          <w:p w14:paraId="20E4144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sz w:val="21"/>
                <w:szCs w:val="21"/>
                <w:highlight w:val="none"/>
                <w:u w:val="none"/>
              </w:rPr>
              <w:t>2</w:t>
            </w:r>
            <w:r>
              <w:rPr>
                <w:rFonts w:hint="eastAsia" w:cs="宋体"/>
                <w:i w:val="0"/>
                <w:iCs w:val="0"/>
                <w:color w:val="000000"/>
                <w:sz w:val="21"/>
                <w:szCs w:val="21"/>
                <w:highlight w:val="none"/>
                <w:u w:val="none"/>
                <w:lang w:val="en-US" w:eastAsia="zh-CN"/>
              </w:rPr>
              <w:t>0</w:t>
            </w:r>
            <w:r>
              <w:rPr>
                <w:rFonts w:hint="eastAsia" w:ascii="宋体" w:hAnsi="宋体" w:eastAsia="宋体" w:cs="宋体"/>
                <w:i w:val="0"/>
                <w:iCs w:val="0"/>
                <w:color w:val="000000"/>
                <w:sz w:val="21"/>
                <w:szCs w:val="21"/>
                <w:highlight w:val="none"/>
                <w:u w:val="none"/>
              </w:rPr>
              <w:t>、边撑：左右独立边撑全幅边撑。</w:t>
            </w:r>
          </w:p>
          <w:p w14:paraId="6A1FC07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2</w:t>
            </w:r>
            <w:r>
              <w:rPr>
                <w:rFonts w:hint="eastAsia" w:cs="宋体"/>
                <w:i w:val="0"/>
                <w:iCs w:val="0"/>
                <w:color w:val="000000"/>
                <w:sz w:val="21"/>
                <w:szCs w:val="21"/>
                <w:u w:val="none"/>
                <w:lang w:val="en-US" w:eastAsia="zh-CN"/>
              </w:rPr>
              <w:t>1</w:t>
            </w:r>
            <w:r>
              <w:rPr>
                <w:rFonts w:hint="eastAsia" w:ascii="宋体" w:hAnsi="宋体" w:eastAsia="宋体" w:cs="宋体"/>
                <w:i w:val="0"/>
                <w:iCs w:val="0"/>
                <w:color w:val="000000"/>
                <w:sz w:val="21"/>
                <w:szCs w:val="21"/>
                <w:u w:val="none"/>
              </w:rPr>
              <w:t>、润滑：集中压力供油喷淋润滑、油浴润滑。</w:t>
            </w:r>
          </w:p>
          <w:p w14:paraId="59577B4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2</w:t>
            </w:r>
            <w:r>
              <w:rPr>
                <w:rFonts w:hint="eastAsia" w:cs="宋体"/>
                <w:i w:val="0"/>
                <w:iCs w:val="0"/>
                <w:color w:val="000000"/>
                <w:sz w:val="21"/>
                <w:szCs w:val="21"/>
                <w:u w:val="none"/>
                <w:lang w:val="en-US" w:eastAsia="zh-CN"/>
              </w:rPr>
              <w:t>2</w:t>
            </w:r>
            <w:r>
              <w:rPr>
                <w:rFonts w:hint="eastAsia" w:ascii="宋体" w:hAnsi="宋体" w:eastAsia="宋体" w:cs="宋体"/>
                <w:i w:val="0"/>
                <w:iCs w:val="0"/>
                <w:color w:val="000000"/>
                <w:sz w:val="21"/>
                <w:szCs w:val="21"/>
                <w:u w:val="none"/>
              </w:rPr>
              <w:t>、经停：6列电气触点式停经装置。</w:t>
            </w:r>
          </w:p>
          <w:p w14:paraId="6BF56CE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2</w:t>
            </w:r>
            <w:r>
              <w:rPr>
                <w:rFonts w:hint="eastAsia" w:cs="宋体"/>
                <w:i w:val="0"/>
                <w:iCs w:val="0"/>
                <w:color w:val="000000"/>
                <w:sz w:val="21"/>
                <w:szCs w:val="21"/>
                <w:u w:val="none"/>
                <w:lang w:val="en-US" w:eastAsia="zh-CN"/>
              </w:rPr>
              <w:t>3</w:t>
            </w:r>
            <w:r>
              <w:rPr>
                <w:rFonts w:hint="eastAsia" w:ascii="宋体" w:hAnsi="宋体" w:eastAsia="宋体" w:cs="宋体"/>
                <w:i w:val="0"/>
                <w:iCs w:val="0"/>
                <w:color w:val="000000"/>
                <w:sz w:val="21"/>
                <w:szCs w:val="21"/>
                <w:u w:val="none"/>
              </w:rPr>
              <w:t>、纬停：电子式高灵敏压电检测装置。</w:t>
            </w:r>
          </w:p>
          <w:p w14:paraId="6D87109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2</w:t>
            </w:r>
            <w:r>
              <w:rPr>
                <w:rFonts w:hint="eastAsia" w:cs="宋体"/>
                <w:i w:val="0"/>
                <w:iCs w:val="0"/>
                <w:color w:val="000000"/>
                <w:sz w:val="21"/>
                <w:szCs w:val="21"/>
                <w:u w:val="none"/>
                <w:lang w:val="en-US" w:eastAsia="zh-CN"/>
              </w:rPr>
              <w:t>4</w:t>
            </w:r>
            <w:r>
              <w:rPr>
                <w:rFonts w:hint="eastAsia" w:ascii="宋体" w:hAnsi="宋体" w:eastAsia="宋体" w:cs="宋体"/>
                <w:i w:val="0"/>
                <w:iCs w:val="0"/>
                <w:color w:val="000000"/>
                <w:sz w:val="21"/>
                <w:szCs w:val="21"/>
                <w:u w:val="none"/>
              </w:rPr>
              <w:t>、其它停车装置：绞边纱、废边纱断头自停。</w:t>
            </w:r>
          </w:p>
          <w:p w14:paraId="0665FDA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2</w:t>
            </w:r>
            <w:r>
              <w:rPr>
                <w:rFonts w:hint="eastAsia" w:cs="宋体"/>
                <w:i w:val="0"/>
                <w:iCs w:val="0"/>
                <w:color w:val="000000"/>
                <w:sz w:val="21"/>
                <w:szCs w:val="21"/>
                <w:u w:val="none"/>
                <w:lang w:val="en-US" w:eastAsia="zh-CN"/>
              </w:rPr>
              <w:t>5</w:t>
            </w:r>
            <w:r>
              <w:rPr>
                <w:rFonts w:hint="eastAsia" w:ascii="宋体" w:hAnsi="宋体" w:eastAsia="宋体" w:cs="宋体"/>
                <w:i w:val="0"/>
                <w:iCs w:val="0"/>
                <w:color w:val="000000"/>
                <w:sz w:val="21"/>
                <w:szCs w:val="21"/>
                <w:u w:val="none"/>
              </w:rPr>
              <w:t>、停车显示：控制面板显示停车原因，多功能4色灯停车显示。</w:t>
            </w:r>
          </w:p>
          <w:p w14:paraId="4EA5B0F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2</w:t>
            </w:r>
            <w:r>
              <w:rPr>
                <w:rFonts w:hint="eastAsia" w:cs="宋体"/>
                <w:i w:val="0"/>
                <w:iCs w:val="0"/>
                <w:color w:val="000000"/>
                <w:sz w:val="21"/>
                <w:szCs w:val="21"/>
                <w:u w:val="none"/>
                <w:lang w:val="en-US" w:eastAsia="zh-CN"/>
              </w:rPr>
              <w:t>6</w:t>
            </w:r>
            <w:r>
              <w:rPr>
                <w:rFonts w:hint="eastAsia" w:ascii="宋体" w:hAnsi="宋体" w:eastAsia="宋体" w:cs="宋体"/>
                <w:i w:val="0"/>
                <w:iCs w:val="0"/>
                <w:color w:val="000000"/>
                <w:sz w:val="21"/>
                <w:szCs w:val="21"/>
                <w:u w:val="none"/>
              </w:rPr>
              <w:t>、自动功能：自动定位停车，慢速寻纬，织口补偿，调整经纱张力，自动检测。</w:t>
            </w:r>
          </w:p>
          <w:p w14:paraId="417BFF9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2</w:t>
            </w:r>
            <w:r>
              <w:rPr>
                <w:rFonts w:hint="eastAsia" w:cs="宋体"/>
                <w:i w:val="0"/>
                <w:iCs w:val="0"/>
                <w:color w:val="000000"/>
                <w:sz w:val="21"/>
                <w:szCs w:val="21"/>
                <w:u w:val="none"/>
                <w:lang w:val="en-US" w:eastAsia="zh-CN"/>
              </w:rPr>
              <w:t>7</w:t>
            </w:r>
            <w:r>
              <w:rPr>
                <w:rFonts w:hint="eastAsia" w:ascii="宋体" w:hAnsi="宋体" w:eastAsia="宋体" w:cs="宋体"/>
                <w:i w:val="0"/>
                <w:iCs w:val="0"/>
                <w:color w:val="000000"/>
                <w:sz w:val="21"/>
                <w:szCs w:val="21"/>
                <w:u w:val="none"/>
              </w:rPr>
              <w:t>、电气控制：多功能CPU控制系统，能控制、监控、自动诊断、信息显示。</w:t>
            </w:r>
          </w:p>
          <w:p w14:paraId="4E832CB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2</w:t>
            </w:r>
            <w:r>
              <w:rPr>
                <w:rFonts w:hint="eastAsia" w:cs="宋体"/>
                <w:i w:val="0"/>
                <w:iCs w:val="0"/>
                <w:color w:val="000000"/>
                <w:sz w:val="21"/>
                <w:szCs w:val="21"/>
                <w:u w:val="none"/>
                <w:lang w:val="en-US" w:eastAsia="zh-CN"/>
              </w:rPr>
              <w:t>8</w:t>
            </w:r>
            <w:r>
              <w:rPr>
                <w:rFonts w:hint="eastAsia" w:ascii="宋体" w:hAnsi="宋体" w:eastAsia="宋体" w:cs="宋体"/>
                <w:i w:val="0"/>
                <w:iCs w:val="0"/>
                <w:color w:val="000000"/>
                <w:sz w:val="21"/>
                <w:szCs w:val="21"/>
                <w:u w:val="none"/>
              </w:rPr>
              <w:t>、显示：大液晶屏显示双向通讯，按钮操作，即时调整，设定参数、编程。</w:t>
            </w:r>
          </w:p>
          <w:p w14:paraId="5BECE22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1"/>
                <w:szCs w:val="21"/>
                <w:u w:val="none"/>
              </w:rPr>
            </w:pPr>
            <w:r>
              <w:rPr>
                <w:rFonts w:hint="eastAsia" w:cs="宋体"/>
                <w:i w:val="0"/>
                <w:iCs w:val="0"/>
                <w:color w:val="000000"/>
                <w:sz w:val="21"/>
                <w:szCs w:val="21"/>
                <w:u w:val="none"/>
                <w:lang w:val="en-US" w:eastAsia="zh-CN"/>
              </w:rPr>
              <w:t>29</w:t>
            </w:r>
            <w:r>
              <w:rPr>
                <w:rFonts w:hint="eastAsia" w:ascii="宋体" w:hAnsi="宋体" w:eastAsia="宋体" w:cs="宋体"/>
                <w:i w:val="0"/>
                <w:iCs w:val="0"/>
                <w:color w:val="000000"/>
                <w:sz w:val="21"/>
                <w:szCs w:val="21"/>
                <w:u w:val="none"/>
              </w:rPr>
              <w:t>、穿筘：每台机器配备对应的穿筘工具及穿筘架。</w:t>
            </w:r>
          </w:p>
          <w:p w14:paraId="6B3F6AF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3</w:t>
            </w:r>
            <w:r>
              <w:rPr>
                <w:rFonts w:hint="eastAsia" w:cs="宋体"/>
                <w:i w:val="0"/>
                <w:iCs w:val="0"/>
                <w:color w:val="000000"/>
                <w:sz w:val="21"/>
                <w:szCs w:val="21"/>
                <w:u w:val="none"/>
                <w:lang w:val="en-US" w:eastAsia="zh-CN"/>
              </w:rPr>
              <w:t>0</w:t>
            </w:r>
            <w:r>
              <w:rPr>
                <w:rFonts w:hint="eastAsia" w:ascii="宋体" w:hAnsi="宋体" w:eastAsia="宋体" w:cs="宋体"/>
                <w:i w:val="0"/>
                <w:iCs w:val="0"/>
                <w:color w:val="000000"/>
                <w:sz w:val="21"/>
                <w:szCs w:val="21"/>
                <w:u w:val="none"/>
              </w:rPr>
              <w:t>、所供织机交付使用时，需提供织轴，其中经纱长度≥5000米，并完成穿经穿筘，织机可以正常织造。</w:t>
            </w:r>
          </w:p>
          <w:p w14:paraId="147B9D9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3</w:t>
            </w:r>
            <w:r>
              <w:rPr>
                <w:rFonts w:hint="eastAsia" w:cs="宋体"/>
                <w:i w:val="0"/>
                <w:iCs w:val="0"/>
                <w:color w:val="000000"/>
                <w:sz w:val="21"/>
                <w:szCs w:val="21"/>
                <w:u w:val="none"/>
                <w:lang w:val="en-US" w:eastAsia="zh-CN"/>
              </w:rPr>
              <w:t>1</w:t>
            </w:r>
            <w:r>
              <w:rPr>
                <w:rFonts w:hint="eastAsia" w:ascii="宋体" w:hAnsi="宋体" w:eastAsia="宋体" w:cs="宋体"/>
                <w:i w:val="0"/>
                <w:iCs w:val="0"/>
                <w:color w:val="000000"/>
                <w:sz w:val="21"/>
                <w:szCs w:val="21"/>
                <w:u w:val="none"/>
              </w:rPr>
              <w:t>、提供易损传动皮带1套，综丝2000根。</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258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224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259E0F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ACA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99E5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全自动大提花剑杆织布样机</w:t>
            </w:r>
          </w:p>
        </w:tc>
        <w:tc>
          <w:tcPr>
            <w:tcW w:w="6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D847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w:t>
            </w:r>
            <w:r>
              <w:rPr>
                <w:rFonts w:hint="eastAsia" w:cs="宋体"/>
                <w:i w:val="0"/>
                <w:iCs w:val="0"/>
                <w:color w:val="000000"/>
                <w:sz w:val="21"/>
                <w:szCs w:val="21"/>
                <w:u w:val="none"/>
                <w:lang w:val="en-US" w:eastAsia="zh-CN"/>
              </w:rPr>
              <w:t>1.</w:t>
            </w:r>
            <w:r>
              <w:rPr>
                <w:rFonts w:hint="eastAsia" w:ascii="宋体" w:hAnsi="宋体" w:eastAsia="宋体" w:cs="宋体"/>
                <w:i w:val="0"/>
                <w:iCs w:val="0"/>
                <w:color w:val="000000"/>
                <w:sz w:val="21"/>
                <w:szCs w:val="21"/>
                <w:u w:val="none"/>
              </w:rPr>
              <w:t>提花机总针数：针数≥2688针。</w:t>
            </w:r>
          </w:p>
          <w:p w14:paraId="4D6BBEF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w:t>
            </w:r>
            <w:r>
              <w:rPr>
                <w:rFonts w:hint="eastAsia" w:cs="宋体"/>
                <w:i w:val="0"/>
                <w:iCs w:val="0"/>
                <w:color w:val="000000"/>
                <w:sz w:val="21"/>
                <w:szCs w:val="21"/>
                <w:u w:val="none"/>
                <w:lang w:val="en-US" w:eastAsia="zh-CN"/>
              </w:rPr>
              <w:t>2.</w:t>
            </w:r>
            <w:r>
              <w:rPr>
                <w:rFonts w:hint="eastAsia" w:ascii="宋体" w:hAnsi="宋体" w:eastAsia="宋体" w:cs="宋体"/>
                <w:i w:val="0"/>
                <w:iCs w:val="0"/>
                <w:color w:val="000000"/>
                <w:sz w:val="21"/>
                <w:szCs w:val="21"/>
                <w:u w:val="none"/>
              </w:rPr>
              <w:t>幅宽：幅宽≥24英寸。</w:t>
            </w:r>
          </w:p>
          <w:p w14:paraId="24E0D82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▲3</w:t>
            </w:r>
            <w:r>
              <w:rPr>
                <w:rFonts w:hint="eastAsia" w:cs="宋体"/>
                <w:i w:val="0"/>
                <w:iCs w:val="0"/>
                <w:color w:val="000000"/>
                <w:sz w:val="21"/>
                <w:szCs w:val="21"/>
                <w:u w:val="none"/>
                <w:lang w:val="en-US" w:eastAsia="zh-CN"/>
              </w:rPr>
              <w:t>.</w:t>
            </w:r>
            <w:r>
              <w:rPr>
                <w:rFonts w:hint="eastAsia" w:ascii="宋体" w:hAnsi="宋体" w:eastAsia="宋体" w:cs="宋体"/>
                <w:i w:val="0"/>
                <w:iCs w:val="0"/>
                <w:color w:val="000000"/>
                <w:sz w:val="21"/>
                <w:szCs w:val="21"/>
                <w:u w:val="none"/>
              </w:rPr>
              <w:t>纬纱选色：8色电子选纬。</w:t>
            </w:r>
          </w:p>
          <w:p w14:paraId="09F0920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1"/>
                <w:szCs w:val="21"/>
                <w:u w:val="none"/>
              </w:rPr>
            </w:pPr>
            <w:r>
              <w:rPr>
                <w:rFonts w:hint="eastAsia" w:cs="宋体"/>
                <w:i w:val="0"/>
                <w:iCs w:val="0"/>
                <w:color w:val="000000"/>
                <w:sz w:val="21"/>
                <w:szCs w:val="21"/>
                <w:u w:val="none"/>
                <w:lang w:val="en-US" w:eastAsia="zh-CN"/>
              </w:rPr>
              <w:t>4.</w:t>
            </w:r>
            <w:r>
              <w:rPr>
                <w:rFonts w:hint="eastAsia" w:ascii="宋体" w:hAnsi="宋体" w:eastAsia="宋体" w:cs="宋体"/>
                <w:i w:val="0"/>
                <w:iCs w:val="0"/>
                <w:color w:val="000000"/>
                <w:sz w:val="21"/>
                <w:szCs w:val="21"/>
                <w:u w:val="none"/>
              </w:rPr>
              <w:t>能分段变纬密织造；可设定的变纬密值不少于8种。</w:t>
            </w:r>
          </w:p>
          <w:p w14:paraId="3024732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1"/>
                <w:szCs w:val="21"/>
                <w:u w:val="none"/>
              </w:rPr>
            </w:pPr>
            <w:r>
              <w:rPr>
                <w:rFonts w:hint="eastAsia" w:cs="宋体"/>
                <w:i w:val="0"/>
                <w:iCs w:val="0"/>
                <w:color w:val="000000"/>
                <w:sz w:val="21"/>
                <w:szCs w:val="21"/>
                <w:u w:val="none"/>
                <w:lang w:val="en-US" w:eastAsia="zh-CN"/>
              </w:rPr>
              <w:t>5.</w:t>
            </w:r>
            <w:r>
              <w:rPr>
                <w:rFonts w:hint="eastAsia" w:ascii="宋体" w:hAnsi="宋体" w:eastAsia="宋体" w:cs="宋体"/>
                <w:i w:val="0"/>
                <w:iCs w:val="0"/>
                <w:color w:val="000000"/>
                <w:sz w:val="21"/>
                <w:szCs w:val="21"/>
                <w:u w:val="none"/>
              </w:rPr>
              <w:t>经密：定制</w:t>
            </w:r>
          </w:p>
          <w:p w14:paraId="3D6697E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w:t>
            </w:r>
            <w:r>
              <w:rPr>
                <w:rFonts w:hint="eastAsia" w:cs="宋体"/>
                <w:i w:val="0"/>
                <w:iCs w:val="0"/>
                <w:color w:val="000000"/>
                <w:sz w:val="21"/>
                <w:szCs w:val="21"/>
                <w:u w:val="none"/>
                <w:lang w:val="en-US" w:eastAsia="zh-CN"/>
              </w:rPr>
              <w:t>6.</w:t>
            </w:r>
            <w:r>
              <w:rPr>
                <w:rFonts w:hint="eastAsia" w:ascii="宋体" w:hAnsi="宋体" w:eastAsia="宋体" w:cs="宋体"/>
                <w:i w:val="0"/>
                <w:iCs w:val="0"/>
                <w:color w:val="000000"/>
                <w:sz w:val="21"/>
                <w:szCs w:val="21"/>
                <w:u w:val="none"/>
              </w:rPr>
              <w:t>吊经方式：一吊一式；综丝数≥2688，综丝用不同颜色分行表示。</w:t>
            </w:r>
          </w:p>
          <w:p w14:paraId="7758321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1"/>
                <w:szCs w:val="21"/>
                <w:u w:val="none"/>
              </w:rPr>
            </w:pPr>
            <w:r>
              <w:rPr>
                <w:rFonts w:hint="eastAsia" w:cs="宋体"/>
                <w:i w:val="0"/>
                <w:iCs w:val="0"/>
                <w:color w:val="000000"/>
                <w:sz w:val="21"/>
                <w:szCs w:val="21"/>
                <w:u w:val="none"/>
                <w:lang w:val="en-US" w:eastAsia="zh-CN"/>
              </w:rPr>
              <w:t>7.</w:t>
            </w:r>
            <w:r>
              <w:rPr>
                <w:rFonts w:hint="eastAsia" w:ascii="宋体" w:hAnsi="宋体" w:eastAsia="宋体" w:cs="宋体"/>
                <w:i w:val="0"/>
                <w:iCs w:val="0"/>
                <w:color w:val="000000"/>
                <w:sz w:val="21"/>
                <w:szCs w:val="21"/>
                <w:u w:val="none"/>
              </w:rPr>
              <w:t>花样输入方式：U盘、网络等方式。</w:t>
            </w:r>
          </w:p>
          <w:p w14:paraId="02C722D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1"/>
                <w:szCs w:val="21"/>
                <w:u w:val="none"/>
              </w:rPr>
            </w:pPr>
            <w:r>
              <w:rPr>
                <w:rFonts w:hint="eastAsia" w:cs="宋体"/>
                <w:i w:val="0"/>
                <w:iCs w:val="0"/>
                <w:color w:val="000000"/>
                <w:sz w:val="21"/>
                <w:szCs w:val="21"/>
                <w:u w:val="none"/>
                <w:lang w:val="en-US" w:eastAsia="zh-CN"/>
              </w:rPr>
              <w:t>8.</w:t>
            </w:r>
            <w:r>
              <w:rPr>
                <w:rFonts w:hint="eastAsia" w:ascii="宋体" w:hAnsi="宋体" w:eastAsia="宋体" w:cs="宋体"/>
                <w:i w:val="0"/>
                <w:iCs w:val="0"/>
                <w:color w:val="000000"/>
                <w:sz w:val="21"/>
                <w:szCs w:val="21"/>
                <w:u w:val="none"/>
              </w:rPr>
              <w:t>花样输入支持EP、jc5等文件格式，与纹织CAD、Jcad等软件生成的文件格式匹配。</w:t>
            </w:r>
          </w:p>
          <w:p w14:paraId="5798982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w:t>
            </w:r>
            <w:r>
              <w:rPr>
                <w:rFonts w:hint="eastAsia" w:cs="宋体"/>
                <w:i w:val="0"/>
                <w:iCs w:val="0"/>
                <w:color w:val="000000"/>
                <w:sz w:val="21"/>
                <w:szCs w:val="21"/>
                <w:u w:val="none"/>
                <w:lang w:val="en-US" w:eastAsia="zh-CN"/>
              </w:rPr>
              <w:t>9.</w:t>
            </w:r>
            <w:r>
              <w:rPr>
                <w:rFonts w:hint="eastAsia" w:ascii="宋体" w:hAnsi="宋体" w:eastAsia="宋体" w:cs="宋体"/>
                <w:i w:val="0"/>
                <w:iCs w:val="0"/>
                <w:color w:val="000000"/>
                <w:sz w:val="21"/>
                <w:szCs w:val="21"/>
                <w:u w:val="none"/>
              </w:rPr>
              <w:t>引纬：伺服电机刚性剑杆引纬。</w:t>
            </w:r>
          </w:p>
          <w:p w14:paraId="55BD90D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1"/>
                <w:szCs w:val="21"/>
                <w:u w:val="none"/>
              </w:rPr>
            </w:pPr>
            <w:r>
              <w:rPr>
                <w:rFonts w:hint="eastAsia" w:cs="宋体"/>
                <w:i w:val="0"/>
                <w:iCs w:val="0"/>
                <w:color w:val="000000"/>
                <w:sz w:val="21"/>
                <w:szCs w:val="21"/>
                <w:u w:val="none"/>
                <w:lang w:val="en-US" w:eastAsia="zh-CN"/>
              </w:rPr>
              <w:t>10.</w:t>
            </w:r>
            <w:r>
              <w:rPr>
                <w:rFonts w:hint="eastAsia" w:ascii="宋体" w:hAnsi="宋体" w:eastAsia="宋体" w:cs="宋体"/>
                <w:i w:val="0"/>
                <w:iCs w:val="0"/>
                <w:color w:val="000000"/>
                <w:sz w:val="21"/>
                <w:szCs w:val="21"/>
                <w:u w:val="none"/>
              </w:rPr>
              <w:t>断经、断纬时自动停车。</w:t>
            </w:r>
          </w:p>
          <w:p w14:paraId="3C24CC3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1"/>
                <w:szCs w:val="21"/>
                <w:u w:val="none"/>
              </w:rPr>
            </w:pPr>
            <w:r>
              <w:rPr>
                <w:rFonts w:hint="eastAsia" w:cs="宋体"/>
                <w:i w:val="0"/>
                <w:iCs w:val="0"/>
                <w:color w:val="000000"/>
                <w:sz w:val="21"/>
                <w:szCs w:val="21"/>
                <w:u w:val="none"/>
                <w:lang w:val="en-US" w:eastAsia="zh-CN"/>
              </w:rPr>
              <w:t>11.</w:t>
            </w:r>
            <w:r>
              <w:rPr>
                <w:rFonts w:hint="eastAsia" w:ascii="宋体" w:hAnsi="宋体" w:eastAsia="宋体" w:cs="宋体"/>
                <w:i w:val="0"/>
                <w:iCs w:val="0"/>
                <w:color w:val="000000"/>
                <w:sz w:val="21"/>
                <w:szCs w:val="21"/>
                <w:u w:val="none"/>
              </w:rPr>
              <w:t>车速：≥15次/分。</w:t>
            </w:r>
          </w:p>
          <w:p w14:paraId="1B44428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1"/>
                <w:szCs w:val="21"/>
                <w:u w:val="none"/>
              </w:rPr>
            </w:pPr>
            <w:r>
              <w:rPr>
                <w:rFonts w:hint="eastAsia" w:cs="宋体"/>
                <w:i w:val="0"/>
                <w:iCs w:val="0"/>
                <w:color w:val="000000"/>
                <w:sz w:val="21"/>
                <w:szCs w:val="21"/>
                <w:u w:val="none"/>
                <w:lang w:val="en-US" w:eastAsia="zh-CN"/>
              </w:rPr>
              <w:t>12.</w:t>
            </w:r>
            <w:r>
              <w:rPr>
                <w:rFonts w:hint="eastAsia" w:ascii="宋体" w:hAnsi="宋体" w:eastAsia="宋体" w:cs="宋体"/>
                <w:i w:val="0"/>
                <w:iCs w:val="0"/>
                <w:color w:val="000000"/>
                <w:sz w:val="21"/>
                <w:szCs w:val="21"/>
                <w:u w:val="none"/>
              </w:rPr>
              <w:t xml:space="preserve">开口：能设定开口时间；采用电子式提花机全自动复动式上下开口。伺服电机控制传动。 </w:t>
            </w:r>
          </w:p>
          <w:p w14:paraId="0FF4B4B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1"/>
                <w:szCs w:val="21"/>
                <w:u w:val="none"/>
              </w:rPr>
            </w:pPr>
            <w:r>
              <w:rPr>
                <w:rFonts w:hint="eastAsia" w:cs="宋体"/>
                <w:i w:val="0"/>
                <w:iCs w:val="0"/>
                <w:color w:val="000000"/>
                <w:sz w:val="21"/>
                <w:szCs w:val="21"/>
                <w:u w:val="none"/>
                <w:lang w:val="en-US" w:eastAsia="zh-CN"/>
              </w:rPr>
              <w:t>13.</w:t>
            </w:r>
            <w:r>
              <w:rPr>
                <w:rFonts w:hint="eastAsia" w:ascii="宋体" w:hAnsi="宋体" w:eastAsia="宋体" w:cs="宋体"/>
                <w:i w:val="0"/>
                <w:iCs w:val="0"/>
                <w:color w:val="000000"/>
                <w:sz w:val="21"/>
                <w:szCs w:val="21"/>
                <w:u w:val="none"/>
              </w:rPr>
              <w:t>打纬：适应高支高密织物。伺服电机打纬，打纬力矩稳定。</w:t>
            </w:r>
          </w:p>
          <w:p w14:paraId="4A2BE67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1"/>
                <w:szCs w:val="21"/>
                <w:u w:val="none"/>
              </w:rPr>
            </w:pPr>
            <w:r>
              <w:rPr>
                <w:rFonts w:hint="eastAsia" w:cs="宋体"/>
                <w:i w:val="0"/>
                <w:iCs w:val="0"/>
                <w:color w:val="000000"/>
                <w:sz w:val="21"/>
                <w:szCs w:val="21"/>
                <w:u w:val="none"/>
                <w:lang w:val="en-US" w:eastAsia="zh-CN"/>
              </w:rPr>
              <w:t>14.</w:t>
            </w:r>
            <w:r>
              <w:rPr>
                <w:rFonts w:hint="eastAsia" w:ascii="宋体" w:hAnsi="宋体" w:eastAsia="宋体" w:cs="宋体"/>
                <w:i w:val="0"/>
                <w:iCs w:val="0"/>
                <w:color w:val="000000"/>
                <w:sz w:val="21"/>
                <w:szCs w:val="21"/>
                <w:u w:val="none"/>
              </w:rPr>
              <w:t>废边剪刀：两侧布边配置步进电机剪刀，自动剪边。</w:t>
            </w:r>
          </w:p>
          <w:p w14:paraId="76B888D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1"/>
                <w:szCs w:val="21"/>
                <w:u w:val="none"/>
              </w:rPr>
            </w:pPr>
            <w:r>
              <w:rPr>
                <w:rFonts w:hint="eastAsia" w:cs="宋体"/>
                <w:i w:val="0"/>
                <w:iCs w:val="0"/>
                <w:color w:val="000000"/>
                <w:sz w:val="21"/>
                <w:szCs w:val="21"/>
                <w:u w:val="none"/>
                <w:lang w:val="en-US" w:eastAsia="zh-CN"/>
              </w:rPr>
              <w:t>15.</w:t>
            </w:r>
            <w:r>
              <w:rPr>
                <w:rFonts w:hint="eastAsia" w:ascii="宋体" w:hAnsi="宋体" w:eastAsia="宋体" w:cs="宋体"/>
                <w:i w:val="0"/>
                <w:iCs w:val="0"/>
                <w:color w:val="000000"/>
                <w:sz w:val="21"/>
                <w:szCs w:val="21"/>
                <w:u w:val="none"/>
              </w:rPr>
              <w:t>设备须具有以下功能：</w:t>
            </w:r>
          </w:p>
          <w:p w14:paraId="462EC86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①纬密自动校正功能，纬密误差控制在1%以内。</w:t>
            </w:r>
          </w:p>
          <w:p w14:paraId="480213F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②具有重复多次打纬功能</w:t>
            </w:r>
            <w:r>
              <w:rPr>
                <w:rFonts w:hint="eastAsia" w:cs="宋体"/>
                <w:i w:val="0"/>
                <w:iCs w:val="0"/>
                <w:color w:val="000000"/>
                <w:sz w:val="21"/>
                <w:szCs w:val="21"/>
                <w:u w:val="none"/>
                <w:lang w:eastAsia="zh-CN"/>
              </w:rPr>
              <w:t>，</w:t>
            </w:r>
            <w:r>
              <w:rPr>
                <w:rFonts w:hint="eastAsia" w:ascii="宋体" w:hAnsi="宋体" w:eastAsia="宋体" w:cs="宋体"/>
                <w:i w:val="0"/>
                <w:iCs w:val="0"/>
                <w:color w:val="000000"/>
                <w:sz w:val="21"/>
                <w:szCs w:val="21"/>
                <w:u w:val="none"/>
              </w:rPr>
              <w:t>能织高紧度织物，纬向最大紧度≥45。</w:t>
            </w:r>
          </w:p>
          <w:p w14:paraId="6E67923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sz w:val="21"/>
                <w:szCs w:val="21"/>
                <w:highlight w:val="none"/>
                <w:u w:val="none"/>
              </w:rPr>
              <w:t>③能即时显示经纱张力数值。</w:t>
            </w:r>
          </w:p>
          <w:p w14:paraId="6EC20FA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1"/>
                <w:szCs w:val="21"/>
                <w:highlight w:val="none"/>
                <w:u w:val="none"/>
              </w:rPr>
            </w:pPr>
            <w:r>
              <w:rPr>
                <w:rFonts w:hint="eastAsia" w:cs="宋体"/>
                <w:i w:val="0"/>
                <w:iCs w:val="0"/>
                <w:color w:val="000000"/>
                <w:sz w:val="21"/>
                <w:szCs w:val="21"/>
                <w:highlight w:val="none"/>
                <w:u w:val="none"/>
                <w:lang w:val="en-US" w:eastAsia="zh-CN"/>
              </w:rPr>
              <w:t>16.</w:t>
            </w:r>
            <w:r>
              <w:rPr>
                <w:rFonts w:hint="eastAsia" w:ascii="宋体" w:hAnsi="宋体" w:eastAsia="宋体" w:cs="宋体"/>
                <w:i w:val="0"/>
                <w:iCs w:val="0"/>
                <w:color w:val="000000"/>
                <w:sz w:val="21"/>
                <w:szCs w:val="21"/>
                <w:highlight w:val="none"/>
                <w:u w:val="none"/>
              </w:rPr>
              <w:t>配备安全自锁装置</w:t>
            </w:r>
            <w:r>
              <w:rPr>
                <w:rFonts w:hint="eastAsia" w:cs="宋体"/>
                <w:i w:val="0"/>
                <w:iCs w:val="0"/>
                <w:color w:val="000000"/>
                <w:sz w:val="21"/>
                <w:szCs w:val="21"/>
                <w:highlight w:val="none"/>
                <w:u w:val="none"/>
                <w:lang w:eastAsia="zh-CN"/>
              </w:rPr>
              <w:t>、</w:t>
            </w:r>
            <w:r>
              <w:rPr>
                <w:rFonts w:hint="eastAsia" w:ascii="宋体" w:hAnsi="宋体" w:eastAsia="宋体" w:cs="宋体"/>
                <w:i w:val="0"/>
                <w:iCs w:val="0"/>
                <w:color w:val="000000"/>
                <w:sz w:val="21"/>
                <w:szCs w:val="21"/>
                <w:highlight w:val="none"/>
                <w:u w:val="none"/>
              </w:rPr>
              <w:t>光电保护装置</w:t>
            </w:r>
            <w:r>
              <w:rPr>
                <w:rFonts w:hint="eastAsia" w:cs="宋体"/>
                <w:i w:val="0"/>
                <w:iCs w:val="0"/>
                <w:color w:val="000000"/>
                <w:sz w:val="21"/>
                <w:szCs w:val="21"/>
                <w:highlight w:val="none"/>
                <w:u w:val="none"/>
                <w:lang w:eastAsia="zh-CN"/>
              </w:rPr>
              <w:t>和</w:t>
            </w:r>
            <w:r>
              <w:rPr>
                <w:rFonts w:hint="eastAsia" w:ascii="宋体" w:hAnsi="宋体" w:eastAsia="宋体" w:cs="宋体"/>
                <w:i w:val="0"/>
                <w:iCs w:val="0"/>
                <w:color w:val="000000"/>
                <w:sz w:val="21"/>
                <w:szCs w:val="21"/>
                <w:highlight w:val="none"/>
                <w:u w:val="none"/>
              </w:rPr>
              <w:t>悬停综平装置。</w:t>
            </w:r>
          </w:p>
          <w:p w14:paraId="4046BAA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1"/>
                <w:szCs w:val="21"/>
                <w:highlight w:val="none"/>
                <w:u w:val="none"/>
              </w:rPr>
            </w:pPr>
            <w:r>
              <w:rPr>
                <w:rFonts w:hint="eastAsia" w:cs="宋体"/>
                <w:i w:val="0"/>
                <w:iCs w:val="0"/>
                <w:color w:val="000000"/>
                <w:sz w:val="21"/>
                <w:szCs w:val="21"/>
                <w:highlight w:val="none"/>
                <w:u w:val="none"/>
                <w:lang w:val="en-US" w:eastAsia="zh-CN"/>
              </w:rPr>
              <w:t>17.</w:t>
            </w:r>
            <w:r>
              <w:rPr>
                <w:rFonts w:hint="eastAsia" w:ascii="宋体" w:hAnsi="宋体" w:eastAsia="宋体" w:cs="宋体"/>
                <w:i w:val="0"/>
                <w:iCs w:val="0"/>
                <w:color w:val="000000"/>
                <w:sz w:val="21"/>
                <w:szCs w:val="21"/>
                <w:highlight w:val="none"/>
                <w:u w:val="none"/>
              </w:rPr>
              <w:t>预留双经轴及经纱张力控制装置和软件接口。</w:t>
            </w:r>
          </w:p>
          <w:p w14:paraId="37134FA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1"/>
                <w:szCs w:val="21"/>
                <w:highlight w:val="none"/>
                <w:u w:val="none"/>
              </w:rPr>
            </w:pPr>
            <w:r>
              <w:rPr>
                <w:rFonts w:hint="eastAsia" w:cs="宋体"/>
                <w:i w:val="0"/>
                <w:iCs w:val="0"/>
                <w:color w:val="000000"/>
                <w:sz w:val="21"/>
                <w:szCs w:val="21"/>
                <w:highlight w:val="none"/>
                <w:u w:val="none"/>
                <w:lang w:val="en-US" w:eastAsia="zh-CN"/>
              </w:rPr>
              <w:t>18.</w:t>
            </w:r>
            <w:r>
              <w:rPr>
                <w:rFonts w:hint="eastAsia" w:ascii="宋体" w:hAnsi="宋体" w:eastAsia="宋体" w:cs="宋体"/>
                <w:i w:val="0"/>
                <w:iCs w:val="0"/>
                <w:color w:val="000000"/>
                <w:sz w:val="21"/>
                <w:szCs w:val="21"/>
                <w:highlight w:val="none"/>
                <w:u w:val="none"/>
              </w:rPr>
              <w:t>备用替换提花纹针组件≥2件。</w:t>
            </w:r>
          </w:p>
          <w:p w14:paraId="547AA8F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1"/>
                <w:szCs w:val="21"/>
                <w:highlight w:val="none"/>
                <w:u w:val="none"/>
              </w:rPr>
            </w:pPr>
            <w:r>
              <w:rPr>
                <w:rFonts w:hint="eastAsia" w:cs="宋体"/>
                <w:i w:val="0"/>
                <w:iCs w:val="0"/>
                <w:color w:val="000000"/>
                <w:sz w:val="21"/>
                <w:szCs w:val="21"/>
                <w:highlight w:val="none"/>
                <w:u w:val="none"/>
                <w:lang w:val="en-US" w:eastAsia="zh-CN"/>
              </w:rPr>
              <w:t>19.</w:t>
            </w:r>
            <w:r>
              <w:rPr>
                <w:rFonts w:hint="eastAsia" w:ascii="宋体" w:hAnsi="宋体" w:eastAsia="宋体" w:cs="宋体"/>
                <w:i w:val="0"/>
                <w:iCs w:val="0"/>
                <w:color w:val="000000"/>
                <w:sz w:val="21"/>
                <w:szCs w:val="21"/>
                <w:highlight w:val="none"/>
                <w:u w:val="none"/>
              </w:rPr>
              <w:t>配备5片不同规格钢筘备用。</w:t>
            </w:r>
          </w:p>
          <w:p w14:paraId="35B6831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1"/>
                <w:szCs w:val="21"/>
                <w:highlight w:val="none"/>
                <w:u w:val="none"/>
              </w:rPr>
            </w:pPr>
            <w:r>
              <w:rPr>
                <w:rFonts w:hint="eastAsia" w:cs="宋体"/>
                <w:i w:val="0"/>
                <w:iCs w:val="0"/>
                <w:color w:val="000000"/>
                <w:sz w:val="21"/>
                <w:szCs w:val="21"/>
                <w:highlight w:val="none"/>
                <w:u w:val="none"/>
                <w:lang w:val="en-US" w:eastAsia="zh-CN"/>
              </w:rPr>
              <w:t>20.</w:t>
            </w:r>
            <w:r>
              <w:rPr>
                <w:rFonts w:hint="eastAsia" w:ascii="宋体" w:hAnsi="宋体" w:eastAsia="宋体" w:cs="宋体"/>
                <w:i w:val="0"/>
                <w:iCs w:val="0"/>
                <w:color w:val="000000"/>
                <w:sz w:val="21"/>
                <w:szCs w:val="21"/>
                <w:highlight w:val="none"/>
                <w:u w:val="none"/>
              </w:rPr>
              <w:t>配备向前一纬、后一纬寻纬功能，且与提花龙头卷取送经同步联动。</w:t>
            </w:r>
          </w:p>
          <w:p w14:paraId="7E95ECE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1"/>
                <w:szCs w:val="21"/>
                <w:highlight w:val="none"/>
                <w:u w:val="none"/>
              </w:rPr>
            </w:pPr>
            <w:r>
              <w:rPr>
                <w:rFonts w:hint="eastAsia" w:cs="宋体"/>
                <w:i w:val="0"/>
                <w:iCs w:val="0"/>
                <w:color w:val="000000"/>
                <w:sz w:val="21"/>
                <w:szCs w:val="21"/>
                <w:highlight w:val="none"/>
                <w:u w:val="none"/>
                <w:lang w:val="en-US" w:eastAsia="zh-CN"/>
              </w:rPr>
              <w:t>21.</w:t>
            </w:r>
            <w:r>
              <w:rPr>
                <w:rFonts w:hint="eastAsia" w:ascii="宋体" w:hAnsi="宋体" w:eastAsia="宋体" w:cs="宋体"/>
                <w:i w:val="0"/>
                <w:iCs w:val="0"/>
                <w:color w:val="000000"/>
                <w:sz w:val="21"/>
                <w:szCs w:val="21"/>
                <w:highlight w:val="none"/>
                <w:u w:val="none"/>
              </w:rPr>
              <w:t>穿筘：每台机器配备对应的穿筘工具及穿筘架。</w:t>
            </w:r>
          </w:p>
          <w:p w14:paraId="6D7702C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cs="宋体"/>
                <w:i w:val="0"/>
                <w:iCs w:val="0"/>
                <w:color w:val="000000"/>
                <w:sz w:val="21"/>
                <w:szCs w:val="21"/>
                <w:highlight w:val="none"/>
                <w:u w:val="none"/>
                <w:lang w:eastAsia="zh-CN"/>
              </w:rPr>
            </w:pPr>
            <w:r>
              <w:rPr>
                <w:rFonts w:hint="eastAsia" w:cs="宋体"/>
                <w:i w:val="0"/>
                <w:iCs w:val="0"/>
                <w:color w:val="000000"/>
                <w:sz w:val="21"/>
                <w:szCs w:val="21"/>
                <w:highlight w:val="none"/>
                <w:u w:val="none"/>
                <w:lang w:val="en-US" w:eastAsia="zh-CN"/>
              </w:rPr>
              <w:t>22.</w:t>
            </w:r>
            <w:r>
              <w:rPr>
                <w:rFonts w:hint="eastAsia" w:ascii="宋体" w:hAnsi="宋体" w:eastAsia="宋体" w:cs="宋体"/>
                <w:i w:val="0"/>
                <w:iCs w:val="0"/>
                <w:color w:val="000000"/>
                <w:sz w:val="21"/>
                <w:szCs w:val="21"/>
                <w:highlight w:val="none"/>
                <w:u w:val="none"/>
              </w:rPr>
              <w:t>杆件、综丝、导纱装置、钢筘、卷布辊等具有防锈保护</w:t>
            </w:r>
            <w:r>
              <w:rPr>
                <w:rFonts w:hint="eastAsia" w:cs="宋体"/>
                <w:i w:val="0"/>
                <w:iCs w:val="0"/>
                <w:color w:val="000000"/>
                <w:sz w:val="21"/>
                <w:szCs w:val="21"/>
                <w:highlight w:val="none"/>
                <w:u w:val="none"/>
                <w:lang w:eastAsia="zh-CN"/>
              </w:rPr>
              <w:t>。</w:t>
            </w:r>
          </w:p>
          <w:p w14:paraId="39F3078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1"/>
                <w:szCs w:val="21"/>
                <w:u w:val="none"/>
              </w:rPr>
            </w:pPr>
            <w:r>
              <w:rPr>
                <w:rFonts w:hint="eastAsia" w:cs="宋体"/>
                <w:i w:val="0"/>
                <w:iCs w:val="0"/>
                <w:color w:val="000000"/>
                <w:sz w:val="21"/>
                <w:szCs w:val="21"/>
                <w:highlight w:val="none"/>
                <w:u w:val="none"/>
                <w:lang w:val="en-US" w:eastAsia="zh-CN"/>
              </w:rPr>
              <w:t>23.</w:t>
            </w:r>
            <w:r>
              <w:rPr>
                <w:rFonts w:hint="eastAsia" w:ascii="宋体" w:hAnsi="宋体" w:eastAsia="宋体" w:cs="宋体"/>
                <w:i w:val="0"/>
                <w:iCs w:val="0"/>
                <w:color w:val="000000"/>
                <w:sz w:val="21"/>
                <w:szCs w:val="21"/>
                <w:highlight w:val="none"/>
                <w:u w:val="none"/>
              </w:rPr>
              <w:t>剑杆头能满足全棉、涤/棉、化纤等各类织物织造的需要，不脱纬。</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612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E15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07A49D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trPr>
        <w:tc>
          <w:tcPr>
            <w:tcW w:w="9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133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9711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数字式单纱整经机</w:t>
            </w:r>
          </w:p>
        </w:tc>
        <w:tc>
          <w:tcPr>
            <w:tcW w:w="6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C697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1"/>
                <w:szCs w:val="21"/>
                <w:u w:val="none"/>
              </w:rPr>
            </w:pPr>
            <w:r>
              <w:rPr>
                <w:rFonts w:hint="eastAsia" w:cs="宋体"/>
                <w:i w:val="0"/>
                <w:iCs w:val="0"/>
                <w:color w:val="000000"/>
                <w:sz w:val="21"/>
                <w:szCs w:val="21"/>
                <w:u w:val="none"/>
                <w:lang w:val="en-US" w:eastAsia="zh-CN"/>
              </w:rPr>
              <w:t>1.</w:t>
            </w:r>
            <w:r>
              <w:rPr>
                <w:rFonts w:hint="eastAsia" w:ascii="宋体" w:hAnsi="宋体" w:eastAsia="宋体" w:cs="宋体"/>
                <w:i w:val="0"/>
                <w:iCs w:val="0"/>
                <w:color w:val="000000"/>
                <w:sz w:val="21"/>
                <w:szCs w:val="21"/>
                <w:u w:val="none"/>
              </w:rPr>
              <w:t>幅宽可调节范围：0～700mm。</w:t>
            </w:r>
          </w:p>
          <w:p w14:paraId="01EE463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1"/>
                <w:szCs w:val="21"/>
                <w:u w:val="none"/>
              </w:rPr>
            </w:pPr>
            <w:r>
              <w:rPr>
                <w:rFonts w:hint="eastAsia" w:cs="宋体"/>
                <w:i w:val="0"/>
                <w:iCs w:val="0"/>
                <w:color w:val="000000"/>
                <w:sz w:val="21"/>
                <w:szCs w:val="21"/>
                <w:u w:val="none"/>
                <w:lang w:val="en-US" w:eastAsia="zh-CN"/>
              </w:rPr>
              <w:t>2.</w:t>
            </w:r>
            <w:r>
              <w:rPr>
                <w:rFonts w:hint="eastAsia" w:ascii="宋体" w:hAnsi="宋体" w:eastAsia="宋体" w:cs="宋体"/>
                <w:i w:val="0"/>
                <w:iCs w:val="0"/>
                <w:color w:val="000000"/>
                <w:sz w:val="21"/>
                <w:szCs w:val="21"/>
                <w:u w:val="none"/>
              </w:rPr>
              <w:t>整经速度：0～300 m/min（变频调速）。</w:t>
            </w:r>
          </w:p>
          <w:p w14:paraId="475A6C7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1"/>
                <w:szCs w:val="21"/>
                <w:u w:val="none"/>
              </w:rPr>
            </w:pPr>
            <w:r>
              <w:rPr>
                <w:rFonts w:hint="eastAsia" w:cs="宋体"/>
                <w:i w:val="0"/>
                <w:iCs w:val="0"/>
                <w:color w:val="000000"/>
                <w:sz w:val="21"/>
                <w:szCs w:val="21"/>
                <w:u w:val="none"/>
                <w:lang w:val="en-US" w:eastAsia="zh-CN"/>
              </w:rPr>
              <w:t>3.</w:t>
            </w:r>
            <w:r>
              <w:rPr>
                <w:rFonts w:hint="eastAsia" w:ascii="宋体" w:hAnsi="宋体" w:eastAsia="宋体" w:cs="宋体"/>
                <w:i w:val="0"/>
                <w:iCs w:val="0"/>
                <w:color w:val="000000"/>
                <w:sz w:val="21"/>
                <w:szCs w:val="21"/>
                <w:u w:val="none"/>
              </w:rPr>
              <w:t>整经长度：≥1m。</w:t>
            </w:r>
          </w:p>
          <w:p w14:paraId="0188987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1"/>
                <w:szCs w:val="21"/>
                <w:u w:val="none"/>
              </w:rPr>
            </w:pPr>
            <w:r>
              <w:rPr>
                <w:rFonts w:hint="eastAsia" w:cs="宋体"/>
                <w:i w:val="0"/>
                <w:iCs w:val="0"/>
                <w:color w:val="000000"/>
                <w:sz w:val="21"/>
                <w:szCs w:val="21"/>
                <w:u w:val="none"/>
                <w:lang w:val="en-US" w:eastAsia="zh-CN"/>
              </w:rPr>
              <w:t>4.</w:t>
            </w:r>
            <w:r>
              <w:rPr>
                <w:rFonts w:hint="eastAsia" w:ascii="宋体" w:hAnsi="宋体" w:eastAsia="宋体" w:cs="宋体"/>
                <w:i w:val="0"/>
                <w:iCs w:val="0"/>
                <w:color w:val="000000"/>
                <w:sz w:val="21"/>
                <w:szCs w:val="21"/>
                <w:u w:val="none"/>
              </w:rPr>
              <w:t>纱线线密度：≥5tex。</w:t>
            </w:r>
          </w:p>
          <w:p w14:paraId="6F8FD25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1"/>
                <w:szCs w:val="21"/>
                <w:u w:val="none"/>
              </w:rPr>
            </w:pPr>
            <w:r>
              <w:rPr>
                <w:rFonts w:hint="eastAsia" w:cs="宋体"/>
                <w:i w:val="0"/>
                <w:iCs w:val="0"/>
                <w:color w:val="000000"/>
                <w:sz w:val="21"/>
                <w:szCs w:val="21"/>
                <w:u w:val="none"/>
                <w:lang w:val="en-US" w:eastAsia="zh-CN"/>
              </w:rPr>
              <w:t>5.</w:t>
            </w:r>
            <w:r>
              <w:rPr>
                <w:rFonts w:hint="eastAsia" w:ascii="宋体" w:hAnsi="宋体" w:eastAsia="宋体" w:cs="宋体"/>
                <w:i w:val="0"/>
                <w:iCs w:val="0"/>
                <w:color w:val="000000"/>
                <w:sz w:val="21"/>
                <w:szCs w:val="21"/>
                <w:u w:val="none"/>
              </w:rPr>
              <w:t>花型自动排花功能：可做8种不同颜色纱筒自动换纱,自动排列花型电子控制气动自动选纱，送纱张力均匀可调节。</w:t>
            </w:r>
          </w:p>
          <w:p w14:paraId="09CEB21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1"/>
                <w:szCs w:val="21"/>
                <w:highlight w:val="none"/>
                <w:u w:val="none"/>
              </w:rPr>
            </w:pPr>
            <w:r>
              <w:rPr>
                <w:rFonts w:hint="eastAsia" w:cs="宋体"/>
                <w:i w:val="0"/>
                <w:iCs w:val="0"/>
                <w:color w:val="000000"/>
                <w:sz w:val="21"/>
                <w:szCs w:val="21"/>
                <w:highlight w:val="none"/>
                <w:u w:val="none"/>
                <w:lang w:val="en-US" w:eastAsia="zh-CN"/>
              </w:rPr>
              <w:t>6.</w:t>
            </w:r>
            <w:r>
              <w:rPr>
                <w:rFonts w:hint="eastAsia" w:ascii="宋体" w:hAnsi="宋体" w:eastAsia="宋体" w:cs="宋体"/>
                <w:i w:val="0"/>
                <w:iCs w:val="0"/>
                <w:color w:val="000000"/>
                <w:sz w:val="21"/>
                <w:szCs w:val="21"/>
                <w:highlight w:val="none"/>
                <w:u w:val="none"/>
              </w:rPr>
              <w:t>自动分绞功能：可以实现一上一下和两上两下分绞功能。</w:t>
            </w:r>
          </w:p>
          <w:p w14:paraId="326B1C3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1"/>
                <w:szCs w:val="21"/>
                <w:highlight w:val="none"/>
                <w:u w:val="none"/>
              </w:rPr>
            </w:pPr>
            <w:r>
              <w:rPr>
                <w:rFonts w:hint="eastAsia" w:cs="宋体"/>
                <w:i w:val="0"/>
                <w:iCs w:val="0"/>
                <w:color w:val="000000"/>
                <w:sz w:val="21"/>
                <w:szCs w:val="21"/>
                <w:highlight w:val="none"/>
                <w:u w:val="none"/>
                <w:lang w:val="en-US" w:eastAsia="zh-CN"/>
              </w:rPr>
              <w:t>7.</w:t>
            </w:r>
            <w:r>
              <w:rPr>
                <w:rFonts w:hint="eastAsia" w:ascii="宋体" w:hAnsi="宋体" w:eastAsia="宋体" w:cs="宋体"/>
                <w:i w:val="0"/>
                <w:iCs w:val="0"/>
                <w:color w:val="000000"/>
                <w:sz w:val="21"/>
                <w:szCs w:val="21"/>
                <w:highlight w:val="none"/>
                <w:u w:val="none"/>
              </w:rPr>
              <w:t>气源：进气压力0.45～0.8MPa，最大耗气量不超过100L/min。</w:t>
            </w:r>
          </w:p>
          <w:p w14:paraId="0AB53E8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1"/>
                <w:szCs w:val="21"/>
                <w:highlight w:val="none"/>
                <w:u w:val="none"/>
              </w:rPr>
            </w:pPr>
            <w:r>
              <w:rPr>
                <w:rFonts w:hint="eastAsia" w:cs="宋体"/>
                <w:i w:val="0"/>
                <w:iCs w:val="0"/>
                <w:color w:val="000000"/>
                <w:sz w:val="21"/>
                <w:szCs w:val="21"/>
                <w:highlight w:val="none"/>
                <w:u w:val="none"/>
                <w:lang w:val="en-US" w:eastAsia="zh-CN"/>
              </w:rPr>
              <w:t>8.</w:t>
            </w:r>
            <w:r>
              <w:rPr>
                <w:rFonts w:hint="eastAsia" w:ascii="宋体" w:hAnsi="宋体" w:eastAsia="宋体" w:cs="宋体"/>
                <w:i w:val="0"/>
                <w:iCs w:val="0"/>
                <w:color w:val="000000"/>
                <w:sz w:val="21"/>
                <w:szCs w:val="21"/>
                <w:highlight w:val="none"/>
                <w:u w:val="none"/>
              </w:rPr>
              <w:t>机、电、气一体化，采用PLC控制。</w:t>
            </w:r>
          </w:p>
          <w:p w14:paraId="19D4D53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1"/>
                <w:szCs w:val="21"/>
                <w:u w:val="none"/>
              </w:rPr>
            </w:pPr>
            <w:r>
              <w:rPr>
                <w:rFonts w:hint="eastAsia" w:cs="宋体"/>
                <w:i w:val="0"/>
                <w:iCs w:val="0"/>
                <w:color w:val="000000"/>
                <w:sz w:val="21"/>
                <w:szCs w:val="21"/>
                <w:highlight w:val="none"/>
                <w:u w:val="none"/>
                <w:lang w:val="en-US" w:eastAsia="zh-CN"/>
              </w:rPr>
              <w:t>9.</w:t>
            </w:r>
            <w:r>
              <w:rPr>
                <w:rFonts w:hint="eastAsia" w:ascii="宋体" w:hAnsi="宋体" w:eastAsia="宋体" w:cs="宋体"/>
                <w:i w:val="0"/>
                <w:iCs w:val="0"/>
                <w:color w:val="000000"/>
                <w:sz w:val="21"/>
                <w:szCs w:val="21"/>
                <w:highlight w:val="none"/>
                <w:u w:val="none"/>
              </w:rPr>
              <w:t>经纱卷绕采用交流变频调速器，经纱卷绕速度可调节</w:t>
            </w:r>
            <w:r>
              <w:rPr>
                <w:rFonts w:hint="eastAsia" w:cs="宋体"/>
                <w:i w:val="0"/>
                <w:iCs w:val="0"/>
                <w:color w:val="000000"/>
                <w:sz w:val="21"/>
                <w:szCs w:val="21"/>
                <w:highlight w:val="none"/>
                <w:u w:val="none"/>
                <w:lang w:val="en-US" w:eastAsia="zh-CN"/>
              </w:rPr>
              <w:t>；</w:t>
            </w:r>
            <w:r>
              <w:rPr>
                <w:rFonts w:hint="eastAsia" w:ascii="宋体" w:hAnsi="宋体" w:eastAsia="宋体" w:cs="宋体"/>
                <w:i w:val="0"/>
                <w:iCs w:val="0"/>
                <w:color w:val="000000"/>
                <w:sz w:val="21"/>
                <w:szCs w:val="21"/>
                <w:highlight w:val="none"/>
                <w:u w:val="none"/>
              </w:rPr>
              <w:t>经纱分绞结构稳定可靠，分绞错误率低</w:t>
            </w:r>
            <w:r>
              <w:rPr>
                <w:rFonts w:hint="eastAsia" w:cs="宋体"/>
                <w:i w:val="0"/>
                <w:iCs w:val="0"/>
                <w:color w:val="000000"/>
                <w:sz w:val="21"/>
                <w:szCs w:val="21"/>
                <w:highlight w:val="none"/>
                <w:u w:val="none"/>
                <w:lang w:eastAsia="zh-CN"/>
              </w:rPr>
              <w:t>；</w:t>
            </w:r>
            <w:r>
              <w:rPr>
                <w:rFonts w:hint="eastAsia" w:ascii="宋体" w:hAnsi="宋体" w:eastAsia="宋体" w:cs="宋体"/>
                <w:i w:val="0"/>
                <w:iCs w:val="0"/>
                <w:color w:val="000000"/>
                <w:sz w:val="21"/>
                <w:szCs w:val="21"/>
                <w:highlight w:val="none"/>
                <w:u w:val="none"/>
              </w:rPr>
              <w:t>整经单纱张力可控，倒轴片纱张力要均匀。</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8AD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481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52E871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C97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7187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数字式单纱浆纱机</w:t>
            </w:r>
          </w:p>
        </w:tc>
        <w:tc>
          <w:tcPr>
            <w:tcW w:w="6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79A9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w:t>
            </w:r>
            <w:r>
              <w:rPr>
                <w:rFonts w:hint="eastAsia" w:cs="宋体"/>
                <w:i w:val="0"/>
                <w:iCs w:val="0"/>
                <w:color w:val="000000"/>
                <w:sz w:val="21"/>
                <w:szCs w:val="21"/>
                <w:u w:val="none"/>
                <w:lang w:val="en-US" w:eastAsia="zh-CN"/>
              </w:rPr>
              <w:t>1.</w:t>
            </w:r>
            <w:r>
              <w:rPr>
                <w:rFonts w:hint="eastAsia" w:ascii="宋体" w:hAnsi="宋体" w:eastAsia="宋体" w:cs="宋体"/>
                <w:i w:val="0"/>
                <w:iCs w:val="0"/>
                <w:color w:val="000000"/>
                <w:sz w:val="21"/>
                <w:szCs w:val="21"/>
                <w:u w:val="none"/>
              </w:rPr>
              <w:t>锭数：≥4。</w:t>
            </w:r>
          </w:p>
          <w:p w14:paraId="12EBC22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1"/>
                <w:szCs w:val="21"/>
                <w:u w:val="none"/>
              </w:rPr>
            </w:pPr>
            <w:r>
              <w:rPr>
                <w:rFonts w:hint="eastAsia" w:cs="宋体"/>
                <w:i w:val="0"/>
                <w:iCs w:val="0"/>
                <w:color w:val="000000"/>
                <w:sz w:val="21"/>
                <w:szCs w:val="21"/>
                <w:u w:val="none"/>
                <w:lang w:val="en-US" w:eastAsia="zh-CN"/>
              </w:rPr>
              <w:t>2.</w:t>
            </w:r>
            <w:r>
              <w:rPr>
                <w:rFonts w:hint="eastAsia" w:ascii="宋体" w:hAnsi="宋体" w:eastAsia="宋体" w:cs="宋体"/>
                <w:i w:val="0"/>
                <w:iCs w:val="0"/>
                <w:color w:val="000000"/>
                <w:sz w:val="21"/>
                <w:szCs w:val="21"/>
                <w:u w:val="none"/>
              </w:rPr>
              <w:t>车速：0～300 m/min（变频调速）。</w:t>
            </w:r>
          </w:p>
          <w:p w14:paraId="583946E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1"/>
                <w:szCs w:val="21"/>
                <w:u w:val="none"/>
              </w:rPr>
            </w:pPr>
            <w:r>
              <w:rPr>
                <w:rFonts w:hint="eastAsia" w:cs="宋体"/>
                <w:i w:val="0"/>
                <w:iCs w:val="0"/>
                <w:color w:val="000000"/>
                <w:sz w:val="21"/>
                <w:szCs w:val="21"/>
                <w:u w:val="none"/>
                <w:lang w:val="en-US" w:eastAsia="zh-CN"/>
              </w:rPr>
              <w:t>3.</w:t>
            </w:r>
            <w:r>
              <w:rPr>
                <w:rFonts w:hint="eastAsia" w:ascii="宋体" w:hAnsi="宋体" w:eastAsia="宋体" w:cs="宋体"/>
                <w:i w:val="0"/>
                <w:iCs w:val="0"/>
                <w:color w:val="000000"/>
                <w:sz w:val="21"/>
                <w:szCs w:val="21"/>
                <w:u w:val="none"/>
              </w:rPr>
              <w:t>纱线线密度：≥5tex。</w:t>
            </w:r>
          </w:p>
          <w:p w14:paraId="5A40CB2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1"/>
                <w:szCs w:val="21"/>
                <w:u w:val="none"/>
              </w:rPr>
            </w:pPr>
            <w:r>
              <w:rPr>
                <w:rFonts w:hint="eastAsia" w:cs="宋体"/>
                <w:i w:val="0"/>
                <w:iCs w:val="0"/>
                <w:color w:val="000000"/>
                <w:sz w:val="21"/>
                <w:szCs w:val="21"/>
                <w:u w:val="none"/>
                <w:lang w:val="en-US" w:eastAsia="zh-CN"/>
              </w:rPr>
              <w:t>4.</w:t>
            </w:r>
            <w:r>
              <w:rPr>
                <w:rFonts w:hint="eastAsia" w:ascii="宋体" w:hAnsi="宋体" w:eastAsia="宋体" w:cs="宋体"/>
                <w:i w:val="0"/>
                <w:iCs w:val="0"/>
                <w:color w:val="000000"/>
                <w:sz w:val="21"/>
                <w:szCs w:val="21"/>
                <w:u w:val="none"/>
              </w:rPr>
              <w:t>烘房加热方式：电加热式。</w:t>
            </w:r>
          </w:p>
          <w:p w14:paraId="5DC96D9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w:t>
            </w:r>
            <w:r>
              <w:rPr>
                <w:rFonts w:hint="eastAsia" w:cs="宋体"/>
                <w:i w:val="0"/>
                <w:iCs w:val="0"/>
                <w:color w:val="000000"/>
                <w:sz w:val="21"/>
                <w:szCs w:val="21"/>
                <w:u w:val="none"/>
                <w:lang w:val="en-US" w:eastAsia="zh-CN"/>
              </w:rPr>
              <w:t>5.</w:t>
            </w:r>
            <w:r>
              <w:rPr>
                <w:rFonts w:hint="eastAsia" w:ascii="宋体" w:hAnsi="宋体" w:eastAsia="宋体" w:cs="宋体"/>
                <w:i w:val="0"/>
                <w:iCs w:val="0"/>
                <w:color w:val="000000"/>
                <w:sz w:val="21"/>
                <w:szCs w:val="21"/>
                <w:u w:val="none"/>
              </w:rPr>
              <w:t>在每锭上单独安装纱线预烘干装置。</w:t>
            </w:r>
          </w:p>
          <w:p w14:paraId="1E53306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1"/>
                <w:szCs w:val="21"/>
                <w:u w:val="none"/>
              </w:rPr>
            </w:pPr>
            <w:r>
              <w:rPr>
                <w:rFonts w:hint="eastAsia" w:cs="宋体"/>
                <w:i w:val="0"/>
                <w:iCs w:val="0"/>
                <w:color w:val="000000"/>
                <w:sz w:val="21"/>
                <w:szCs w:val="21"/>
                <w:u w:val="none"/>
                <w:lang w:val="en-US" w:eastAsia="zh-CN"/>
              </w:rPr>
              <w:t>6.</w:t>
            </w:r>
            <w:r>
              <w:rPr>
                <w:rFonts w:hint="eastAsia" w:ascii="宋体" w:hAnsi="宋体" w:eastAsia="宋体" w:cs="宋体"/>
                <w:i w:val="0"/>
                <w:iCs w:val="0"/>
                <w:color w:val="000000"/>
                <w:sz w:val="21"/>
                <w:szCs w:val="21"/>
                <w:u w:val="none"/>
              </w:rPr>
              <w:t>增加纱线张力自动补偿装置。</w:t>
            </w:r>
          </w:p>
          <w:p w14:paraId="6E3CAD3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1"/>
                <w:szCs w:val="21"/>
                <w:u w:val="none"/>
              </w:rPr>
            </w:pPr>
            <w:r>
              <w:rPr>
                <w:rFonts w:hint="eastAsia" w:cs="宋体"/>
                <w:i w:val="0"/>
                <w:iCs w:val="0"/>
                <w:color w:val="000000"/>
                <w:sz w:val="21"/>
                <w:szCs w:val="21"/>
                <w:u w:val="none"/>
                <w:lang w:val="en-US" w:eastAsia="zh-CN"/>
              </w:rPr>
              <w:t>7.</w:t>
            </w:r>
            <w:r>
              <w:rPr>
                <w:rFonts w:hint="eastAsia" w:ascii="宋体" w:hAnsi="宋体" w:eastAsia="宋体" w:cs="宋体"/>
                <w:i w:val="0"/>
                <w:iCs w:val="0"/>
                <w:color w:val="000000"/>
                <w:sz w:val="21"/>
                <w:szCs w:val="21"/>
                <w:u w:val="none"/>
              </w:rPr>
              <w:t>电机：单锭电机控制；排风电机。</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2BC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8FB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3A2F98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06C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0F72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数字式小样清梳联合制条机</w:t>
            </w:r>
          </w:p>
        </w:tc>
        <w:tc>
          <w:tcPr>
            <w:tcW w:w="6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D877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1.核心功能：设备涵盖开松装置、输棉装置、自动喂棉装置、梳理装置和圈条器组成。能将纤维自动开松、除杂、梳理，制成符合下道纺纱工序要求的纤维条。</w:t>
            </w:r>
          </w:p>
          <w:p w14:paraId="4085C4C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▲2.适纺纤维类型：棉纤维、棉型化纤。</w:t>
            </w:r>
          </w:p>
          <w:p w14:paraId="044E395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3.产量：≥300g/h。</w:t>
            </w:r>
          </w:p>
          <w:p w14:paraId="4EA68CF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4.工作宽度：≥400mm。</w:t>
            </w:r>
          </w:p>
          <w:p w14:paraId="3EBF7DF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5.喂入辊（或刺辊）直径：≥40mm。</w:t>
            </w:r>
          </w:p>
          <w:p w14:paraId="43C96F9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6.喂入辊（或刺辊）转速：≥800r/min。</w:t>
            </w:r>
          </w:p>
          <w:p w14:paraId="1B9480F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7.梳理辊（或锡林）转速：≥600r/min。</w:t>
            </w:r>
          </w:p>
          <w:p w14:paraId="0D632B7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8.棉箱形式：封闭式棉箱。</w:t>
            </w:r>
          </w:p>
          <w:p w14:paraId="4FBE7D1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cs="宋体"/>
                <w:i w:val="0"/>
                <w:iCs w:val="0"/>
                <w:color w:val="auto"/>
                <w:kern w:val="0"/>
                <w:sz w:val="21"/>
                <w:szCs w:val="21"/>
                <w:u w:val="none"/>
                <w:lang w:val="en-US" w:eastAsia="zh-CN" w:bidi="ar"/>
              </w:rPr>
              <w:t>9</w:t>
            </w:r>
            <w:r>
              <w:rPr>
                <w:rFonts w:hint="eastAsia" w:ascii="宋体" w:hAnsi="宋体" w:eastAsia="宋体" w:cs="宋体"/>
                <w:i w:val="0"/>
                <w:iCs w:val="0"/>
                <w:color w:val="auto"/>
                <w:kern w:val="0"/>
                <w:sz w:val="21"/>
                <w:szCs w:val="21"/>
                <w:u w:val="none"/>
                <w:lang w:val="en-US" w:eastAsia="zh-CN" w:bidi="ar"/>
              </w:rPr>
              <w:t>.安全防护：安全罩全封闭。</w:t>
            </w:r>
          </w:p>
          <w:p w14:paraId="4040594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cs="宋体"/>
                <w:i w:val="0"/>
                <w:iCs w:val="0"/>
                <w:color w:val="auto"/>
                <w:kern w:val="0"/>
                <w:sz w:val="21"/>
                <w:szCs w:val="21"/>
                <w:u w:val="none"/>
                <w:lang w:val="en-US" w:eastAsia="zh-CN" w:bidi="ar"/>
              </w:rPr>
              <w:t>10</w:t>
            </w:r>
            <w:r>
              <w:rPr>
                <w:rFonts w:hint="eastAsia" w:ascii="宋体" w:hAnsi="宋体" w:eastAsia="宋体" w:cs="宋体"/>
                <w:i w:val="0"/>
                <w:iCs w:val="0"/>
                <w:color w:val="auto"/>
                <w:kern w:val="0"/>
                <w:sz w:val="21"/>
                <w:szCs w:val="21"/>
                <w:u w:val="none"/>
                <w:lang w:val="en-US" w:eastAsia="zh-CN" w:bidi="ar"/>
              </w:rPr>
              <w:t>.控制系统：采用PLC</w:t>
            </w:r>
            <w:bookmarkStart w:id="428" w:name="_GoBack"/>
            <w:bookmarkEnd w:id="428"/>
            <w:r>
              <w:rPr>
                <w:rFonts w:hint="eastAsia" w:ascii="宋体" w:hAnsi="宋体" w:eastAsia="宋体" w:cs="宋体"/>
                <w:i w:val="0"/>
                <w:iCs w:val="0"/>
                <w:color w:val="auto"/>
                <w:kern w:val="0"/>
                <w:sz w:val="21"/>
                <w:szCs w:val="21"/>
                <w:u w:val="none"/>
                <w:lang w:val="en-US" w:eastAsia="zh-CN" w:bidi="ar"/>
              </w:rPr>
              <w:t>进行整机运行监控，配备彩色触摸屏作为人机交互界面。</w:t>
            </w:r>
          </w:p>
          <w:p w14:paraId="0886775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r>
              <w:rPr>
                <w:rFonts w:hint="eastAsia" w:cs="宋体"/>
                <w:i w:val="0"/>
                <w:iCs w:val="0"/>
                <w:color w:val="auto"/>
                <w:kern w:val="0"/>
                <w:sz w:val="21"/>
                <w:szCs w:val="21"/>
                <w:u w:val="none"/>
                <w:lang w:val="en-US" w:eastAsia="zh-CN" w:bidi="ar"/>
              </w:rPr>
              <w:t>1</w:t>
            </w:r>
            <w:r>
              <w:rPr>
                <w:rFonts w:hint="eastAsia" w:ascii="宋体" w:hAnsi="宋体" w:eastAsia="宋体" w:cs="宋体"/>
                <w:i w:val="0"/>
                <w:iCs w:val="0"/>
                <w:color w:val="auto"/>
                <w:kern w:val="0"/>
                <w:sz w:val="21"/>
                <w:szCs w:val="21"/>
                <w:u w:val="none"/>
                <w:lang w:val="en-US" w:eastAsia="zh-CN" w:bidi="ar"/>
              </w:rPr>
              <w:t>.操作界面：触摸屏应具备参数设置、运行状态实时显示、故障报警与诊断等基础功能。</w:t>
            </w:r>
          </w:p>
          <w:p w14:paraId="77EE1E4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auto"/>
                <w:kern w:val="0"/>
                <w:sz w:val="21"/>
                <w:szCs w:val="21"/>
                <w:u w:val="none"/>
                <w:lang w:val="en-US" w:eastAsia="zh-CN" w:bidi="ar"/>
              </w:rPr>
              <w:t>1</w:t>
            </w:r>
            <w:r>
              <w:rPr>
                <w:rFonts w:hint="eastAsia" w:cs="宋体"/>
                <w:i w:val="0"/>
                <w:iCs w:val="0"/>
                <w:color w:val="auto"/>
                <w:kern w:val="0"/>
                <w:sz w:val="21"/>
                <w:szCs w:val="21"/>
                <w:u w:val="none"/>
                <w:lang w:val="en-US" w:eastAsia="zh-CN" w:bidi="ar"/>
              </w:rPr>
              <w:t>2</w:t>
            </w:r>
            <w:r>
              <w:rPr>
                <w:rFonts w:hint="eastAsia" w:ascii="宋体" w:hAnsi="宋体" w:eastAsia="宋体" w:cs="宋体"/>
                <w:i w:val="0"/>
                <w:iCs w:val="0"/>
                <w:color w:val="auto"/>
                <w:kern w:val="0"/>
                <w:sz w:val="21"/>
                <w:szCs w:val="21"/>
                <w:u w:val="none"/>
                <w:lang w:val="en-US" w:eastAsia="zh-CN" w:bidi="ar"/>
              </w:rPr>
              <w:t>.变频调速：主要回转部件采用变频控制，实现速度无级调节。</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0C4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264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2DD1E5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9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90A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79EC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空气压缩机</w:t>
            </w:r>
          </w:p>
        </w:tc>
        <w:tc>
          <w:tcPr>
            <w:tcW w:w="6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D63B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▲1、额定排气压力：≥0.45MPa。</w:t>
            </w:r>
          </w:p>
          <w:p w14:paraId="4810A27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2、容积流量：≥2m³/min。</w:t>
            </w:r>
          </w:p>
          <w:p w14:paraId="2337B63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3、接口尺寸：G1"。</w:t>
            </w:r>
          </w:p>
          <w:p w14:paraId="55A576B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4、吸气条件：标准大气压，2℃～45℃。</w:t>
            </w:r>
          </w:p>
          <w:p w14:paraId="00A8DF6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▲5、启动方式：变频启动。</w:t>
            </w:r>
          </w:p>
          <w:p w14:paraId="35A98C4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6、冷却方式：风冷。</w:t>
            </w:r>
          </w:p>
          <w:p w14:paraId="556F4C5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7、储气罐：≥2立方米。</w:t>
            </w:r>
          </w:p>
          <w:p w14:paraId="3FA327D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8、附机配件及工具：</w:t>
            </w:r>
          </w:p>
          <w:p w14:paraId="027245E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 xml:space="preserve">   ①高效冷冻式干燥机</w:t>
            </w:r>
          </w:p>
          <w:p w14:paraId="6FAD8D7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 xml:space="preserve">   ②主管路除尘过滤器</w:t>
            </w:r>
          </w:p>
          <w:p w14:paraId="71D0C9B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 xml:space="preserve">   ③主管路油水过滤器</w:t>
            </w:r>
          </w:p>
          <w:p w14:paraId="4B5F95A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auto"/>
                <w:kern w:val="0"/>
                <w:sz w:val="21"/>
                <w:szCs w:val="21"/>
                <w:u w:val="none"/>
                <w:lang w:val="en-US" w:eastAsia="zh-CN" w:bidi="ar"/>
              </w:rPr>
              <w:t xml:space="preserve">   ④高效除油过滤器</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ADE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B44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0D352F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7010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6A31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超声波工业加湿器</w:t>
            </w:r>
          </w:p>
        </w:tc>
        <w:tc>
          <w:tcPr>
            <w:tcW w:w="6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0E16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1、工作温度：5~38℃</w:t>
            </w:r>
          </w:p>
          <w:p w14:paraId="63A9E13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2、控制方式：自动/手动控制</w:t>
            </w:r>
          </w:p>
          <w:p w14:paraId="7762F29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▲3、加湿量：≥15kg/h</w:t>
            </w:r>
          </w:p>
          <w:p w14:paraId="23B0CC8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4、供水压力：0.1~0.4MPa</w:t>
            </w:r>
          </w:p>
          <w:p w14:paraId="2DD77B9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5、出雾口数：≥2</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9F9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00A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12D25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91C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A0CF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实训室综合布线</w:t>
            </w:r>
          </w:p>
        </w:tc>
        <w:tc>
          <w:tcPr>
            <w:tcW w:w="6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B1D1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1"/>
                <w:szCs w:val="21"/>
                <w:u w:val="none"/>
              </w:rPr>
            </w:pPr>
            <w:r>
              <w:rPr>
                <w:rFonts w:hint="eastAsia" w:cs="宋体"/>
                <w:i w:val="0"/>
                <w:iCs w:val="0"/>
                <w:color w:val="000000"/>
                <w:kern w:val="0"/>
                <w:sz w:val="21"/>
                <w:szCs w:val="21"/>
                <w:u w:val="none"/>
                <w:lang w:val="en-US" w:eastAsia="zh-CN" w:bidi="ar"/>
              </w:rPr>
              <w:t>1、</w:t>
            </w:r>
            <w:r>
              <w:rPr>
                <w:rFonts w:hint="eastAsia" w:ascii="宋体" w:hAnsi="宋体" w:eastAsia="宋体" w:cs="宋体"/>
                <w:i w:val="0"/>
                <w:iCs w:val="0"/>
                <w:color w:val="000000"/>
                <w:kern w:val="0"/>
                <w:sz w:val="21"/>
                <w:szCs w:val="21"/>
                <w:u w:val="none"/>
                <w:lang w:val="en-US" w:eastAsia="zh-CN" w:bidi="ar"/>
              </w:rPr>
              <w:t>满足对本次所有设备安装所需的电路布线及电力增容，使用材料符合国标要求，包含辅材及其它费用。</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33D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间</w:t>
            </w:r>
          </w:p>
        </w:tc>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492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bl>
    <w:p w14:paraId="460DBBE2">
      <w:pPr>
        <w:keepNext w:val="0"/>
        <w:keepLines w:val="0"/>
        <w:pageBreakBefore w:val="0"/>
        <w:widowControl/>
        <w:suppressLineNumbers w:val="0"/>
        <w:kinsoku/>
        <w:overflowPunct/>
        <w:topLinePunct w:val="0"/>
        <w:autoSpaceDE/>
        <w:autoSpaceDN/>
        <w:bidi w:val="0"/>
        <w:adjustRightInd/>
        <w:snapToGrid/>
        <w:spacing w:line="350" w:lineRule="exact"/>
        <w:ind w:firstLine="482" w:firstLineChars="200"/>
        <w:jc w:val="left"/>
        <w:textAlignment w:val="auto"/>
        <w:rPr>
          <w:rFonts w:hint="eastAsia"/>
          <w:snapToGrid w:val="0"/>
          <w:color w:val="auto"/>
          <w:sz w:val="24"/>
          <w:szCs w:val="24"/>
          <w:highlight w:val="none"/>
          <w:lang w:val="en-US" w:eastAsia="zh-CN"/>
        </w:rPr>
      </w:pPr>
      <w:r>
        <w:rPr>
          <w:rFonts w:hint="eastAsia" w:cs="宋体"/>
          <w:b/>
          <w:bCs/>
          <w:color w:val="auto"/>
          <w:kern w:val="0"/>
          <w:sz w:val="24"/>
          <w:szCs w:val="24"/>
          <w:highlight w:val="none"/>
          <w:lang w:val="en-US" w:eastAsia="zh-CN" w:bidi="ar-SA"/>
        </w:rPr>
        <w:t>注：</w:t>
      </w:r>
      <w:r>
        <w:rPr>
          <w:rFonts w:hint="eastAsia" w:cs="宋体"/>
          <w:b w:val="0"/>
          <w:bCs w:val="0"/>
          <w:iCs/>
          <w:color w:val="auto"/>
          <w:kern w:val="0"/>
          <w:sz w:val="24"/>
          <w:szCs w:val="24"/>
          <w:highlight w:val="none"/>
          <w:shd w:val="clear" w:color="auto" w:fill="FFFFFF" w:themeFill="background1"/>
          <w:lang w:val="en-US" w:eastAsia="zh-CN" w:bidi="ar-SA"/>
        </w:rPr>
        <w:t>投标人</w:t>
      </w:r>
      <w:r>
        <w:rPr>
          <w:rFonts w:hint="eastAsia" w:ascii="宋体" w:hAnsi="宋体" w:eastAsia="宋体" w:cs="宋体"/>
          <w:b w:val="0"/>
          <w:bCs w:val="0"/>
          <w:iCs/>
          <w:color w:val="auto"/>
          <w:kern w:val="0"/>
          <w:sz w:val="24"/>
          <w:szCs w:val="24"/>
          <w:highlight w:val="none"/>
          <w:shd w:val="clear" w:color="auto" w:fill="FFFFFF" w:themeFill="background1"/>
          <w:lang w:val="en-US" w:eastAsia="zh-CN" w:bidi="ar-SA"/>
        </w:rPr>
        <w:t>须对本</w:t>
      </w:r>
      <w:r>
        <w:rPr>
          <w:rFonts w:hint="eastAsia" w:cs="宋体"/>
          <w:b w:val="0"/>
          <w:bCs w:val="0"/>
          <w:iCs/>
          <w:color w:val="auto"/>
          <w:kern w:val="0"/>
          <w:sz w:val="24"/>
          <w:szCs w:val="24"/>
          <w:highlight w:val="none"/>
          <w:shd w:val="clear" w:color="auto" w:fill="FFFFFF" w:themeFill="background1"/>
          <w:lang w:val="en-US" w:eastAsia="zh-CN" w:bidi="ar-SA"/>
        </w:rPr>
        <w:t>招标</w:t>
      </w:r>
      <w:r>
        <w:rPr>
          <w:rFonts w:hint="eastAsia" w:ascii="宋体" w:hAnsi="宋体" w:eastAsia="宋体" w:cs="宋体"/>
          <w:b w:val="0"/>
          <w:bCs w:val="0"/>
          <w:iCs/>
          <w:color w:val="auto"/>
          <w:kern w:val="0"/>
          <w:sz w:val="24"/>
          <w:szCs w:val="24"/>
          <w:highlight w:val="none"/>
          <w:shd w:val="clear" w:color="auto" w:fill="FFFFFF" w:themeFill="background1"/>
          <w:lang w:val="en-US" w:eastAsia="zh-CN" w:bidi="ar-SA"/>
        </w:rPr>
        <w:t>文件技术参数要求进行点对点应答，根据技术参数进行逐条逐项答复、说明和解释，在技术参数偏离表中标注产品实际参数值及页码，</w:t>
      </w:r>
      <w:r>
        <w:rPr>
          <w:rFonts w:hint="eastAsia" w:cs="宋体"/>
          <w:b w:val="0"/>
          <w:bCs w:val="0"/>
          <w:iCs/>
          <w:color w:val="auto"/>
          <w:kern w:val="0"/>
          <w:sz w:val="24"/>
          <w:szCs w:val="24"/>
          <w:highlight w:val="none"/>
          <w:shd w:val="clear" w:color="auto" w:fill="FFFFFF" w:themeFill="background1"/>
          <w:lang w:val="en-US" w:eastAsia="zh-CN" w:bidi="ar-SA"/>
        </w:rPr>
        <w:t>如提供证明材料，需</w:t>
      </w:r>
      <w:r>
        <w:rPr>
          <w:rFonts w:hint="eastAsia" w:ascii="宋体" w:hAnsi="宋体" w:eastAsia="宋体" w:cs="宋体"/>
          <w:b w:val="0"/>
          <w:bCs w:val="0"/>
          <w:iCs/>
          <w:color w:val="auto"/>
          <w:kern w:val="0"/>
          <w:sz w:val="24"/>
          <w:szCs w:val="24"/>
          <w:highlight w:val="none"/>
          <w:shd w:val="clear" w:color="auto" w:fill="FFFFFF" w:themeFill="background1"/>
          <w:lang w:val="en-US" w:eastAsia="zh-CN" w:bidi="ar-SA"/>
        </w:rPr>
        <w:t>在证明材料中重点标出具体参数值（可用醒目颜色图框标注），因未标注具体参数值，导致评标委员会无法核对具体参数值，</w:t>
      </w:r>
      <w:r>
        <w:rPr>
          <w:rFonts w:hint="eastAsia" w:ascii="宋体" w:hAnsi="宋体" w:eastAsia="宋体" w:cs="宋体"/>
          <w:b/>
          <w:bCs/>
          <w:iCs/>
          <w:color w:val="auto"/>
          <w:kern w:val="0"/>
          <w:sz w:val="24"/>
          <w:szCs w:val="24"/>
          <w:highlight w:val="none"/>
          <w:shd w:val="clear" w:color="auto" w:fill="FFFFFF" w:themeFill="background1"/>
          <w:lang w:val="en-US" w:eastAsia="zh-CN" w:bidi="ar-SA"/>
        </w:rPr>
        <w:t>视为未响应</w:t>
      </w:r>
      <w:r>
        <w:rPr>
          <w:rFonts w:hint="eastAsia" w:ascii="宋体" w:hAnsi="宋体" w:eastAsia="宋体" w:cs="宋体"/>
          <w:b w:val="0"/>
          <w:bCs w:val="0"/>
          <w:iCs/>
          <w:color w:val="auto"/>
          <w:kern w:val="0"/>
          <w:sz w:val="24"/>
          <w:szCs w:val="24"/>
          <w:highlight w:val="none"/>
          <w:shd w:val="clear" w:color="auto" w:fill="FFFFFF" w:themeFill="background1"/>
          <w:lang w:val="en-US" w:eastAsia="zh-CN" w:bidi="ar-SA"/>
        </w:rPr>
        <w:t>采购需求技术参数。</w:t>
      </w:r>
      <w:r>
        <w:rPr>
          <w:rFonts w:hint="eastAsia" w:cs="宋体"/>
          <w:b w:val="0"/>
          <w:bCs w:val="0"/>
          <w:iCs/>
          <w:color w:val="auto"/>
          <w:kern w:val="0"/>
          <w:sz w:val="24"/>
          <w:szCs w:val="24"/>
          <w:highlight w:val="none"/>
          <w:shd w:val="clear" w:color="auto" w:fill="FFFFFF" w:themeFill="background1"/>
          <w:lang w:val="en-US" w:eastAsia="zh-CN" w:bidi="ar-SA"/>
        </w:rPr>
        <w:t>投标人</w:t>
      </w:r>
      <w:r>
        <w:rPr>
          <w:rFonts w:hint="eastAsia" w:ascii="宋体" w:hAnsi="宋体" w:eastAsia="宋体" w:cs="宋体"/>
          <w:b w:val="0"/>
          <w:bCs w:val="0"/>
          <w:iCs/>
          <w:color w:val="auto"/>
          <w:kern w:val="0"/>
          <w:sz w:val="24"/>
          <w:szCs w:val="24"/>
          <w:highlight w:val="none"/>
          <w:shd w:val="clear" w:color="auto" w:fill="FFFFFF" w:themeFill="background1"/>
          <w:lang w:val="en-US" w:eastAsia="zh-CN" w:bidi="ar-SA"/>
        </w:rPr>
        <w:t>在技术参数偏离表中标注产品实际参数，照搬照抄</w:t>
      </w:r>
      <w:r>
        <w:rPr>
          <w:rFonts w:hint="eastAsia" w:cs="宋体"/>
          <w:b w:val="0"/>
          <w:bCs w:val="0"/>
          <w:iCs/>
          <w:color w:val="auto"/>
          <w:kern w:val="0"/>
          <w:sz w:val="24"/>
          <w:szCs w:val="24"/>
          <w:highlight w:val="none"/>
          <w:shd w:val="clear" w:color="auto" w:fill="FFFFFF" w:themeFill="background1"/>
          <w:lang w:val="en-US" w:eastAsia="zh-CN" w:bidi="ar-SA"/>
        </w:rPr>
        <w:t>招标</w:t>
      </w:r>
      <w:r>
        <w:rPr>
          <w:rFonts w:hint="eastAsia" w:ascii="宋体" w:hAnsi="宋体" w:eastAsia="宋体" w:cs="宋体"/>
          <w:b w:val="0"/>
          <w:bCs w:val="0"/>
          <w:iCs/>
          <w:color w:val="auto"/>
          <w:kern w:val="0"/>
          <w:sz w:val="24"/>
          <w:szCs w:val="24"/>
          <w:highlight w:val="none"/>
          <w:shd w:val="clear" w:color="auto" w:fill="FFFFFF" w:themeFill="background1"/>
          <w:lang w:val="en-US" w:eastAsia="zh-CN" w:bidi="ar-SA"/>
        </w:rPr>
        <w:t>文件参数、不注明实际参数者</w:t>
      </w:r>
      <w:r>
        <w:rPr>
          <w:rFonts w:hint="eastAsia" w:ascii="宋体" w:hAnsi="宋体" w:eastAsia="宋体" w:cs="宋体"/>
          <w:b/>
          <w:bCs/>
          <w:iCs/>
          <w:color w:val="auto"/>
          <w:kern w:val="0"/>
          <w:sz w:val="24"/>
          <w:szCs w:val="24"/>
          <w:highlight w:val="none"/>
          <w:shd w:val="clear" w:color="auto" w:fill="FFFFFF" w:themeFill="background1"/>
          <w:lang w:val="en-US" w:eastAsia="zh-CN" w:bidi="ar-SA"/>
        </w:rPr>
        <w:t>视为未响应</w:t>
      </w:r>
      <w:r>
        <w:rPr>
          <w:rFonts w:hint="eastAsia" w:ascii="宋体" w:hAnsi="宋体" w:eastAsia="宋体" w:cs="宋体"/>
          <w:b w:val="0"/>
          <w:bCs w:val="0"/>
          <w:iCs/>
          <w:color w:val="auto"/>
          <w:kern w:val="0"/>
          <w:sz w:val="24"/>
          <w:szCs w:val="24"/>
          <w:highlight w:val="none"/>
          <w:shd w:val="clear" w:color="auto" w:fill="FFFFFF" w:themeFill="background1"/>
          <w:lang w:val="en-US" w:eastAsia="zh-CN" w:bidi="ar-SA"/>
        </w:rPr>
        <w:t>。</w:t>
      </w:r>
    </w:p>
    <w:p w14:paraId="2FA8BC3D">
      <w:pPr>
        <w:pStyle w:val="3"/>
        <w:pageBreakBefore w:val="0"/>
        <w:widowControl w:val="0"/>
        <w:kinsoku/>
        <w:overflowPunct/>
        <w:topLinePunct w:val="0"/>
        <w:autoSpaceDE/>
        <w:autoSpaceDN/>
        <w:bidi w:val="0"/>
        <w:adjustRightInd/>
        <w:snapToGrid/>
        <w:spacing w:before="0" w:after="0" w:line="350" w:lineRule="exact"/>
        <w:textAlignment w:val="auto"/>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3.2验收</w:t>
      </w:r>
    </w:p>
    <w:p w14:paraId="66818F2C">
      <w:pPr>
        <w:pStyle w:val="37"/>
        <w:keepNext w:val="0"/>
        <w:keepLines w:val="0"/>
        <w:pageBreakBefore w:val="0"/>
        <w:widowControl w:val="0"/>
        <w:numPr>
          <w:ilvl w:val="0"/>
          <w:numId w:val="0"/>
        </w:numPr>
        <w:kinsoku/>
        <w:wordWrap w:val="0"/>
        <w:overflowPunct/>
        <w:topLinePunct w:val="0"/>
        <w:autoSpaceDE/>
        <w:autoSpaceDN/>
        <w:bidi w:val="0"/>
        <w:adjustRightInd/>
        <w:snapToGrid/>
        <w:spacing w:line="350" w:lineRule="exact"/>
        <w:ind w:firstLine="480" w:firstLineChars="200"/>
        <w:textAlignment w:val="auto"/>
        <w:rPr>
          <w:rFonts w:hint="eastAsia"/>
          <w:snapToGrid w:val="0"/>
          <w:color w:val="auto"/>
          <w:sz w:val="24"/>
          <w:szCs w:val="24"/>
          <w:highlight w:val="none"/>
          <w:lang w:val="en-US" w:eastAsia="zh-CN"/>
        </w:rPr>
      </w:pPr>
      <w:r>
        <w:rPr>
          <w:rFonts w:hint="eastAsia"/>
          <w:snapToGrid w:val="0"/>
          <w:color w:val="auto"/>
          <w:sz w:val="24"/>
          <w:szCs w:val="24"/>
          <w:highlight w:val="none"/>
          <w:lang w:val="en-US" w:eastAsia="zh-CN"/>
        </w:rPr>
        <w:t>1、所供设备交付时，供应商须向采购人提供产品说明书2份，电气原理图2份，质量保证书1份、保修卡1份，产品合格证1份。</w:t>
      </w:r>
    </w:p>
    <w:p w14:paraId="37E297C4">
      <w:pPr>
        <w:pStyle w:val="14"/>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50" w:lineRule="exact"/>
        <w:ind w:firstLine="480" w:firstLineChars="200"/>
        <w:jc w:val="both"/>
        <w:textAlignment w:val="auto"/>
        <w:outlineLvl w:val="0"/>
        <w:rPr>
          <w:rFonts w:hint="eastAsia" w:ascii="宋体" w:hAnsi="宋体" w:eastAsia="宋体" w:cs="宋体"/>
          <w:i w:val="0"/>
          <w:iCs w:val="0"/>
          <w:color w:val="auto"/>
          <w:kern w:val="0"/>
          <w:sz w:val="24"/>
          <w:szCs w:val="24"/>
          <w:u w:val="none"/>
          <w:lang w:val="en-US" w:eastAsia="zh-CN" w:bidi="ar"/>
        </w:rPr>
      </w:pPr>
      <w:bookmarkStart w:id="258" w:name="_Toc8462"/>
      <w:r>
        <w:rPr>
          <w:rFonts w:hint="eastAsia" w:ascii="宋体" w:hAnsi="宋体" w:eastAsia="宋体" w:cs="宋体"/>
          <w:i w:val="0"/>
          <w:iCs w:val="0"/>
          <w:color w:val="auto"/>
          <w:kern w:val="0"/>
          <w:sz w:val="24"/>
          <w:szCs w:val="24"/>
          <w:u w:val="none"/>
          <w:lang w:val="en-US" w:eastAsia="zh-CN" w:bidi="ar"/>
        </w:rPr>
        <w:t>2、验收标准：依据相关国家标准及本次招投标相关文件进行验收</w:t>
      </w:r>
      <w:bookmarkEnd w:id="258"/>
      <w:r>
        <w:rPr>
          <w:rFonts w:hint="eastAsia" w:ascii="宋体" w:hAnsi="宋体" w:eastAsia="宋体" w:cs="宋体"/>
          <w:i w:val="0"/>
          <w:iCs w:val="0"/>
          <w:color w:val="auto"/>
          <w:kern w:val="0"/>
          <w:sz w:val="24"/>
          <w:szCs w:val="24"/>
          <w:u w:val="none"/>
          <w:lang w:val="en-US" w:eastAsia="zh-CN" w:bidi="ar"/>
        </w:rPr>
        <w:t xml:space="preserve">,符合采购人验收要求。 </w:t>
      </w:r>
    </w:p>
    <w:p w14:paraId="0B12E3CE">
      <w:pPr>
        <w:pStyle w:val="37"/>
        <w:keepNext w:val="0"/>
        <w:keepLines w:val="0"/>
        <w:pageBreakBefore w:val="0"/>
        <w:widowControl w:val="0"/>
        <w:kinsoku/>
        <w:wordWrap w:val="0"/>
        <w:overflowPunct/>
        <w:topLinePunct w:val="0"/>
        <w:autoSpaceDE/>
        <w:autoSpaceDN/>
        <w:bidi w:val="0"/>
        <w:adjustRightInd/>
        <w:snapToGrid/>
        <w:spacing w:line="350" w:lineRule="exact"/>
        <w:ind w:firstLine="482"/>
        <w:textAlignment w:val="auto"/>
        <w:rPr>
          <w:rFonts w:hint="eastAsia"/>
          <w:snapToGrid w:val="0"/>
          <w:color w:val="auto"/>
          <w:sz w:val="24"/>
          <w:szCs w:val="24"/>
          <w:highlight w:val="none"/>
          <w:lang w:val="en-US" w:eastAsia="zh-CN"/>
        </w:rPr>
      </w:pPr>
      <w:r>
        <w:rPr>
          <w:rFonts w:hint="eastAsia"/>
          <w:snapToGrid w:val="0"/>
          <w:color w:val="auto"/>
          <w:sz w:val="24"/>
          <w:szCs w:val="24"/>
          <w:highlight w:val="none"/>
          <w:lang w:val="en-US" w:eastAsia="zh-CN"/>
        </w:rPr>
        <w:t xml:space="preserve">3、凡与本项目有关的现行中华人民共和国以及省、市或行业相关标准、规范等，均适用于本项目。 </w:t>
      </w:r>
    </w:p>
    <w:p w14:paraId="0576112C">
      <w:pPr>
        <w:pStyle w:val="37"/>
        <w:keepNext w:val="0"/>
        <w:keepLines w:val="0"/>
        <w:pageBreakBefore w:val="0"/>
        <w:widowControl w:val="0"/>
        <w:kinsoku/>
        <w:wordWrap w:val="0"/>
        <w:overflowPunct/>
        <w:topLinePunct w:val="0"/>
        <w:autoSpaceDE/>
        <w:autoSpaceDN/>
        <w:bidi w:val="0"/>
        <w:adjustRightInd/>
        <w:snapToGrid/>
        <w:spacing w:line="350" w:lineRule="exact"/>
        <w:ind w:firstLine="482"/>
        <w:textAlignment w:val="auto"/>
        <w:rPr>
          <w:rFonts w:hint="eastAsia"/>
          <w:snapToGrid w:val="0"/>
          <w:color w:val="auto"/>
          <w:sz w:val="24"/>
          <w:szCs w:val="24"/>
          <w:highlight w:val="none"/>
          <w:lang w:val="en-US" w:eastAsia="zh-CN"/>
        </w:rPr>
      </w:pPr>
      <w:r>
        <w:rPr>
          <w:rFonts w:hint="eastAsia"/>
          <w:snapToGrid w:val="0"/>
          <w:color w:val="auto"/>
          <w:sz w:val="24"/>
          <w:szCs w:val="24"/>
          <w:highlight w:val="none"/>
          <w:lang w:val="en-US" w:eastAsia="zh-CN"/>
        </w:rPr>
        <w:t xml:space="preserve">4、应符合国家颁布的有关防火、防腐、防水、材料质量、材料准用制度等标准、规范、规程之规定。 </w:t>
      </w:r>
    </w:p>
    <w:p w14:paraId="25C48756">
      <w:pPr>
        <w:pStyle w:val="3"/>
        <w:pageBreakBefore w:val="0"/>
        <w:widowControl w:val="0"/>
        <w:kinsoku/>
        <w:overflowPunct/>
        <w:topLinePunct w:val="0"/>
        <w:autoSpaceDE/>
        <w:autoSpaceDN/>
        <w:bidi w:val="0"/>
        <w:adjustRightInd/>
        <w:snapToGrid/>
        <w:spacing w:before="0" w:after="0" w:line="350" w:lineRule="exact"/>
        <w:textAlignment w:val="auto"/>
        <w:rPr>
          <w:rFonts w:hint="eastAsia" w:ascii="宋体" w:hAnsi="宋体" w:eastAsia="宋体" w:cs="宋体"/>
          <w:color w:val="auto"/>
          <w:sz w:val="28"/>
          <w:szCs w:val="28"/>
          <w:lang w:val="en-US" w:eastAsia="zh-CN"/>
        </w:rPr>
      </w:pPr>
      <w:bookmarkStart w:id="259" w:name="_Toc8579"/>
      <w:bookmarkStart w:id="260" w:name="_Toc29410"/>
      <w:bookmarkStart w:id="261" w:name="_Toc16694"/>
      <w:r>
        <w:rPr>
          <w:rFonts w:hint="eastAsia" w:ascii="宋体" w:hAnsi="宋体" w:eastAsia="宋体" w:cs="宋体"/>
          <w:color w:val="auto"/>
          <w:sz w:val="28"/>
          <w:szCs w:val="28"/>
          <w:lang w:val="en-US" w:eastAsia="zh-CN"/>
        </w:rPr>
        <w:t>3.</w:t>
      </w:r>
      <w:r>
        <w:rPr>
          <w:rFonts w:hint="eastAsia" w:ascii="宋体" w:hAnsi="宋体" w:cs="宋体"/>
          <w:color w:val="auto"/>
          <w:sz w:val="28"/>
          <w:szCs w:val="28"/>
          <w:lang w:val="en-US" w:eastAsia="zh-CN"/>
        </w:rPr>
        <w:t>3</w:t>
      </w:r>
      <w:r>
        <w:rPr>
          <w:rFonts w:hint="eastAsia" w:ascii="宋体" w:hAnsi="宋体" w:eastAsia="宋体" w:cs="宋体"/>
          <w:color w:val="auto"/>
          <w:sz w:val="28"/>
          <w:szCs w:val="28"/>
          <w:lang w:val="en-US" w:eastAsia="zh-CN"/>
        </w:rPr>
        <w:t>其他要求</w:t>
      </w:r>
      <w:bookmarkEnd w:id="259"/>
      <w:bookmarkEnd w:id="260"/>
      <w:bookmarkEnd w:id="261"/>
      <w:r>
        <w:rPr>
          <w:rFonts w:hint="eastAsia" w:ascii="宋体" w:hAnsi="宋体" w:eastAsia="宋体" w:cs="宋体"/>
          <w:color w:val="auto"/>
          <w:sz w:val="28"/>
          <w:szCs w:val="28"/>
          <w:lang w:val="en-US" w:eastAsia="zh-CN"/>
        </w:rPr>
        <w:t xml:space="preserve"> </w:t>
      </w:r>
    </w:p>
    <w:p w14:paraId="43D7EC87">
      <w:pPr>
        <w:pStyle w:val="37"/>
        <w:keepNext w:val="0"/>
        <w:keepLines w:val="0"/>
        <w:pageBreakBefore w:val="0"/>
        <w:widowControl w:val="0"/>
        <w:kinsoku/>
        <w:wordWrap w:val="0"/>
        <w:overflowPunct/>
        <w:topLinePunct w:val="0"/>
        <w:autoSpaceDE/>
        <w:autoSpaceDN/>
        <w:bidi w:val="0"/>
        <w:adjustRightInd/>
        <w:snapToGrid/>
        <w:spacing w:line="350" w:lineRule="exact"/>
        <w:ind w:firstLine="482"/>
        <w:textAlignment w:val="auto"/>
        <w:rPr>
          <w:rFonts w:hint="eastAsia" w:ascii="宋体" w:hAnsi="宋体" w:eastAsia="宋体"/>
          <w:snapToGrid w:val="0"/>
          <w:color w:val="auto"/>
          <w:sz w:val="24"/>
          <w:szCs w:val="24"/>
          <w:highlight w:val="none"/>
          <w:lang w:val="en-US" w:eastAsia="zh-CN"/>
        </w:rPr>
      </w:pPr>
      <w:bookmarkStart w:id="262" w:name="_Toc20507"/>
      <w:r>
        <w:rPr>
          <w:rFonts w:hint="eastAsia" w:ascii="宋体" w:hAnsi="宋体" w:eastAsia="宋体"/>
          <w:snapToGrid w:val="0"/>
          <w:color w:val="auto"/>
          <w:sz w:val="24"/>
          <w:szCs w:val="24"/>
          <w:highlight w:val="none"/>
          <w:lang w:val="en-US" w:eastAsia="zh-CN"/>
        </w:rPr>
        <w:t>1、</w:t>
      </w:r>
      <w:bookmarkEnd w:id="262"/>
      <w:r>
        <w:rPr>
          <w:rFonts w:hint="eastAsia" w:ascii="宋体" w:hAnsi="宋体" w:eastAsia="宋体"/>
          <w:snapToGrid w:val="0"/>
          <w:color w:val="auto"/>
          <w:sz w:val="24"/>
          <w:szCs w:val="24"/>
          <w:highlight w:val="none"/>
          <w:lang w:val="en-US" w:eastAsia="zh-CN"/>
        </w:rPr>
        <w:t>设备安装：供应方所供设备需有专业人员负责设备安装调试，保证各项性能达到使用标准。</w:t>
      </w:r>
    </w:p>
    <w:p w14:paraId="35061992">
      <w:pPr>
        <w:pStyle w:val="37"/>
        <w:keepNext w:val="0"/>
        <w:keepLines w:val="0"/>
        <w:pageBreakBefore w:val="0"/>
        <w:widowControl w:val="0"/>
        <w:kinsoku/>
        <w:wordWrap w:val="0"/>
        <w:overflowPunct/>
        <w:topLinePunct w:val="0"/>
        <w:autoSpaceDE/>
        <w:autoSpaceDN/>
        <w:bidi w:val="0"/>
        <w:adjustRightInd/>
        <w:snapToGrid/>
        <w:spacing w:line="350" w:lineRule="exact"/>
        <w:ind w:firstLine="482"/>
        <w:textAlignment w:val="auto"/>
        <w:rPr>
          <w:rFonts w:hint="eastAsia" w:ascii="宋体" w:hAnsi="宋体" w:eastAsia="宋体"/>
          <w:snapToGrid w:val="0"/>
          <w:color w:val="auto"/>
          <w:sz w:val="24"/>
          <w:szCs w:val="24"/>
          <w:highlight w:val="none"/>
          <w:lang w:val="en-US" w:eastAsia="zh-CN"/>
        </w:rPr>
      </w:pPr>
      <w:r>
        <w:rPr>
          <w:rFonts w:hint="eastAsia" w:ascii="宋体" w:hAnsi="宋体" w:eastAsia="宋体"/>
          <w:snapToGrid w:val="0"/>
          <w:color w:val="auto"/>
          <w:sz w:val="24"/>
          <w:szCs w:val="24"/>
          <w:highlight w:val="none"/>
          <w:lang w:val="en-US" w:eastAsia="zh-CN"/>
        </w:rPr>
        <w:t>2、实地现场培训，培训内容包括仪器的组装、换装、维护，操作示范讲解。</w:t>
      </w:r>
    </w:p>
    <w:p w14:paraId="77013342">
      <w:pPr>
        <w:pStyle w:val="37"/>
        <w:keepNext w:val="0"/>
        <w:keepLines w:val="0"/>
        <w:pageBreakBefore w:val="0"/>
        <w:widowControl w:val="0"/>
        <w:kinsoku/>
        <w:wordWrap w:val="0"/>
        <w:overflowPunct/>
        <w:topLinePunct w:val="0"/>
        <w:autoSpaceDE/>
        <w:autoSpaceDN/>
        <w:bidi w:val="0"/>
        <w:adjustRightInd/>
        <w:snapToGrid/>
        <w:spacing w:line="350" w:lineRule="exact"/>
        <w:ind w:firstLine="482"/>
        <w:textAlignment w:val="auto"/>
        <w:rPr>
          <w:rFonts w:hint="eastAsia" w:ascii="宋体" w:hAnsi="宋体" w:eastAsia="宋体"/>
          <w:snapToGrid w:val="0"/>
          <w:color w:val="auto"/>
          <w:sz w:val="24"/>
          <w:szCs w:val="24"/>
          <w:highlight w:val="none"/>
          <w:lang w:val="en-US" w:eastAsia="zh-CN"/>
        </w:rPr>
      </w:pPr>
      <w:r>
        <w:rPr>
          <w:rFonts w:hint="eastAsia" w:cs="宋体"/>
          <w:i w:val="0"/>
          <w:iCs w:val="0"/>
          <w:color w:val="auto"/>
          <w:kern w:val="0"/>
          <w:sz w:val="24"/>
          <w:szCs w:val="24"/>
          <w:u w:val="none"/>
          <w:lang w:val="en-US" w:eastAsia="zh-CN" w:bidi="ar"/>
        </w:rPr>
        <w:t>3、售后响应：</w:t>
      </w:r>
      <w:r>
        <w:rPr>
          <w:rFonts w:hint="eastAsia" w:ascii="宋体" w:hAnsi="宋体" w:eastAsia="宋体" w:cs="宋体"/>
          <w:i w:val="0"/>
          <w:iCs w:val="0"/>
          <w:color w:val="auto"/>
          <w:kern w:val="0"/>
          <w:sz w:val="24"/>
          <w:szCs w:val="24"/>
          <w:u w:val="none"/>
          <w:lang w:val="en-US" w:eastAsia="zh-CN" w:bidi="ar"/>
        </w:rPr>
        <w:t>提供7×24小时的响应服务，对于设备出现的任何问题，做到立即响应，</w:t>
      </w:r>
      <w:r>
        <w:rPr>
          <w:rFonts w:hint="eastAsia" w:cs="宋体"/>
          <w:i w:val="0"/>
          <w:iCs w:val="0"/>
          <w:color w:val="auto"/>
          <w:kern w:val="0"/>
          <w:sz w:val="24"/>
          <w:szCs w:val="24"/>
          <w:u w:val="none"/>
          <w:lang w:val="en-US" w:eastAsia="zh-CN" w:bidi="ar"/>
        </w:rPr>
        <w:t>尽快</w:t>
      </w:r>
      <w:r>
        <w:rPr>
          <w:rFonts w:hint="eastAsia" w:ascii="宋体" w:hAnsi="宋体" w:eastAsia="宋体" w:cs="宋体"/>
          <w:i w:val="0"/>
          <w:iCs w:val="0"/>
          <w:color w:val="auto"/>
          <w:kern w:val="0"/>
          <w:sz w:val="24"/>
          <w:szCs w:val="24"/>
          <w:u w:val="none"/>
          <w:lang w:val="en-US" w:eastAsia="zh-CN" w:bidi="ar"/>
        </w:rPr>
        <w:t>排查故障</w:t>
      </w:r>
      <w:r>
        <w:rPr>
          <w:rFonts w:hint="eastAsia" w:cs="宋体"/>
          <w:i w:val="0"/>
          <w:iCs w:val="0"/>
          <w:color w:val="auto"/>
          <w:kern w:val="0"/>
          <w:sz w:val="24"/>
          <w:szCs w:val="24"/>
          <w:u w:val="none"/>
          <w:lang w:val="en-US" w:eastAsia="zh-CN" w:bidi="ar"/>
        </w:rPr>
        <w:t>，保证采购人能正常使用。</w:t>
      </w:r>
      <w:bookmarkStart w:id="263" w:name="_Toc30205"/>
    </w:p>
    <w:p w14:paraId="59E81AE0">
      <w:pPr>
        <w:pStyle w:val="37"/>
        <w:keepNext w:val="0"/>
        <w:keepLines w:val="0"/>
        <w:pageBreakBefore w:val="0"/>
        <w:widowControl w:val="0"/>
        <w:kinsoku/>
        <w:wordWrap w:val="0"/>
        <w:overflowPunct/>
        <w:topLinePunct w:val="0"/>
        <w:autoSpaceDE/>
        <w:autoSpaceDN/>
        <w:bidi w:val="0"/>
        <w:adjustRightInd/>
        <w:snapToGrid/>
        <w:spacing w:line="350" w:lineRule="exact"/>
        <w:ind w:firstLine="482"/>
        <w:textAlignment w:val="auto"/>
        <w:rPr>
          <w:rFonts w:hint="eastAsia" w:ascii="宋体" w:hAnsi="宋体" w:eastAsia="宋体"/>
          <w:snapToGrid w:val="0"/>
          <w:color w:val="auto"/>
          <w:sz w:val="24"/>
          <w:szCs w:val="24"/>
          <w:highlight w:val="none"/>
          <w:lang w:val="en-US" w:eastAsia="zh-CN"/>
        </w:rPr>
      </w:pPr>
      <w:r>
        <w:rPr>
          <w:rFonts w:hint="eastAsia" w:ascii="宋体" w:hAnsi="宋体" w:eastAsia="宋体"/>
          <w:snapToGrid w:val="0"/>
          <w:color w:val="auto"/>
          <w:sz w:val="24"/>
          <w:szCs w:val="24"/>
          <w:highlight w:val="none"/>
          <w:lang w:val="en-US" w:eastAsia="zh-CN"/>
        </w:rPr>
        <w:t>注：如对本招标文件有任何疑问或要求澄清，请按本招标文件的规定时间内提出，否则视同理解和接受。</w:t>
      </w:r>
      <w:bookmarkEnd w:id="263"/>
    </w:p>
    <w:bookmarkEnd w:id="249"/>
    <w:bookmarkEnd w:id="250"/>
    <w:bookmarkEnd w:id="251"/>
    <w:p w14:paraId="4A93BF10">
      <w:pPr>
        <w:pageBreakBefore w:val="0"/>
        <w:kinsoku/>
        <w:overflowPunct/>
        <w:topLinePunct w:val="0"/>
        <w:autoSpaceDE/>
        <w:autoSpaceDN/>
        <w:bidi w:val="0"/>
        <w:adjustRightInd/>
        <w:snapToGrid/>
        <w:spacing w:line="320" w:lineRule="exact"/>
        <w:textAlignment w:val="auto"/>
        <w:rPr>
          <w:rFonts w:hint="eastAsia" w:ascii="宋体" w:hAnsi="宋体" w:eastAsia="宋体" w:cs="宋体"/>
          <w:b/>
          <w:bCs/>
          <w:color w:val="auto"/>
          <w:kern w:val="44"/>
          <w:sz w:val="36"/>
          <w:szCs w:val="36"/>
          <w:highlight w:val="none"/>
          <w:lang w:val="en-US" w:eastAsia="zh-CN" w:bidi="ar-SA"/>
        </w:rPr>
      </w:pPr>
      <w:bookmarkStart w:id="264" w:name="_Toc12528"/>
      <w:bookmarkStart w:id="265" w:name="_Toc163492892"/>
      <w:bookmarkStart w:id="266" w:name="_Toc155185895"/>
      <w:r>
        <w:rPr>
          <w:rFonts w:hint="eastAsia" w:ascii="宋体" w:hAnsi="宋体" w:eastAsia="宋体" w:cs="宋体"/>
          <w:b/>
          <w:bCs/>
          <w:color w:val="auto"/>
          <w:kern w:val="44"/>
          <w:sz w:val="36"/>
          <w:szCs w:val="36"/>
          <w:highlight w:val="none"/>
          <w:lang w:val="en-US" w:eastAsia="zh-CN" w:bidi="ar-SA"/>
        </w:rPr>
        <w:br w:type="page"/>
      </w:r>
    </w:p>
    <w:p w14:paraId="11B227F7">
      <w:pPr>
        <w:pStyle w:val="2"/>
        <w:keepNext/>
        <w:keepLines/>
        <w:pageBreakBefore w:val="0"/>
        <w:widowControl w:val="0"/>
        <w:numPr>
          <w:ilvl w:val="0"/>
          <w:numId w:val="0"/>
        </w:numPr>
        <w:kinsoku/>
        <w:wordWrap/>
        <w:overflowPunct/>
        <w:topLinePunct w:val="0"/>
        <w:autoSpaceDE/>
        <w:autoSpaceDN/>
        <w:bidi w:val="0"/>
        <w:adjustRightInd/>
        <w:snapToGrid/>
        <w:spacing w:before="100" w:after="100" w:line="480" w:lineRule="auto"/>
        <w:ind w:left="420" w:leftChars="0" w:hanging="420" w:firstLineChars="0"/>
        <w:textAlignment w:val="auto"/>
        <w:rPr>
          <w:rFonts w:hint="eastAsia" w:ascii="宋体" w:hAnsi="宋体" w:eastAsia="宋体" w:cs="宋体"/>
          <w:b/>
          <w:bCs/>
          <w:color w:val="auto"/>
          <w:kern w:val="44"/>
          <w:sz w:val="36"/>
          <w:szCs w:val="36"/>
          <w:highlight w:val="none"/>
          <w:lang w:val="en-US" w:eastAsia="zh-CN" w:bidi="ar-SA"/>
        </w:rPr>
      </w:pPr>
      <w:r>
        <w:rPr>
          <w:rFonts w:hint="eastAsia" w:ascii="宋体" w:hAnsi="宋体" w:eastAsia="宋体" w:cs="宋体"/>
          <w:b/>
          <w:bCs/>
          <w:color w:val="auto"/>
          <w:kern w:val="44"/>
          <w:sz w:val="36"/>
          <w:szCs w:val="36"/>
          <w:highlight w:val="none"/>
          <w:lang w:val="en-US" w:eastAsia="zh-CN" w:bidi="ar-SA"/>
        </w:rPr>
        <w:t>第四章 资格审查</w:t>
      </w:r>
      <w:bookmarkEnd w:id="264"/>
      <w:bookmarkEnd w:id="265"/>
      <w:bookmarkEnd w:id="266"/>
    </w:p>
    <w:p w14:paraId="2133133E">
      <w:pPr>
        <w:pStyle w:val="3"/>
        <w:keepNext/>
        <w:keepLines/>
        <w:pageBreakBefore w:val="0"/>
        <w:widowControl w:val="0"/>
        <w:numPr>
          <w:ilvl w:val="0"/>
          <w:numId w:val="0"/>
        </w:numPr>
        <w:kinsoku/>
        <w:wordWrap/>
        <w:overflowPunct/>
        <w:topLinePunct w:val="0"/>
        <w:autoSpaceDE/>
        <w:autoSpaceDN/>
        <w:bidi w:val="0"/>
        <w:adjustRightInd/>
        <w:snapToGrid/>
        <w:spacing w:before="60" w:after="60" w:line="360" w:lineRule="exact"/>
        <w:ind w:left="420" w:leftChars="0" w:hanging="420" w:firstLineChars="0"/>
        <w:textAlignment w:val="auto"/>
        <w:rPr>
          <w:rFonts w:hint="eastAsia"/>
          <w:color w:val="auto"/>
          <w:sz w:val="28"/>
          <w:szCs w:val="28"/>
          <w:highlight w:val="none"/>
          <w:lang w:val="zh-CN" w:eastAsia="zh-CN"/>
        </w:rPr>
      </w:pPr>
      <w:bookmarkStart w:id="267" w:name="_Toc27444"/>
      <w:r>
        <w:rPr>
          <w:rFonts w:hint="eastAsia"/>
          <w:color w:val="auto"/>
          <w:sz w:val="28"/>
          <w:szCs w:val="28"/>
          <w:highlight w:val="none"/>
          <w:lang w:val="en-US" w:eastAsia="zh-CN"/>
        </w:rPr>
        <w:t>一、资格审查程序</w:t>
      </w:r>
      <w:bookmarkEnd w:id="267"/>
      <w:r>
        <w:rPr>
          <w:rFonts w:hint="eastAsia"/>
          <w:color w:val="auto"/>
          <w:sz w:val="28"/>
          <w:szCs w:val="28"/>
          <w:highlight w:val="none"/>
          <w:lang w:val="en-US" w:eastAsia="zh-CN"/>
        </w:rPr>
        <w:t xml:space="preserve"> </w:t>
      </w:r>
    </w:p>
    <w:p w14:paraId="4E4090D3">
      <w:pPr>
        <w:pStyle w:val="37"/>
        <w:keepNext w:val="0"/>
        <w:keepLines w:val="0"/>
        <w:pageBreakBefore w:val="0"/>
        <w:widowControl w:val="0"/>
        <w:kinsoku/>
        <w:wordWrap w:val="0"/>
        <w:overflowPunct/>
        <w:topLinePunct w:val="0"/>
        <w:autoSpaceDE/>
        <w:autoSpaceDN/>
        <w:bidi w:val="0"/>
        <w:adjustRightInd/>
        <w:snapToGrid/>
        <w:spacing w:line="360" w:lineRule="exact"/>
        <w:ind w:firstLine="48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 开标结束后，采购人或采购代理机构将根据《资格审查要求》中的规定，对投标人进行资格审查，并形成资格审查结果。 </w:t>
      </w:r>
    </w:p>
    <w:p w14:paraId="62799CDE">
      <w:pPr>
        <w:pStyle w:val="37"/>
        <w:keepNext w:val="0"/>
        <w:keepLines w:val="0"/>
        <w:pageBreakBefore w:val="0"/>
        <w:widowControl w:val="0"/>
        <w:kinsoku/>
        <w:wordWrap w:val="0"/>
        <w:overflowPunct/>
        <w:topLinePunct w:val="0"/>
        <w:autoSpaceDE/>
        <w:autoSpaceDN/>
        <w:bidi w:val="0"/>
        <w:adjustRightInd/>
        <w:snapToGrid/>
        <w:spacing w:line="360" w:lineRule="exact"/>
        <w:ind w:firstLine="48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 投标人《资格证明文件》有任何一项不符合《资格审查要求》的，资格审查不合格，其</w:t>
      </w:r>
      <w:r>
        <w:rPr>
          <w:rFonts w:hint="eastAsia" w:ascii="宋体" w:hAnsi="宋体" w:eastAsia="宋体" w:cs="宋体"/>
          <w:b/>
          <w:bCs/>
          <w:color w:val="auto"/>
          <w:sz w:val="24"/>
          <w:szCs w:val="24"/>
          <w:highlight w:val="none"/>
          <w:lang w:val="en-US" w:eastAsia="zh-CN"/>
        </w:rPr>
        <w:t>投标无效</w:t>
      </w:r>
      <w:r>
        <w:rPr>
          <w:rFonts w:hint="eastAsia" w:ascii="宋体" w:hAnsi="宋体" w:eastAsia="宋体" w:cs="宋体"/>
          <w:color w:val="auto"/>
          <w:sz w:val="24"/>
          <w:szCs w:val="24"/>
          <w:highlight w:val="none"/>
          <w:lang w:val="en-US" w:eastAsia="zh-CN"/>
        </w:rPr>
        <w:t xml:space="preserve">。 </w:t>
      </w:r>
    </w:p>
    <w:p w14:paraId="37E914D8">
      <w:pPr>
        <w:pStyle w:val="37"/>
        <w:keepNext w:val="0"/>
        <w:keepLines w:val="0"/>
        <w:pageBreakBefore w:val="0"/>
        <w:widowControl w:val="0"/>
        <w:kinsoku/>
        <w:wordWrap w:val="0"/>
        <w:overflowPunct/>
        <w:topLinePunct w:val="0"/>
        <w:autoSpaceDE/>
        <w:autoSpaceDN/>
        <w:bidi w:val="0"/>
        <w:adjustRightInd/>
        <w:snapToGrid/>
        <w:spacing w:line="360" w:lineRule="exact"/>
        <w:ind w:firstLine="48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 资格审查合格的投标人不足 3 家的，不进行评标。 </w:t>
      </w:r>
    </w:p>
    <w:p w14:paraId="1720E868">
      <w:pPr>
        <w:pStyle w:val="3"/>
        <w:keepNext/>
        <w:keepLines/>
        <w:pageBreakBefore w:val="0"/>
        <w:widowControl w:val="0"/>
        <w:numPr>
          <w:ilvl w:val="0"/>
          <w:numId w:val="0"/>
        </w:numPr>
        <w:kinsoku/>
        <w:wordWrap/>
        <w:overflowPunct/>
        <w:topLinePunct w:val="0"/>
        <w:autoSpaceDE/>
        <w:autoSpaceDN/>
        <w:bidi w:val="0"/>
        <w:adjustRightInd/>
        <w:snapToGrid/>
        <w:spacing w:before="60" w:after="60" w:line="360" w:lineRule="auto"/>
        <w:ind w:left="420" w:leftChars="0" w:hanging="420" w:firstLineChars="0"/>
        <w:textAlignment w:val="auto"/>
        <w:rPr>
          <w:rFonts w:hint="eastAsia"/>
          <w:color w:val="auto"/>
          <w:sz w:val="28"/>
          <w:szCs w:val="28"/>
          <w:highlight w:val="none"/>
          <w:lang w:val="en-US" w:eastAsia="zh-CN"/>
        </w:rPr>
      </w:pPr>
      <w:bookmarkStart w:id="268" w:name="_Toc18050"/>
      <w:r>
        <w:rPr>
          <w:rFonts w:hint="eastAsia"/>
          <w:color w:val="auto"/>
          <w:sz w:val="28"/>
          <w:szCs w:val="28"/>
          <w:highlight w:val="none"/>
          <w:lang w:val="en-US" w:eastAsia="zh-CN"/>
        </w:rPr>
        <w:t>二、资格审查要求</w:t>
      </w:r>
      <w:bookmarkEnd w:id="268"/>
      <w:r>
        <w:rPr>
          <w:rFonts w:hint="eastAsia"/>
          <w:color w:val="auto"/>
          <w:sz w:val="28"/>
          <w:szCs w:val="28"/>
          <w:highlight w:val="none"/>
          <w:lang w:val="en-US" w:eastAsia="zh-CN"/>
        </w:rPr>
        <w:t xml:space="preserve"> </w:t>
      </w:r>
    </w:p>
    <w:tbl>
      <w:tblPr>
        <w:tblStyle w:val="30"/>
        <w:tblW w:w="564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108" w:type="dxa"/>
          <w:bottom w:w="57" w:type="dxa"/>
          <w:right w:w="108" w:type="dxa"/>
        </w:tblCellMar>
      </w:tblPr>
      <w:tblGrid>
        <w:gridCol w:w="604"/>
        <w:gridCol w:w="2330"/>
        <w:gridCol w:w="5286"/>
        <w:gridCol w:w="1400"/>
      </w:tblGrid>
      <w:tr w14:paraId="4C40C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604" w:type="dxa"/>
            <w:shd w:val="clear" w:color="auto" w:fill="D8D8D8" w:themeFill="background1" w:themeFillShade="D9"/>
            <w:vAlign w:val="center"/>
          </w:tcPr>
          <w:p w14:paraId="31F150F3">
            <w:pPr>
              <w:pStyle w:val="49"/>
              <w:keepNext w:val="0"/>
              <w:keepLines w:val="0"/>
              <w:pageBreakBefore w:val="0"/>
              <w:kinsoku/>
              <w:overflowPunct/>
              <w:topLinePunct w:val="0"/>
              <w:autoSpaceDE/>
              <w:autoSpaceDN/>
              <w:bidi w:val="0"/>
              <w:adjustRightInd/>
              <w:snapToGrid/>
              <w:spacing w:line="260" w:lineRule="exact"/>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i w:val="0"/>
                <w:iCs w:val="0"/>
                <w:color w:val="auto"/>
                <w:sz w:val="24"/>
                <w:szCs w:val="24"/>
                <w:highlight w:val="none"/>
              </w:rPr>
              <w:t>序号</w:t>
            </w:r>
          </w:p>
        </w:tc>
        <w:tc>
          <w:tcPr>
            <w:tcW w:w="2330" w:type="dxa"/>
            <w:shd w:val="clear" w:color="auto" w:fill="D8D8D8" w:themeFill="background1" w:themeFillShade="D9"/>
            <w:vAlign w:val="center"/>
          </w:tcPr>
          <w:p w14:paraId="29694278">
            <w:pPr>
              <w:pStyle w:val="49"/>
              <w:keepNext w:val="0"/>
              <w:keepLines w:val="0"/>
              <w:pageBreakBefore w:val="0"/>
              <w:kinsoku/>
              <w:overflowPunct/>
              <w:topLinePunct w:val="0"/>
              <w:autoSpaceDE/>
              <w:autoSpaceDN/>
              <w:bidi w:val="0"/>
              <w:adjustRightInd/>
              <w:snapToGrid/>
              <w:spacing w:line="260" w:lineRule="exact"/>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i w:val="0"/>
                <w:iCs w:val="0"/>
                <w:color w:val="auto"/>
                <w:sz w:val="24"/>
                <w:szCs w:val="24"/>
                <w:highlight w:val="none"/>
                <w:lang w:val="en-US" w:eastAsia="zh-CN"/>
              </w:rPr>
              <w:t>审查因素</w:t>
            </w:r>
          </w:p>
        </w:tc>
        <w:tc>
          <w:tcPr>
            <w:tcW w:w="5286" w:type="dxa"/>
            <w:shd w:val="clear" w:color="auto" w:fill="D8D8D8" w:themeFill="background1" w:themeFillShade="D9"/>
            <w:vAlign w:val="center"/>
          </w:tcPr>
          <w:p w14:paraId="635BC09B">
            <w:pPr>
              <w:pStyle w:val="49"/>
              <w:keepNext w:val="0"/>
              <w:keepLines w:val="0"/>
              <w:pageBreakBefore w:val="0"/>
              <w:kinsoku/>
              <w:overflowPunct/>
              <w:topLinePunct w:val="0"/>
              <w:autoSpaceDE/>
              <w:autoSpaceDN/>
              <w:bidi w:val="0"/>
              <w:adjustRightInd/>
              <w:snapToGrid/>
              <w:spacing w:line="260" w:lineRule="exact"/>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i w:val="0"/>
                <w:iCs w:val="0"/>
                <w:color w:val="auto"/>
                <w:sz w:val="24"/>
                <w:szCs w:val="24"/>
                <w:highlight w:val="none"/>
              </w:rPr>
              <w:t>审查内容</w:t>
            </w:r>
          </w:p>
        </w:tc>
        <w:tc>
          <w:tcPr>
            <w:tcW w:w="1400" w:type="dxa"/>
            <w:shd w:val="clear" w:color="auto" w:fill="D8D8D8" w:themeFill="background1" w:themeFillShade="D9"/>
            <w:vAlign w:val="center"/>
          </w:tcPr>
          <w:p w14:paraId="6075A15A">
            <w:pPr>
              <w:pStyle w:val="49"/>
              <w:keepNext w:val="0"/>
              <w:keepLines w:val="0"/>
              <w:pageBreakBefore w:val="0"/>
              <w:kinsoku/>
              <w:overflowPunct/>
              <w:topLinePunct w:val="0"/>
              <w:autoSpaceDE/>
              <w:autoSpaceDN/>
              <w:bidi w:val="0"/>
              <w:adjustRightInd/>
              <w:snapToGrid/>
              <w:spacing w:line="260" w:lineRule="exact"/>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i w:val="0"/>
                <w:iCs w:val="0"/>
                <w:color w:val="auto"/>
                <w:sz w:val="24"/>
                <w:szCs w:val="24"/>
                <w:highlight w:val="none"/>
                <w:lang w:val="en-US" w:eastAsia="zh-CN"/>
              </w:rPr>
              <w:t>格式要求</w:t>
            </w:r>
          </w:p>
        </w:tc>
      </w:tr>
      <w:tr w14:paraId="69698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680" w:hRule="atLeast"/>
          <w:jc w:val="center"/>
        </w:trPr>
        <w:tc>
          <w:tcPr>
            <w:tcW w:w="604" w:type="dxa"/>
            <w:shd w:val="clear" w:color="auto" w:fill="FFFFFF" w:themeFill="background1"/>
            <w:vAlign w:val="center"/>
          </w:tcPr>
          <w:p w14:paraId="636EB3B4">
            <w:pPr>
              <w:pStyle w:val="49"/>
              <w:keepNext w:val="0"/>
              <w:keepLines w:val="0"/>
              <w:pageBreakBefore w:val="0"/>
              <w:kinsoku/>
              <w:overflowPunct/>
              <w:topLinePunct w:val="0"/>
              <w:autoSpaceDE/>
              <w:autoSpaceDN/>
              <w:bidi w:val="0"/>
              <w:adjustRightInd/>
              <w:snapToGrid/>
              <w:spacing w:line="260" w:lineRule="exact"/>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i w:val="0"/>
                <w:iCs w:val="0"/>
                <w:color w:val="auto"/>
                <w:sz w:val="24"/>
                <w:szCs w:val="24"/>
                <w:highlight w:val="none"/>
                <w:lang w:val="en-US" w:eastAsia="zh-CN"/>
              </w:rPr>
              <w:t>1</w:t>
            </w:r>
          </w:p>
        </w:tc>
        <w:tc>
          <w:tcPr>
            <w:tcW w:w="2330" w:type="dxa"/>
            <w:shd w:val="clear" w:color="auto" w:fill="FFFFFF" w:themeFill="background1"/>
            <w:vAlign w:val="center"/>
          </w:tcPr>
          <w:p w14:paraId="4DBD5590">
            <w:pPr>
              <w:pStyle w:val="49"/>
              <w:keepNext w:val="0"/>
              <w:keepLines w:val="0"/>
              <w:pageBreakBefore w:val="0"/>
              <w:kinsoku/>
              <w:overflowPunct/>
              <w:topLinePunct w:val="0"/>
              <w:autoSpaceDE/>
              <w:autoSpaceDN/>
              <w:bidi w:val="0"/>
              <w:adjustRightInd/>
              <w:snapToGrid/>
              <w:spacing w:line="2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i w:val="0"/>
                <w:iCs w:val="0"/>
                <w:color w:val="auto"/>
                <w:sz w:val="24"/>
                <w:szCs w:val="24"/>
                <w:highlight w:val="none"/>
                <w:lang w:val="en-US" w:eastAsia="zh-CN"/>
              </w:rPr>
              <w:t>满足《政府采购法》第二十二条规定</w:t>
            </w:r>
          </w:p>
        </w:tc>
        <w:tc>
          <w:tcPr>
            <w:tcW w:w="5286" w:type="dxa"/>
            <w:shd w:val="clear" w:color="auto" w:fill="FFFFFF" w:themeFill="background1"/>
            <w:vAlign w:val="center"/>
          </w:tcPr>
          <w:p w14:paraId="215E0855">
            <w:pPr>
              <w:pStyle w:val="49"/>
              <w:keepNext w:val="0"/>
              <w:keepLines w:val="0"/>
              <w:pageBreakBefore w:val="0"/>
              <w:kinsoku/>
              <w:overflowPunct/>
              <w:topLinePunct w:val="0"/>
              <w:autoSpaceDE/>
              <w:autoSpaceDN/>
              <w:bidi w:val="0"/>
              <w:adjustRightInd/>
              <w:snapToGrid/>
              <w:spacing w:line="26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 xml:space="preserve">具体规定见“第一章 </w:t>
            </w:r>
            <w:r>
              <w:rPr>
                <w:rFonts w:hint="eastAsia" w:cs="宋体"/>
                <w:i w:val="0"/>
                <w:iCs w:val="0"/>
                <w:color w:val="auto"/>
                <w:sz w:val="24"/>
                <w:szCs w:val="24"/>
                <w:highlight w:val="none"/>
                <w:lang w:val="en-US" w:eastAsia="zh-CN"/>
              </w:rPr>
              <w:t>招标</w:t>
            </w:r>
            <w:r>
              <w:rPr>
                <w:rFonts w:hint="eastAsia" w:ascii="宋体" w:hAnsi="宋体" w:eastAsia="宋体" w:cs="宋体"/>
                <w:i w:val="0"/>
                <w:iCs w:val="0"/>
                <w:color w:val="auto"/>
                <w:sz w:val="24"/>
                <w:szCs w:val="24"/>
                <w:highlight w:val="none"/>
                <w:lang w:val="en-US" w:eastAsia="zh-CN"/>
              </w:rPr>
              <w:t>公告”</w:t>
            </w:r>
          </w:p>
        </w:tc>
        <w:tc>
          <w:tcPr>
            <w:tcW w:w="1400" w:type="dxa"/>
            <w:shd w:val="clear" w:color="auto" w:fill="FFFFFF" w:themeFill="background1"/>
            <w:vAlign w:val="center"/>
          </w:tcPr>
          <w:p w14:paraId="24AF5599">
            <w:pPr>
              <w:pStyle w:val="49"/>
              <w:keepNext w:val="0"/>
              <w:keepLines w:val="0"/>
              <w:pageBreakBefore w:val="0"/>
              <w:kinsoku/>
              <w:overflowPunct/>
              <w:topLinePunct w:val="0"/>
              <w:autoSpaceDE/>
              <w:autoSpaceDN/>
              <w:bidi w:val="0"/>
              <w:adjustRightInd/>
              <w:snapToGrid/>
              <w:spacing w:line="260" w:lineRule="exact"/>
              <w:jc w:val="center"/>
              <w:textAlignment w:val="auto"/>
              <w:rPr>
                <w:rFonts w:hint="eastAsia" w:ascii="宋体" w:hAnsi="宋体" w:eastAsia="宋体" w:cs="宋体"/>
                <w:b/>
                <w:bCs/>
                <w:color w:val="auto"/>
                <w:sz w:val="24"/>
                <w:szCs w:val="24"/>
                <w:highlight w:val="none"/>
              </w:rPr>
            </w:pPr>
          </w:p>
        </w:tc>
      </w:tr>
      <w:tr w14:paraId="26E76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604" w:type="dxa"/>
            <w:shd w:val="clear" w:color="auto" w:fill="FFFFFF" w:themeFill="background1"/>
            <w:vAlign w:val="center"/>
          </w:tcPr>
          <w:p w14:paraId="1AF8CF7F">
            <w:pPr>
              <w:pStyle w:val="49"/>
              <w:keepNext w:val="0"/>
              <w:keepLines w:val="0"/>
              <w:pageBreakBefore w:val="0"/>
              <w:kinsoku/>
              <w:overflowPunct/>
              <w:topLinePunct w:val="0"/>
              <w:autoSpaceDE/>
              <w:autoSpaceDN/>
              <w:bidi w:val="0"/>
              <w:adjustRightInd/>
              <w:snapToGrid/>
              <w:spacing w:line="260" w:lineRule="exact"/>
              <w:jc w:val="center"/>
              <w:textAlignment w:val="auto"/>
              <w:rPr>
                <w:rFonts w:hint="eastAsia" w:ascii="宋体" w:hAnsi="宋体" w:eastAsia="宋体" w:cs="宋体"/>
                <w:b/>
                <w:bCs/>
                <w:color w:val="auto"/>
                <w:sz w:val="24"/>
                <w:szCs w:val="24"/>
                <w:highlight w:val="none"/>
                <w:lang w:val="en-US" w:eastAsia="zh-CN"/>
              </w:rPr>
            </w:pPr>
            <w:r>
              <w:rPr>
                <w:rFonts w:hint="eastAsia" w:cs="宋体"/>
                <w:b/>
                <w:bCs/>
                <w:i w:val="0"/>
                <w:iCs w:val="0"/>
                <w:color w:val="auto"/>
                <w:sz w:val="24"/>
                <w:szCs w:val="24"/>
                <w:highlight w:val="none"/>
                <w:lang w:val="en-US" w:eastAsia="zh-CN"/>
              </w:rPr>
              <w:t>2</w:t>
            </w:r>
          </w:p>
        </w:tc>
        <w:tc>
          <w:tcPr>
            <w:tcW w:w="2330" w:type="dxa"/>
            <w:shd w:val="clear" w:color="auto" w:fill="FFFFFF" w:themeFill="background1"/>
            <w:vAlign w:val="center"/>
          </w:tcPr>
          <w:p w14:paraId="055CD5DC">
            <w:pPr>
              <w:pStyle w:val="49"/>
              <w:keepNext w:val="0"/>
              <w:keepLines w:val="0"/>
              <w:pageBreakBefore w:val="0"/>
              <w:kinsoku/>
              <w:overflowPunct/>
              <w:topLinePunct w:val="0"/>
              <w:autoSpaceDE/>
              <w:autoSpaceDN/>
              <w:bidi w:val="0"/>
              <w:adjustRightInd/>
              <w:snapToGrid/>
              <w:spacing w:line="26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营业执照等证明文件</w:t>
            </w:r>
          </w:p>
        </w:tc>
        <w:tc>
          <w:tcPr>
            <w:tcW w:w="5286" w:type="dxa"/>
            <w:shd w:val="clear" w:color="auto" w:fill="FFFFFF" w:themeFill="background1"/>
            <w:vAlign w:val="center"/>
          </w:tcPr>
          <w:p w14:paraId="13A26FEA">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auto"/>
              <w:rPr>
                <w:rFonts w:hint="eastAsia" w:ascii="宋体" w:hAnsi="宋体" w:eastAsia="宋体" w:cs="宋体"/>
                <w:i w:val="0"/>
                <w:iCs w:val="0"/>
                <w:color w:val="auto"/>
                <w:spacing w:val="-6"/>
                <w:sz w:val="24"/>
                <w:szCs w:val="24"/>
                <w:highlight w:val="none"/>
              </w:rPr>
            </w:pPr>
            <w:r>
              <w:rPr>
                <w:rFonts w:hint="eastAsia" w:cs="宋体"/>
                <w:i w:val="0"/>
                <w:iCs w:val="0"/>
                <w:color w:val="auto"/>
                <w:spacing w:val="-6"/>
                <w:kern w:val="0"/>
                <w:sz w:val="24"/>
                <w:szCs w:val="24"/>
                <w:highlight w:val="none"/>
                <w:lang w:val="en-US" w:eastAsia="zh-CN" w:bidi="ar"/>
              </w:rPr>
              <w:t>投标人</w:t>
            </w:r>
            <w:r>
              <w:rPr>
                <w:rFonts w:hint="eastAsia" w:ascii="宋体" w:hAnsi="宋体" w:eastAsia="宋体" w:cs="宋体"/>
                <w:i w:val="0"/>
                <w:iCs w:val="0"/>
                <w:color w:val="auto"/>
                <w:spacing w:val="-6"/>
                <w:kern w:val="0"/>
                <w:sz w:val="24"/>
                <w:szCs w:val="24"/>
                <w:highlight w:val="none"/>
                <w:lang w:val="en-US" w:eastAsia="zh-CN" w:bidi="ar"/>
              </w:rPr>
              <w:t xml:space="preserve">为企业（包括合伙企业）的，应提供有效的“营业执照”； </w:t>
            </w:r>
          </w:p>
          <w:p w14:paraId="70D3A10D">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auto"/>
              <w:rPr>
                <w:rFonts w:hint="eastAsia" w:ascii="宋体" w:hAnsi="宋体" w:eastAsia="宋体" w:cs="宋体"/>
                <w:i w:val="0"/>
                <w:iCs w:val="0"/>
                <w:color w:val="auto"/>
                <w:spacing w:val="-6"/>
                <w:sz w:val="24"/>
                <w:szCs w:val="24"/>
                <w:highlight w:val="none"/>
              </w:rPr>
            </w:pPr>
            <w:r>
              <w:rPr>
                <w:rFonts w:hint="eastAsia" w:cs="宋体"/>
                <w:i w:val="0"/>
                <w:iCs w:val="0"/>
                <w:color w:val="auto"/>
                <w:spacing w:val="-6"/>
                <w:kern w:val="0"/>
                <w:sz w:val="24"/>
                <w:szCs w:val="24"/>
                <w:highlight w:val="none"/>
                <w:lang w:val="en-US" w:eastAsia="zh-CN" w:bidi="ar"/>
              </w:rPr>
              <w:t>投标人</w:t>
            </w:r>
            <w:r>
              <w:rPr>
                <w:rFonts w:hint="eastAsia" w:ascii="宋体" w:hAnsi="宋体" w:eastAsia="宋体" w:cs="宋体"/>
                <w:i w:val="0"/>
                <w:iCs w:val="0"/>
                <w:color w:val="auto"/>
                <w:spacing w:val="-6"/>
                <w:kern w:val="0"/>
                <w:sz w:val="24"/>
                <w:szCs w:val="24"/>
                <w:highlight w:val="none"/>
                <w:lang w:val="en-US" w:eastAsia="zh-CN" w:bidi="ar"/>
              </w:rPr>
              <w:t xml:space="preserve">为事业单位的，应提供有效的“事业单位法人证书”； </w:t>
            </w:r>
          </w:p>
          <w:p w14:paraId="2537DF0A">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auto"/>
              <w:rPr>
                <w:rFonts w:hint="eastAsia" w:ascii="宋体" w:hAnsi="宋体" w:eastAsia="宋体" w:cs="宋体"/>
                <w:i w:val="0"/>
                <w:iCs w:val="0"/>
                <w:color w:val="auto"/>
                <w:spacing w:val="-6"/>
                <w:sz w:val="24"/>
                <w:szCs w:val="24"/>
                <w:highlight w:val="none"/>
              </w:rPr>
            </w:pPr>
            <w:r>
              <w:rPr>
                <w:rFonts w:hint="eastAsia" w:cs="宋体"/>
                <w:i w:val="0"/>
                <w:iCs w:val="0"/>
                <w:color w:val="auto"/>
                <w:spacing w:val="-6"/>
                <w:kern w:val="0"/>
                <w:sz w:val="24"/>
                <w:szCs w:val="24"/>
                <w:highlight w:val="none"/>
                <w:lang w:val="en-US" w:eastAsia="zh-CN" w:bidi="ar"/>
              </w:rPr>
              <w:t>投标人</w:t>
            </w:r>
            <w:r>
              <w:rPr>
                <w:rFonts w:hint="eastAsia" w:ascii="宋体" w:hAnsi="宋体" w:eastAsia="宋体" w:cs="宋体"/>
                <w:i w:val="0"/>
                <w:iCs w:val="0"/>
                <w:color w:val="auto"/>
                <w:spacing w:val="-6"/>
                <w:kern w:val="0"/>
                <w:sz w:val="24"/>
                <w:szCs w:val="24"/>
                <w:highlight w:val="none"/>
                <w:lang w:val="en-US" w:eastAsia="zh-CN" w:bidi="ar"/>
              </w:rPr>
              <w:t>是非企业机构的，应提供有效的“执业许可证”、“登记证书”等证明文件</w:t>
            </w:r>
            <w:r>
              <w:rPr>
                <w:rFonts w:hint="eastAsia" w:cs="宋体"/>
                <w:i w:val="0"/>
                <w:iCs w:val="0"/>
                <w:color w:val="auto"/>
                <w:spacing w:val="-6"/>
                <w:kern w:val="0"/>
                <w:sz w:val="24"/>
                <w:szCs w:val="24"/>
                <w:highlight w:val="none"/>
                <w:lang w:val="en-US" w:eastAsia="zh-CN" w:bidi="ar"/>
              </w:rPr>
              <w:t>；</w:t>
            </w:r>
            <w:r>
              <w:rPr>
                <w:rFonts w:hint="eastAsia" w:ascii="宋体" w:hAnsi="宋体" w:eastAsia="宋体" w:cs="宋体"/>
                <w:i w:val="0"/>
                <w:iCs w:val="0"/>
                <w:color w:val="auto"/>
                <w:spacing w:val="-6"/>
                <w:kern w:val="0"/>
                <w:sz w:val="24"/>
                <w:szCs w:val="24"/>
                <w:highlight w:val="none"/>
                <w:lang w:val="en-US" w:eastAsia="zh-CN" w:bidi="ar"/>
              </w:rPr>
              <w:t xml:space="preserve"> </w:t>
            </w:r>
          </w:p>
          <w:p w14:paraId="191EBB6D">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auto"/>
              <w:rPr>
                <w:rFonts w:hint="eastAsia" w:ascii="宋体" w:hAnsi="宋体" w:eastAsia="宋体" w:cs="宋体"/>
                <w:i w:val="0"/>
                <w:iCs w:val="0"/>
                <w:color w:val="auto"/>
                <w:spacing w:val="-6"/>
                <w:sz w:val="24"/>
                <w:szCs w:val="24"/>
                <w:highlight w:val="none"/>
              </w:rPr>
            </w:pPr>
            <w:r>
              <w:rPr>
                <w:rFonts w:hint="eastAsia" w:cs="宋体"/>
                <w:i w:val="0"/>
                <w:iCs w:val="0"/>
                <w:color w:val="auto"/>
                <w:spacing w:val="-6"/>
                <w:kern w:val="0"/>
                <w:sz w:val="24"/>
                <w:szCs w:val="24"/>
                <w:highlight w:val="none"/>
                <w:lang w:val="en-US" w:eastAsia="zh-CN" w:bidi="ar"/>
              </w:rPr>
              <w:t>投标人</w:t>
            </w:r>
            <w:r>
              <w:rPr>
                <w:rFonts w:hint="eastAsia" w:ascii="宋体" w:hAnsi="宋体" w:eastAsia="宋体" w:cs="宋体"/>
                <w:i w:val="0"/>
                <w:iCs w:val="0"/>
                <w:color w:val="auto"/>
                <w:spacing w:val="-6"/>
                <w:kern w:val="0"/>
                <w:sz w:val="24"/>
                <w:szCs w:val="24"/>
                <w:highlight w:val="none"/>
                <w:lang w:val="en-US" w:eastAsia="zh-CN" w:bidi="ar"/>
              </w:rPr>
              <w:t xml:space="preserve">是个体工商户的，应提供有效的“个体工商户营业执照”； </w:t>
            </w:r>
          </w:p>
          <w:p w14:paraId="636BAFAB">
            <w:pPr>
              <w:pStyle w:val="49"/>
              <w:keepNext w:val="0"/>
              <w:keepLines w:val="0"/>
              <w:pageBreakBefore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auto"/>
                <w:spacing w:val="-6"/>
                <w:sz w:val="24"/>
                <w:szCs w:val="24"/>
                <w:highlight w:val="none"/>
                <w:lang w:val="en-US" w:eastAsia="zh-CN"/>
              </w:rPr>
            </w:pPr>
            <w:r>
              <w:rPr>
                <w:rFonts w:hint="eastAsia" w:cs="宋体"/>
                <w:i w:val="0"/>
                <w:iCs w:val="0"/>
                <w:color w:val="auto"/>
                <w:spacing w:val="-6"/>
                <w:kern w:val="0"/>
                <w:sz w:val="24"/>
                <w:szCs w:val="24"/>
                <w:highlight w:val="none"/>
                <w:lang w:val="en-US" w:eastAsia="zh-CN" w:bidi="ar"/>
              </w:rPr>
              <w:t>投标人</w:t>
            </w:r>
            <w:r>
              <w:rPr>
                <w:rFonts w:hint="eastAsia" w:ascii="宋体" w:hAnsi="宋体" w:eastAsia="宋体" w:cs="宋体"/>
                <w:i w:val="0"/>
                <w:iCs w:val="0"/>
                <w:color w:val="auto"/>
                <w:spacing w:val="-11"/>
                <w:kern w:val="0"/>
                <w:sz w:val="24"/>
                <w:szCs w:val="24"/>
                <w:highlight w:val="none"/>
                <w:lang w:val="en-US" w:eastAsia="zh-CN" w:bidi="ar"/>
              </w:rPr>
              <w:t>是自然人的</w:t>
            </w:r>
            <w:r>
              <w:rPr>
                <w:rFonts w:hint="eastAsia" w:cs="宋体"/>
                <w:i w:val="0"/>
                <w:iCs w:val="0"/>
                <w:color w:val="auto"/>
                <w:spacing w:val="-11"/>
                <w:kern w:val="0"/>
                <w:sz w:val="24"/>
                <w:szCs w:val="24"/>
                <w:highlight w:val="none"/>
                <w:lang w:val="en-US" w:eastAsia="zh-CN" w:bidi="ar"/>
              </w:rPr>
              <w:t>，</w:t>
            </w:r>
            <w:r>
              <w:rPr>
                <w:rFonts w:hint="eastAsia" w:ascii="宋体" w:hAnsi="宋体" w:eastAsia="宋体" w:cs="宋体"/>
                <w:i w:val="0"/>
                <w:iCs w:val="0"/>
                <w:color w:val="auto"/>
                <w:spacing w:val="-11"/>
                <w:kern w:val="0"/>
                <w:sz w:val="24"/>
                <w:szCs w:val="24"/>
                <w:highlight w:val="none"/>
                <w:lang w:val="en-US" w:eastAsia="zh-CN" w:bidi="ar"/>
              </w:rPr>
              <w:t>应提供有效的自然人身份证明。</w:t>
            </w:r>
          </w:p>
        </w:tc>
        <w:tc>
          <w:tcPr>
            <w:tcW w:w="1400" w:type="dxa"/>
            <w:shd w:val="clear" w:color="auto" w:fill="FFFFFF" w:themeFill="background1"/>
            <w:vAlign w:val="center"/>
          </w:tcPr>
          <w:p w14:paraId="60CD4B85">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lang w:val="en-US" w:eastAsia="zh-CN" w:bidi="ar"/>
              </w:rPr>
              <w:t>提供证明文件的电子件或电子证照</w:t>
            </w:r>
          </w:p>
        </w:tc>
      </w:tr>
      <w:tr w14:paraId="5270D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604" w:type="dxa"/>
            <w:shd w:val="clear" w:color="auto" w:fill="FFFFFF" w:themeFill="background1"/>
            <w:vAlign w:val="center"/>
          </w:tcPr>
          <w:p w14:paraId="124E7CC2">
            <w:pPr>
              <w:pStyle w:val="49"/>
              <w:keepNext w:val="0"/>
              <w:keepLines w:val="0"/>
              <w:pageBreakBefore w:val="0"/>
              <w:kinsoku/>
              <w:overflowPunct/>
              <w:topLinePunct w:val="0"/>
              <w:autoSpaceDE/>
              <w:autoSpaceDN/>
              <w:bidi w:val="0"/>
              <w:adjustRightInd/>
              <w:snapToGrid/>
              <w:spacing w:line="260" w:lineRule="exact"/>
              <w:jc w:val="center"/>
              <w:textAlignment w:val="auto"/>
              <w:rPr>
                <w:rFonts w:hint="eastAsia" w:ascii="宋体" w:hAnsi="宋体" w:eastAsia="宋体" w:cs="宋体"/>
                <w:b/>
                <w:bCs/>
                <w:color w:val="auto"/>
                <w:sz w:val="24"/>
                <w:szCs w:val="24"/>
                <w:highlight w:val="none"/>
                <w:lang w:val="en-US" w:eastAsia="zh-CN"/>
              </w:rPr>
            </w:pPr>
            <w:r>
              <w:rPr>
                <w:rFonts w:hint="eastAsia" w:cs="宋体"/>
                <w:b/>
                <w:bCs/>
                <w:i w:val="0"/>
                <w:iCs w:val="0"/>
                <w:color w:val="auto"/>
                <w:sz w:val="24"/>
                <w:szCs w:val="24"/>
                <w:highlight w:val="none"/>
                <w:lang w:val="en-US" w:eastAsia="zh-CN"/>
              </w:rPr>
              <w:t>3</w:t>
            </w:r>
          </w:p>
        </w:tc>
        <w:tc>
          <w:tcPr>
            <w:tcW w:w="2330" w:type="dxa"/>
            <w:shd w:val="clear" w:color="auto" w:fill="FFFFFF" w:themeFill="background1"/>
            <w:vAlign w:val="center"/>
          </w:tcPr>
          <w:p w14:paraId="314CB70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sz w:val="24"/>
                <w:szCs w:val="24"/>
                <w:highlight w:val="none"/>
                <w:lang w:val="en-US" w:eastAsia="zh-CN"/>
              </w:rPr>
            </w:pPr>
            <w:r>
              <w:rPr>
                <w:rFonts w:hint="eastAsia" w:cs="宋体"/>
                <w:i w:val="0"/>
                <w:iCs w:val="0"/>
                <w:color w:val="auto"/>
                <w:spacing w:val="-6"/>
                <w:kern w:val="0"/>
                <w:sz w:val="24"/>
                <w:szCs w:val="24"/>
                <w:highlight w:val="none"/>
                <w:lang w:val="en-US" w:eastAsia="zh-CN" w:bidi="ar"/>
              </w:rPr>
              <w:t>投标人</w:t>
            </w:r>
            <w:r>
              <w:rPr>
                <w:rFonts w:hint="eastAsia" w:ascii="宋体" w:hAnsi="宋体" w:eastAsia="宋体" w:cs="宋体"/>
                <w:i w:val="0"/>
                <w:iCs w:val="0"/>
                <w:color w:val="auto"/>
                <w:spacing w:val="-6"/>
                <w:kern w:val="0"/>
                <w:sz w:val="24"/>
                <w:szCs w:val="24"/>
                <w:highlight w:val="none"/>
                <w:lang w:val="en-US" w:eastAsia="zh-CN" w:bidi="ar"/>
              </w:rPr>
              <w:t>信用承诺</w:t>
            </w:r>
          </w:p>
        </w:tc>
        <w:tc>
          <w:tcPr>
            <w:tcW w:w="5286" w:type="dxa"/>
            <w:shd w:val="clear" w:color="auto" w:fill="FFFFFF" w:themeFill="background1"/>
            <w:vAlign w:val="center"/>
          </w:tcPr>
          <w:p w14:paraId="5D3891FC">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spacing w:val="-11"/>
                <w:kern w:val="0"/>
                <w:sz w:val="24"/>
                <w:szCs w:val="24"/>
                <w:highlight w:val="none"/>
                <w:lang w:val="en-US" w:eastAsia="zh-CN" w:bidi="ar"/>
              </w:rPr>
            </w:pPr>
            <w:r>
              <w:rPr>
                <w:rFonts w:hint="eastAsia" w:ascii="宋体" w:hAnsi="宋体" w:eastAsia="宋体" w:cs="宋体"/>
                <w:i w:val="0"/>
                <w:iCs w:val="0"/>
                <w:color w:val="auto"/>
                <w:spacing w:val="-6"/>
                <w:kern w:val="0"/>
                <w:sz w:val="24"/>
                <w:szCs w:val="24"/>
                <w:highlight w:val="none"/>
                <w:lang w:val="en-US" w:eastAsia="zh-CN" w:bidi="ar"/>
              </w:rPr>
              <w:t>提供了符合竞争性</w:t>
            </w:r>
            <w:r>
              <w:rPr>
                <w:rFonts w:hint="eastAsia" w:cs="宋体"/>
                <w:i w:val="0"/>
                <w:iCs w:val="0"/>
                <w:color w:val="auto"/>
                <w:spacing w:val="-6"/>
                <w:kern w:val="0"/>
                <w:sz w:val="24"/>
                <w:szCs w:val="24"/>
                <w:highlight w:val="none"/>
                <w:lang w:val="en-US" w:eastAsia="zh-CN" w:bidi="ar"/>
              </w:rPr>
              <w:t>招标</w:t>
            </w:r>
            <w:r>
              <w:rPr>
                <w:rFonts w:hint="eastAsia" w:ascii="宋体" w:hAnsi="宋体" w:eastAsia="宋体" w:cs="宋体"/>
                <w:i w:val="0"/>
                <w:iCs w:val="0"/>
                <w:color w:val="auto"/>
                <w:spacing w:val="-6"/>
                <w:kern w:val="0"/>
                <w:sz w:val="24"/>
                <w:szCs w:val="24"/>
                <w:highlight w:val="none"/>
                <w:lang w:val="en-US" w:eastAsia="zh-CN" w:bidi="ar"/>
              </w:rPr>
              <w:t>文件要求的《兵团政府采购供应商信用承诺函》。</w:t>
            </w:r>
          </w:p>
        </w:tc>
        <w:tc>
          <w:tcPr>
            <w:tcW w:w="1400" w:type="dxa"/>
            <w:shd w:val="clear" w:color="auto" w:fill="FFFFFF" w:themeFill="background1"/>
            <w:vAlign w:val="center"/>
          </w:tcPr>
          <w:p w14:paraId="1A7C719D">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lang w:val="en-US" w:eastAsia="zh-CN" w:bidi="ar"/>
              </w:rPr>
              <w:t>格式见《第六章 响应文件格式》</w:t>
            </w:r>
          </w:p>
        </w:tc>
      </w:tr>
      <w:tr w14:paraId="5486F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836" w:hRule="atLeast"/>
          <w:jc w:val="center"/>
        </w:trPr>
        <w:tc>
          <w:tcPr>
            <w:tcW w:w="604" w:type="dxa"/>
            <w:shd w:val="clear" w:color="auto" w:fill="FFFFFF" w:themeFill="background1"/>
            <w:vAlign w:val="center"/>
          </w:tcPr>
          <w:p w14:paraId="1B6B10C6">
            <w:pPr>
              <w:pStyle w:val="49"/>
              <w:keepNext w:val="0"/>
              <w:keepLines w:val="0"/>
              <w:pageBreakBefore w:val="0"/>
              <w:kinsoku/>
              <w:overflowPunct/>
              <w:topLinePunct w:val="0"/>
              <w:autoSpaceDE/>
              <w:autoSpaceDN/>
              <w:bidi w:val="0"/>
              <w:adjustRightInd/>
              <w:snapToGrid/>
              <w:spacing w:line="260" w:lineRule="exact"/>
              <w:jc w:val="center"/>
              <w:textAlignment w:val="auto"/>
              <w:rPr>
                <w:rFonts w:hint="default" w:ascii="宋体" w:hAnsi="宋体" w:eastAsia="宋体" w:cs="宋体"/>
                <w:b/>
                <w:bCs/>
                <w:color w:val="auto"/>
                <w:sz w:val="24"/>
                <w:szCs w:val="24"/>
                <w:highlight w:val="none"/>
                <w:lang w:val="en-US" w:eastAsia="zh-CN"/>
              </w:rPr>
            </w:pPr>
            <w:r>
              <w:rPr>
                <w:rFonts w:hint="eastAsia" w:cs="宋体"/>
                <w:b/>
                <w:bCs/>
                <w:i w:val="0"/>
                <w:iCs w:val="0"/>
                <w:color w:val="auto"/>
                <w:sz w:val="24"/>
                <w:szCs w:val="24"/>
                <w:highlight w:val="none"/>
                <w:lang w:val="en-US" w:eastAsia="zh-CN"/>
              </w:rPr>
              <w:t>4</w:t>
            </w:r>
          </w:p>
        </w:tc>
        <w:tc>
          <w:tcPr>
            <w:tcW w:w="2330" w:type="dxa"/>
            <w:shd w:val="clear" w:color="auto" w:fill="FFFFFF" w:themeFill="background1"/>
            <w:vAlign w:val="center"/>
          </w:tcPr>
          <w:p w14:paraId="1BD0E12D">
            <w:pPr>
              <w:pStyle w:val="49"/>
              <w:keepNext w:val="0"/>
              <w:keepLines w:val="0"/>
              <w:pageBreakBefore w:val="0"/>
              <w:kinsoku/>
              <w:overflowPunct/>
              <w:topLinePunct w:val="0"/>
              <w:autoSpaceDE/>
              <w:autoSpaceDN/>
              <w:bidi w:val="0"/>
              <w:adjustRightInd/>
              <w:snapToGrid/>
              <w:spacing w:line="260" w:lineRule="exact"/>
              <w:jc w:val="center"/>
              <w:textAlignment w:val="auto"/>
              <w:rPr>
                <w:rFonts w:hint="eastAsia" w:ascii="宋体" w:hAnsi="宋体" w:eastAsia="宋体" w:cs="宋体"/>
                <w:color w:val="auto"/>
                <w:sz w:val="24"/>
                <w:szCs w:val="24"/>
                <w:highlight w:val="none"/>
                <w:lang w:val="en-US" w:eastAsia="zh-CN"/>
              </w:rPr>
            </w:pPr>
            <w:r>
              <w:rPr>
                <w:rFonts w:hint="eastAsia" w:cs="宋体"/>
                <w:i w:val="0"/>
                <w:iCs w:val="0"/>
                <w:color w:val="auto"/>
                <w:spacing w:val="-6"/>
                <w:kern w:val="0"/>
                <w:sz w:val="24"/>
                <w:szCs w:val="24"/>
                <w:highlight w:val="none"/>
                <w:lang w:val="en-US" w:eastAsia="zh-CN" w:bidi="ar"/>
              </w:rPr>
              <w:t>投标人</w:t>
            </w:r>
            <w:r>
              <w:rPr>
                <w:rFonts w:hint="eastAsia" w:ascii="宋体" w:hAnsi="宋体" w:eastAsia="宋体" w:cs="宋体"/>
                <w:i w:val="0"/>
                <w:iCs w:val="0"/>
                <w:color w:val="auto"/>
                <w:sz w:val="24"/>
                <w:szCs w:val="24"/>
                <w:highlight w:val="none"/>
                <w:lang w:val="en-US" w:eastAsia="zh-CN"/>
              </w:rPr>
              <w:t>信用记录查询</w:t>
            </w:r>
          </w:p>
        </w:tc>
        <w:tc>
          <w:tcPr>
            <w:tcW w:w="5286" w:type="dxa"/>
            <w:shd w:val="clear" w:color="auto" w:fill="FFFFFF" w:themeFill="background1"/>
            <w:vAlign w:val="center"/>
          </w:tcPr>
          <w:p w14:paraId="1F18B095">
            <w:pPr>
              <w:pStyle w:val="49"/>
              <w:keepNext w:val="0"/>
              <w:keepLines w:val="0"/>
              <w:pageBreakBefore w:val="0"/>
              <w:kinsoku/>
              <w:overflowPunct/>
              <w:topLinePunct w:val="0"/>
              <w:autoSpaceDE/>
              <w:autoSpaceDN/>
              <w:bidi w:val="0"/>
              <w:adjustRightInd/>
              <w:snapToGrid/>
              <w:spacing w:line="26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查询渠道：信用中国网站和中国政府采购网（ </w:t>
            </w:r>
          </w:p>
          <w:p w14:paraId="074734FF">
            <w:pPr>
              <w:pStyle w:val="49"/>
              <w:keepNext w:val="0"/>
              <w:keepLines w:val="0"/>
              <w:pageBreakBefore w:val="0"/>
              <w:kinsoku/>
              <w:overflowPunct/>
              <w:topLinePunct w:val="0"/>
              <w:autoSpaceDE/>
              <w:autoSpaceDN/>
              <w:bidi w:val="0"/>
              <w:adjustRightInd/>
              <w:snapToGrid/>
              <w:spacing w:line="26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www.creditchina.gov.cn 、www.ccgp.gov.cn）； </w:t>
            </w:r>
          </w:p>
          <w:p w14:paraId="48D5637B">
            <w:pPr>
              <w:pStyle w:val="49"/>
              <w:keepNext w:val="0"/>
              <w:keepLines w:val="0"/>
              <w:pageBreakBefore w:val="0"/>
              <w:kinsoku/>
              <w:overflowPunct/>
              <w:topLinePunct w:val="0"/>
              <w:autoSpaceDE/>
              <w:autoSpaceDN/>
              <w:bidi w:val="0"/>
              <w:adjustRightInd/>
              <w:snapToGrid/>
              <w:spacing w:line="26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截止时点：投标截止时间以后、资格审查阶段采购人或采购代理机构的实际查询时间； </w:t>
            </w:r>
          </w:p>
          <w:p w14:paraId="1DAE8A07">
            <w:pPr>
              <w:pStyle w:val="49"/>
              <w:keepNext w:val="0"/>
              <w:keepLines w:val="0"/>
              <w:pageBreakBefore w:val="0"/>
              <w:kinsoku/>
              <w:overflowPunct/>
              <w:topLinePunct w:val="0"/>
              <w:autoSpaceDE/>
              <w:autoSpaceDN/>
              <w:bidi w:val="0"/>
              <w:adjustRightInd/>
              <w:snapToGrid/>
              <w:spacing w:line="26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信用信息查询记录和证据留存具体方式：查询结果网页打印页作为查询记录和证据，与其他采购文件一并保存； </w:t>
            </w:r>
          </w:p>
          <w:p w14:paraId="1FCB7423">
            <w:pPr>
              <w:pStyle w:val="49"/>
              <w:keepNext w:val="0"/>
              <w:keepLines w:val="0"/>
              <w:pageBreakBefore w:val="0"/>
              <w:kinsoku/>
              <w:overflowPunct/>
              <w:topLinePunct w:val="0"/>
              <w:autoSpaceDE/>
              <w:autoSpaceDN/>
              <w:bidi w:val="0"/>
              <w:adjustRightInd/>
              <w:snapToGrid/>
              <w:spacing w:line="26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信用信息的使用原则：经认定的被列入失信被执行人、重大税收违法失信主体、政府采购严重违法失信行为记录名单的投标人，其投标无效。联合体形式投标的，联合体成员存在不良信用记录，视同联合体存在不良信用记录。</w:t>
            </w:r>
          </w:p>
        </w:tc>
        <w:tc>
          <w:tcPr>
            <w:tcW w:w="1400" w:type="dxa"/>
            <w:shd w:val="clear" w:color="auto" w:fill="FFFFFF" w:themeFill="background1"/>
            <w:vAlign w:val="center"/>
          </w:tcPr>
          <w:p w14:paraId="6327CD6E">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auto"/>
              <w:rPr>
                <w:rFonts w:hint="eastAsia" w:ascii="宋体" w:hAnsi="宋体" w:eastAsia="宋体" w:cs="宋体"/>
                <w:i w:val="0"/>
                <w:iCs w:val="0"/>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lang w:val="en-US" w:eastAsia="zh-CN" w:bidi="ar"/>
              </w:rPr>
              <w:t>无须</w:t>
            </w:r>
            <w:r>
              <w:rPr>
                <w:rFonts w:hint="eastAsia" w:cs="宋体"/>
                <w:i w:val="0"/>
                <w:iCs w:val="0"/>
                <w:color w:val="auto"/>
                <w:spacing w:val="-6"/>
                <w:kern w:val="0"/>
                <w:sz w:val="24"/>
                <w:szCs w:val="24"/>
                <w:highlight w:val="none"/>
                <w:lang w:val="en-US" w:eastAsia="zh-CN" w:bidi="ar"/>
              </w:rPr>
              <w:t>投标人</w:t>
            </w:r>
            <w:r>
              <w:rPr>
                <w:rFonts w:hint="eastAsia" w:ascii="宋体" w:hAnsi="宋体" w:eastAsia="宋体" w:cs="宋体"/>
                <w:i w:val="0"/>
                <w:iCs w:val="0"/>
                <w:color w:val="auto"/>
                <w:kern w:val="0"/>
                <w:sz w:val="24"/>
                <w:szCs w:val="24"/>
                <w:highlight w:val="none"/>
                <w:lang w:val="en-US" w:eastAsia="zh-CN" w:bidi="ar"/>
              </w:rPr>
              <w:t>提供，由采购人或采购代理机构查询。</w:t>
            </w:r>
          </w:p>
          <w:p w14:paraId="09CA300C">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kern w:val="0"/>
                <w:sz w:val="24"/>
                <w:szCs w:val="24"/>
                <w:highlight w:val="none"/>
                <w:lang w:val="en-US" w:eastAsia="zh-CN" w:bidi="ar"/>
              </w:rPr>
            </w:pPr>
          </w:p>
        </w:tc>
      </w:tr>
      <w:tr w14:paraId="0881D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71" w:hRule="atLeast"/>
          <w:jc w:val="center"/>
        </w:trPr>
        <w:tc>
          <w:tcPr>
            <w:tcW w:w="604" w:type="dxa"/>
            <w:shd w:val="clear" w:color="auto" w:fill="FFFFFF" w:themeFill="background1"/>
            <w:vAlign w:val="center"/>
          </w:tcPr>
          <w:p w14:paraId="0A4E48AD">
            <w:pPr>
              <w:pStyle w:val="49"/>
              <w:keepNext w:val="0"/>
              <w:keepLines w:val="0"/>
              <w:pageBreakBefore w:val="0"/>
              <w:kinsoku/>
              <w:overflowPunct/>
              <w:topLinePunct w:val="0"/>
              <w:autoSpaceDE/>
              <w:autoSpaceDN/>
              <w:bidi w:val="0"/>
              <w:adjustRightInd/>
              <w:snapToGrid/>
              <w:spacing w:line="260" w:lineRule="exact"/>
              <w:jc w:val="center"/>
              <w:textAlignment w:val="auto"/>
              <w:rPr>
                <w:rFonts w:hint="default" w:ascii="宋体" w:hAnsi="宋体" w:eastAsia="宋体" w:cs="宋体"/>
                <w:b/>
                <w:bCs/>
                <w:color w:val="auto"/>
                <w:sz w:val="24"/>
                <w:szCs w:val="24"/>
                <w:highlight w:val="none"/>
                <w:lang w:val="en-US" w:eastAsia="zh-CN"/>
              </w:rPr>
            </w:pPr>
            <w:r>
              <w:rPr>
                <w:rFonts w:hint="eastAsia" w:cs="宋体"/>
                <w:b/>
                <w:bCs/>
                <w:i w:val="0"/>
                <w:iCs w:val="0"/>
                <w:color w:val="auto"/>
                <w:sz w:val="24"/>
                <w:szCs w:val="24"/>
                <w:highlight w:val="none"/>
                <w:lang w:val="en-US" w:eastAsia="zh-CN"/>
              </w:rPr>
              <w:t>5</w:t>
            </w:r>
          </w:p>
        </w:tc>
        <w:tc>
          <w:tcPr>
            <w:tcW w:w="2330" w:type="dxa"/>
            <w:shd w:val="clear" w:color="auto" w:fill="FFFFFF" w:themeFill="background1"/>
            <w:vAlign w:val="center"/>
          </w:tcPr>
          <w:p w14:paraId="6F347850">
            <w:pPr>
              <w:pStyle w:val="49"/>
              <w:keepNext w:val="0"/>
              <w:keepLines w:val="0"/>
              <w:pageBreakBefore w:val="0"/>
              <w:kinsoku/>
              <w:overflowPunct/>
              <w:topLinePunct w:val="0"/>
              <w:autoSpaceDE/>
              <w:autoSpaceDN/>
              <w:bidi w:val="0"/>
              <w:adjustRightInd/>
              <w:snapToGrid/>
              <w:spacing w:line="26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法律、行政法规规定的其他条件</w:t>
            </w:r>
          </w:p>
        </w:tc>
        <w:tc>
          <w:tcPr>
            <w:tcW w:w="5286" w:type="dxa"/>
            <w:shd w:val="clear" w:color="auto" w:fill="FFFFFF" w:themeFill="background1"/>
            <w:vAlign w:val="center"/>
          </w:tcPr>
          <w:p w14:paraId="1A0058F5">
            <w:pPr>
              <w:pStyle w:val="49"/>
              <w:keepNext w:val="0"/>
              <w:keepLines w:val="0"/>
              <w:pageBreakBefore w:val="0"/>
              <w:kinsoku/>
              <w:overflowPunct/>
              <w:topLinePunct w:val="0"/>
              <w:autoSpaceDE/>
              <w:autoSpaceDN/>
              <w:bidi w:val="0"/>
              <w:adjustRightInd/>
              <w:snapToGrid/>
              <w:spacing w:line="26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法律、行政法规规定的其他条件</w:t>
            </w:r>
          </w:p>
        </w:tc>
        <w:tc>
          <w:tcPr>
            <w:tcW w:w="1400" w:type="dxa"/>
            <w:shd w:val="clear" w:color="auto" w:fill="FFFFFF" w:themeFill="background1"/>
            <w:vAlign w:val="center"/>
          </w:tcPr>
          <w:p w14:paraId="0D14032D">
            <w:pPr>
              <w:pStyle w:val="49"/>
              <w:keepNext w:val="0"/>
              <w:keepLines w:val="0"/>
              <w:pageBreakBefore w:val="0"/>
              <w:kinsoku/>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4"/>
                <w:szCs w:val="24"/>
                <w:highlight w:val="none"/>
                <w:lang w:val="en-US" w:eastAsia="zh-CN" w:bidi="ar"/>
              </w:rPr>
            </w:pPr>
          </w:p>
        </w:tc>
      </w:tr>
      <w:tr w14:paraId="7DDB6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604" w:type="dxa"/>
            <w:shd w:val="clear" w:color="auto" w:fill="FFFFFF" w:themeFill="background1"/>
            <w:vAlign w:val="center"/>
          </w:tcPr>
          <w:p w14:paraId="330FEA22">
            <w:pPr>
              <w:pStyle w:val="49"/>
              <w:keepNext w:val="0"/>
              <w:keepLines w:val="0"/>
              <w:pageBreakBefore w:val="0"/>
              <w:kinsoku/>
              <w:overflowPunct/>
              <w:topLinePunct w:val="0"/>
              <w:autoSpaceDE/>
              <w:autoSpaceDN/>
              <w:bidi w:val="0"/>
              <w:adjustRightInd/>
              <w:snapToGrid/>
              <w:spacing w:line="260" w:lineRule="exact"/>
              <w:jc w:val="center"/>
              <w:textAlignment w:val="auto"/>
              <w:rPr>
                <w:rFonts w:hint="eastAsia" w:ascii="宋体" w:hAnsi="宋体" w:eastAsia="宋体" w:cs="宋体"/>
                <w:b/>
                <w:bCs/>
                <w:color w:val="auto"/>
                <w:sz w:val="24"/>
                <w:szCs w:val="24"/>
                <w:highlight w:val="none"/>
                <w:lang w:val="en-US" w:eastAsia="zh-CN"/>
              </w:rPr>
            </w:pPr>
            <w:r>
              <w:rPr>
                <w:rFonts w:hint="eastAsia" w:cs="宋体"/>
                <w:b/>
                <w:bCs/>
                <w:i w:val="0"/>
                <w:iCs w:val="0"/>
                <w:color w:val="auto"/>
                <w:sz w:val="24"/>
                <w:szCs w:val="24"/>
                <w:highlight w:val="none"/>
                <w:lang w:val="en-US" w:eastAsia="zh-CN"/>
              </w:rPr>
              <w:t>6</w:t>
            </w:r>
          </w:p>
        </w:tc>
        <w:tc>
          <w:tcPr>
            <w:tcW w:w="2330" w:type="dxa"/>
            <w:shd w:val="clear" w:color="auto" w:fill="FFFFFF" w:themeFill="background1"/>
            <w:vAlign w:val="center"/>
          </w:tcPr>
          <w:p w14:paraId="60F45FA7">
            <w:pPr>
              <w:pStyle w:val="49"/>
              <w:keepNext w:val="0"/>
              <w:keepLines w:val="0"/>
              <w:pageBreakBefore w:val="0"/>
              <w:kinsoku/>
              <w:overflowPunct/>
              <w:topLinePunct w:val="0"/>
              <w:autoSpaceDE/>
              <w:autoSpaceDN/>
              <w:bidi w:val="0"/>
              <w:adjustRightInd/>
              <w:snapToGrid/>
              <w:spacing w:line="26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落实政府采购政策需满足的资格要求</w:t>
            </w:r>
          </w:p>
        </w:tc>
        <w:tc>
          <w:tcPr>
            <w:tcW w:w="5286" w:type="dxa"/>
            <w:shd w:val="clear" w:color="auto" w:fill="FFFFFF" w:themeFill="background1"/>
            <w:vAlign w:val="center"/>
          </w:tcPr>
          <w:p w14:paraId="2B64265B">
            <w:pPr>
              <w:pStyle w:val="49"/>
              <w:keepNext w:val="0"/>
              <w:keepLines w:val="0"/>
              <w:pageBreakBefore w:val="0"/>
              <w:kinsoku/>
              <w:overflowPunct/>
              <w:topLinePunct w:val="0"/>
              <w:autoSpaceDE/>
              <w:autoSpaceDN/>
              <w:bidi w:val="0"/>
              <w:adjustRightInd/>
              <w:snapToGrid/>
              <w:spacing w:line="26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 xml:space="preserve">具体要求见“第一章 </w:t>
            </w:r>
            <w:r>
              <w:rPr>
                <w:rFonts w:hint="eastAsia" w:cs="宋体"/>
                <w:i w:val="0"/>
                <w:iCs w:val="0"/>
                <w:color w:val="auto"/>
                <w:sz w:val="24"/>
                <w:szCs w:val="24"/>
                <w:highlight w:val="none"/>
                <w:lang w:val="en-US" w:eastAsia="zh-CN"/>
              </w:rPr>
              <w:t>招标</w:t>
            </w:r>
            <w:r>
              <w:rPr>
                <w:rFonts w:hint="eastAsia" w:ascii="宋体" w:hAnsi="宋体" w:eastAsia="宋体" w:cs="宋体"/>
                <w:i w:val="0"/>
                <w:iCs w:val="0"/>
                <w:color w:val="auto"/>
                <w:sz w:val="24"/>
                <w:szCs w:val="24"/>
                <w:highlight w:val="none"/>
                <w:lang w:val="en-US" w:eastAsia="zh-CN"/>
              </w:rPr>
              <w:t>公告”</w:t>
            </w:r>
          </w:p>
        </w:tc>
        <w:tc>
          <w:tcPr>
            <w:tcW w:w="1400" w:type="dxa"/>
            <w:shd w:val="clear" w:color="auto" w:fill="FFFFFF" w:themeFill="background1"/>
            <w:vAlign w:val="center"/>
          </w:tcPr>
          <w:p w14:paraId="0ACC3285">
            <w:pPr>
              <w:pStyle w:val="49"/>
              <w:keepNext w:val="0"/>
              <w:keepLines w:val="0"/>
              <w:pageBreakBefore w:val="0"/>
              <w:kinsoku/>
              <w:overflowPunct/>
              <w:topLinePunct w:val="0"/>
              <w:autoSpaceDE/>
              <w:autoSpaceDN/>
              <w:bidi w:val="0"/>
              <w:adjustRightInd/>
              <w:snapToGrid/>
              <w:spacing w:line="260" w:lineRule="exact"/>
              <w:jc w:val="center"/>
              <w:textAlignment w:val="auto"/>
              <w:rPr>
                <w:rFonts w:hint="eastAsia" w:ascii="宋体" w:hAnsi="宋体" w:eastAsia="宋体" w:cs="宋体"/>
                <w:b/>
                <w:bCs/>
                <w:color w:val="auto"/>
                <w:sz w:val="24"/>
                <w:szCs w:val="24"/>
                <w:highlight w:val="none"/>
              </w:rPr>
            </w:pPr>
          </w:p>
        </w:tc>
      </w:tr>
      <w:tr w14:paraId="5B37E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73" w:hRule="atLeast"/>
          <w:jc w:val="center"/>
        </w:trPr>
        <w:tc>
          <w:tcPr>
            <w:tcW w:w="604" w:type="dxa"/>
            <w:shd w:val="clear" w:color="auto" w:fill="FFFFFF" w:themeFill="background1"/>
            <w:vAlign w:val="center"/>
          </w:tcPr>
          <w:p w14:paraId="45F0574F">
            <w:pPr>
              <w:pStyle w:val="49"/>
              <w:keepNext w:val="0"/>
              <w:keepLines w:val="0"/>
              <w:pageBreakBefore w:val="0"/>
              <w:kinsoku/>
              <w:overflowPunct/>
              <w:topLinePunct w:val="0"/>
              <w:autoSpaceDE/>
              <w:autoSpaceDN/>
              <w:bidi w:val="0"/>
              <w:adjustRightInd/>
              <w:snapToGrid/>
              <w:spacing w:line="260" w:lineRule="exact"/>
              <w:jc w:val="center"/>
              <w:textAlignment w:val="auto"/>
              <w:rPr>
                <w:rFonts w:hint="eastAsia" w:ascii="宋体" w:hAnsi="宋体" w:eastAsia="宋体" w:cs="宋体"/>
                <w:b/>
                <w:bCs/>
                <w:color w:val="auto"/>
                <w:sz w:val="24"/>
                <w:szCs w:val="24"/>
                <w:highlight w:val="none"/>
                <w:lang w:val="en-US" w:eastAsia="zh-CN"/>
              </w:rPr>
            </w:pPr>
            <w:r>
              <w:rPr>
                <w:rFonts w:hint="eastAsia" w:cs="宋体"/>
                <w:b/>
                <w:bCs/>
                <w:i w:val="0"/>
                <w:iCs w:val="0"/>
                <w:color w:val="auto"/>
                <w:sz w:val="24"/>
                <w:szCs w:val="24"/>
                <w:highlight w:val="none"/>
                <w:lang w:val="en-US" w:eastAsia="zh-CN"/>
              </w:rPr>
              <w:t>7</w:t>
            </w:r>
          </w:p>
        </w:tc>
        <w:tc>
          <w:tcPr>
            <w:tcW w:w="2330" w:type="dxa"/>
            <w:shd w:val="clear" w:color="auto" w:fill="FFFFFF" w:themeFill="background1"/>
            <w:vAlign w:val="center"/>
          </w:tcPr>
          <w:p w14:paraId="004158CF">
            <w:pPr>
              <w:pStyle w:val="49"/>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供应商应为</w:t>
            </w:r>
            <w:r>
              <w:rPr>
                <w:rFonts w:hint="eastAsia" w:cs="宋体"/>
                <w:color w:val="auto"/>
                <w:sz w:val="24"/>
                <w:szCs w:val="24"/>
                <w:highlight w:val="none"/>
                <w:lang w:val="en-US" w:eastAsia="zh-CN"/>
              </w:rPr>
              <w:t>中</w:t>
            </w:r>
            <w:r>
              <w:rPr>
                <w:rFonts w:hint="eastAsia" w:cs="宋体"/>
                <w:i w:val="0"/>
                <w:iCs w:val="0"/>
                <w:color w:val="auto"/>
                <w:sz w:val="24"/>
                <w:szCs w:val="24"/>
                <w:highlight w:val="none"/>
                <w:lang w:eastAsia="zh-CN"/>
              </w:rPr>
              <w:t>小企业</w:t>
            </w:r>
          </w:p>
        </w:tc>
        <w:tc>
          <w:tcPr>
            <w:tcW w:w="5286" w:type="dxa"/>
            <w:shd w:val="clear" w:color="auto" w:fill="FFFFFF" w:themeFill="background1"/>
            <w:vAlign w:val="center"/>
          </w:tcPr>
          <w:p w14:paraId="3E10D772">
            <w:pPr>
              <w:pStyle w:val="49"/>
              <w:keepNext w:val="0"/>
              <w:keepLines w:val="0"/>
              <w:pageBreakBefore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请根据要求单独上传《中小企业声明函》。格式以采购文件要求为准。</w:t>
            </w:r>
          </w:p>
        </w:tc>
        <w:tc>
          <w:tcPr>
            <w:tcW w:w="1400" w:type="dxa"/>
            <w:shd w:val="clear" w:color="auto" w:fill="FFFFFF" w:themeFill="background1"/>
            <w:vAlign w:val="center"/>
          </w:tcPr>
          <w:p w14:paraId="0BFAF045">
            <w:pPr>
              <w:pStyle w:val="49"/>
              <w:keepNext w:val="0"/>
              <w:keepLines w:val="0"/>
              <w:pageBreakBefore w:val="0"/>
              <w:kinsoku/>
              <w:overflowPunct/>
              <w:topLinePunct w:val="0"/>
              <w:autoSpaceDE/>
              <w:autoSpaceDN/>
              <w:bidi w:val="0"/>
              <w:adjustRightInd/>
              <w:snapToGrid/>
              <w:spacing w:line="260" w:lineRule="exact"/>
              <w:jc w:val="center"/>
              <w:textAlignment w:val="auto"/>
              <w:rPr>
                <w:rFonts w:hint="eastAsia" w:ascii="宋体" w:hAnsi="宋体" w:eastAsia="宋体" w:cs="宋体"/>
                <w:b/>
                <w:bCs/>
                <w:color w:val="auto"/>
                <w:sz w:val="24"/>
                <w:szCs w:val="24"/>
                <w:highlight w:val="none"/>
              </w:rPr>
            </w:pPr>
          </w:p>
        </w:tc>
      </w:tr>
    </w:tbl>
    <w:p w14:paraId="21B53EAD">
      <w:pPr>
        <w:pStyle w:val="2"/>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宋体" w:hAnsi="宋体" w:eastAsia="宋体" w:cs="宋体"/>
          <w:b/>
          <w:bCs/>
          <w:color w:val="auto"/>
          <w:kern w:val="44"/>
          <w:sz w:val="36"/>
          <w:szCs w:val="36"/>
          <w:highlight w:val="none"/>
          <w:lang w:val="en-US" w:eastAsia="zh-CN" w:bidi="ar-SA"/>
        </w:rPr>
      </w:pPr>
      <w:bookmarkStart w:id="269" w:name="_Toc155185903"/>
      <w:bookmarkStart w:id="270" w:name="_Toc163492899"/>
      <w:bookmarkStart w:id="271" w:name="_Toc29685"/>
      <w:r>
        <w:rPr>
          <w:rFonts w:hint="eastAsia" w:ascii="宋体" w:hAnsi="宋体" w:eastAsia="宋体" w:cs="宋体"/>
          <w:b/>
          <w:bCs/>
          <w:color w:val="auto"/>
          <w:kern w:val="44"/>
          <w:sz w:val="36"/>
          <w:szCs w:val="36"/>
          <w:highlight w:val="none"/>
          <w:lang w:val="en-US" w:eastAsia="zh-CN" w:bidi="ar-SA"/>
        </w:rPr>
        <w:t>第五章 评标方法</w:t>
      </w:r>
      <w:bookmarkEnd w:id="269"/>
      <w:r>
        <w:rPr>
          <w:rFonts w:hint="eastAsia" w:ascii="宋体" w:hAnsi="宋体" w:eastAsia="宋体" w:cs="宋体"/>
          <w:b/>
          <w:bCs/>
          <w:color w:val="auto"/>
          <w:kern w:val="44"/>
          <w:sz w:val="36"/>
          <w:szCs w:val="36"/>
          <w:highlight w:val="none"/>
          <w:lang w:val="en-US" w:eastAsia="zh-CN" w:bidi="ar-SA"/>
        </w:rPr>
        <w:t>及标准</w:t>
      </w:r>
      <w:bookmarkEnd w:id="270"/>
      <w:r>
        <w:rPr>
          <w:rFonts w:hint="eastAsia" w:ascii="宋体" w:hAnsi="宋体" w:eastAsia="宋体" w:cs="宋体"/>
          <w:b/>
          <w:bCs/>
          <w:color w:val="auto"/>
          <w:kern w:val="44"/>
          <w:sz w:val="36"/>
          <w:szCs w:val="36"/>
          <w:highlight w:val="none"/>
          <w:lang w:val="en-US" w:eastAsia="zh-CN" w:bidi="ar-SA"/>
        </w:rPr>
        <w:t>(综合评分法)</w:t>
      </w:r>
      <w:bookmarkEnd w:id="271"/>
    </w:p>
    <w:p w14:paraId="2BB6F8A4">
      <w:pPr>
        <w:pStyle w:val="3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根据《中华人民共和国政府采购法》及其实施条例、《政府采购货物和服务招标投标管理办法》</w:t>
      </w:r>
      <w:r>
        <w:rPr>
          <w:rFonts w:hint="eastAsia" w:ascii="宋体" w:hAnsi="宋体" w:eastAsia="宋体" w:cs="宋体"/>
          <w:color w:val="auto"/>
          <w:sz w:val="24"/>
          <w:szCs w:val="24"/>
          <w:highlight w:val="none"/>
          <w:lang w:val="en-US" w:eastAsia="zh-CN"/>
        </w:rPr>
        <w:t>及</w:t>
      </w:r>
      <w:r>
        <w:rPr>
          <w:rFonts w:hint="eastAsia" w:ascii="宋体" w:hAnsi="宋体" w:eastAsia="宋体" w:cs="宋体"/>
          <w:color w:val="auto"/>
          <w:sz w:val="24"/>
          <w:szCs w:val="24"/>
          <w:highlight w:val="none"/>
        </w:rPr>
        <w:t>相关法律法规确定以下评标</w:t>
      </w:r>
      <w:r>
        <w:rPr>
          <w:rFonts w:hint="eastAsia" w:ascii="宋体" w:hAnsi="宋体" w:eastAsia="宋体" w:cs="宋体"/>
          <w:color w:val="auto"/>
          <w:sz w:val="24"/>
          <w:szCs w:val="24"/>
          <w:highlight w:val="none"/>
          <w:lang w:val="en-US" w:eastAsia="zh-CN"/>
        </w:rPr>
        <w:t>方</w:t>
      </w:r>
      <w:r>
        <w:rPr>
          <w:rFonts w:hint="eastAsia" w:ascii="宋体" w:hAnsi="宋体" w:eastAsia="宋体" w:cs="宋体"/>
          <w:color w:val="auto"/>
          <w:sz w:val="24"/>
          <w:szCs w:val="24"/>
          <w:highlight w:val="none"/>
        </w:rPr>
        <w:t>法及标准。</w:t>
      </w:r>
    </w:p>
    <w:p w14:paraId="040C2DF7">
      <w:pPr>
        <w:pStyle w:val="3"/>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color w:val="auto"/>
          <w:sz w:val="28"/>
          <w:szCs w:val="28"/>
          <w:highlight w:val="none"/>
          <w:lang w:val="zh-CN" w:eastAsia="zh-CN"/>
        </w:rPr>
      </w:pPr>
      <w:bookmarkStart w:id="272" w:name="_Toc21620"/>
      <w:bookmarkStart w:id="273" w:name="_Toc163492900"/>
      <w:bookmarkStart w:id="274" w:name="_Toc61280402"/>
      <w:bookmarkStart w:id="275" w:name="_Toc494561962"/>
      <w:bookmarkStart w:id="276" w:name="_Toc109900322"/>
      <w:bookmarkStart w:id="277" w:name="_Toc140132826"/>
      <w:bookmarkStart w:id="278" w:name="_Toc155185905"/>
      <w:bookmarkStart w:id="279" w:name="_Toc272247709"/>
      <w:bookmarkStart w:id="280" w:name="_Toc511894518"/>
      <w:bookmarkStart w:id="281" w:name="_Toc278891606"/>
      <w:bookmarkStart w:id="282" w:name="_Toc109899484"/>
      <w:bookmarkStart w:id="283" w:name="_Toc109899903"/>
      <w:r>
        <w:rPr>
          <w:rFonts w:hint="eastAsia" w:ascii="宋体" w:hAnsi="宋体" w:eastAsia="宋体" w:cs="宋体"/>
          <w:color w:val="auto"/>
          <w:sz w:val="28"/>
          <w:szCs w:val="28"/>
          <w:highlight w:val="none"/>
          <w:lang w:val="zh-CN" w:eastAsia="zh-CN"/>
        </w:rPr>
        <w:t>一、评标</w:t>
      </w:r>
      <w:r>
        <w:rPr>
          <w:rFonts w:hint="eastAsia" w:ascii="宋体" w:hAnsi="宋体" w:eastAsia="宋体" w:cs="宋体"/>
          <w:color w:val="auto"/>
          <w:sz w:val="28"/>
          <w:szCs w:val="28"/>
          <w:highlight w:val="none"/>
          <w:lang w:val="en-US" w:eastAsia="zh-CN"/>
        </w:rPr>
        <w:t>方</w:t>
      </w:r>
      <w:r>
        <w:rPr>
          <w:rFonts w:hint="eastAsia" w:ascii="宋体" w:hAnsi="宋体" w:eastAsia="宋体" w:cs="宋体"/>
          <w:color w:val="auto"/>
          <w:sz w:val="28"/>
          <w:szCs w:val="28"/>
          <w:highlight w:val="none"/>
          <w:lang w:val="zh-CN" w:eastAsia="zh-CN"/>
        </w:rPr>
        <w:t>法</w:t>
      </w:r>
      <w:bookmarkEnd w:id="272"/>
      <w:bookmarkEnd w:id="273"/>
    </w:p>
    <w:p w14:paraId="40F9AE81">
      <w:pPr>
        <w:pStyle w:val="37"/>
        <w:rPr>
          <w:color w:val="auto"/>
          <w:highlight w:val="none"/>
        </w:rPr>
      </w:pPr>
      <w:r>
        <w:rPr>
          <w:rFonts w:hint="eastAsia"/>
          <w:color w:val="auto"/>
          <w:highlight w:val="none"/>
        </w:rPr>
        <w:t>1.</w:t>
      </w:r>
      <w:r>
        <w:rPr>
          <w:rFonts w:hint="eastAsia"/>
          <w:b/>
          <w:bCs/>
          <w:color w:val="auto"/>
          <w:highlight w:val="none"/>
        </w:rPr>
        <w:t>本项目采用综合评分法</w:t>
      </w:r>
      <w:r>
        <w:rPr>
          <w:rFonts w:hint="eastAsia"/>
          <w:color w:val="auto"/>
          <w:highlight w:val="none"/>
        </w:rPr>
        <w:t>。综合评分法，是指投标文件满足招标文件全部实质性要求，且按照评审因素的量化指标评审得分最高的投标人为中标候选人的评标方法。</w:t>
      </w:r>
    </w:p>
    <w:p w14:paraId="5EC2DCA1">
      <w:pPr>
        <w:pStyle w:val="3"/>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color w:val="auto"/>
          <w:sz w:val="28"/>
          <w:szCs w:val="28"/>
          <w:highlight w:val="none"/>
          <w:lang w:val="zh-CN" w:eastAsia="zh-CN"/>
        </w:rPr>
      </w:pPr>
      <w:bookmarkStart w:id="284" w:name="_Toc17309"/>
      <w:r>
        <w:rPr>
          <w:rFonts w:hint="eastAsia" w:ascii="宋体" w:hAnsi="宋体" w:eastAsia="宋体" w:cs="宋体"/>
          <w:color w:val="auto"/>
          <w:sz w:val="28"/>
          <w:szCs w:val="28"/>
          <w:highlight w:val="none"/>
          <w:lang w:val="en-US" w:eastAsia="zh-CN"/>
        </w:rPr>
        <w:t>二</w:t>
      </w:r>
      <w:r>
        <w:rPr>
          <w:rFonts w:hint="eastAsia" w:ascii="宋体" w:hAnsi="宋体" w:eastAsia="宋体" w:cs="宋体"/>
          <w:color w:val="auto"/>
          <w:sz w:val="28"/>
          <w:szCs w:val="28"/>
          <w:highlight w:val="none"/>
          <w:lang w:val="zh-CN" w:eastAsia="zh-CN"/>
        </w:rPr>
        <w:t>、评标程序</w:t>
      </w:r>
      <w:bookmarkEnd w:id="284"/>
    </w:p>
    <w:p w14:paraId="2CEA851A">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r>
        <w:rPr>
          <w:rFonts w:hint="eastAsia" w:ascii="宋体" w:hAnsi="宋体" w:eastAsia="宋体" w:cs="宋体"/>
          <w:b/>
          <w:bCs/>
          <w:color w:val="auto"/>
          <w:kern w:val="2"/>
          <w:sz w:val="24"/>
          <w:szCs w:val="24"/>
          <w:highlight w:val="none"/>
          <w:lang w:val="zh-CN" w:eastAsia="zh-CN" w:bidi="ar-SA"/>
        </w:rPr>
        <w:t>（一）符合性审查</w:t>
      </w:r>
    </w:p>
    <w:p w14:paraId="0D55CFD2">
      <w:pPr>
        <w:pStyle w:val="37"/>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评标委员会应当对</w:t>
      </w:r>
      <w:r>
        <w:rPr>
          <w:rFonts w:hint="eastAsia" w:ascii="宋体" w:hAnsi="宋体" w:eastAsia="宋体" w:cs="宋体"/>
          <w:color w:val="auto"/>
          <w:sz w:val="24"/>
          <w:szCs w:val="24"/>
          <w:highlight w:val="none"/>
          <w:lang w:val="en-US" w:eastAsia="zh-CN"/>
        </w:rPr>
        <w:t>通过</w:t>
      </w:r>
      <w:r>
        <w:rPr>
          <w:rFonts w:hint="eastAsia" w:ascii="宋体" w:hAnsi="宋体" w:eastAsia="宋体" w:cs="宋体"/>
          <w:color w:val="auto"/>
          <w:sz w:val="24"/>
          <w:szCs w:val="24"/>
          <w:highlight w:val="none"/>
        </w:rPr>
        <w:t>资格</w:t>
      </w:r>
      <w:r>
        <w:rPr>
          <w:rFonts w:hint="eastAsia" w:ascii="宋体" w:hAnsi="宋体" w:eastAsia="宋体" w:cs="宋体"/>
          <w:color w:val="auto"/>
          <w:sz w:val="24"/>
          <w:szCs w:val="24"/>
          <w:highlight w:val="none"/>
          <w:lang w:val="en-US" w:eastAsia="zh-CN"/>
        </w:rPr>
        <w:t>审查</w:t>
      </w:r>
      <w:r>
        <w:rPr>
          <w:rFonts w:hint="eastAsia" w:ascii="宋体" w:hAnsi="宋体" w:eastAsia="宋体" w:cs="宋体"/>
          <w:color w:val="auto"/>
          <w:sz w:val="24"/>
          <w:szCs w:val="24"/>
          <w:highlight w:val="none"/>
        </w:rPr>
        <w:t>的投标人的投标文件进行符合性审查，以确定其是否满足招标文件的实质性要求。投标人必须通过符合性审查的全部评审指标</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不满足招标文件的实质性要求的，</w:t>
      </w:r>
      <w:r>
        <w:rPr>
          <w:rFonts w:hint="eastAsia" w:ascii="宋体" w:hAnsi="宋体" w:eastAsia="宋体" w:cs="宋体"/>
          <w:color w:val="auto"/>
          <w:sz w:val="24"/>
          <w:szCs w:val="24"/>
          <w:highlight w:val="none"/>
          <w:lang w:val="en-US" w:eastAsia="zh-CN"/>
        </w:rPr>
        <w:t>其</w:t>
      </w:r>
      <w:r>
        <w:rPr>
          <w:rFonts w:hint="eastAsia" w:ascii="宋体" w:hAnsi="宋体" w:eastAsia="宋体" w:cs="宋体"/>
          <w:b/>
          <w:bCs/>
          <w:color w:val="auto"/>
          <w:sz w:val="24"/>
          <w:szCs w:val="24"/>
          <w:highlight w:val="none"/>
        </w:rPr>
        <w:t>投标无效</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具体内容详</w:t>
      </w:r>
      <w:r>
        <w:rPr>
          <w:rFonts w:hint="eastAsia" w:ascii="宋体" w:hAnsi="宋体" w:eastAsia="宋体" w:cs="宋体"/>
          <w:color w:val="auto"/>
          <w:sz w:val="24"/>
          <w:szCs w:val="24"/>
          <w:highlight w:val="none"/>
          <w:lang w:val="zh-CN"/>
        </w:rPr>
        <w:t>本章“</w:t>
      </w: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lang w:val="zh-CN"/>
        </w:rPr>
        <w:t>、评标标准”中</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lang w:val="zh-CN"/>
        </w:rPr>
        <w:t>“（一）符合性审查”。</w:t>
      </w:r>
    </w:p>
    <w:p w14:paraId="4E726315">
      <w:pPr>
        <w:pStyle w:val="37"/>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通过</w:t>
      </w:r>
      <w:r>
        <w:rPr>
          <w:rFonts w:hint="eastAsia" w:ascii="宋体" w:hAnsi="宋体" w:eastAsia="宋体" w:cs="宋体"/>
          <w:color w:val="auto"/>
          <w:sz w:val="24"/>
          <w:szCs w:val="24"/>
          <w:highlight w:val="none"/>
        </w:rPr>
        <w:t>符合性审查</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rPr>
        <w:t>有效</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不足3家的应当终止采购活动，发布项目终止公告并说明原因，重新开展采购活动。</w:t>
      </w:r>
    </w:p>
    <w:p w14:paraId="34580356">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bookmarkStart w:id="285" w:name="_Toc102116048"/>
      <w:bookmarkStart w:id="286" w:name="_Toc102114946"/>
      <w:bookmarkStart w:id="287" w:name="_Toc102119879"/>
      <w:bookmarkStart w:id="288" w:name="_Toc102056244"/>
      <w:bookmarkStart w:id="289" w:name="_Toc102116178"/>
      <w:bookmarkStart w:id="290" w:name="_Toc102057744"/>
      <w:bookmarkStart w:id="291" w:name="_Toc155185907"/>
      <w:bookmarkStart w:id="292" w:name="_Toc163492903"/>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二</w:t>
      </w:r>
      <w:r>
        <w:rPr>
          <w:rFonts w:hint="eastAsia" w:ascii="宋体" w:hAnsi="宋体" w:eastAsia="宋体" w:cs="宋体"/>
          <w:b/>
          <w:bCs/>
          <w:color w:val="auto"/>
          <w:kern w:val="2"/>
          <w:sz w:val="24"/>
          <w:szCs w:val="24"/>
          <w:highlight w:val="none"/>
          <w:lang w:val="zh-CN" w:eastAsia="zh-CN" w:bidi="ar-SA"/>
        </w:rPr>
        <w:t>）投标文件澄清</w:t>
      </w:r>
      <w:bookmarkEnd w:id="285"/>
      <w:bookmarkEnd w:id="286"/>
      <w:bookmarkEnd w:id="287"/>
      <w:bookmarkEnd w:id="288"/>
      <w:bookmarkEnd w:id="289"/>
      <w:bookmarkEnd w:id="290"/>
      <w:bookmarkEnd w:id="291"/>
      <w:r>
        <w:rPr>
          <w:rFonts w:hint="eastAsia" w:ascii="宋体" w:hAnsi="宋体" w:eastAsia="宋体" w:cs="宋体"/>
          <w:b/>
          <w:bCs/>
          <w:color w:val="auto"/>
          <w:kern w:val="2"/>
          <w:sz w:val="24"/>
          <w:szCs w:val="24"/>
          <w:highlight w:val="none"/>
          <w:lang w:val="zh-CN" w:eastAsia="zh-CN" w:bidi="ar-SA"/>
        </w:rPr>
        <w:t>及修正</w:t>
      </w:r>
      <w:bookmarkEnd w:id="292"/>
    </w:p>
    <w:p w14:paraId="0EC9197C">
      <w:pPr>
        <w:pStyle w:val="3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.评标期间，对于投标文件中含义不明确、同类问题表述不一致或者有明显文字和计算错误的内容需要投标人作出必要的澄清、说明或者补正的，评标委员会应当在</w:t>
      </w:r>
      <w:r>
        <w:rPr>
          <w:rFonts w:hint="eastAsia" w:ascii="宋体" w:hAnsi="宋体" w:eastAsia="宋体" w:cs="宋体"/>
          <w:color w:val="auto"/>
          <w:sz w:val="24"/>
          <w:szCs w:val="24"/>
          <w:highlight w:val="none"/>
          <w:lang w:val="en-US" w:eastAsia="zh-CN"/>
        </w:rPr>
        <w:t>政采云平台评标</w:t>
      </w:r>
      <w:r>
        <w:rPr>
          <w:rFonts w:hint="eastAsia" w:ascii="宋体" w:hAnsi="宋体" w:eastAsia="宋体" w:cs="宋体"/>
          <w:color w:val="auto"/>
          <w:sz w:val="24"/>
          <w:szCs w:val="24"/>
          <w:highlight w:val="none"/>
        </w:rPr>
        <w:t>系统中以书面形式要求投标人作出必要的澄清、说明或者补正。</w:t>
      </w:r>
    </w:p>
    <w:p w14:paraId="079329DA">
      <w:pPr>
        <w:pStyle w:val="3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.投标人应按照评标委员会要求在规定时间内作出澄清、说明或者补正，澄清、说明或者补正不得超出投标文件的范围或者改变投标文件的实质性内容。</w:t>
      </w:r>
    </w:p>
    <w:p w14:paraId="591A6455">
      <w:pPr>
        <w:pStyle w:val="3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.投标人的澄清、说明或者补正是其投标文件的有效组成部分，澄清、说明或者补正应当在</w:t>
      </w:r>
      <w:r>
        <w:rPr>
          <w:rFonts w:hint="eastAsia" w:ascii="宋体" w:hAnsi="宋体" w:eastAsia="宋体" w:cs="宋体"/>
          <w:color w:val="auto"/>
          <w:sz w:val="24"/>
          <w:szCs w:val="24"/>
          <w:highlight w:val="none"/>
          <w:lang w:val="en-US" w:eastAsia="zh-CN"/>
        </w:rPr>
        <w:t>政采云平台评标</w:t>
      </w:r>
      <w:r>
        <w:rPr>
          <w:rFonts w:hint="eastAsia" w:ascii="宋体" w:hAnsi="宋体" w:eastAsia="宋体" w:cs="宋体"/>
          <w:color w:val="auto"/>
          <w:sz w:val="24"/>
          <w:szCs w:val="24"/>
          <w:highlight w:val="none"/>
        </w:rPr>
        <w:t>系统中加盖电子印章后提交。</w:t>
      </w:r>
    </w:p>
    <w:p w14:paraId="3B466024">
      <w:pPr>
        <w:pStyle w:val="3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.报价合理性说明：评标委员会认为投标人的报价明显低于其他通过符合性审查投标人的报价，有可能影响</w:t>
      </w:r>
      <w:r>
        <w:rPr>
          <w:rFonts w:hint="eastAsia" w:ascii="宋体" w:hAnsi="宋体" w:eastAsia="宋体" w:cs="宋体"/>
          <w:color w:val="auto"/>
          <w:sz w:val="24"/>
          <w:szCs w:val="24"/>
          <w:highlight w:val="none"/>
          <w:lang w:val="en-US" w:eastAsia="zh-CN"/>
        </w:rPr>
        <w:t>货物</w:t>
      </w:r>
      <w:r>
        <w:rPr>
          <w:rFonts w:hint="eastAsia" w:ascii="宋体" w:hAnsi="宋体" w:eastAsia="宋体" w:cs="宋体"/>
          <w:color w:val="auto"/>
          <w:sz w:val="24"/>
          <w:szCs w:val="24"/>
          <w:highlight w:val="none"/>
        </w:rPr>
        <w:t>质量或者不能诚信履约的，</w:t>
      </w:r>
      <w:r>
        <w:rPr>
          <w:rFonts w:hint="eastAsia" w:ascii="宋体" w:hAnsi="宋体" w:eastAsia="宋体" w:cs="宋体"/>
          <w:color w:val="auto"/>
          <w:sz w:val="24"/>
          <w:szCs w:val="24"/>
          <w:highlight w:val="none"/>
          <w:lang w:val="en-US" w:eastAsia="zh-CN"/>
        </w:rPr>
        <w:t>应当</w:t>
      </w:r>
      <w:r>
        <w:rPr>
          <w:rFonts w:hint="eastAsia" w:ascii="宋体" w:hAnsi="宋体" w:eastAsia="宋体" w:cs="宋体"/>
          <w:color w:val="auto"/>
          <w:sz w:val="24"/>
          <w:szCs w:val="24"/>
          <w:highlight w:val="none"/>
        </w:rPr>
        <w:t>要求</w:t>
      </w:r>
      <w:r>
        <w:rPr>
          <w:rFonts w:hint="eastAsia" w:ascii="宋体" w:hAnsi="宋体" w:eastAsia="宋体" w:cs="宋体"/>
          <w:color w:val="auto"/>
          <w:sz w:val="24"/>
          <w:szCs w:val="24"/>
          <w:highlight w:val="none"/>
          <w:lang w:val="en-US" w:eastAsia="zh-CN"/>
        </w:rPr>
        <w:t>该投标人</w:t>
      </w:r>
      <w:r>
        <w:rPr>
          <w:rFonts w:hint="eastAsia" w:ascii="宋体" w:hAnsi="宋体" w:eastAsia="宋体" w:cs="宋体"/>
          <w:color w:val="auto"/>
          <w:sz w:val="24"/>
          <w:szCs w:val="24"/>
          <w:highlight w:val="none"/>
        </w:rPr>
        <w:t>在合理的时间内提供说明，必要时提交相关证明材料；</w:t>
      </w:r>
      <w:r>
        <w:rPr>
          <w:rFonts w:hint="eastAsia" w:ascii="宋体" w:hAnsi="宋体" w:eastAsia="宋体" w:cs="宋体"/>
          <w:color w:val="auto"/>
          <w:sz w:val="24"/>
          <w:szCs w:val="24"/>
          <w:highlight w:val="none"/>
          <w:lang w:val="en-US" w:eastAsia="zh-CN"/>
        </w:rPr>
        <w:t>若</w:t>
      </w:r>
      <w:r>
        <w:rPr>
          <w:rFonts w:hint="eastAsia" w:ascii="宋体" w:hAnsi="宋体" w:eastAsia="宋体" w:cs="宋体"/>
          <w:color w:val="auto"/>
          <w:sz w:val="24"/>
          <w:szCs w:val="24"/>
          <w:highlight w:val="none"/>
        </w:rPr>
        <w:t>投标人不能证明其报价合理性的，评标委员</w:t>
      </w:r>
      <w:r>
        <w:rPr>
          <w:rFonts w:hint="eastAsia" w:ascii="宋体" w:hAnsi="宋体" w:eastAsia="宋体" w:cs="宋体"/>
          <w:color w:val="auto"/>
          <w:sz w:val="24"/>
          <w:szCs w:val="24"/>
          <w:highlight w:val="none"/>
          <w:lang w:val="en-US" w:eastAsia="zh-CN"/>
        </w:rPr>
        <w:t>会应当</w:t>
      </w:r>
      <w:r>
        <w:rPr>
          <w:rFonts w:hint="eastAsia" w:ascii="宋体" w:hAnsi="宋体" w:eastAsia="宋体" w:cs="宋体"/>
          <w:color w:val="auto"/>
          <w:sz w:val="24"/>
          <w:szCs w:val="24"/>
          <w:highlight w:val="none"/>
        </w:rPr>
        <w:t>将其作</w:t>
      </w:r>
      <w:r>
        <w:rPr>
          <w:rFonts w:hint="eastAsia" w:ascii="宋体" w:hAnsi="宋体" w:eastAsia="宋体" w:cs="宋体"/>
          <w:b/>
          <w:bCs/>
          <w:color w:val="auto"/>
          <w:sz w:val="24"/>
          <w:szCs w:val="24"/>
          <w:highlight w:val="none"/>
        </w:rPr>
        <w:t>无效投标</w:t>
      </w:r>
      <w:r>
        <w:rPr>
          <w:rFonts w:hint="eastAsia" w:ascii="宋体" w:hAnsi="宋体" w:eastAsia="宋体" w:cs="宋体"/>
          <w:color w:val="auto"/>
          <w:sz w:val="24"/>
          <w:szCs w:val="24"/>
          <w:highlight w:val="none"/>
        </w:rPr>
        <w:t>处理。</w:t>
      </w:r>
    </w:p>
    <w:p w14:paraId="4FD6345C">
      <w:pPr>
        <w:pStyle w:val="37"/>
        <w:ind w:left="0" w:lef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rFonts w:hint="eastAsia" w:ascii="宋体" w:hAnsi="宋体" w:eastAsia="宋体" w:cs="宋体"/>
          <w:b/>
          <w:bCs/>
          <w:color w:val="auto"/>
          <w:sz w:val="24"/>
          <w:szCs w:val="24"/>
          <w:highlight w:val="none"/>
          <w:lang w:val="en-US" w:eastAsia="zh-CN"/>
        </w:rPr>
        <w:t>投标无效</w:t>
      </w:r>
      <w:r>
        <w:rPr>
          <w:rFonts w:hint="eastAsia" w:ascii="宋体" w:hAnsi="宋体" w:eastAsia="宋体" w:cs="宋体"/>
          <w:color w:val="auto"/>
          <w:sz w:val="24"/>
          <w:szCs w:val="24"/>
          <w:highlight w:val="none"/>
          <w:lang w:val="en-US" w:eastAsia="zh-CN"/>
        </w:rPr>
        <w:t>。</w:t>
      </w:r>
    </w:p>
    <w:p w14:paraId="015D7E7F">
      <w:pPr>
        <w:pStyle w:val="37"/>
        <w:ind w:left="0" w:lef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8.投标文件报价出现前后不一致的，除招标文件另有规定外，按照下列规定修正：</w:t>
      </w:r>
    </w:p>
    <w:p w14:paraId="4D967018">
      <w:pPr>
        <w:pStyle w:val="37"/>
        <w:ind w:left="0" w:lef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8.1投标文件中开标一览表（报价表）内容与投标文件中相应内容不一致的，以开标一览表（报价表）为准；</w:t>
      </w:r>
    </w:p>
    <w:p w14:paraId="657B9F51">
      <w:pPr>
        <w:pStyle w:val="37"/>
        <w:ind w:left="0" w:lef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8.2大写金额和小写金额不一致的，以大写金额为准；</w:t>
      </w:r>
    </w:p>
    <w:p w14:paraId="628E9D79">
      <w:pPr>
        <w:pStyle w:val="37"/>
        <w:ind w:left="0" w:lef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8.3单价金额小数点或者百分比有明显错位的，以开标一览表的总价为准，并修改单价；</w:t>
      </w:r>
    </w:p>
    <w:p w14:paraId="3D45997F">
      <w:pPr>
        <w:pStyle w:val="37"/>
        <w:ind w:left="0" w:lef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8.4总价金额与按单价汇总金额不一致的，以单价金额计算结果为准。</w:t>
      </w:r>
    </w:p>
    <w:p w14:paraId="4E5FFFFF">
      <w:pPr>
        <w:pStyle w:val="37"/>
        <w:ind w:left="0" w:lef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同时出现两种以上不一致的，按照8.1—8.4的顺序修正。修正后的报价采用书面形式，并加盖公章，或者由法定代表人或其授权的代表签字，经投标人确认后产生约束力，投标人不确认的，其</w:t>
      </w:r>
      <w:r>
        <w:rPr>
          <w:rFonts w:hint="eastAsia" w:ascii="宋体" w:hAnsi="宋体" w:eastAsia="宋体" w:cs="宋体"/>
          <w:b/>
          <w:bCs/>
          <w:color w:val="auto"/>
          <w:sz w:val="24"/>
          <w:szCs w:val="24"/>
          <w:highlight w:val="none"/>
          <w:lang w:val="en-US" w:eastAsia="zh-CN"/>
        </w:rPr>
        <w:t>投标无效</w:t>
      </w:r>
      <w:r>
        <w:rPr>
          <w:rFonts w:hint="eastAsia" w:ascii="宋体" w:hAnsi="宋体" w:eastAsia="宋体" w:cs="宋体"/>
          <w:color w:val="auto"/>
          <w:sz w:val="24"/>
          <w:szCs w:val="24"/>
          <w:highlight w:val="none"/>
          <w:lang w:val="en-US" w:eastAsia="zh-CN"/>
        </w:rPr>
        <w:t>。</w:t>
      </w:r>
    </w:p>
    <w:p w14:paraId="33748C4F">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三</w:t>
      </w:r>
      <w:r>
        <w:rPr>
          <w:rFonts w:hint="eastAsia" w:ascii="宋体" w:hAnsi="宋体" w:eastAsia="宋体" w:cs="宋体"/>
          <w:b/>
          <w:bCs/>
          <w:color w:val="auto"/>
          <w:kern w:val="2"/>
          <w:sz w:val="24"/>
          <w:szCs w:val="24"/>
          <w:highlight w:val="none"/>
          <w:lang w:val="zh-CN" w:eastAsia="zh-CN" w:bidi="ar-SA"/>
        </w:rPr>
        <w:t>）比较与评价</w:t>
      </w:r>
    </w:p>
    <w:p w14:paraId="2BE6ECB2">
      <w:pPr>
        <w:pStyle w:val="3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评标委员会应当按照招标文件中规定的评标方法和标准，对符合性审查合格的投标文件进行商务和技术评</w:t>
      </w:r>
      <w:r>
        <w:rPr>
          <w:rFonts w:hint="eastAsia" w:ascii="宋体" w:hAnsi="宋体" w:eastAsia="宋体" w:cs="宋体"/>
          <w:color w:val="auto"/>
          <w:sz w:val="24"/>
          <w:szCs w:val="24"/>
          <w:highlight w:val="none"/>
          <w:lang w:val="en-US" w:eastAsia="zh-CN"/>
        </w:rPr>
        <w:t>估</w:t>
      </w:r>
      <w:r>
        <w:rPr>
          <w:rFonts w:hint="eastAsia" w:ascii="宋体" w:hAnsi="宋体" w:eastAsia="宋体" w:cs="宋体"/>
          <w:color w:val="auto"/>
          <w:sz w:val="24"/>
          <w:szCs w:val="24"/>
          <w:highlight w:val="none"/>
        </w:rPr>
        <w:t>，综合比较与评价</w:t>
      </w:r>
      <w:r>
        <w:rPr>
          <w:rFonts w:hint="eastAsia" w:ascii="宋体" w:hAnsi="宋体" w:eastAsia="宋体" w:cs="宋体"/>
          <w:color w:val="auto"/>
          <w:sz w:val="24"/>
          <w:szCs w:val="24"/>
          <w:highlight w:val="none"/>
          <w:lang w:val="en-US" w:eastAsia="zh-CN"/>
        </w:rPr>
        <w:t>；未通过符合性审查的投标文件不得进入比较与评价</w:t>
      </w:r>
      <w:r>
        <w:rPr>
          <w:rFonts w:hint="eastAsia" w:ascii="宋体" w:hAnsi="宋体" w:eastAsia="宋体" w:cs="宋体"/>
          <w:color w:val="auto"/>
          <w:sz w:val="24"/>
          <w:szCs w:val="24"/>
          <w:highlight w:val="none"/>
        </w:rPr>
        <w:t>。评审因素包括投标报价、商务技术以及落实政府采购政策。评审因素及标准见本章</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rPr>
        <w:t>评</w:t>
      </w:r>
      <w:r>
        <w:rPr>
          <w:rFonts w:hint="eastAsia" w:ascii="宋体" w:hAnsi="宋体" w:eastAsia="宋体" w:cs="宋体"/>
          <w:color w:val="auto"/>
          <w:sz w:val="24"/>
          <w:szCs w:val="24"/>
          <w:highlight w:val="none"/>
          <w:lang w:val="en-US" w:eastAsia="zh-CN"/>
        </w:rPr>
        <w:t>标</w:t>
      </w:r>
      <w:r>
        <w:rPr>
          <w:rFonts w:hint="eastAsia" w:ascii="宋体" w:hAnsi="宋体" w:eastAsia="宋体" w:cs="宋体"/>
          <w:color w:val="auto"/>
          <w:sz w:val="24"/>
          <w:szCs w:val="24"/>
          <w:highlight w:val="none"/>
        </w:rPr>
        <w:t>标准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p>
    <w:p w14:paraId="635A5086">
      <w:pPr>
        <w:pStyle w:val="37"/>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10.相同品牌处理原则</w:t>
      </w:r>
    </w:p>
    <w:p w14:paraId="7EDACD8A">
      <w:pPr>
        <w:pStyle w:val="37"/>
        <w:keepNext w:val="0"/>
        <w:keepLines w:val="0"/>
        <w:pageBreakBefore w:val="0"/>
        <w:widowControl w:val="0"/>
        <w:kinsoku/>
        <w:overflowPunct/>
        <w:topLinePunct w:val="0"/>
        <w:autoSpaceDE/>
        <w:autoSpaceDN/>
        <w:bidi w:val="0"/>
        <w:adjustRightInd/>
        <w:snapToGri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.1单一产品采购（或非单一产品采购中的核心产品），提供相同品牌产品且通过资格审查、符合性审查的不同投标人参加同一合同项下投标的，按一家投标人计算。</w:t>
      </w:r>
    </w:p>
    <w:p w14:paraId="6B4B1667">
      <w:pPr>
        <w:pStyle w:val="37"/>
        <w:keepNext w:val="0"/>
        <w:keepLines w:val="0"/>
        <w:pageBreakBefore w:val="0"/>
        <w:widowControl w:val="0"/>
        <w:kinsoku/>
        <w:overflowPunct/>
        <w:topLinePunct w:val="0"/>
        <w:autoSpaceDE/>
        <w:autoSpaceDN/>
        <w:bidi w:val="0"/>
        <w:adjustRightInd/>
        <w:snapToGri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.2非单一产品采购项目，采购人应当根据采购项目技术构成、产品价格比重等合理确定</w:t>
      </w:r>
      <w:r>
        <w:rPr>
          <w:rFonts w:hint="eastAsia" w:ascii="宋体" w:hAnsi="宋体" w:eastAsia="宋体" w:cs="宋体"/>
          <w:color w:val="auto"/>
          <w:sz w:val="24"/>
          <w:szCs w:val="24"/>
          <w:highlight w:val="none"/>
          <w:lang w:eastAsia="zh-CN"/>
        </w:rPr>
        <w:t>核心产品</w:t>
      </w:r>
      <w:r>
        <w:rPr>
          <w:rFonts w:hint="eastAsia" w:ascii="宋体" w:hAnsi="宋体" w:eastAsia="宋体" w:cs="宋体"/>
          <w:color w:val="auto"/>
          <w:sz w:val="24"/>
          <w:szCs w:val="24"/>
          <w:highlight w:val="none"/>
        </w:rPr>
        <w:t>（采购清单中作“与核心产品相同〈或同一〉品牌”实质性要求的产品，视为</w:t>
      </w:r>
      <w:r>
        <w:rPr>
          <w:rFonts w:hint="eastAsia" w:ascii="宋体" w:hAnsi="宋体" w:eastAsia="宋体" w:cs="宋体"/>
          <w:color w:val="auto"/>
          <w:sz w:val="24"/>
          <w:szCs w:val="24"/>
          <w:highlight w:val="none"/>
          <w:lang w:eastAsia="zh-CN"/>
        </w:rPr>
        <w:t>核心产品</w:t>
      </w:r>
      <w:r>
        <w:rPr>
          <w:rFonts w:hint="eastAsia" w:ascii="宋体" w:hAnsi="宋体" w:eastAsia="宋体" w:cs="宋体"/>
          <w:color w:val="auto"/>
          <w:sz w:val="24"/>
          <w:szCs w:val="24"/>
          <w:highlight w:val="none"/>
        </w:rPr>
        <w:t>），并以“核心产品”在“投标人须知前附表”中载明，评审时按前款规定处理。</w:t>
      </w:r>
    </w:p>
    <w:p w14:paraId="384D833B">
      <w:pPr>
        <w:pStyle w:val="37"/>
        <w:keepNext w:val="0"/>
        <w:keepLines w:val="0"/>
        <w:pageBreakBefore w:val="0"/>
        <w:widowControl w:val="0"/>
        <w:kinsoku/>
        <w:overflowPunct/>
        <w:topLinePunct w:val="0"/>
        <w:autoSpaceDE/>
        <w:autoSpaceDN/>
        <w:bidi w:val="0"/>
        <w:adjustRightInd/>
        <w:snapToGri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.3有效投标品牌不足3家的应按</w:t>
      </w:r>
      <w:r>
        <w:rPr>
          <w:rFonts w:hint="eastAsia" w:ascii="宋体" w:hAnsi="宋体" w:eastAsia="宋体" w:cs="宋体"/>
          <w:b/>
          <w:bCs/>
          <w:color w:val="auto"/>
          <w:sz w:val="24"/>
          <w:szCs w:val="24"/>
          <w:highlight w:val="none"/>
        </w:rPr>
        <w:t>废标</w:t>
      </w:r>
      <w:r>
        <w:rPr>
          <w:rFonts w:hint="eastAsia" w:ascii="宋体" w:hAnsi="宋体" w:eastAsia="宋体" w:cs="宋体"/>
          <w:color w:val="auto"/>
          <w:sz w:val="24"/>
          <w:szCs w:val="24"/>
          <w:highlight w:val="none"/>
        </w:rPr>
        <w:t>处理。</w:t>
      </w:r>
    </w:p>
    <w:p w14:paraId="7C54BD9F">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四</w:t>
      </w:r>
      <w:r>
        <w:rPr>
          <w:rFonts w:hint="eastAsia" w:ascii="宋体" w:hAnsi="宋体" w:eastAsia="宋体" w:cs="宋体"/>
          <w:b/>
          <w:bCs/>
          <w:color w:val="auto"/>
          <w:kern w:val="2"/>
          <w:sz w:val="24"/>
          <w:szCs w:val="24"/>
          <w:highlight w:val="none"/>
          <w:lang w:val="zh-CN" w:eastAsia="zh-CN" w:bidi="ar-SA"/>
        </w:rPr>
        <w:t>）报价评审</w:t>
      </w:r>
    </w:p>
    <w:p w14:paraId="21874171">
      <w:pPr>
        <w:pStyle w:val="3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投标报价评审</w:t>
      </w:r>
    </w:p>
    <w:p w14:paraId="266BD854">
      <w:pPr>
        <w:pStyle w:val="3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货物项目的价格分值占总分值的比重不得低于30%。执行国家统一定价标准和采用固定价格采购的项目，其价格不列为评审因素。</w:t>
      </w:r>
      <w:r>
        <w:rPr>
          <w:rFonts w:hint="eastAsia" w:ascii="宋体" w:hAnsi="宋体" w:eastAsia="宋体" w:cs="宋体"/>
          <w:color w:val="auto"/>
          <w:sz w:val="24"/>
          <w:szCs w:val="24"/>
          <w:highlight w:val="none"/>
        </w:rPr>
        <w:t>价格分应当采用低价优先法计算，即满足招标文件要求且投标价格最低的投标报价为评标基准价，其价格分为满分。其他投标人的价格分统一按照下列公式计算：</w:t>
      </w:r>
    </w:p>
    <w:p w14:paraId="2D86B7AD">
      <w:pPr>
        <w:pStyle w:val="3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投标报价得分=(评标基准价／投标报价)×价格分值</w:t>
      </w:r>
    </w:p>
    <w:p w14:paraId="0CCB2E48">
      <w:pPr>
        <w:pStyle w:val="3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评标过程中，不得去掉报价中的最高报价和最低报价。</w:t>
      </w:r>
    </w:p>
    <w:p w14:paraId="14E623B0">
      <w:pPr>
        <w:pStyle w:val="3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2</w:t>
      </w:r>
      <w:r>
        <w:rPr>
          <w:rFonts w:hint="eastAsia" w:ascii="宋体" w:hAnsi="宋体" w:eastAsia="宋体" w:cs="宋体"/>
          <w:iCs/>
          <w:color w:val="auto"/>
          <w:spacing w:val="-6"/>
          <w:sz w:val="24"/>
          <w:szCs w:val="24"/>
          <w:highlight w:val="none"/>
        </w:rPr>
        <w:t>除算术修正和落实政府采购政策的价格扣除外，不对投标报价进行调整；</w:t>
      </w:r>
    </w:p>
    <w:p w14:paraId="6DDDADCE">
      <w:pPr>
        <w:pStyle w:val="3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3价格</w:t>
      </w:r>
      <w:r>
        <w:rPr>
          <w:rFonts w:hint="eastAsia" w:ascii="宋体" w:hAnsi="宋体" w:eastAsia="宋体" w:cs="宋体"/>
          <w:color w:val="auto"/>
          <w:sz w:val="24"/>
          <w:szCs w:val="24"/>
          <w:highlight w:val="none"/>
          <w:lang w:eastAsia="zh-CN"/>
        </w:rPr>
        <w:t>分值</w:t>
      </w:r>
      <w:r>
        <w:rPr>
          <w:rFonts w:hint="eastAsia" w:ascii="宋体" w:hAnsi="宋体" w:eastAsia="宋体" w:cs="宋体"/>
          <w:color w:val="auto"/>
          <w:sz w:val="24"/>
          <w:szCs w:val="24"/>
          <w:highlight w:val="none"/>
        </w:rPr>
        <w:t>见本章</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rPr>
        <w:t>评</w:t>
      </w:r>
      <w:r>
        <w:rPr>
          <w:rFonts w:hint="eastAsia" w:ascii="宋体" w:hAnsi="宋体" w:eastAsia="宋体" w:cs="宋体"/>
          <w:color w:val="auto"/>
          <w:sz w:val="24"/>
          <w:szCs w:val="24"/>
          <w:highlight w:val="none"/>
          <w:lang w:val="en-US" w:eastAsia="zh-CN"/>
        </w:rPr>
        <w:t>标</w:t>
      </w:r>
      <w:r>
        <w:rPr>
          <w:rFonts w:hint="eastAsia" w:ascii="宋体" w:hAnsi="宋体" w:eastAsia="宋体" w:cs="宋体"/>
          <w:color w:val="auto"/>
          <w:sz w:val="24"/>
          <w:szCs w:val="24"/>
          <w:highlight w:val="none"/>
        </w:rPr>
        <w:t>标准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p>
    <w:p w14:paraId="30866637">
      <w:pPr>
        <w:pStyle w:val="3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.政府采购政策评审</w:t>
      </w:r>
    </w:p>
    <w:p w14:paraId="7D57744F">
      <w:pPr>
        <w:pStyle w:val="37"/>
        <w:numPr>
          <w:ilvl w:val="0"/>
          <w:numId w:val="0"/>
        </w:numPr>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.1非专门面向中小企业的采购项目或采购包，对符合规定的小微企业（</w:t>
      </w:r>
      <w:r>
        <w:rPr>
          <w:rFonts w:hint="eastAsia" w:ascii="宋体" w:hAnsi="宋体" w:eastAsia="宋体" w:cs="宋体"/>
          <w:color w:val="auto"/>
          <w:sz w:val="24"/>
          <w:szCs w:val="24"/>
          <w:highlight w:val="none"/>
          <w:lang w:val="en-US" w:eastAsia="zh-CN"/>
        </w:rPr>
        <w:t>含</w:t>
      </w:r>
      <w:r>
        <w:rPr>
          <w:rFonts w:hint="eastAsia" w:ascii="宋体" w:hAnsi="宋体" w:eastAsia="宋体" w:cs="宋体"/>
          <w:color w:val="auto"/>
          <w:sz w:val="24"/>
          <w:szCs w:val="24"/>
          <w:highlight w:val="none"/>
        </w:rPr>
        <w:t>监狱企业、残疾人福利性单位、联合体各方均为小微企业的联合体、符合小微企业划分标准的个体工商户视同小微企业）报价按照本招标文件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投标人须知前附表”中的规定扣除，对小微企业中的监狱企业、残疾人福利性单位的报价按照本</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rPr>
        <w:t>文件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须知前附表”中的规定扣除，用扣除后的价格</w:t>
      </w:r>
      <w:r>
        <w:rPr>
          <w:rFonts w:hint="eastAsia" w:cs="宋体"/>
          <w:color w:val="auto"/>
          <w:sz w:val="24"/>
          <w:szCs w:val="24"/>
          <w:highlight w:val="none"/>
          <w:lang w:val="en-US" w:eastAsia="zh-CN"/>
        </w:rPr>
        <w:t>参与</w:t>
      </w:r>
      <w:r>
        <w:rPr>
          <w:rFonts w:hint="eastAsia" w:ascii="宋体" w:hAnsi="宋体" w:eastAsia="宋体" w:cs="宋体"/>
          <w:color w:val="auto"/>
          <w:sz w:val="24"/>
          <w:szCs w:val="24"/>
          <w:highlight w:val="none"/>
        </w:rPr>
        <w:t>评审</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采购产品纳入创新产品应用示范推荐目录内企业、采购产品获得节能产品或环境标志产品认证证书</w:t>
      </w:r>
      <w:r>
        <w:rPr>
          <w:rFonts w:hint="eastAsia" w:cs="宋体"/>
          <w:color w:val="auto"/>
          <w:sz w:val="24"/>
          <w:szCs w:val="24"/>
          <w:highlight w:val="none"/>
          <w:lang w:val="en-US" w:eastAsia="zh-CN"/>
        </w:rPr>
        <w:t>的投标人</w:t>
      </w:r>
      <w:r>
        <w:rPr>
          <w:rFonts w:hint="eastAsia" w:ascii="宋体" w:hAnsi="宋体" w:eastAsia="宋体" w:cs="宋体"/>
          <w:color w:val="auto"/>
          <w:sz w:val="24"/>
          <w:szCs w:val="24"/>
          <w:highlight w:val="none"/>
        </w:rPr>
        <w:t>按照本</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rPr>
        <w:t>文件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须知前附表”中的规定</w:t>
      </w:r>
      <w:r>
        <w:rPr>
          <w:rFonts w:hint="eastAsia" w:cs="宋体"/>
          <w:color w:val="auto"/>
          <w:sz w:val="24"/>
          <w:szCs w:val="24"/>
          <w:highlight w:val="none"/>
          <w:lang w:val="en-US" w:eastAsia="zh-CN"/>
        </w:rPr>
        <w:t>给予评审优惠</w:t>
      </w:r>
      <w:r>
        <w:rPr>
          <w:rFonts w:hint="eastAsia" w:ascii="宋体" w:hAnsi="宋体" w:eastAsia="宋体" w:cs="宋体"/>
          <w:color w:val="auto"/>
          <w:sz w:val="24"/>
          <w:szCs w:val="24"/>
          <w:highlight w:val="none"/>
          <w:lang w:eastAsia="zh-CN"/>
        </w:rPr>
        <w:t>。</w:t>
      </w:r>
    </w:p>
    <w:p w14:paraId="1E5F4E03">
      <w:pPr>
        <w:pStyle w:val="37"/>
        <w:numPr>
          <w:ilvl w:val="0"/>
          <w:numId w:val="0"/>
        </w:numPr>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lang w:val="zh-CN" w:eastAsia="zh-CN"/>
        </w:rPr>
        <w:t>2</w:t>
      </w:r>
      <w:r>
        <w:rPr>
          <w:rFonts w:hint="eastAsia" w:ascii="宋体" w:hAnsi="宋体" w:eastAsia="宋体" w:cs="宋体"/>
          <w:color w:val="auto"/>
          <w:sz w:val="24"/>
          <w:szCs w:val="24"/>
          <w:highlight w:val="none"/>
        </w:rPr>
        <w:t>参加政府采购活动的小微企业（含节能环保、创新产品企业）未提供“中小企业声明函”的；监狱企业未提供“监狱企业证明文件”的；残疾人福利性单位未提供“残疾人福利性单位声明函”的；不得享受相应的价格扣除优惠。组成联合体或者接受分包的小微企业与联合体内其他企业、分包企业之间存在直接控股、管理关系的，不得享受价格扣除优惠。</w:t>
      </w:r>
      <w:r>
        <w:rPr>
          <w:rFonts w:hint="eastAsia" w:ascii="宋体" w:hAnsi="宋体" w:eastAsia="宋体" w:cs="宋体"/>
          <w:color w:val="auto"/>
          <w:sz w:val="24"/>
          <w:szCs w:val="24"/>
          <w:highlight w:val="none"/>
          <w:lang w:val="en-US" w:eastAsia="zh-CN"/>
        </w:rPr>
        <w:t>若供应商同时属于小型或微型企业、监狱企业、残疾人福利性单位 中的两种及以上，将不重复享受小微企业价格扣减的优惠政策。</w:t>
      </w:r>
    </w:p>
    <w:p w14:paraId="1A495953">
      <w:pPr>
        <w:pStyle w:val="37"/>
        <w:numPr>
          <w:ilvl w:val="0"/>
          <w:numId w:val="0"/>
        </w:numPr>
        <w:shd w:val="clear" w:color="auto" w:fill="FFFFFF" w:themeFill="background1"/>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组成联合体或者接受分包的小微企业与联合体内其他企业、分包企业之间存在直接控股、管理关系的，不享受价格扣除优惠政策。</w:t>
      </w:r>
    </w:p>
    <w:p w14:paraId="74F2F1A2">
      <w:pPr>
        <w:pStyle w:val="37"/>
        <w:numPr>
          <w:ilvl w:val="0"/>
          <w:numId w:val="0"/>
        </w:numPr>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价格扣除比例对小型企业和微型企业同等对待，不作区分。</w:t>
      </w:r>
    </w:p>
    <w:p w14:paraId="71DD10A8">
      <w:pPr>
        <w:pStyle w:val="37"/>
        <w:rPr>
          <w:rFonts w:hint="eastAsia" w:ascii="宋体" w:hAnsi="宋体" w:eastAsia="宋体" w:cs="宋体"/>
          <w:color w:val="auto"/>
          <w:sz w:val="24"/>
          <w:szCs w:val="24"/>
          <w:highlight w:val="none"/>
        </w:rPr>
      </w:pPr>
      <w:r>
        <w:rPr>
          <w:rFonts w:hint="eastAsia" w:ascii="宋体" w:hAnsi="宋体" w:eastAsia="宋体" w:cs="宋体"/>
          <w:iCs/>
          <w:color w:val="auto"/>
          <w:kern w:val="2"/>
          <w:sz w:val="24"/>
          <w:szCs w:val="24"/>
          <w:highlight w:val="none"/>
          <w:shd w:val="clear" w:fill="FFFFFF" w:themeFill="background1"/>
          <w:lang w:val="en-US" w:eastAsia="zh-CN" w:bidi="ar-SA"/>
        </w:rPr>
        <w:t>12.</w:t>
      </w:r>
      <w:r>
        <w:rPr>
          <w:rFonts w:hint="eastAsia" w:ascii="宋体" w:hAnsi="宋体" w:eastAsia="宋体" w:cs="宋体"/>
          <w:iCs/>
          <w:color w:val="auto"/>
          <w:kern w:val="2"/>
          <w:sz w:val="24"/>
          <w:szCs w:val="24"/>
          <w:highlight w:val="none"/>
          <w:shd w:val="clear" w:fill="FFFFFF" w:themeFill="background1"/>
          <w:lang w:val="zh-CN" w:eastAsia="zh-CN" w:bidi="ar-SA"/>
        </w:rPr>
        <w:t>3</w:t>
      </w:r>
      <w:r>
        <w:rPr>
          <w:rFonts w:hint="eastAsia" w:ascii="宋体" w:hAnsi="宋体" w:eastAsia="宋体" w:cs="宋体"/>
          <w:color w:val="auto"/>
          <w:sz w:val="24"/>
          <w:szCs w:val="24"/>
          <w:highlight w:val="none"/>
        </w:rPr>
        <w:t>专门面向中小企业、预留部分采购份额面向中小企业采购的项目或采购包，评审时不再进行价格扣除。</w:t>
      </w:r>
    </w:p>
    <w:p w14:paraId="3874ED83">
      <w:pPr>
        <w:pStyle w:val="3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12.4</w:t>
      </w:r>
      <w:r>
        <w:rPr>
          <w:rFonts w:hint="eastAsia" w:ascii="宋体" w:hAnsi="宋体" w:eastAsia="宋体" w:cs="宋体"/>
          <w:color w:val="auto"/>
          <w:sz w:val="24"/>
          <w:szCs w:val="24"/>
          <w:highlight w:val="none"/>
        </w:rPr>
        <w:t>对于未预留份额专门面向中小企业的政府采购项目，以及预留份额政府采购项目中的非预留部分标项，对小型和微型企业的投标报价给予10%-20%的扣除，用扣除后的价格参与评审。接受大中型企业与小微企业组成联合体或者允许大中型企业向一家或者多家小微企业分包的政府采购项目，对于联合</w:t>
      </w:r>
      <w:r>
        <w:rPr>
          <w:rFonts w:hint="eastAsia" w:ascii="宋体" w:hAnsi="宋体" w:eastAsia="宋体" w:cs="宋体"/>
          <w:color w:val="auto"/>
          <w:sz w:val="24"/>
          <w:szCs w:val="24"/>
          <w:highlight w:val="none"/>
          <w:lang w:val="en-US" w:eastAsia="zh-CN"/>
        </w:rPr>
        <w:t>体</w:t>
      </w:r>
      <w:r>
        <w:rPr>
          <w:rFonts w:hint="eastAsia" w:ascii="宋体" w:hAnsi="宋体" w:eastAsia="宋体" w:cs="宋体"/>
          <w:color w:val="auto"/>
          <w:sz w:val="24"/>
          <w:szCs w:val="24"/>
          <w:highlight w:val="none"/>
        </w:rPr>
        <w:t>协议</w:t>
      </w:r>
      <w:r>
        <w:rPr>
          <w:rFonts w:hint="eastAsia" w:ascii="宋体" w:hAnsi="宋体" w:eastAsia="宋体" w:cs="宋体"/>
          <w:color w:val="auto"/>
          <w:sz w:val="24"/>
          <w:szCs w:val="24"/>
          <w:highlight w:val="none"/>
          <w:lang w:val="en-US" w:eastAsia="zh-CN"/>
        </w:rPr>
        <w:t>书</w:t>
      </w:r>
      <w:r>
        <w:rPr>
          <w:rFonts w:hint="eastAsia" w:ascii="宋体" w:hAnsi="宋体" w:eastAsia="宋体" w:cs="宋体"/>
          <w:color w:val="auto"/>
          <w:sz w:val="24"/>
          <w:szCs w:val="24"/>
          <w:highlight w:val="none"/>
        </w:rPr>
        <w:t>或者分包意向协议</w:t>
      </w:r>
      <w:r>
        <w:rPr>
          <w:rFonts w:hint="eastAsia" w:ascii="宋体" w:hAnsi="宋体" w:eastAsia="宋体" w:cs="宋体"/>
          <w:color w:val="auto"/>
          <w:sz w:val="24"/>
          <w:szCs w:val="24"/>
          <w:highlight w:val="none"/>
          <w:lang w:val="en-US" w:eastAsia="zh-CN"/>
        </w:rPr>
        <w:t>书</w:t>
      </w:r>
      <w:r>
        <w:rPr>
          <w:rFonts w:hint="eastAsia" w:ascii="宋体" w:hAnsi="宋体" w:eastAsia="宋体" w:cs="宋体"/>
          <w:color w:val="auto"/>
          <w:sz w:val="24"/>
          <w:szCs w:val="24"/>
          <w:highlight w:val="none"/>
        </w:rPr>
        <w:t>约定小微企业的合同份额占到合同总金额30%以上的，对联合体或者大中型企业的报价给予4%-6%的扣除，用扣除后的价格参加评审。组成联合体或者接受分包的小微企业与联合体内其他企业、分包企业之间存在直接控股、管理关系的，不享受价格扣除优惠政策。</w:t>
      </w:r>
    </w:p>
    <w:p w14:paraId="548FFFDB">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五</w:t>
      </w:r>
      <w:r>
        <w:rPr>
          <w:rFonts w:hint="eastAsia" w:ascii="宋体" w:hAnsi="宋体" w:eastAsia="宋体" w:cs="宋体"/>
          <w:b/>
          <w:bCs/>
          <w:color w:val="auto"/>
          <w:kern w:val="2"/>
          <w:sz w:val="24"/>
          <w:szCs w:val="24"/>
          <w:highlight w:val="none"/>
          <w:lang w:val="zh-CN" w:eastAsia="zh-CN" w:bidi="ar-SA"/>
        </w:rPr>
        <w:t>）评标得分及复核</w:t>
      </w:r>
    </w:p>
    <w:p w14:paraId="073A56A5">
      <w:pPr>
        <w:pStyle w:val="3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13.</w:t>
      </w:r>
      <w:r>
        <w:rPr>
          <w:rFonts w:hint="eastAsia" w:ascii="宋体" w:hAnsi="宋体" w:eastAsia="宋体" w:cs="宋体"/>
          <w:color w:val="auto"/>
          <w:sz w:val="24"/>
          <w:szCs w:val="24"/>
          <w:highlight w:val="none"/>
        </w:rPr>
        <w:t>评标过程中，各项分值一般精确到小数点后两位，评标得分应为商务评分、技术评分、报价评分之和。评标委员会各成员应汇总每个投标人的得分。</w:t>
      </w:r>
    </w:p>
    <w:p w14:paraId="0BE80DC7">
      <w:pPr>
        <w:pStyle w:val="3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14.</w:t>
      </w:r>
      <w:r>
        <w:rPr>
          <w:rFonts w:hint="eastAsia" w:ascii="宋体" w:hAnsi="宋体" w:eastAsia="宋体" w:cs="宋体"/>
          <w:iCs/>
          <w:color w:val="auto"/>
          <w:spacing w:val="-6"/>
          <w:sz w:val="24"/>
          <w:szCs w:val="24"/>
          <w:highlight w:val="none"/>
        </w:rPr>
        <w:t>评标结果汇总完成后，采购代理机构应对评标结果进行复核。经复核发现存在以下情形之一的，评标委员会应当当场修改评标结果，并在评标报告中记载：</w:t>
      </w:r>
    </w:p>
    <w:p w14:paraId="427128F3">
      <w:pPr>
        <w:pStyle w:val="37"/>
        <w:numPr>
          <w:ilvl w:val="0"/>
          <w:numId w:val="0"/>
        </w:numPr>
        <w:ind w:left="900" w:leftChars="0" w:hanging="420" w:firstLineChars="0"/>
        <w:rPr>
          <w:rFonts w:hint="eastAsia" w:ascii="宋体" w:hAnsi="宋体" w:eastAsia="宋体" w:cs="宋体"/>
          <w:color w:val="auto"/>
          <w:sz w:val="24"/>
          <w:szCs w:val="24"/>
          <w:highlight w:val="none"/>
        </w:rPr>
      </w:pPr>
      <w:r>
        <w:rPr>
          <w:rFonts w:hint="eastAsia" w:ascii="宋体" w:hAnsi="宋体" w:eastAsia="宋体" w:cs="宋体"/>
          <w:iCs/>
          <w:color w:val="auto"/>
          <w:kern w:val="2"/>
          <w:sz w:val="24"/>
          <w:szCs w:val="24"/>
          <w:highlight w:val="none"/>
          <w:shd w:val="clear" w:fill="FFFFFF" w:themeFill="background1"/>
          <w:lang w:val="en-US" w:eastAsia="zh-CN" w:bidi="ar-SA"/>
        </w:rPr>
        <w:t>14.1</w:t>
      </w:r>
      <w:r>
        <w:rPr>
          <w:rFonts w:hint="eastAsia" w:ascii="宋体" w:hAnsi="宋体" w:eastAsia="宋体" w:cs="宋体"/>
          <w:color w:val="auto"/>
          <w:sz w:val="24"/>
          <w:szCs w:val="24"/>
          <w:highlight w:val="none"/>
        </w:rPr>
        <w:t>分值汇总计算错误的；</w:t>
      </w:r>
    </w:p>
    <w:p w14:paraId="4404F7B4">
      <w:pPr>
        <w:pStyle w:val="37"/>
        <w:numPr>
          <w:ilvl w:val="0"/>
          <w:numId w:val="0"/>
        </w:numPr>
        <w:ind w:left="900" w:leftChars="0" w:hanging="420" w:firstLineChars="0"/>
        <w:rPr>
          <w:rFonts w:hint="eastAsia" w:ascii="宋体" w:hAnsi="宋体" w:eastAsia="宋体" w:cs="宋体"/>
          <w:color w:val="auto"/>
          <w:sz w:val="24"/>
          <w:szCs w:val="24"/>
          <w:highlight w:val="none"/>
        </w:rPr>
      </w:pPr>
      <w:r>
        <w:rPr>
          <w:rFonts w:hint="eastAsia" w:ascii="宋体" w:hAnsi="宋体" w:eastAsia="宋体" w:cs="宋体"/>
          <w:iCs/>
          <w:color w:val="auto"/>
          <w:kern w:val="2"/>
          <w:sz w:val="24"/>
          <w:szCs w:val="24"/>
          <w:highlight w:val="none"/>
          <w:shd w:val="clear" w:fill="FFFFFF" w:themeFill="background1"/>
          <w:lang w:val="en-US" w:eastAsia="zh-CN" w:bidi="ar-SA"/>
        </w:rPr>
        <w:t>14.2</w:t>
      </w:r>
      <w:r>
        <w:rPr>
          <w:rFonts w:hint="eastAsia" w:ascii="宋体" w:hAnsi="宋体" w:eastAsia="宋体" w:cs="宋体"/>
          <w:color w:val="auto"/>
          <w:sz w:val="24"/>
          <w:szCs w:val="24"/>
          <w:highlight w:val="none"/>
        </w:rPr>
        <w:t>分项评分超出评分标准范围的；</w:t>
      </w:r>
    </w:p>
    <w:p w14:paraId="18150CA8">
      <w:pPr>
        <w:pStyle w:val="37"/>
        <w:numPr>
          <w:ilvl w:val="0"/>
          <w:numId w:val="0"/>
        </w:numPr>
        <w:ind w:left="900" w:leftChars="0" w:hanging="420" w:firstLineChars="0"/>
        <w:rPr>
          <w:rFonts w:hint="eastAsia" w:ascii="宋体" w:hAnsi="宋体" w:eastAsia="宋体" w:cs="宋体"/>
          <w:color w:val="auto"/>
          <w:sz w:val="24"/>
          <w:szCs w:val="24"/>
          <w:highlight w:val="none"/>
        </w:rPr>
      </w:pPr>
      <w:r>
        <w:rPr>
          <w:rFonts w:hint="eastAsia" w:ascii="宋体" w:hAnsi="宋体" w:eastAsia="宋体" w:cs="宋体"/>
          <w:iCs/>
          <w:color w:val="auto"/>
          <w:kern w:val="2"/>
          <w:sz w:val="24"/>
          <w:szCs w:val="24"/>
          <w:highlight w:val="none"/>
          <w:shd w:val="clear" w:fill="FFFFFF" w:themeFill="background1"/>
          <w:lang w:val="en-US" w:eastAsia="zh-CN" w:bidi="ar-SA"/>
        </w:rPr>
        <w:t>14.3</w:t>
      </w:r>
      <w:r>
        <w:rPr>
          <w:rFonts w:hint="eastAsia" w:ascii="宋体" w:hAnsi="宋体" w:eastAsia="宋体" w:cs="宋体"/>
          <w:color w:val="auto"/>
          <w:sz w:val="24"/>
          <w:szCs w:val="24"/>
          <w:highlight w:val="none"/>
        </w:rPr>
        <w:t>评标委员会成员对客观评审因素评分不一致的；</w:t>
      </w:r>
    </w:p>
    <w:p w14:paraId="6BFAB3DA">
      <w:pPr>
        <w:pStyle w:val="37"/>
        <w:numPr>
          <w:ilvl w:val="0"/>
          <w:numId w:val="0"/>
        </w:numPr>
        <w:ind w:left="900" w:leftChars="0" w:hanging="420" w:firstLineChars="0"/>
        <w:rPr>
          <w:rFonts w:hint="eastAsia" w:ascii="宋体" w:hAnsi="宋体" w:eastAsia="宋体" w:cs="宋体"/>
          <w:color w:val="auto"/>
          <w:sz w:val="24"/>
          <w:szCs w:val="24"/>
          <w:highlight w:val="none"/>
        </w:rPr>
      </w:pPr>
      <w:r>
        <w:rPr>
          <w:rFonts w:hint="eastAsia" w:ascii="宋体" w:hAnsi="宋体" w:eastAsia="宋体" w:cs="宋体"/>
          <w:iCs/>
          <w:color w:val="auto"/>
          <w:kern w:val="2"/>
          <w:sz w:val="24"/>
          <w:szCs w:val="24"/>
          <w:highlight w:val="none"/>
          <w:shd w:val="clear" w:fill="FFFFFF" w:themeFill="background1"/>
          <w:lang w:val="en-US" w:eastAsia="zh-CN" w:bidi="ar-SA"/>
        </w:rPr>
        <w:t>14.4</w:t>
      </w:r>
      <w:r>
        <w:rPr>
          <w:rFonts w:hint="eastAsia" w:ascii="宋体" w:hAnsi="宋体" w:eastAsia="宋体" w:cs="宋体"/>
          <w:color w:val="auto"/>
          <w:sz w:val="24"/>
          <w:szCs w:val="24"/>
          <w:highlight w:val="none"/>
        </w:rPr>
        <w:t>经评标委员会认定评分畸高、畸低的。</w:t>
      </w:r>
    </w:p>
    <w:p w14:paraId="0FD26D1C">
      <w:pPr>
        <w:pStyle w:val="3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rPr>
        <w:t>各投标人的最终得分为评标委员会所有成员对各投标人评标得分汇总后的算术平均值。</w:t>
      </w:r>
    </w:p>
    <w:p w14:paraId="1FD846A7">
      <w:pPr>
        <w:pStyle w:val="37"/>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15.1除资格性检查认定错误、分值汇总计算错误、分项评分超出评分标准范围、客观分评分不一致、经评标委员会一致认定评分畸高、畸低的情形外，采购人或者采购代理机构不得以任何理由组织重新评审。采购人、采购代理机构发现评标委员会未按照招标文件规定的评审标准进行评审的，应当重新开展采购活动，并同时书面报告本级财政部门。</w:t>
      </w:r>
    </w:p>
    <w:p w14:paraId="125C5D08">
      <w:pPr>
        <w:pStyle w:val="37"/>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15.2采购人或者采购代理机构不得通过对样品进行检测、对投标人进行考察等方式改变评审结果。</w:t>
      </w:r>
    </w:p>
    <w:p w14:paraId="5AB9E04E">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六</w:t>
      </w:r>
      <w:r>
        <w:rPr>
          <w:rFonts w:hint="eastAsia" w:ascii="宋体" w:hAnsi="宋体" w:eastAsia="宋体" w:cs="宋体"/>
          <w:b/>
          <w:bCs/>
          <w:color w:val="auto"/>
          <w:kern w:val="2"/>
          <w:sz w:val="24"/>
          <w:szCs w:val="24"/>
          <w:highlight w:val="none"/>
          <w:lang w:val="zh-CN" w:eastAsia="zh-CN" w:bidi="ar-SA"/>
        </w:rPr>
        <w:t>）排序与推荐</w:t>
      </w:r>
    </w:p>
    <w:p w14:paraId="514ADBD8">
      <w:pPr>
        <w:pStyle w:val="37"/>
        <w:keepNext w:val="0"/>
        <w:keepLines w:val="0"/>
        <w:pageBreakBefore w:val="0"/>
        <w:widowControl w:val="0"/>
        <w:kinsoku/>
        <w:overflowPunct/>
        <w:topLinePunct w:val="0"/>
        <w:autoSpaceDE/>
        <w:autoSpaceDN/>
        <w:bidi w:val="0"/>
        <w:adjustRightInd/>
        <w:snapToGri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16.评标结果按评审后得分由高到低顺序排列。投标文件满足招标文件全部实质性要求，且按照评审因素的量化指标评审得分最高的投标人为排名第一的中标候选人。得分相同的，按投标报价由低到高顺序排列。得分且投标报价相同的，按技术指标优劣顺序排列。</w:t>
      </w:r>
    </w:p>
    <w:p w14:paraId="7B12FA4F">
      <w:pPr>
        <w:pStyle w:val="37"/>
        <w:keepNext w:val="0"/>
        <w:keepLines w:val="0"/>
        <w:pageBreakBefore w:val="0"/>
        <w:widowControl w:val="0"/>
        <w:kinsoku/>
        <w:overflowPunct/>
        <w:topLinePunct w:val="0"/>
        <w:autoSpaceDE/>
        <w:autoSpaceDN/>
        <w:bidi w:val="0"/>
        <w:adjustRightInd/>
        <w:snapToGri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17.提供相同品牌产品（单一产品采购项目中的该产品或者非单一产品采购项目的核心产品）且通过资格审查、符合性审查的不同投标人参加同一合同项下投标的，按一家投标人计算，评审后得分最高的同品牌投标人获得中标人推荐资格；评审得分相同的，由采购人或者采购人委托评标委员会按照“投标人须知前附表”规定的方式确定一个投标人获得中标人推荐资格，招标文件未规定的采取随机抽取方式确定，其他同品牌投标人不作为中标候选人。</w:t>
      </w:r>
    </w:p>
    <w:p w14:paraId="3B1F6C1A">
      <w:pPr>
        <w:pStyle w:val="37"/>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18.中标候选人推荐家数详见“投标人须知前附表”。</w:t>
      </w:r>
    </w:p>
    <w:p w14:paraId="1F98E10E">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七</w:t>
      </w:r>
      <w:r>
        <w:rPr>
          <w:rFonts w:hint="eastAsia" w:ascii="宋体" w:hAnsi="宋体" w:eastAsia="宋体" w:cs="宋体"/>
          <w:b/>
          <w:bCs/>
          <w:color w:val="auto"/>
          <w:kern w:val="2"/>
          <w:sz w:val="24"/>
          <w:szCs w:val="24"/>
          <w:highlight w:val="none"/>
          <w:lang w:val="zh-CN" w:eastAsia="zh-CN" w:bidi="ar-SA"/>
        </w:rPr>
        <w:t>）编写评标报告</w:t>
      </w:r>
    </w:p>
    <w:p w14:paraId="3576CABA">
      <w:pPr>
        <w:pStyle w:val="3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19.</w:t>
      </w:r>
      <w:r>
        <w:rPr>
          <w:rFonts w:hint="eastAsia" w:ascii="宋体" w:hAnsi="宋体" w:eastAsia="宋体" w:cs="宋体"/>
          <w:color w:val="auto"/>
          <w:sz w:val="24"/>
          <w:szCs w:val="24"/>
          <w:highlight w:val="none"/>
        </w:rPr>
        <w:t>评标委员会根据全体评标成员签字的原始评标记录和评标结果编写评标报告。评标委员会应当在评标报告上签名，对自己的评审意见承担法律责任。评标委员会成员对需要共同认定的事项存在争议的，应当按照少数服从多数的原则作出结论。持不同意见的评标委员会成员应当在评标报告上签署不同意见，并说明理由，否则视为同意评标报告。</w:t>
      </w:r>
    </w:p>
    <w:p w14:paraId="29512443">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bookmarkStart w:id="293" w:name="_Toc155185913"/>
      <w:bookmarkStart w:id="294" w:name="_Toc102116021"/>
      <w:bookmarkStart w:id="295" w:name="_Toc102056217"/>
      <w:bookmarkStart w:id="296" w:name="_Toc163492906"/>
      <w:bookmarkStart w:id="297" w:name="_Toc102057717"/>
      <w:bookmarkStart w:id="298" w:name="_Toc102119852"/>
      <w:bookmarkStart w:id="299" w:name="_Toc102116151"/>
      <w:bookmarkStart w:id="300" w:name="_Toc102114919"/>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八</w:t>
      </w:r>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投标无效及</w:t>
      </w:r>
      <w:r>
        <w:rPr>
          <w:rFonts w:hint="eastAsia" w:ascii="宋体" w:hAnsi="宋体" w:eastAsia="宋体" w:cs="宋体"/>
          <w:b/>
          <w:bCs/>
          <w:color w:val="auto"/>
          <w:kern w:val="2"/>
          <w:sz w:val="24"/>
          <w:szCs w:val="24"/>
          <w:highlight w:val="none"/>
          <w:lang w:val="zh-CN" w:eastAsia="zh-CN" w:bidi="ar-SA"/>
        </w:rPr>
        <w:t>应予废标的情形</w:t>
      </w:r>
      <w:bookmarkEnd w:id="293"/>
      <w:bookmarkEnd w:id="294"/>
      <w:bookmarkEnd w:id="295"/>
      <w:bookmarkEnd w:id="296"/>
      <w:bookmarkEnd w:id="297"/>
      <w:bookmarkEnd w:id="298"/>
      <w:bookmarkEnd w:id="299"/>
      <w:bookmarkEnd w:id="300"/>
    </w:p>
    <w:p w14:paraId="38B935D1">
      <w:pPr>
        <w:pStyle w:val="37"/>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20.投标人存在下列情形之一的，</w:t>
      </w:r>
      <w:r>
        <w:rPr>
          <w:rFonts w:hint="eastAsia" w:ascii="宋体" w:hAnsi="宋体" w:eastAsia="宋体" w:cs="宋体"/>
          <w:b/>
          <w:bCs/>
          <w:color w:val="auto"/>
          <w:sz w:val="24"/>
          <w:szCs w:val="24"/>
          <w:highlight w:val="none"/>
          <w:lang w:val="en-US" w:eastAsia="zh-CN"/>
        </w:rPr>
        <w:t>投标无效</w:t>
      </w:r>
      <w:r>
        <w:rPr>
          <w:rFonts w:hint="eastAsia" w:ascii="宋体" w:hAnsi="宋体" w:eastAsia="宋体" w:cs="宋体"/>
          <w:color w:val="auto"/>
          <w:sz w:val="24"/>
          <w:szCs w:val="24"/>
          <w:highlight w:val="none"/>
          <w:lang w:val="en-US" w:eastAsia="zh-CN"/>
        </w:rPr>
        <w:t>：</w:t>
      </w:r>
    </w:p>
    <w:p w14:paraId="5C1B2C98">
      <w:pPr>
        <w:pStyle w:val="37"/>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eastAsia="zh-CN"/>
        </w:rPr>
        <w:t>1</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lang w:val="zh-CN" w:eastAsia="zh-CN"/>
        </w:rPr>
        <w:t>不具备《中华人民共和国政府采购法》第二十二条规定条件</w:t>
      </w:r>
      <w:r>
        <w:rPr>
          <w:rFonts w:hint="eastAsia" w:ascii="宋体" w:hAnsi="宋体" w:eastAsia="宋体" w:cs="宋体"/>
          <w:color w:val="auto"/>
          <w:sz w:val="24"/>
          <w:szCs w:val="24"/>
          <w:highlight w:val="none"/>
          <w:lang w:val="en-US" w:eastAsia="zh-CN"/>
        </w:rPr>
        <w:t>；</w:t>
      </w:r>
    </w:p>
    <w:p w14:paraId="15C939E8">
      <w:pPr>
        <w:pStyle w:val="37"/>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eastAsia="zh-CN"/>
        </w:rPr>
        <w:t>2</w:t>
      </w:r>
      <w:r>
        <w:rPr>
          <w:rFonts w:hint="eastAsia" w:ascii="宋体" w:hAnsi="宋体" w:eastAsia="宋体" w:cs="宋体"/>
          <w:color w:val="auto"/>
          <w:sz w:val="24"/>
          <w:szCs w:val="24"/>
          <w:highlight w:val="none"/>
        </w:rPr>
        <w:t>投标文件未按招标文件要求签署、盖章的</w:t>
      </w:r>
      <w:r>
        <w:rPr>
          <w:rFonts w:hint="eastAsia" w:ascii="宋体" w:hAnsi="宋体" w:eastAsia="宋体" w:cs="宋体"/>
          <w:color w:val="auto"/>
          <w:sz w:val="24"/>
          <w:szCs w:val="24"/>
          <w:highlight w:val="none"/>
          <w:lang w:val="en-US" w:eastAsia="zh-CN"/>
        </w:rPr>
        <w:t>；</w:t>
      </w:r>
    </w:p>
    <w:p w14:paraId="0A936FC6">
      <w:pPr>
        <w:pStyle w:val="37"/>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eastAsia="zh-CN"/>
        </w:rPr>
        <w:t>3</w:t>
      </w:r>
      <w:r>
        <w:rPr>
          <w:rFonts w:hint="eastAsia" w:ascii="宋体" w:hAnsi="宋体" w:eastAsia="宋体" w:cs="宋体"/>
          <w:color w:val="auto"/>
          <w:sz w:val="24"/>
          <w:szCs w:val="24"/>
          <w:highlight w:val="none"/>
          <w:lang w:val="en-US" w:eastAsia="zh-CN"/>
        </w:rPr>
        <w:t>不具备招标文件中规定的资格要求的（投标人未提供有效资格文件的，视为投标人不具备招标文件中规定的资格要求）；</w:t>
      </w:r>
    </w:p>
    <w:p w14:paraId="0C68E355">
      <w:pPr>
        <w:pStyle w:val="37"/>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eastAsia="zh-CN"/>
        </w:rPr>
        <w:t>4</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lang w:val="zh-CN" w:eastAsia="zh-CN"/>
        </w:rPr>
        <w:t>文件提供虚假材料的</w:t>
      </w:r>
      <w:r>
        <w:rPr>
          <w:rFonts w:hint="eastAsia" w:ascii="宋体" w:hAnsi="宋体" w:eastAsia="宋体" w:cs="宋体"/>
          <w:color w:val="auto"/>
          <w:sz w:val="24"/>
          <w:szCs w:val="24"/>
          <w:highlight w:val="none"/>
          <w:lang w:val="en-US" w:eastAsia="zh-CN"/>
        </w:rPr>
        <w:t>；</w:t>
      </w:r>
    </w:p>
    <w:p w14:paraId="3FDAE166">
      <w:pPr>
        <w:pStyle w:val="37"/>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eastAsia="zh-CN"/>
        </w:rPr>
        <w:t>5</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lang w:val="zh-CN" w:eastAsia="zh-CN"/>
        </w:rPr>
        <w:t>文件不满足</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lang w:val="zh-CN" w:eastAsia="zh-CN"/>
        </w:rPr>
        <w:t>文件中标注“★”号的实质性条款（或指标）要求的</w:t>
      </w: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具体详见</w:t>
      </w:r>
      <w:r>
        <w:rPr>
          <w:rFonts w:hint="eastAsia" w:ascii="宋体" w:hAnsi="宋体" w:eastAsia="宋体" w:cs="宋体"/>
          <w:color w:val="auto"/>
          <w:sz w:val="24"/>
          <w:szCs w:val="24"/>
          <w:highlight w:val="none"/>
          <w:lang w:val="zh-CN"/>
        </w:rPr>
        <w:t>“实质性响应一览表”</w:t>
      </w:r>
      <w:r>
        <w:rPr>
          <w:rFonts w:hint="eastAsia" w:ascii="宋体" w:hAnsi="宋体" w:eastAsia="宋体" w:cs="宋体"/>
          <w:color w:val="auto"/>
          <w:sz w:val="24"/>
          <w:szCs w:val="24"/>
          <w:highlight w:val="none"/>
          <w:lang w:val="en-US" w:eastAsia="zh-CN"/>
        </w:rPr>
        <w:t>；</w:t>
      </w:r>
    </w:p>
    <w:p w14:paraId="2C5FC304">
      <w:pPr>
        <w:pStyle w:val="37"/>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eastAsia="zh-CN"/>
        </w:rPr>
        <w:t>6</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lang w:val="zh-CN" w:eastAsia="zh-CN"/>
        </w:rPr>
        <w:t>报价超过招标文件中规定的最高限价或者预算金额的</w:t>
      </w:r>
      <w:r>
        <w:rPr>
          <w:rFonts w:hint="eastAsia" w:ascii="宋体" w:hAnsi="宋体" w:eastAsia="宋体" w:cs="宋体"/>
          <w:color w:val="auto"/>
          <w:sz w:val="24"/>
          <w:szCs w:val="24"/>
          <w:highlight w:val="none"/>
          <w:lang w:val="en-US" w:eastAsia="zh-CN"/>
        </w:rPr>
        <w:t>；</w:t>
      </w:r>
    </w:p>
    <w:p w14:paraId="6FC2A54F">
      <w:pPr>
        <w:pStyle w:val="37"/>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eastAsia="zh-CN"/>
        </w:rPr>
        <w:t>7联合体的供应商未提交各方共同签署的</w:t>
      </w:r>
      <w:r>
        <w:rPr>
          <w:rFonts w:hint="eastAsia" w:ascii="宋体" w:hAnsi="宋体" w:eastAsia="宋体" w:cs="宋体"/>
          <w:color w:val="auto"/>
          <w:sz w:val="24"/>
          <w:szCs w:val="24"/>
          <w:highlight w:val="none"/>
          <w:lang w:val="en-US" w:eastAsia="zh-CN"/>
        </w:rPr>
        <w:t>联合体</w:t>
      </w:r>
      <w:r>
        <w:rPr>
          <w:rFonts w:hint="eastAsia" w:ascii="宋体" w:hAnsi="宋体" w:eastAsia="宋体" w:cs="宋体"/>
          <w:color w:val="auto"/>
          <w:sz w:val="24"/>
          <w:szCs w:val="24"/>
          <w:highlight w:val="none"/>
          <w:lang w:val="zh-CN" w:eastAsia="zh-CN"/>
        </w:rPr>
        <w:t>协议</w:t>
      </w:r>
      <w:r>
        <w:rPr>
          <w:rFonts w:hint="eastAsia" w:ascii="宋体" w:hAnsi="宋体" w:eastAsia="宋体" w:cs="宋体"/>
          <w:color w:val="auto"/>
          <w:sz w:val="24"/>
          <w:szCs w:val="24"/>
          <w:highlight w:val="none"/>
          <w:lang w:val="en-US" w:eastAsia="zh-CN"/>
        </w:rPr>
        <w:t>的；</w:t>
      </w:r>
    </w:p>
    <w:p w14:paraId="4D1E7850">
      <w:pPr>
        <w:pStyle w:val="37"/>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eastAsia="zh-CN"/>
        </w:rPr>
        <w:t>8</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lang w:val="zh-CN" w:eastAsia="zh-CN"/>
        </w:rPr>
        <w:t>未按</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lang w:val="zh-CN" w:eastAsia="zh-CN"/>
        </w:rPr>
        <w:t>文件</w:t>
      </w:r>
      <w:r>
        <w:rPr>
          <w:rFonts w:hint="eastAsia" w:ascii="宋体" w:hAnsi="宋体" w:eastAsia="宋体" w:cs="宋体"/>
          <w:color w:val="auto"/>
          <w:sz w:val="24"/>
          <w:szCs w:val="24"/>
          <w:highlight w:val="none"/>
          <w:lang w:val="en-US" w:eastAsia="zh-CN"/>
        </w:rPr>
        <w:t>的规定</w:t>
      </w:r>
      <w:r>
        <w:rPr>
          <w:rFonts w:hint="eastAsia" w:ascii="宋体" w:hAnsi="宋体" w:eastAsia="宋体" w:cs="宋体"/>
          <w:color w:val="auto"/>
          <w:sz w:val="24"/>
          <w:szCs w:val="24"/>
          <w:highlight w:val="none"/>
          <w:lang w:val="zh-CN" w:eastAsia="zh-CN"/>
        </w:rPr>
        <w:t>交纳投标保证金</w:t>
      </w:r>
      <w:r>
        <w:rPr>
          <w:rFonts w:hint="eastAsia" w:ascii="宋体" w:hAnsi="宋体" w:eastAsia="宋体" w:cs="宋体"/>
          <w:color w:val="auto"/>
          <w:sz w:val="24"/>
          <w:szCs w:val="24"/>
          <w:highlight w:val="none"/>
          <w:lang w:val="en-US" w:eastAsia="zh-CN"/>
        </w:rPr>
        <w:t>的；</w:t>
      </w:r>
    </w:p>
    <w:p w14:paraId="149A35CB">
      <w:pPr>
        <w:pStyle w:val="37"/>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eastAsia="zh-CN"/>
        </w:rPr>
        <w:t>9评审期间,</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lang w:val="zh-CN" w:eastAsia="zh-CN"/>
        </w:rPr>
        <w:t>没有按评标委员会的要求提交经授权代表签字的澄清、说明、补正或改变了</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lang w:val="zh-CN" w:eastAsia="zh-CN"/>
        </w:rPr>
        <w:t>文件的实质性内容</w:t>
      </w:r>
      <w:r>
        <w:rPr>
          <w:rFonts w:hint="eastAsia" w:ascii="宋体" w:hAnsi="宋体" w:eastAsia="宋体" w:cs="宋体"/>
          <w:color w:val="auto"/>
          <w:sz w:val="24"/>
          <w:szCs w:val="24"/>
          <w:highlight w:val="none"/>
          <w:lang w:val="en-US" w:eastAsia="zh-CN"/>
        </w:rPr>
        <w:t>的；</w:t>
      </w:r>
    </w:p>
    <w:p w14:paraId="19EFB935">
      <w:pPr>
        <w:pStyle w:val="37"/>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eastAsia="zh-CN"/>
        </w:rPr>
        <w:t>10</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lang w:val="zh-CN" w:eastAsia="zh-CN"/>
        </w:rPr>
        <w:t>对采购人、采购代理机构、评标委员会及其工作人员施加影响,有碍公平、公正</w:t>
      </w:r>
      <w:r>
        <w:rPr>
          <w:rFonts w:hint="eastAsia" w:ascii="宋体" w:hAnsi="宋体" w:eastAsia="宋体" w:cs="宋体"/>
          <w:color w:val="auto"/>
          <w:sz w:val="24"/>
          <w:szCs w:val="24"/>
          <w:highlight w:val="none"/>
          <w:lang w:val="en-US" w:eastAsia="zh-CN"/>
        </w:rPr>
        <w:t>的；</w:t>
      </w:r>
    </w:p>
    <w:p w14:paraId="3A6B2386">
      <w:pPr>
        <w:pStyle w:val="37"/>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20.11投标文件含有采购人不能接受的附加条件的；</w:t>
      </w:r>
    </w:p>
    <w:p w14:paraId="3764E979">
      <w:pPr>
        <w:pStyle w:val="37"/>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eastAsia="zh-CN"/>
        </w:rPr>
        <w:t>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zh-CN" w:eastAsia="zh-CN"/>
        </w:rPr>
        <w:t>法律、法规、规章规定属于</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lang w:val="zh-CN" w:eastAsia="zh-CN"/>
        </w:rPr>
        <w:t>无效的其他情形。</w:t>
      </w:r>
    </w:p>
    <w:p w14:paraId="601D7976">
      <w:pPr>
        <w:pStyle w:val="37"/>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21.有下列情形之一的，视为投标人串通投标，其</w:t>
      </w:r>
      <w:r>
        <w:rPr>
          <w:rFonts w:hint="eastAsia" w:ascii="宋体" w:hAnsi="宋体" w:eastAsia="宋体" w:cs="宋体"/>
          <w:b/>
          <w:bCs/>
          <w:color w:val="auto"/>
          <w:sz w:val="24"/>
          <w:szCs w:val="24"/>
          <w:highlight w:val="none"/>
          <w:lang w:val="en-US" w:eastAsia="zh-CN"/>
        </w:rPr>
        <w:t>投标无效</w:t>
      </w:r>
      <w:r>
        <w:rPr>
          <w:rFonts w:hint="eastAsia" w:ascii="宋体" w:hAnsi="宋体" w:eastAsia="宋体" w:cs="宋体"/>
          <w:color w:val="auto"/>
          <w:sz w:val="24"/>
          <w:szCs w:val="24"/>
          <w:highlight w:val="none"/>
          <w:lang w:val="en-US" w:eastAsia="zh-CN"/>
        </w:rPr>
        <w:t>：</w:t>
      </w:r>
    </w:p>
    <w:p w14:paraId="0BD50610">
      <w:pPr>
        <w:pStyle w:val="37"/>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21.1不同投标人的投标文件由同一单位或者个人编制；</w:t>
      </w:r>
    </w:p>
    <w:p w14:paraId="31815558">
      <w:pPr>
        <w:pStyle w:val="37"/>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21.2不同投标人委托同一单位或者个人办理投标事宜；</w:t>
      </w:r>
    </w:p>
    <w:p w14:paraId="3AD20378">
      <w:pPr>
        <w:pStyle w:val="37"/>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21.3不同投标人的投标文件载明的项目管理成员或者联系人员为同一人；</w:t>
      </w:r>
    </w:p>
    <w:p w14:paraId="3F168EA2">
      <w:pPr>
        <w:pStyle w:val="37"/>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21.4不同投标人的投标文件异常一致或者投标报价呈规律性差异；</w:t>
      </w:r>
    </w:p>
    <w:p w14:paraId="634E7939">
      <w:pPr>
        <w:pStyle w:val="37"/>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21.5不同投标人的投标文件相互混装；</w:t>
      </w:r>
    </w:p>
    <w:p w14:paraId="3B078CE3">
      <w:pPr>
        <w:pStyle w:val="37"/>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21.6不同投标人的投标保证金从同一单位或者个人的账户转出；</w:t>
      </w:r>
    </w:p>
    <w:p w14:paraId="749F838F">
      <w:pPr>
        <w:pStyle w:val="37"/>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21.7</w:t>
      </w:r>
      <w:r>
        <w:rPr>
          <w:rFonts w:hint="eastAsia" w:ascii="宋体" w:hAnsi="宋体" w:eastAsia="宋体" w:cs="宋体"/>
          <w:color w:val="auto"/>
          <w:sz w:val="24"/>
          <w:szCs w:val="24"/>
          <w:highlight w:val="none"/>
          <w:lang w:val="zh-CN" w:eastAsia="zh-CN"/>
        </w:rPr>
        <w:t>不同投标人使用同一电脑（机器特征值一致：如MAC地址等）或使用同一电子密钥，编制或上传电子投标文件</w:t>
      </w:r>
      <w:r>
        <w:rPr>
          <w:rFonts w:hint="eastAsia" w:ascii="宋体" w:hAnsi="宋体" w:eastAsia="宋体" w:cs="宋体"/>
          <w:color w:val="auto"/>
          <w:sz w:val="24"/>
          <w:szCs w:val="24"/>
          <w:highlight w:val="none"/>
          <w:lang w:val="en-US" w:eastAsia="zh-CN"/>
        </w:rPr>
        <w:t>；</w:t>
      </w:r>
    </w:p>
    <w:p w14:paraId="2A1BC50E">
      <w:pPr>
        <w:pStyle w:val="37"/>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21.8法律、法规、规章规定属于投标人串通投标的其他情形</w:t>
      </w:r>
      <w:r>
        <w:rPr>
          <w:rFonts w:hint="eastAsia" w:ascii="宋体" w:hAnsi="宋体" w:eastAsia="宋体" w:cs="宋体"/>
          <w:color w:val="auto"/>
          <w:sz w:val="24"/>
          <w:szCs w:val="24"/>
          <w:highlight w:val="none"/>
          <w:lang w:val="zh-CN" w:eastAsia="zh-CN"/>
        </w:rPr>
        <w:t>。</w:t>
      </w:r>
    </w:p>
    <w:p w14:paraId="737FAF06">
      <w:pPr>
        <w:pStyle w:val="3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22</w:t>
      </w:r>
      <w:r>
        <w:rPr>
          <w:rFonts w:hint="eastAsia" w:ascii="宋体" w:hAnsi="宋体" w:eastAsia="宋体" w:cs="宋体"/>
          <w:color w:val="auto"/>
          <w:sz w:val="24"/>
          <w:szCs w:val="24"/>
          <w:highlight w:val="none"/>
        </w:rPr>
        <w:t>.根据《中华人民共和国政府采购法》第三十六条之规定，在招标采购过程中，出现下列情形之一的，应予</w:t>
      </w:r>
      <w:r>
        <w:rPr>
          <w:rFonts w:hint="eastAsia" w:ascii="宋体" w:hAnsi="宋体" w:eastAsia="宋体" w:cs="宋体"/>
          <w:b/>
          <w:bCs/>
          <w:color w:val="auto"/>
          <w:sz w:val="24"/>
          <w:szCs w:val="24"/>
          <w:highlight w:val="none"/>
        </w:rPr>
        <w:t>废标</w:t>
      </w:r>
      <w:r>
        <w:rPr>
          <w:rFonts w:hint="eastAsia" w:ascii="宋体" w:hAnsi="宋体" w:eastAsia="宋体" w:cs="宋体"/>
          <w:color w:val="auto"/>
          <w:sz w:val="24"/>
          <w:szCs w:val="24"/>
          <w:highlight w:val="none"/>
        </w:rPr>
        <w:t>：</w:t>
      </w:r>
    </w:p>
    <w:p w14:paraId="2C92042A">
      <w:pPr>
        <w:pStyle w:val="3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22</w:t>
      </w:r>
      <w:r>
        <w:rPr>
          <w:rFonts w:hint="eastAsia" w:ascii="宋体" w:hAnsi="宋体" w:eastAsia="宋体" w:cs="宋体"/>
          <w:color w:val="auto"/>
          <w:sz w:val="24"/>
          <w:szCs w:val="24"/>
          <w:highlight w:val="none"/>
        </w:rPr>
        <w:t>.1符合专业条件的供应商或者对招标文件作实质响应的供应商不足3家的；</w:t>
      </w:r>
    </w:p>
    <w:p w14:paraId="34ECD7A2">
      <w:pPr>
        <w:pStyle w:val="3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22</w:t>
      </w:r>
      <w:r>
        <w:rPr>
          <w:rFonts w:hint="eastAsia" w:ascii="宋体" w:hAnsi="宋体" w:eastAsia="宋体" w:cs="宋体"/>
          <w:color w:val="auto"/>
          <w:sz w:val="24"/>
          <w:szCs w:val="24"/>
          <w:highlight w:val="none"/>
        </w:rPr>
        <w:t>.2出现影响采购公正的违法、违规行为的；</w:t>
      </w:r>
    </w:p>
    <w:p w14:paraId="55223AA1">
      <w:pPr>
        <w:pStyle w:val="3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22</w:t>
      </w:r>
      <w:r>
        <w:rPr>
          <w:rFonts w:hint="eastAsia" w:ascii="宋体" w:hAnsi="宋体" w:eastAsia="宋体" w:cs="宋体"/>
          <w:color w:val="auto"/>
          <w:sz w:val="24"/>
          <w:szCs w:val="24"/>
          <w:highlight w:val="none"/>
        </w:rPr>
        <w:t>.3投标人的报价均超过了采购预算，采购人不能支付的；</w:t>
      </w:r>
    </w:p>
    <w:p w14:paraId="7E486B60">
      <w:pPr>
        <w:pStyle w:val="37"/>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22</w:t>
      </w:r>
      <w:r>
        <w:rPr>
          <w:rFonts w:hint="eastAsia" w:ascii="宋体" w:hAnsi="宋体" w:eastAsia="宋体" w:cs="宋体"/>
          <w:color w:val="auto"/>
          <w:sz w:val="24"/>
          <w:szCs w:val="24"/>
          <w:highlight w:val="none"/>
        </w:rPr>
        <w:t>.4因重大变故，采购任务取消的</w:t>
      </w:r>
      <w:r>
        <w:rPr>
          <w:rFonts w:hint="eastAsia" w:ascii="宋体" w:hAnsi="宋体" w:eastAsia="宋体" w:cs="宋体"/>
          <w:color w:val="auto"/>
          <w:sz w:val="24"/>
          <w:szCs w:val="24"/>
          <w:highlight w:val="none"/>
          <w:lang w:val="en-US" w:eastAsia="zh-CN"/>
        </w:rPr>
        <w:t>；</w:t>
      </w:r>
    </w:p>
    <w:p w14:paraId="42948BC7">
      <w:pPr>
        <w:pStyle w:val="3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22.5 </w:t>
      </w:r>
      <w:r>
        <w:rPr>
          <w:rFonts w:hint="eastAsia" w:ascii="宋体" w:hAnsi="宋体" w:eastAsia="宋体" w:cs="宋体"/>
          <w:color w:val="auto"/>
          <w:sz w:val="24"/>
          <w:szCs w:val="24"/>
          <w:highlight w:val="none"/>
        </w:rPr>
        <w:t>法律、法规、规章规定属于</w:t>
      </w:r>
      <w:r>
        <w:rPr>
          <w:rFonts w:hint="eastAsia" w:ascii="宋体" w:hAnsi="宋体" w:eastAsia="宋体" w:cs="宋体"/>
          <w:color w:val="auto"/>
          <w:sz w:val="24"/>
          <w:szCs w:val="24"/>
          <w:highlight w:val="none"/>
          <w:lang w:val="en-US" w:eastAsia="zh-CN"/>
        </w:rPr>
        <w:t>废标</w:t>
      </w:r>
      <w:r>
        <w:rPr>
          <w:rFonts w:hint="eastAsia" w:ascii="宋体" w:hAnsi="宋体" w:eastAsia="宋体" w:cs="宋体"/>
          <w:color w:val="auto"/>
          <w:sz w:val="24"/>
          <w:szCs w:val="24"/>
          <w:highlight w:val="none"/>
        </w:rPr>
        <w:t>的其他情形。</w:t>
      </w:r>
    </w:p>
    <w:p w14:paraId="3EE39131">
      <w:pPr>
        <w:pStyle w:val="3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23.</w:t>
      </w:r>
      <w:r>
        <w:rPr>
          <w:rFonts w:hint="eastAsia" w:ascii="宋体" w:hAnsi="宋体" w:eastAsia="宋体" w:cs="宋体"/>
          <w:color w:val="auto"/>
          <w:sz w:val="24"/>
          <w:szCs w:val="24"/>
          <w:highlight w:val="none"/>
        </w:rPr>
        <w:t>废标后，采购人应当将废标理由通知所有投标人。</w:t>
      </w:r>
    </w:p>
    <w:p w14:paraId="05AB6DCD">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bookmarkStart w:id="301" w:name="_Toc102119853"/>
      <w:bookmarkStart w:id="302" w:name="_Toc102116022"/>
      <w:bookmarkStart w:id="303" w:name="_Toc102116152"/>
      <w:bookmarkStart w:id="304" w:name="_Toc102056218"/>
      <w:bookmarkStart w:id="305" w:name="_Toc155185914"/>
      <w:bookmarkStart w:id="306" w:name="_Toc102057718"/>
      <w:bookmarkStart w:id="307" w:name="_Toc102114920"/>
      <w:bookmarkStart w:id="308" w:name="_Toc163492907"/>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九</w:t>
      </w:r>
      <w:r>
        <w:rPr>
          <w:rFonts w:hint="eastAsia" w:ascii="宋体" w:hAnsi="宋体" w:eastAsia="宋体" w:cs="宋体"/>
          <w:b/>
          <w:bCs/>
          <w:color w:val="auto"/>
          <w:kern w:val="2"/>
          <w:sz w:val="24"/>
          <w:szCs w:val="24"/>
          <w:highlight w:val="none"/>
          <w:lang w:val="zh-CN" w:eastAsia="zh-CN" w:bidi="ar-SA"/>
        </w:rPr>
        <w:t>）停止评标的情形</w:t>
      </w:r>
      <w:bookmarkEnd w:id="301"/>
      <w:bookmarkEnd w:id="302"/>
      <w:bookmarkEnd w:id="303"/>
      <w:bookmarkEnd w:id="304"/>
      <w:bookmarkEnd w:id="305"/>
      <w:bookmarkEnd w:id="306"/>
      <w:bookmarkEnd w:id="307"/>
      <w:bookmarkEnd w:id="308"/>
    </w:p>
    <w:p w14:paraId="190044DE">
      <w:pPr>
        <w:pStyle w:val="3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24</w:t>
      </w:r>
      <w:r>
        <w:rPr>
          <w:rFonts w:hint="eastAsia" w:ascii="宋体" w:hAnsi="宋体" w:eastAsia="宋体" w:cs="宋体"/>
          <w:color w:val="auto"/>
          <w:sz w:val="24"/>
          <w:szCs w:val="24"/>
          <w:highlight w:val="none"/>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2CDB1955">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十</w:t>
      </w:r>
      <w:r>
        <w:rPr>
          <w:rFonts w:hint="eastAsia" w:ascii="宋体" w:hAnsi="宋体" w:eastAsia="宋体" w:cs="宋体"/>
          <w:b/>
          <w:bCs/>
          <w:color w:val="auto"/>
          <w:kern w:val="2"/>
          <w:sz w:val="24"/>
          <w:szCs w:val="24"/>
          <w:highlight w:val="none"/>
          <w:lang w:val="zh-CN" w:eastAsia="zh-CN" w:bidi="ar-SA"/>
        </w:rPr>
        <w:t>）重新开展采购</w:t>
      </w:r>
    </w:p>
    <w:p w14:paraId="461B653A">
      <w:pPr>
        <w:pStyle w:val="3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25.</w:t>
      </w:r>
      <w:r>
        <w:rPr>
          <w:rFonts w:hint="eastAsia" w:ascii="宋体" w:hAnsi="宋体" w:eastAsia="宋体" w:cs="宋体"/>
          <w:color w:val="auto"/>
          <w:sz w:val="24"/>
          <w:szCs w:val="24"/>
          <w:highlight w:val="none"/>
        </w:rPr>
        <w:t>有</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中华人民共和国政府采购法</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第七十一条、第七十二条规定的违法行为之一，影响或者可能影响中标结果的，依照下列规定处理：</w:t>
      </w:r>
    </w:p>
    <w:p w14:paraId="7AA5C7C3">
      <w:pPr>
        <w:pStyle w:val="3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25</w:t>
      </w:r>
      <w:r>
        <w:rPr>
          <w:rFonts w:hint="eastAsia" w:ascii="宋体" w:hAnsi="宋体" w:eastAsia="宋体" w:cs="宋体"/>
          <w:color w:val="auto"/>
          <w:sz w:val="24"/>
          <w:szCs w:val="24"/>
          <w:highlight w:val="none"/>
        </w:rPr>
        <w:t>.1未确定中标供应商的，终止本次政府采购活动，重新开展政府采购活动。</w:t>
      </w:r>
    </w:p>
    <w:p w14:paraId="3A794890">
      <w:pPr>
        <w:pStyle w:val="3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25</w:t>
      </w:r>
      <w:r>
        <w:rPr>
          <w:rFonts w:hint="eastAsia" w:ascii="宋体" w:hAnsi="宋体" w:eastAsia="宋体" w:cs="宋体"/>
          <w:color w:val="auto"/>
          <w:sz w:val="24"/>
          <w:szCs w:val="24"/>
          <w:highlight w:val="none"/>
        </w:rPr>
        <w:t>.2已确定中标供应商但尚未签订政府采购合同的，中标结果无效，从合格的中标候选人中另行确定中标供应商；没有合格的中标候选人的，重新开展政府采购活动。</w:t>
      </w:r>
    </w:p>
    <w:p w14:paraId="595100CC">
      <w:pPr>
        <w:pStyle w:val="3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25</w:t>
      </w:r>
      <w:r>
        <w:rPr>
          <w:rFonts w:hint="eastAsia" w:ascii="宋体" w:hAnsi="宋体" w:eastAsia="宋体" w:cs="宋体"/>
          <w:color w:val="auto"/>
          <w:sz w:val="24"/>
          <w:szCs w:val="24"/>
          <w:highlight w:val="none"/>
        </w:rPr>
        <w:t>.3政府采购合同已签订但尚未履行的，撤销合同，从合格的中标候选人中另行确定中标供应商；没有合格的中标候选人的，重新开展政府采购活动。</w:t>
      </w:r>
    </w:p>
    <w:p w14:paraId="45E078B1">
      <w:pPr>
        <w:pStyle w:val="3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25</w:t>
      </w:r>
      <w:r>
        <w:rPr>
          <w:rFonts w:hint="eastAsia" w:ascii="宋体" w:hAnsi="宋体" w:eastAsia="宋体" w:cs="宋体"/>
          <w:color w:val="auto"/>
          <w:sz w:val="24"/>
          <w:szCs w:val="24"/>
          <w:highlight w:val="none"/>
        </w:rPr>
        <w:t>.4政府采购合同已经履行，给采购人、供应商造成损失的，由责任人承担赔偿责任。</w:t>
      </w:r>
    </w:p>
    <w:p w14:paraId="43A428E9">
      <w:pPr>
        <w:pStyle w:val="3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25</w:t>
      </w:r>
      <w:r>
        <w:rPr>
          <w:rFonts w:hint="eastAsia" w:ascii="宋体" w:hAnsi="宋体" w:eastAsia="宋体" w:cs="宋体"/>
          <w:color w:val="auto"/>
          <w:sz w:val="24"/>
          <w:szCs w:val="24"/>
          <w:highlight w:val="none"/>
        </w:rPr>
        <w:t>.5政府采购当事人有其他违反</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中华人民共和国政府采购法</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或者</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中华人民共和国政府采购法实施条例</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等法律法规规定的行为，经改正后仍然影响</w:t>
      </w:r>
      <w:r>
        <w:rPr>
          <w:rFonts w:hint="eastAsia" w:ascii="宋体" w:hAnsi="宋体" w:eastAsia="宋体" w:cs="宋体"/>
          <w:iCs/>
          <w:color w:val="auto"/>
          <w:spacing w:val="-6"/>
          <w:sz w:val="24"/>
          <w:szCs w:val="24"/>
          <w:highlight w:val="none"/>
        </w:rPr>
        <w:t>或者可能影响中标结果或者依法被认定为中标无效的，依照</w:t>
      </w:r>
      <w:r>
        <w:rPr>
          <w:rFonts w:hint="eastAsia" w:ascii="宋体" w:hAnsi="宋体" w:eastAsia="宋体" w:cs="宋体"/>
          <w:iCs/>
          <w:color w:val="auto"/>
          <w:spacing w:val="-6"/>
          <w:sz w:val="24"/>
          <w:szCs w:val="24"/>
          <w:highlight w:val="none"/>
          <w:lang w:val="en-US" w:eastAsia="zh-CN"/>
        </w:rPr>
        <w:t>24</w:t>
      </w:r>
      <w:r>
        <w:rPr>
          <w:rFonts w:hint="eastAsia" w:ascii="宋体" w:hAnsi="宋体" w:eastAsia="宋体" w:cs="宋体"/>
          <w:iCs/>
          <w:color w:val="auto"/>
          <w:spacing w:val="-6"/>
          <w:sz w:val="24"/>
          <w:szCs w:val="24"/>
          <w:highlight w:val="none"/>
        </w:rPr>
        <w:t>.1</w:t>
      </w:r>
      <w:r>
        <w:rPr>
          <w:rFonts w:hint="eastAsia" w:ascii="宋体" w:hAnsi="宋体" w:eastAsia="宋体" w:cs="宋体"/>
          <w:iCs/>
          <w:color w:val="auto"/>
          <w:spacing w:val="-6"/>
          <w:sz w:val="24"/>
          <w:szCs w:val="24"/>
          <w:highlight w:val="none"/>
          <w:lang w:eastAsia="zh-CN"/>
        </w:rPr>
        <w:t>—</w:t>
      </w:r>
      <w:r>
        <w:rPr>
          <w:rFonts w:hint="eastAsia" w:ascii="宋体" w:hAnsi="宋体" w:eastAsia="宋体" w:cs="宋体"/>
          <w:iCs/>
          <w:color w:val="auto"/>
          <w:spacing w:val="-6"/>
          <w:sz w:val="24"/>
          <w:szCs w:val="24"/>
          <w:highlight w:val="none"/>
          <w:lang w:val="en-US" w:eastAsia="zh-CN"/>
        </w:rPr>
        <w:t>24</w:t>
      </w:r>
      <w:r>
        <w:rPr>
          <w:rFonts w:hint="eastAsia" w:ascii="宋体" w:hAnsi="宋体" w:eastAsia="宋体" w:cs="宋体"/>
          <w:iCs/>
          <w:color w:val="auto"/>
          <w:spacing w:val="-6"/>
          <w:sz w:val="24"/>
          <w:szCs w:val="24"/>
          <w:highlight w:val="none"/>
        </w:rPr>
        <w:t>.4规定处理。</w:t>
      </w:r>
    </w:p>
    <w:bookmarkEnd w:id="274"/>
    <w:bookmarkEnd w:id="275"/>
    <w:bookmarkEnd w:id="276"/>
    <w:bookmarkEnd w:id="277"/>
    <w:bookmarkEnd w:id="278"/>
    <w:bookmarkEnd w:id="279"/>
    <w:bookmarkEnd w:id="280"/>
    <w:bookmarkEnd w:id="281"/>
    <w:bookmarkEnd w:id="282"/>
    <w:bookmarkEnd w:id="283"/>
    <w:p w14:paraId="6AD5E432">
      <w:pPr>
        <w:pStyle w:val="3"/>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default" w:ascii="宋体" w:hAnsi="宋体" w:eastAsia="宋体" w:cs="宋体"/>
          <w:color w:val="auto"/>
          <w:sz w:val="28"/>
          <w:szCs w:val="28"/>
          <w:highlight w:val="none"/>
          <w:lang w:val="en-US" w:eastAsia="zh-CN"/>
        </w:rPr>
      </w:pPr>
      <w:bookmarkStart w:id="309" w:name="_Toc8869"/>
      <w:r>
        <w:rPr>
          <w:rFonts w:hint="eastAsia" w:ascii="宋体" w:hAnsi="宋体" w:eastAsia="宋体" w:cs="宋体"/>
          <w:color w:val="auto"/>
          <w:sz w:val="28"/>
          <w:szCs w:val="28"/>
          <w:highlight w:val="none"/>
          <w:lang w:val="zh-CN" w:eastAsia="zh-CN"/>
        </w:rPr>
        <w:t>三、评标</w:t>
      </w:r>
      <w:r>
        <w:rPr>
          <w:rFonts w:hint="eastAsia" w:ascii="宋体" w:hAnsi="宋体" w:eastAsia="宋体" w:cs="宋体"/>
          <w:color w:val="auto"/>
          <w:sz w:val="28"/>
          <w:szCs w:val="28"/>
          <w:highlight w:val="none"/>
          <w:lang w:val="en-US" w:eastAsia="zh-CN"/>
        </w:rPr>
        <w:t>其他要求</w:t>
      </w:r>
      <w:bookmarkEnd w:id="309"/>
    </w:p>
    <w:p w14:paraId="555D6B49">
      <w:pPr>
        <w:pStyle w:val="37"/>
        <w:pageBreakBefore w:val="0"/>
        <w:widowControl w:val="0"/>
        <w:kinsoku/>
        <w:overflowPunct/>
        <w:topLinePunct w:val="0"/>
        <w:autoSpaceDE/>
        <w:autoSpaceDN/>
        <w:bidi w:val="0"/>
        <w:adjustRightInd/>
        <w:snapToGrid/>
        <w:textAlignment w:val="auto"/>
        <w:rPr>
          <w:rFonts w:hint="eastAsia"/>
          <w:color w:val="auto"/>
          <w:highlight w:val="none"/>
          <w:lang w:eastAsia="zh-CN"/>
        </w:rPr>
      </w:pPr>
      <w:r>
        <w:rPr>
          <w:rFonts w:hint="eastAsia"/>
          <w:color w:val="auto"/>
          <w:highlight w:val="none"/>
          <w:lang w:eastAsia="zh-CN"/>
        </w:rPr>
        <w:t>【</w:t>
      </w:r>
      <w:r>
        <w:rPr>
          <w:rFonts w:hint="eastAsia"/>
          <w:color w:val="auto"/>
          <w:highlight w:val="none"/>
          <w:lang w:val="en-US" w:eastAsia="zh-CN"/>
        </w:rPr>
        <w:t>可根据项目的情况增加上述内容中未包含的要求</w:t>
      </w:r>
      <w:r>
        <w:rPr>
          <w:rFonts w:hint="eastAsia"/>
          <w:color w:val="auto"/>
          <w:highlight w:val="none"/>
          <w:lang w:eastAsia="zh-CN"/>
        </w:rPr>
        <w:t>】</w:t>
      </w:r>
    </w:p>
    <w:p w14:paraId="32B5EED4">
      <w:pPr>
        <w:pStyle w:val="3"/>
        <w:keepNext w:val="0"/>
        <w:keepLines w:val="0"/>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color w:val="auto"/>
          <w:sz w:val="28"/>
          <w:szCs w:val="28"/>
          <w:highlight w:val="none"/>
          <w:lang w:val="en-US" w:eastAsia="zh-CN"/>
        </w:rPr>
      </w:pPr>
      <w:bookmarkStart w:id="310" w:name="_Toc155185915"/>
      <w:bookmarkStart w:id="311" w:name="_Toc163492908"/>
    </w:p>
    <w:p w14:paraId="2D5D2532">
      <w:pPr>
        <w:pStyle w:val="3"/>
        <w:keepNext w:val="0"/>
        <w:keepLines w:val="0"/>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color w:val="auto"/>
          <w:sz w:val="28"/>
          <w:szCs w:val="28"/>
          <w:highlight w:val="none"/>
          <w:lang w:val="en-US" w:eastAsia="zh-CN"/>
        </w:rPr>
      </w:pPr>
    </w:p>
    <w:p w14:paraId="42E9B2C3">
      <w:pPr>
        <w:pStyle w:val="3"/>
        <w:keepNext w:val="0"/>
        <w:keepLines w:val="0"/>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color w:val="auto"/>
          <w:sz w:val="28"/>
          <w:szCs w:val="28"/>
          <w:highlight w:val="none"/>
          <w:lang w:val="en-US" w:eastAsia="zh-CN"/>
        </w:rPr>
      </w:pPr>
    </w:p>
    <w:p w14:paraId="4D3415E5">
      <w:pPr>
        <w:pStyle w:val="3"/>
        <w:keepNext w:val="0"/>
        <w:keepLines w:val="0"/>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color w:val="auto"/>
          <w:sz w:val="28"/>
          <w:szCs w:val="28"/>
          <w:highlight w:val="none"/>
          <w:lang w:val="zh-CN" w:eastAsia="zh-CN"/>
        </w:rPr>
      </w:pPr>
      <w:bookmarkStart w:id="312" w:name="_Toc9400"/>
      <w:r>
        <w:rPr>
          <w:rFonts w:hint="eastAsia" w:ascii="宋体" w:hAnsi="宋体" w:eastAsia="宋体" w:cs="宋体"/>
          <w:color w:val="auto"/>
          <w:sz w:val="28"/>
          <w:szCs w:val="28"/>
          <w:highlight w:val="none"/>
          <w:lang w:val="en-US" w:eastAsia="zh-CN"/>
        </w:rPr>
        <w:t>四</w:t>
      </w:r>
      <w:r>
        <w:rPr>
          <w:rFonts w:hint="eastAsia" w:ascii="宋体" w:hAnsi="宋体" w:eastAsia="宋体" w:cs="宋体"/>
          <w:color w:val="auto"/>
          <w:sz w:val="28"/>
          <w:szCs w:val="28"/>
          <w:highlight w:val="none"/>
          <w:lang w:val="zh-CN" w:eastAsia="zh-CN"/>
        </w:rPr>
        <w:t>、评标标准</w:t>
      </w:r>
      <w:bookmarkEnd w:id="310"/>
      <w:bookmarkEnd w:id="311"/>
      <w:bookmarkEnd w:id="312"/>
    </w:p>
    <w:p w14:paraId="6FC1DEBE">
      <w:pPr>
        <w:pStyle w:val="4"/>
        <w:keepNext w:val="0"/>
        <w:keepLines w:val="0"/>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bookmarkStart w:id="313" w:name="_Toc163492909"/>
      <w:r>
        <w:rPr>
          <w:rFonts w:hint="eastAsia" w:ascii="宋体" w:hAnsi="宋体" w:eastAsia="宋体" w:cs="宋体"/>
          <w:b/>
          <w:bCs/>
          <w:color w:val="auto"/>
          <w:kern w:val="2"/>
          <w:sz w:val="24"/>
          <w:szCs w:val="24"/>
          <w:highlight w:val="none"/>
          <w:lang w:val="zh-CN" w:eastAsia="zh-CN" w:bidi="ar-SA"/>
        </w:rPr>
        <w:t>（一）符合性审查表</w:t>
      </w:r>
      <w:bookmarkEnd w:id="313"/>
    </w:p>
    <w:tbl>
      <w:tblPr>
        <w:tblStyle w:val="30"/>
        <w:tblW w:w="5701" w:type="pct"/>
        <w:tblInd w:w="-34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84"/>
        <w:gridCol w:w="2006"/>
        <w:gridCol w:w="5352"/>
        <w:gridCol w:w="861"/>
        <w:gridCol w:w="1014"/>
      </w:tblGrid>
      <w:tr w14:paraId="6867D0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4" w:hRule="atLeast"/>
        </w:trPr>
        <w:tc>
          <w:tcPr>
            <w:tcW w:w="249" w:type="pct"/>
            <w:vMerge w:val="restart"/>
            <w:shd w:val="clear" w:color="auto" w:fill="D8D8D8" w:themeFill="background1" w:themeFillShade="D9"/>
            <w:vAlign w:val="center"/>
          </w:tcPr>
          <w:p w14:paraId="3B188FC3">
            <w:pPr>
              <w:pStyle w:val="49"/>
              <w:jc w:val="center"/>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序号</w:t>
            </w:r>
          </w:p>
        </w:tc>
        <w:tc>
          <w:tcPr>
            <w:tcW w:w="1032" w:type="pct"/>
            <w:vMerge w:val="restart"/>
            <w:shd w:val="clear" w:color="auto" w:fill="D8D8D8" w:themeFill="background1" w:themeFillShade="D9"/>
            <w:vAlign w:val="center"/>
          </w:tcPr>
          <w:p w14:paraId="316B5F87">
            <w:pPr>
              <w:pStyle w:val="49"/>
              <w:jc w:val="center"/>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审查项名称</w:t>
            </w:r>
          </w:p>
        </w:tc>
        <w:tc>
          <w:tcPr>
            <w:tcW w:w="2753" w:type="pct"/>
            <w:vMerge w:val="restart"/>
            <w:shd w:val="clear" w:color="auto" w:fill="D8D8D8" w:themeFill="background1" w:themeFillShade="D9"/>
            <w:vAlign w:val="center"/>
          </w:tcPr>
          <w:p w14:paraId="44B32FDC">
            <w:pPr>
              <w:pStyle w:val="49"/>
              <w:jc w:val="center"/>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审查内容</w:t>
            </w:r>
          </w:p>
        </w:tc>
        <w:tc>
          <w:tcPr>
            <w:tcW w:w="964" w:type="pct"/>
            <w:gridSpan w:val="2"/>
            <w:shd w:val="clear" w:color="auto" w:fill="D8D8D8" w:themeFill="background1" w:themeFillShade="D9"/>
            <w:vAlign w:val="center"/>
          </w:tcPr>
          <w:p w14:paraId="2724C461">
            <w:pPr>
              <w:pStyle w:val="49"/>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审查结果</w:t>
            </w:r>
          </w:p>
        </w:tc>
      </w:tr>
      <w:tr w14:paraId="6963BE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9" w:hRule="atLeast"/>
        </w:trPr>
        <w:tc>
          <w:tcPr>
            <w:tcW w:w="249" w:type="pct"/>
            <w:vMerge w:val="continue"/>
            <w:shd w:val="clear" w:color="auto" w:fill="D8D8D8" w:themeFill="background1" w:themeFillShade="D9"/>
            <w:vAlign w:val="center"/>
          </w:tcPr>
          <w:p w14:paraId="1859AA86">
            <w:pPr>
              <w:pStyle w:val="49"/>
              <w:jc w:val="center"/>
              <w:rPr>
                <w:rFonts w:hint="eastAsia" w:ascii="宋体" w:hAnsi="宋体" w:eastAsia="宋体" w:cs="宋体"/>
                <w:b/>
                <w:bCs/>
                <w:color w:val="auto"/>
                <w:sz w:val="24"/>
                <w:szCs w:val="24"/>
                <w:highlight w:val="none"/>
                <w:lang w:val="zh-CN"/>
              </w:rPr>
            </w:pPr>
          </w:p>
        </w:tc>
        <w:tc>
          <w:tcPr>
            <w:tcW w:w="1032" w:type="pct"/>
            <w:vMerge w:val="continue"/>
            <w:shd w:val="clear" w:color="auto" w:fill="D8D8D8" w:themeFill="background1" w:themeFillShade="D9"/>
            <w:vAlign w:val="center"/>
          </w:tcPr>
          <w:p w14:paraId="51EF0565">
            <w:pPr>
              <w:pStyle w:val="49"/>
              <w:jc w:val="center"/>
              <w:rPr>
                <w:rFonts w:hint="eastAsia" w:ascii="宋体" w:hAnsi="宋体" w:eastAsia="宋体" w:cs="宋体"/>
                <w:b/>
                <w:bCs/>
                <w:color w:val="auto"/>
                <w:sz w:val="24"/>
                <w:szCs w:val="24"/>
                <w:highlight w:val="none"/>
                <w:lang w:val="zh-CN"/>
              </w:rPr>
            </w:pPr>
          </w:p>
        </w:tc>
        <w:tc>
          <w:tcPr>
            <w:tcW w:w="2753" w:type="pct"/>
            <w:vMerge w:val="continue"/>
            <w:shd w:val="clear" w:color="auto" w:fill="D8D8D8" w:themeFill="background1" w:themeFillShade="D9"/>
            <w:vAlign w:val="center"/>
          </w:tcPr>
          <w:p w14:paraId="2128C077">
            <w:pPr>
              <w:pStyle w:val="49"/>
              <w:jc w:val="center"/>
              <w:rPr>
                <w:rFonts w:hint="eastAsia" w:ascii="宋体" w:hAnsi="宋体" w:eastAsia="宋体" w:cs="宋体"/>
                <w:b/>
                <w:bCs/>
                <w:color w:val="auto"/>
                <w:sz w:val="24"/>
                <w:szCs w:val="24"/>
                <w:highlight w:val="none"/>
                <w:lang w:val="zh-CN"/>
              </w:rPr>
            </w:pPr>
          </w:p>
        </w:tc>
        <w:tc>
          <w:tcPr>
            <w:tcW w:w="443" w:type="pct"/>
            <w:shd w:val="clear" w:color="auto" w:fill="D8D8D8" w:themeFill="background1" w:themeFillShade="D9"/>
            <w:vAlign w:val="center"/>
          </w:tcPr>
          <w:p w14:paraId="0CAA21D7">
            <w:pPr>
              <w:pStyle w:val="49"/>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符合</w:t>
            </w:r>
          </w:p>
        </w:tc>
        <w:tc>
          <w:tcPr>
            <w:tcW w:w="521" w:type="pct"/>
            <w:shd w:val="clear" w:color="auto" w:fill="D8D8D8" w:themeFill="background1" w:themeFillShade="D9"/>
            <w:vAlign w:val="center"/>
          </w:tcPr>
          <w:p w14:paraId="15D1F439">
            <w:pPr>
              <w:pStyle w:val="49"/>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不符合</w:t>
            </w:r>
          </w:p>
        </w:tc>
      </w:tr>
      <w:tr w14:paraId="233AF5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4" w:hRule="atLeast"/>
        </w:trPr>
        <w:tc>
          <w:tcPr>
            <w:tcW w:w="249" w:type="pct"/>
            <w:shd w:val="clear" w:color="auto" w:fill="auto"/>
            <w:vAlign w:val="center"/>
          </w:tcPr>
          <w:p w14:paraId="4A515C07">
            <w:pPr>
              <w:pStyle w:val="49"/>
              <w:numPr>
                <w:ilvl w:val="0"/>
                <w:numId w:val="0"/>
              </w:numPr>
              <w:ind w:left="420" w:leftChars="0" w:hanging="420" w:firstLineChars="0"/>
              <w:jc w:val="center"/>
              <w:rPr>
                <w:rFonts w:hint="eastAsia" w:ascii="宋体" w:hAnsi="宋体" w:eastAsia="宋体" w:cs="宋体"/>
                <w:color w:val="auto"/>
                <w:sz w:val="24"/>
                <w:szCs w:val="24"/>
                <w:highlight w:val="none"/>
                <w:lang w:val="zh-CN"/>
              </w:rPr>
            </w:pPr>
            <w:r>
              <w:rPr>
                <w:rFonts w:hint="eastAsia" w:ascii="宋体" w:hAnsi="宋体" w:eastAsia="宋体" w:cs="宋体"/>
                <w:color w:val="auto"/>
                <w:kern w:val="2"/>
                <w:sz w:val="24"/>
                <w:szCs w:val="24"/>
                <w:highlight w:val="none"/>
                <w:lang w:val="zh-CN" w:eastAsia="zh-CN" w:bidi="ar-SA"/>
              </w:rPr>
              <w:t>1</w:t>
            </w:r>
          </w:p>
        </w:tc>
        <w:tc>
          <w:tcPr>
            <w:tcW w:w="1032" w:type="pct"/>
            <w:vAlign w:val="center"/>
          </w:tcPr>
          <w:p w14:paraId="5E0E3062">
            <w:pPr>
              <w:pStyle w:val="4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投标文件</w:t>
            </w:r>
            <w:r>
              <w:rPr>
                <w:rFonts w:hint="eastAsia" w:ascii="宋体" w:hAnsi="宋体" w:eastAsia="宋体" w:cs="宋体"/>
                <w:color w:val="auto"/>
                <w:sz w:val="24"/>
                <w:szCs w:val="24"/>
                <w:highlight w:val="none"/>
              </w:rPr>
              <w:t>签署</w:t>
            </w:r>
          </w:p>
        </w:tc>
        <w:tc>
          <w:tcPr>
            <w:tcW w:w="2753" w:type="pct"/>
            <w:shd w:val="clear" w:color="auto" w:fill="auto"/>
            <w:vAlign w:val="center"/>
          </w:tcPr>
          <w:p w14:paraId="0FA4ED80">
            <w:pPr>
              <w:pStyle w:val="49"/>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投标文件按招标文件要求签署、盖章的</w:t>
            </w:r>
          </w:p>
        </w:tc>
        <w:tc>
          <w:tcPr>
            <w:tcW w:w="443" w:type="pct"/>
            <w:shd w:val="clear" w:color="auto" w:fill="auto"/>
            <w:vAlign w:val="center"/>
          </w:tcPr>
          <w:p w14:paraId="1E1F1EB1">
            <w:pPr>
              <w:pStyle w:val="49"/>
              <w:rPr>
                <w:rFonts w:hint="eastAsia" w:ascii="宋体" w:hAnsi="宋体" w:eastAsia="宋体" w:cs="宋体"/>
                <w:color w:val="auto"/>
                <w:sz w:val="24"/>
                <w:szCs w:val="24"/>
                <w:highlight w:val="none"/>
                <w:lang w:val="zh-CN"/>
              </w:rPr>
            </w:pPr>
          </w:p>
        </w:tc>
        <w:tc>
          <w:tcPr>
            <w:tcW w:w="521" w:type="pct"/>
            <w:shd w:val="clear" w:color="auto" w:fill="auto"/>
            <w:vAlign w:val="center"/>
          </w:tcPr>
          <w:p w14:paraId="35325BAA">
            <w:pPr>
              <w:pStyle w:val="49"/>
              <w:rPr>
                <w:rFonts w:hint="eastAsia" w:ascii="宋体" w:hAnsi="宋体" w:eastAsia="宋体" w:cs="宋体"/>
                <w:color w:val="auto"/>
                <w:sz w:val="24"/>
                <w:szCs w:val="24"/>
                <w:highlight w:val="none"/>
                <w:lang w:val="zh-CN"/>
              </w:rPr>
            </w:pPr>
          </w:p>
        </w:tc>
      </w:tr>
      <w:tr w14:paraId="3F1703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4" w:hRule="atLeast"/>
        </w:trPr>
        <w:tc>
          <w:tcPr>
            <w:tcW w:w="249" w:type="pct"/>
            <w:shd w:val="clear" w:color="auto" w:fill="auto"/>
            <w:vAlign w:val="center"/>
          </w:tcPr>
          <w:p w14:paraId="5B53A43D">
            <w:pPr>
              <w:pStyle w:val="49"/>
              <w:numPr>
                <w:ilvl w:val="0"/>
                <w:numId w:val="0"/>
              </w:numPr>
              <w:ind w:left="420" w:leftChars="0" w:hanging="420" w:firstLineChars="0"/>
              <w:jc w:val="center"/>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kern w:val="2"/>
                <w:sz w:val="24"/>
                <w:szCs w:val="24"/>
                <w:highlight w:val="none"/>
                <w:lang w:val="zh-CN" w:eastAsia="zh-CN" w:bidi="ar-SA"/>
              </w:rPr>
              <w:t>2</w:t>
            </w:r>
          </w:p>
        </w:tc>
        <w:tc>
          <w:tcPr>
            <w:tcW w:w="1032" w:type="pct"/>
            <w:shd w:val="clear" w:color="auto" w:fill="auto"/>
            <w:vAlign w:val="center"/>
          </w:tcPr>
          <w:p w14:paraId="54DD2E09">
            <w:pPr>
              <w:pStyle w:val="49"/>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sz w:val="24"/>
                <w:szCs w:val="24"/>
                <w:highlight w:val="none"/>
                <w:lang w:val="zh-CN"/>
              </w:rPr>
              <w:t>实质性要求</w:t>
            </w:r>
          </w:p>
        </w:tc>
        <w:tc>
          <w:tcPr>
            <w:tcW w:w="2753" w:type="pct"/>
            <w:shd w:val="clear" w:color="auto" w:fill="auto"/>
            <w:vAlign w:val="center"/>
          </w:tcPr>
          <w:p w14:paraId="3A663F07">
            <w:pPr>
              <w:pStyle w:val="49"/>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lang w:val="zh-CN" w:eastAsia="zh-CN"/>
              </w:rPr>
              <w:t>文件满足</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lang w:val="zh-CN" w:eastAsia="zh-CN"/>
              </w:rPr>
              <w:t>文件中的实质性条款（或指标）要求的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具体详见</w:t>
            </w:r>
            <w:r>
              <w:rPr>
                <w:rFonts w:hint="eastAsia" w:ascii="宋体" w:hAnsi="宋体" w:eastAsia="宋体" w:cs="宋体"/>
                <w:color w:val="auto"/>
                <w:sz w:val="24"/>
                <w:szCs w:val="24"/>
                <w:highlight w:val="none"/>
                <w:lang w:val="zh-CN"/>
              </w:rPr>
              <w:t>“实质性响应一览表”</w:t>
            </w:r>
          </w:p>
        </w:tc>
        <w:tc>
          <w:tcPr>
            <w:tcW w:w="443" w:type="pct"/>
            <w:shd w:val="clear" w:color="auto" w:fill="auto"/>
            <w:vAlign w:val="center"/>
          </w:tcPr>
          <w:p w14:paraId="3F83CD9C">
            <w:pPr>
              <w:pStyle w:val="49"/>
              <w:rPr>
                <w:rFonts w:hint="eastAsia" w:ascii="宋体" w:hAnsi="宋体" w:eastAsia="宋体" w:cs="宋体"/>
                <w:color w:val="auto"/>
                <w:sz w:val="24"/>
                <w:szCs w:val="24"/>
                <w:highlight w:val="none"/>
                <w:lang w:val="zh-CN"/>
              </w:rPr>
            </w:pPr>
          </w:p>
        </w:tc>
        <w:tc>
          <w:tcPr>
            <w:tcW w:w="521" w:type="pct"/>
            <w:shd w:val="clear" w:color="auto" w:fill="auto"/>
            <w:vAlign w:val="center"/>
          </w:tcPr>
          <w:p w14:paraId="53C654A1">
            <w:pPr>
              <w:pStyle w:val="49"/>
              <w:rPr>
                <w:rFonts w:hint="eastAsia" w:ascii="宋体" w:hAnsi="宋体" w:eastAsia="宋体" w:cs="宋体"/>
                <w:color w:val="auto"/>
                <w:sz w:val="24"/>
                <w:szCs w:val="24"/>
                <w:highlight w:val="none"/>
                <w:lang w:val="zh-CN"/>
              </w:rPr>
            </w:pPr>
          </w:p>
        </w:tc>
      </w:tr>
      <w:tr w14:paraId="49890B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2" w:hRule="atLeast"/>
        </w:trPr>
        <w:tc>
          <w:tcPr>
            <w:tcW w:w="249" w:type="pct"/>
            <w:shd w:val="clear" w:color="auto" w:fill="auto"/>
            <w:vAlign w:val="center"/>
          </w:tcPr>
          <w:p w14:paraId="122BA4D1">
            <w:pPr>
              <w:pStyle w:val="49"/>
              <w:numPr>
                <w:ilvl w:val="0"/>
                <w:numId w:val="0"/>
              </w:numPr>
              <w:ind w:left="420" w:leftChars="0" w:hanging="420" w:firstLineChars="0"/>
              <w:jc w:val="center"/>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kern w:val="2"/>
                <w:sz w:val="24"/>
                <w:szCs w:val="24"/>
                <w:highlight w:val="none"/>
                <w:lang w:val="zh-CN" w:eastAsia="zh-CN" w:bidi="ar-SA"/>
              </w:rPr>
              <w:t>3</w:t>
            </w:r>
          </w:p>
        </w:tc>
        <w:tc>
          <w:tcPr>
            <w:tcW w:w="1032" w:type="pct"/>
            <w:vAlign w:val="center"/>
          </w:tcPr>
          <w:p w14:paraId="0ABAB0FD">
            <w:pPr>
              <w:pStyle w:val="4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投标报价</w:t>
            </w:r>
          </w:p>
        </w:tc>
        <w:tc>
          <w:tcPr>
            <w:tcW w:w="2753" w:type="pct"/>
            <w:shd w:val="clear" w:color="auto" w:fill="auto"/>
            <w:vAlign w:val="center"/>
          </w:tcPr>
          <w:p w14:paraId="3039222D">
            <w:pPr>
              <w:pStyle w:val="4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投标人报价未超过招标文件中规定的最高限价的</w:t>
            </w:r>
          </w:p>
        </w:tc>
        <w:tc>
          <w:tcPr>
            <w:tcW w:w="443" w:type="pct"/>
            <w:shd w:val="clear" w:color="auto" w:fill="auto"/>
            <w:vAlign w:val="center"/>
          </w:tcPr>
          <w:p w14:paraId="45596CE1">
            <w:pPr>
              <w:pStyle w:val="49"/>
              <w:rPr>
                <w:rFonts w:hint="eastAsia" w:ascii="宋体" w:hAnsi="宋体" w:eastAsia="宋体" w:cs="宋体"/>
                <w:color w:val="auto"/>
                <w:sz w:val="24"/>
                <w:szCs w:val="24"/>
                <w:highlight w:val="none"/>
                <w:lang w:val="zh-CN"/>
              </w:rPr>
            </w:pPr>
          </w:p>
        </w:tc>
        <w:tc>
          <w:tcPr>
            <w:tcW w:w="521" w:type="pct"/>
            <w:shd w:val="clear" w:color="auto" w:fill="auto"/>
            <w:vAlign w:val="center"/>
          </w:tcPr>
          <w:p w14:paraId="11E76B6F">
            <w:pPr>
              <w:pStyle w:val="49"/>
              <w:rPr>
                <w:rFonts w:hint="eastAsia" w:ascii="宋体" w:hAnsi="宋体" w:eastAsia="宋体" w:cs="宋体"/>
                <w:color w:val="auto"/>
                <w:sz w:val="24"/>
                <w:szCs w:val="24"/>
                <w:highlight w:val="none"/>
                <w:lang w:val="zh-CN"/>
              </w:rPr>
            </w:pPr>
          </w:p>
        </w:tc>
      </w:tr>
      <w:tr w14:paraId="63842C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6" w:hRule="atLeast"/>
        </w:trPr>
        <w:tc>
          <w:tcPr>
            <w:tcW w:w="249" w:type="pct"/>
            <w:shd w:val="clear" w:color="auto" w:fill="auto"/>
            <w:vAlign w:val="center"/>
          </w:tcPr>
          <w:p w14:paraId="1C0BF26C">
            <w:pPr>
              <w:pStyle w:val="49"/>
              <w:numPr>
                <w:ilvl w:val="0"/>
                <w:numId w:val="0"/>
              </w:numPr>
              <w:ind w:left="420" w:leftChars="0" w:hanging="420" w:firstLineChars="0"/>
              <w:jc w:val="center"/>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kern w:val="2"/>
                <w:sz w:val="24"/>
                <w:szCs w:val="24"/>
                <w:highlight w:val="none"/>
                <w:lang w:val="zh-CN" w:eastAsia="zh-CN" w:bidi="ar-SA"/>
              </w:rPr>
              <w:t>4</w:t>
            </w:r>
          </w:p>
        </w:tc>
        <w:tc>
          <w:tcPr>
            <w:tcW w:w="1032" w:type="pct"/>
            <w:vAlign w:val="center"/>
          </w:tcPr>
          <w:p w14:paraId="49C30112">
            <w:pPr>
              <w:pStyle w:val="4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虚假材料</w:t>
            </w:r>
          </w:p>
        </w:tc>
        <w:tc>
          <w:tcPr>
            <w:tcW w:w="2753" w:type="pct"/>
            <w:shd w:val="clear" w:color="auto" w:fill="auto"/>
            <w:vAlign w:val="center"/>
          </w:tcPr>
          <w:p w14:paraId="150A9DA0">
            <w:pPr>
              <w:pStyle w:val="49"/>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lang w:val="zh-CN" w:eastAsia="zh-CN"/>
              </w:rPr>
              <w:t>文件</w:t>
            </w:r>
            <w:r>
              <w:rPr>
                <w:rFonts w:hint="eastAsia" w:ascii="宋体" w:hAnsi="宋体" w:eastAsia="宋体" w:cs="宋体"/>
                <w:color w:val="auto"/>
                <w:sz w:val="24"/>
                <w:szCs w:val="24"/>
                <w:highlight w:val="none"/>
                <w:lang w:val="en-US" w:eastAsia="zh-CN"/>
              </w:rPr>
              <w:t>未</w:t>
            </w:r>
            <w:r>
              <w:rPr>
                <w:rFonts w:hint="eastAsia" w:ascii="宋体" w:hAnsi="宋体" w:eastAsia="宋体" w:cs="宋体"/>
                <w:color w:val="auto"/>
                <w:sz w:val="24"/>
                <w:szCs w:val="24"/>
                <w:highlight w:val="none"/>
                <w:lang w:val="zh-CN" w:eastAsia="zh-CN"/>
              </w:rPr>
              <w:t>提供虚假材料的</w:t>
            </w:r>
          </w:p>
        </w:tc>
        <w:tc>
          <w:tcPr>
            <w:tcW w:w="443" w:type="pct"/>
            <w:shd w:val="clear" w:color="auto" w:fill="auto"/>
            <w:vAlign w:val="center"/>
          </w:tcPr>
          <w:p w14:paraId="36B10A12">
            <w:pPr>
              <w:pStyle w:val="49"/>
              <w:rPr>
                <w:rFonts w:hint="eastAsia" w:ascii="宋体" w:hAnsi="宋体" w:eastAsia="宋体" w:cs="宋体"/>
                <w:color w:val="auto"/>
                <w:sz w:val="24"/>
                <w:szCs w:val="24"/>
                <w:highlight w:val="none"/>
                <w:lang w:val="zh-CN"/>
              </w:rPr>
            </w:pPr>
          </w:p>
        </w:tc>
        <w:tc>
          <w:tcPr>
            <w:tcW w:w="521" w:type="pct"/>
            <w:shd w:val="clear" w:color="auto" w:fill="auto"/>
            <w:vAlign w:val="center"/>
          </w:tcPr>
          <w:p w14:paraId="5008BBC1">
            <w:pPr>
              <w:pStyle w:val="49"/>
              <w:rPr>
                <w:rFonts w:hint="eastAsia" w:ascii="宋体" w:hAnsi="宋体" w:eastAsia="宋体" w:cs="宋体"/>
                <w:color w:val="auto"/>
                <w:sz w:val="24"/>
                <w:szCs w:val="24"/>
                <w:highlight w:val="none"/>
                <w:lang w:val="zh-CN"/>
              </w:rPr>
            </w:pPr>
          </w:p>
        </w:tc>
      </w:tr>
      <w:tr w14:paraId="7A54D2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5" w:hRule="atLeast"/>
        </w:trPr>
        <w:tc>
          <w:tcPr>
            <w:tcW w:w="249" w:type="pct"/>
            <w:shd w:val="clear" w:color="auto" w:fill="auto"/>
            <w:vAlign w:val="center"/>
          </w:tcPr>
          <w:p w14:paraId="5DF7405B">
            <w:pPr>
              <w:pStyle w:val="49"/>
              <w:numPr>
                <w:ilvl w:val="0"/>
                <w:numId w:val="0"/>
              </w:numPr>
              <w:ind w:left="420" w:leftChars="0" w:hanging="420" w:firstLineChars="0"/>
              <w:jc w:val="center"/>
              <w:rPr>
                <w:rFonts w:hint="eastAsia" w:ascii="宋体" w:hAnsi="宋体" w:eastAsia="宋体" w:cs="宋体"/>
                <w:color w:val="auto"/>
                <w:kern w:val="2"/>
                <w:sz w:val="24"/>
                <w:szCs w:val="24"/>
                <w:highlight w:val="none"/>
                <w:lang w:val="zh-CN" w:eastAsia="zh-CN" w:bidi="ar-SA"/>
              </w:rPr>
            </w:pPr>
            <w:r>
              <w:rPr>
                <w:rFonts w:hint="eastAsia" w:cs="宋体"/>
                <w:color w:val="auto"/>
                <w:kern w:val="2"/>
                <w:sz w:val="24"/>
                <w:szCs w:val="24"/>
                <w:highlight w:val="none"/>
                <w:lang w:val="en-US" w:eastAsia="zh-CN" w:bidi="ar-SA"/>
              </w:rPr>
              <w:t>5</w:t>
            </w:r>
          </w:p>
        </w:tc>
        <w:tc>
          <w:tcPr>
            <w:tcW w:w="1032" w:type="pct"/>
            <w:vAlign w:val="center"/>
          </w:tcPr>
          <w:p w14:paraId="3CB15A1D">
            <w:pPr>
              <w:pStyle w:val="4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投标保证金</w:t>
            </w:r>
          </w:p>
        </w:tc>
        <w:tc>
          <w:tcPr>
            <w:tcW w:w="2753" w:type="pct"/>
            <w:shd w:val="clear" w:color="auto" w:fill="auto"/>
            <w:vAlign w:val="center"/>
          </w:tcPr>
          <w:p w14:paraId="0EF49674">
            <w:pPr>
              <w:pStyle w:val="49"/>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sz w:val="24"/>
                <w:szCs w:val="24"/>
                <w:highlight w:val="none"/>
                <w:lang w:val="en-US" w:eastAsia="zh-CN"/>
              </w:rPr>
              <w:t>投标人按招标文件的规定交纳投标保证金的</w:t>
            </w:r>
          </w:p>
        </w:tc>
        <w:tc>
          <w:tcPr>
            <w:tcW w:w="443" w:type="pct"/>
            <w:shd w:val="clear" w:color="auto" w:fill="auto"/>
            <w:vAlign w:val="center"/>
          </w:tcPr>
          <w:p w14:paraId="37F2653A">
            <w:pPr>
              <w:pStyle w:val="49"/>
              <w:rPr>
                <w:rFonts w:hint="eastAsia" w:ascii="宋体" w:hAnsi="宋体" w:eastAsia="宋体" w:cs="宋体"/>
                <w:color w:val="auto"/>
                <w:sz w:val="24"/>
                <w:szCs w:val="24"/>
                <w:highlight w:val="none"/>
                <w:lang w:val="zh-CN"/>
              </w:rPr>
            </w:pPr>
          </w:p>
        </w:tc>
        <w:tc>
          <w:tcPr>
            <w:tcW w:w="521" w:type="pct"/>
            <w:shd w:val="clear" w:color="auto" w:fill="auto"/>
            <w:vAlign w:val="center"/>
          </w:tcPr>
          <w:p w14:paraId="1E4AED58">
            <w:pPr>
              <w:pStyle w:val="49"/>
              <w:rPr>
                <w:rFonts w:hint="eastAsia" w:ascii="宋体" w:hAnsi="宋体" w:eastAsia="宋体" w:cs="宋体"/>
                <w:color w:val="auto"/>
                <w:sz w:val="24"/>
                <w:szCs w:val="24"/>
                <w:highlight w:val="none"/>
                <w:lang w:val="zh-CN"/>
              </w:rPr>
            </w:pPr>
          </w:p>
        </w:tc>
      </w:tr>
      <w:tr w14:paraId="7044E7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0" w:hRule="atLeast"/>
        </w:trPr>
        <w:tc>
          <w:tcPr>
            <w:tcW w:w="249" w:type="pct"/>
            <w:shd w:val="clear" w:color="auto" w:fill="auto"/>
            <w:vAlign w:val="center"/>
          </w:tcPr>
          <w:p w14:paraId="115CB80E">
            <w:pPr>
              <w:pStyle w:val="49"/>
              <w:numPr>
                <w:ilvl w:val="0"/>
                <w:numId w:val="0"/>
              </w:numPr>
              <w:ind w:left="0" w:leftChars="0" w:firstLine="0" w:firstLineChars="0"/>
              <w:jc w:val="center"/>
              <w:rPr>
                <w:rFonts w:hint="eastAsia" w:ascii="宋体" w:hAnsi="宋体" w:eastAsia="宋体" w:cs="宋体"/>
                <w:color w:val="auto"/>
                <w:kern w:val="2"/>
                <w:sz w:val="24"/>
                <w:szCs w:val="24"/>
                <w:highlight w:val="none"/>
                <w:lang w:val="zh-CN" w:eastAsia="zh-CN" w:bidi="ar-SA"/>
              </w:rPr>
            </w:pPr>
            <w:r>
              <w:rPr>
                <w:rFonts w:hint="eastAsia" w:cs="宋体"/>
                <w:color w:val="auto"/>
                <w:sz w:val="24"/>
                <w:szCs w:val="24"/>
                <w:highlight w:val="none"/>
                <w:lang w:val="en-US" w:eastAsia="zh-CN"/>
              </w:rPr>
              <w:t>6</w:t>
            </w:r>
          </w:p>
        </w:tc>
        <w:tc>
          <w:tcPr>
            <w:tcW w:w="1032" w:type="pct"/>
            <w:vAlign w:val="center"/>
          </w:tcPr>
          <w:p w14:paraId="5E0526C0">
            <w:pPr>
              <w:pStyle w:val="4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投标文件的澄清、说明、补正</w:t>
            </w:r>
          </w:p>
        </w:tc>
        <w:tc>
          <w:tcPr>
            <w:tcW w:w="2753" w:type="pct"/>
            <w:shd w:val="clear" w:color="auto" w:fill="auto"/>
            <w:vAlign w:val="center"/>
          </w:tcPr>
          <w:p w14:paraId="69951688">
            <w:pPr>
              <w:pStyle w:val="49"/>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sz w:val="24"/>
                <w:szCs w:val="24"/>
                <w:highlight w:val="none"/>
                <w:lang w:val="zh-CN" w:eastAsia="zh-CN"/>
              </w:rPr>
              <w:t>评审期间,</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lang w:val="zh-CN" w:eastAsia="zh-CN"/>
              </w:rPr>
              <w:t>按评标委员会的要求提交经授权代表签字的澄清、说明、补正或</w:t>
            </w:r>
            <w:r>
              <w:rPr>
                <w:rFonts w:hint="eastAsia" w:ascii="宋体" w:hAnsi="宋体" w:eastAsia="宋体" w:cs="宋体"/>
                <w:color w:val="auto"/>
                <w:sz w:val="24"/>
                <w:szCs w:val="24"/>
                <w:highlight w:val="none"/>
                <w:lang w:val="en-US" w:eastAsia="zh-CN"/>
              </w:rPr>
              <w:t>未</w:t>
            </w:r>
            <w:r>
              <w:rPr>
                <w:rFonts w:hint="eastAsia" w:ascii="宋体" w:hAnsi="宋体" w:eastAsia="宋体" w:cs="宋体"/>
                <w:color w:val="auto"/>
                <w:sz w:val="24"/>
                <w:szCs w:val="24"/>
                <w:highlight w:val="none"/>
                <w:lang w:val="zh-CN" w:eastAsia="zh-CN"/>
              </w:rPr>
              <w:t>改变</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lang w:val="zh-CN" w:eastAsia="zh-CN"/>
              </w:rPr>
              <w:t>文件的实质性内容</w:t>
            </w:r>
          </w:p>
        </w:tc>
        <w:tc>
          <w:tcPr>
            <w:tcW w:w="443" w:type="pct"/>
            <w:shd w:val="clear" w:color="auto" w:fill="auto"/>
            <w:vAlign w:val="center"/>
          </w:tcPr>
          <w:p w14:paraId="17DF499B">
            <w:pPr>
              <w:pStyle w:val="49"/>
              <w:rPr>
                <w:rFonts w:hint="eastAsia" w:ascii="宋体" w:hAnsi="宋体" w:eastAsia="宋体" w:cs="宋体"/>
                <w:color w:val="auto"/>
                <w:sz w:val="24"/>
                <w:szCs w:val="24"/>
                <w:highlight w:val="none"/>
                <w:lang w:val="zh-CN"/>
              </w:rPr>
            </w:pPr>
          </w:p>
        </w:tc>
        <w:tc>
          <w:tcPr>
            <w:tcW w:w="521" w:type="pct"/>
            <w:shd w:val="clear" w:color="auto" w:fill="auto"/>
            <w:vAlign w:val="center"/>
          </w:tcPr>
          <w:p w14:paraId="7B15EF49">
            <w:pPr>
              <w:pStyle w:val="49"/>
              <w:rPr>
                <w:rFonts w:hint="eastAsia" w:ascii="宋体" w:hAnsi="宋体" w:eastAsia="宋体" w:cs="宋体"/>
                <w:color w:val="auto"/>
                <w:sz w:val="24"/>
                <w:szCs w:val="24"/>
                <w:highlight w:val="none"/>
                <w:lang w:val="zh-CN"/>
              </w:rPr>
            </w:pPr>
          </w:p>
        </w:tc>
      </w:tr>
      <w:tr w14:paraId="5AEED1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2" w:hRule="atLeast"/>
        </w:trPr>
        <w:tc>
          <w:tcPr>
            <w:tcW w:w="249" w:type="pct"/>
            <w:shd w:val="clear" w:color="auto" w:fill="auto"/>
            <w:vAlign w:val="center"/>
          </w:tcPr>
          <w:p w14:paraId="54575570">
            <w:pPr>
              <w:pStyle w:val="49"/>
              <w:numPr>
                <w:ilvl w:val="0"/>
                <w:numId w:val="0"/>
              </w:numPr>
              <w:ind w:left="420" w:leftChars="0" w:hanging="420" w:firstLineChars="0"/>
              <w:jc w:val="center"/>
              <w:rPr>
                <w:rFonts w:hint="eastAsia" w:ascii="宋体" w:hAnsi="宋体" w:eastAsia="宋体" w:cs="宋体"/>
                <w:color w:val="auto"/>
                <w:kern w:val="2"/>
                <w:sz w:val="24"/>
                <w:szCs w:val="24"/>
                <w:highlight w:val="none"/>
                <w:lang w:val="zh-CN" w:eastAsia="zh-CN" w:bidi="ar-SA"/>
              </w:rPr>
            </w:pPr>
            <w:r>
              <w:rPr>
                <w:rFonts w:hint="eastAsia" w:cs="宋体"/>
                <w:color w:val="auto"/>
                <w:kern w:val="2"/>
                <w:sz w:val="24"/>
                <w:szCs w:val="24"/>
                <w:highlight w:val="none"/>
                <w:lang w:val="en-US" w:eastAsia="zh-CN" w:bidi="ar-SA"/>
              </w:rPr>
              <w:t>7</w:t>
            </w:r>
          </w:p>
        </w:tc>
        <w:tc>
          <w:tcPr>
            <w:tcW w:w="1032" w:type="pct"/>
            <w:vAlign w:val="center"/>
          </w:tcPr>
          <w:p w14:paraId="7CFE2454">
            <w:pPr>
              <w:pStyle w:val="4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投标人影响评标</w:t>
            </w:r>
          </w:p>
        </w:tc>
        <w:tc>
          <w:tcPr>
            <w:tcW w:w="2753" w:type="pct"/>
            <w:shd w:val="clear" w:color="auto" w:fill="auto"/>
            <w:vAlign w:val="center"/>
          </w:tcPr>
          <w:p w14:paraId="1AFF6E69">
            <w:pPr>
              <w:pStyle w:val="4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lang w:val="zh-CN" w:eastAsia="zh-CN"/>
              </w:rPr>
              <w:t>对采购人、采购代理机构、评标委员会及其工作人员</w:t>
            </w:r>
            <w:r>
              <w:rPr>
                <w:rFonts w:hint="eastAsia" w:ascii="宋体" w:hAnsi="宋体" w:eastAsia="宋体" w:cs="宋体"/>
                <w:color w:val="auto"/>
                <w:sz w:val="24"/>
                <w:szCs w:val="24"/>
                <w:highlight w:val="none"/>
                <w:lang w:val="en-US" w:eastAsia="zh-CN"/>
              </w:rPr>
              <w:t>未</w:t>
            </w:r>
            <w:r>
              <w:rPr>
                <w:rFonts w:hint="eastAsia" w:ascii="宋体" w:hAnsi="宋体" w:eastAsia="宋体" w:cs="宋体"/>
                <w:color w:val="auto"/>
                <w:sz w:val="24"/>
                <w:szCs w:val="24"/>
                <w:highlight w:val="none"/>
                <w:lang w:val="zh-CN" w:eastAsia="zh-CN"/>
              </w:rPr>
              <w:t>施加影响,</w:t>
            </w:r>
            <w:r>
              <w:rPr>
                <w:rFonts w:hint="eastAsia" w:ascii="宋体" w:hAnsi="宋体" w:eastAsia="宋体" w:cs="宋体"/>
                <w:color w:val="auto"/>
                <w:sz w:val="24"/>
                <w:szCs w:val="24"/>
                <w:highlight w:val="none"/>
                <w:lang w:val="en-US" w:eastAsia="zh-CN"/>
              </w:rPr>
              <w:t>无</w:t>
            </w:r>
            <w:r>
              <w:rPr>
                <w:rFonts w:hint="eastAsia" w:ascii="宋体" w:hAnsi="宋体" w:eastAsia="宋体" w:cs="宋体"/>
                <w:color w:val="auto"/>
                <w:sz w:val="24"/>
                <w:szCs w:val="24"/>
                <w:highlight w:val="none"/>
                <w:lang w:val="zh-CN" w:eastAsia="zh-CN"/>
              </w:rPr>
              <w:t>有碍公平、公正</w:t>
            </w:r>
            <w:r>
              <w:rPr>
                <w:rFonts w:hint="eastAsia" w:ascii="宋体" w:hAnsi="宋体" w:eastAsia="宋体" w:cs="宋体"/>
                <w:color w:val="auto"/>
                <w:sz w:val="24"/>
                <w:szCs w:val="24"/>
                <w:highlight w:val="none"/>
                <w:lang w:val="en-US" w:eastAsia="zh-CN"/>
              </w:rPr>
              <w:t>的</w:t>
            </w:r>
          </w:p>
        </w:tc>
        <w:tc>
          <w:tcPr>
            <w:tcW w:w="443" w:type="pct"/>
            <w:shd w:val="clear" w:color="auto" w:fill="auto"/>
            <w:vAlign w:val="center"/>
          </w:tcPr>
          <w:p w14:paraId="6E7B9E6F">
            <w:pPr>
              <w:pStyle w:val="49"/>
              <w:rPr>
                <w:rFonts w:hint="eastAsia" w:ascii="宋体" w:hAnsi="宋体" w:eastAsia="宋体" w:cs="宋体"/>
                <w:color w:val="auto"/>
                <w:sz w:val="24"/>
                <w:szCs w:val="24"/>
                <w:highlight w:val="none"/>
                <w:lang w:val="zh-CN"/>
              </w:rPr>
            </w:pPr>
          </w:p>
        </w:tc>
        <w:tc>
          <w:tcPr>
            <w:tcW w:w="521" w:type="pct"/>
            <w:shd w:val="clear" w:color="auto" w:fill="auto"/>
            <w:vAlign w:val="center"/>
          </w:tcPr>
          <w:p w14:paraId="5E9FCB3A">
            <w:pPr>
              <w:pStyle w:val="49"/>
              <w:rPr>
                <w:rFonts w:hint="eastAsia" w:ascii="宋体" w:hAnsi="宋体" w:eastAsia="宋体" w:cs="宋体"/>
                <w:color w:val="auto"/>
                <w:sz w:val="24"/>
                <w:szCs w:val="24"/>
                <w:highlight w:val="none"/>
                <w:lang w:val="zh-CN"/>
              </w:rPr>
            </w:pPr>
          </w:p>
        </w:tc>
      </w:tr>
      <w:tr w14:paraId="35AAC1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249" w:type="pct"/>
            <w:shd w:val="clear" w:color="auto" w:fill="auto"/>
            <w:vAlign w:val="center"/>
          </w:tcPr>
          <w:p w14:paraId="332BD4A6">
            <w:pPr>
              <w:pStyle w:val="49"/>
              <w:numPr>
                <w:ilvl w:val="0"/>
                <w:numId w:val="0"/>
              </w:numPr>
              <w:ind w:left="420" w:leftChars="0" w:hanging="420" w:firstLineChars="0"/>
              <w:jc w:val="center"/>
              <w:rPr>
                <w:rFonts w:hint="eastAsia" w:ascii="宋体" w:hAnsi="宋体" w:eastAsia="宋体" w:cs="宋体"/>
                <w:color w:val="auto"/>
                <w:kern w:val="2"/>
                <w:sz w:val="24"/>
                <w:szCs w:val="24"/>
                <w:highlight w:val="none"/>
                <w:lang w:val="en-US" w:eastAsia="zh-CN" w:bidi="ar-SA"/>
              </w:rPr>
            </w:pPr>
            <w:r>
              <w:rPr>
                <w:rFonts w:hint="eastAsia" w:cs="宋体"/>
                <w:color w:val="auto"/>
                <w:kern w:val="2"/>
                <w:sz w:val="24"/>
                <w:szCs w:val="24"/>
                <w:highlight w:val="none"/>
                <w:lang w:val="en-US" w:eastAsia="zh-CN" w:bidi="ar-SA"/>
              </w:rPr>
              <w:t>8</w:t>
            </w:r>
          </w:p>
        </w:tc>
        <w:tc>
          <w:tcPr>
            <w:tcW w:w="1032" w:type="pct"/>
            <w:vAlign w:val="center"/>
          </w:tcPr>
          <w:p w14:paraId="56EEFE7E">
            <w:pPr>
              <w:pStyle w:val="4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附加条件</w:t>
            </w:r>
          </w:p>
        </w:tc>
        <w:tc>
          <w:tcPr>
            <w:tcW w:w="2753" w:type="pct"/>
            <w:shd w:val="clear" w:color="auto" w:fill="auto"/>
            <w:vAlign w:val="center"/>
          </w:tcPr>
          <w:p w14:paraId="618DB2FB">
            <w:pPr>
              <w:pStyle w:val="4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投标文件没有采购人不能接受的附加条件的</w:t>
            </w:r>
          </w:p>
        </w:tc>
        <w:tc>
          <w:tcPr>
            <w:tcW w:w="443" w:type="pct"/>
            <w:shd w:val="clear" w:color="auto" w:fill="auto"/>
            <w:vAlign w:val="center"/>
          </w:tcPr>
          <w:p w14:paraId="36C2A679">
            <w:pPr>
              <w:pStyle w:val="49"/>
              <w:rPr>
                <w:rFonts w:hint="eastAsia" w:ascii="宋体" w:hAnsi="宋体" w:eastAsia="宋体" w:cs="宋体"/>
                <w:color w:val="auto"/>
                <w:sz w:val="24"/>
                <w:szCs w:val="24"/>
                <w:highlight w:val="none"/>
                <w:lang w:val="zh-CN"/>
              </w:rPr>
            </w:pPr>
          </w:p>
        </w:tc>
        <w:tc>
          <w:tcPr>
            <w:tcW w:w="521" w:type="pct"/>
            <w:shd w:val="clear" w:color="auto" w:fill="auto"/>
            <w:vAlign w:val="center"/>
          </w:tcPr>
          <w:p w14:paraId="73E4201A">
            <w:pPr>
              <w:pStyle w:val="49"/>
              <w:rPr>
                <w:rFonts w:hint="eastAsia" w:ascii="宋体" w:hAnsi="宋体" w:eastAsia="宋体" w:cs="宋体"/>
                <w:color w:val="auto"/>
                <w:sz w:val="24"/>
                <w:szCs w:val="24"/>
                <w:highlight w:val="none"/>
                <w:lang w:val="zh-CN"/>
              </w:rPr>
            </w:pPr>
          </w:p>
        </w:tc>
      </w:tr>
      <w:tr w14:paraId="166757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1" w:hRule="atLeast"/>
        </w:trPr>
        <w:tc>
          <w:tcPr>
            <w:tcW w:w="249" w:type="pct"/>
            <w:shd w:val="clear" w:color="auto" w:fill="auto"/>
            <w:vAlign w:val="center"/>
          </w:tcPr>
          <w:p w14:paraId="33CCA145">
            <w:pPr>
              <w:pStyle w:val="49"/>
              <w:numPr>
                <w:ilvl w:val="0"/>
                <w:numId w:val="0"/>
              </w:numPr>
              <w:ind w:left="420" w:leftChars="0" w:hanging="420" w:firstLineChars="0"/>
              <w:jc w:val="center"/>
              <w:rPr>
                <w:rFonts w:hint="default" w:ascii="宋体" w:hAnsi="宋体" w:eastAsia="宋体" w:cs="宋体"/>
                <w:color w:val="auto"/>
                <w:kern w:val="2"/>
                <w:sz w:val="24"/>
                <w:szCs w:val="24"/>
                <w:highlight w:val="none"/>
                <w:lang w:val="en-US" w:eastAsia="zh-CN" w:bidi="ar-SA"/>
              </w:rPr>
            </w:pPr>
            <w:r>
              <w:rPr>
                <w:rFonts w:hint="eastAsia" w:cs="宋体"/>
                <w:color w:val="auto"/>
                <w:kern w:val="2"/>
                <w:sz w:val="24"/>
                <w:szCs w:val="24"/>
                <w:highlight w:val="none"/>
                <w:lang w:val="en-US" w:eastAsia="zh-CN" w:bidi="ar-SA"/>
              </w:rPr>
              <w:t>9</w:t>
            </w:r>
          </w:p>
        </w:tc>
        <w:tc>
          <w:tcPr>
            <w:tcW w:w="1032" w:type="pct"/>
            <w:vAlign w:val="center"/>
          </w:tcPr>
          <w:p w14:paraId="56857957">
            <w:pPr>
              <w:pStyle w:val="4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其他无效情形</w:t>
            </w:r>
          </w:p>
        </w:tc>
        <w:tc>
          <w:tcPr>
            <w:tcW w:w="2753" w:type="pct"/>
            <w:shd w:val="clear" w:color="auto" w:fill="auto"/>
            <w:vAlign w:val="center"/>
          </w:tcPr>
          <w:p w14:paraId="2D4FAC27">
            <w:pPr>
              <w:pStyle w:val="4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没有</w:t>
            </w:r>
            <w:r>
              <w:rPr>
                <w:rFonts w:hint="eastAsia" w:ascii="宋体" w:hAnsi="宋体" w:eastAsia="宋体" w:cs="宋体"/>
                <w:color w:val="auto"/>
                <w:sz w:val="24"/>
                <w:szCs w:val="24"/>
                <w:highlight w:val="none"/>
                <w:lang w:val="zh-CN" w:eastAsia="zh-CN"/>
              </w:rPr>
              <w:t>法律、法规、规章规定属于</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lang w:val="zh-CN" w:eastAsia="zh-CN"/>
              </w:rPr>
              <w:t>无效的其他情形。</w:t>
            </w:r>
          </w:p>
        </w:tc>
        <w:tc>
          <w:tcPr>
            <w:tcW w:w="443" w:type="pct"/>
            <w:shd w:val="clear" w:color="auto" w:fill="auto"/>
            <w:vAlign w:val="center"/>
          </w:tcPr>
          <w:p w14:paraId="1AF34C22">
            <w:pPr>
              <w:pStyle w:val="49"/>
              <w:rPr>
                <w:rFonts w:hint="eastAsia" w:ascii="宋体" w:hAnsi="宋体" w:eastAsia="宋体" w:cs="宋体"/>
                <w:color w:val="auto"/>
                <w:sz w:val="24"/>
                <w:szCs w:val="24"/>
                <w:highlight w:val="none"/>
                <w:lang w:val="zh-CN"/>
              </w:rPr>
            </w:pPr>
          </w:p>
        </w:tc>
        <w:tc>
          <w:tcPr>
            <w:tcW w:w="521" w:type="pct"/>
            <w:shd w:val="clear" w:color="auto" w:fill="auto"/>
            <w:vAlign w:val="center"/>
          </w:tcPr>
          <w:p w14:paraId="1DBF61E6">
            <w:pPr>
              <w:pStyle w:val="49"/>
              <w:rPr>
                <w:rFonts w:hint="eastAsia" w:ascii="宋体" w:hAnsi="宋体" w:eastAsia="宋体" w:cs="宋体"/>
                <w:color w:val="auto"/>
                <w:sz w:val="24"/>
                <w:szCs w:val="24"/>
                <w:highlight w:val="none"/>
                <w:lang w:val="zh-CN"/>
              </w:rPr>
            </w:pPr>
          </w:p>
        </w:tc>
      </w:tr>
    </w:tbl>
    <w:p w14:paraId="1E0763ED">
      <w:pPr>
        <w:shd w:val="clear" w:color="auto" w:fill="FFFFFF"/>
        <w:tabs>
          <w:tab w:val="left" w:pos="3045"/>
        </w:tabs>
        <w:autoSpaceDE w:val="0"/>
        <w:autoSpaceDN w:val="0"/>
        <w:adjustRightInd w:val="0"/>
        <w:snapToGrid w:val="0"/>
        <w:spacing w:line="360" w:lineRule="exact"/>
        <w:rPr>
          <w:rFonts w:hint="eastAsia" w:ascii="宋体" w:hAnsi="宋体" w:cs="宋体"/>
          <w:b/>
          <w:color w:val="auto"/>
          <w:sz w:val="24"/>
          <w:highlight w:val="none"/>
        </w:rPr>
      </w:pPr>
    </w:p>
    <w:p w14:paraId="01436FB4">
      <w:pPr>
        <w:shd w:val="clear" w:color="auto" w:fill="FFFFFF"/>
        <w:tabs>
          <w:tab w:val="left" w:pos="3045"/>
        </w:tabs>
        <w:autoSpaceDE w:val="0"/>
        <w:autoSpaceDN w:val="0"/>
        <w:adjustRightInd w:val="0"/>
        <w:snapToGrid w:val="0"/>
        <w:spacing w:line="360" w:lineRule="exact"/>
        <w:rPr>
          <w:rFonts w:hint="eastAsia" w:ascii="宋体" w:hAnsi="宋体" w:cs="宋体"/>
          <w:b/>
          <w:color w:val="auto"/>
          <w:sz w:val="24"/>
          <w:highlight w:val="none"/>
        </w:rPr>
      </w:pPr>
    </w:p>
    <w:p w14:paraId="192D581D">
      <w:pPr>
        <w:shd w:val="clear" w:color="auto" w:fill="FFFFFF"/>
        <w:tabs>
          <w:tab w:val="left" w:pos="3045"/>
        </w:tabs>
        <w:autoSpaceDE w:val="0"/>
        <w:autoSpaceDN w:val="0"/>
        <w:adjustRightInd w:val="0"/>
        <w:snapToGrid w:val="0"/>
        <w:spacing w:line="360" w:lineRule="exact"/>
        <w:rPr>
          <w:rFonts w:hint="eastAsia" w:ascii="宋体" w:hAnsi="宋体" w:cs="宋体"/>
          <w:b/>
          <w:color w:val="auto"/>
          <w:sz w:val="24"/>
          <w:highlight w:val="none"/>
        </w:rPr>
      </w:pPr>
    </w:p>
    <w:p w14:paraId="35F79F83">
      <w:pPr>
        <w:shd w:val="clear" w:color="auto" w:fill="FFFFFF"/>
        <w:tabs>
          <w:tab w:val="left" w:pos="3045"/>
        </w:tabs>
        <w:autoSpaceDE w:val="0"/>
        <w:autoSpaceDN w:val="0"/>
        <w:adjustRightInd w:val="0"/>
        <w:snapToGrid w:val="0"/>
        <w:spacing w:line="360" w:lineRule="exact"/>
        <w:rPr>
          <w:rFonts w:hint="eastAsia" w:ascii="宋体" w:hAnsi="宋体" w:cs="宋体"/>
          <w:b/>
          <w:color w:val="auto"/>
          <w:sz w:val="24"/>
          <w:highlight w:val="none"/>
        </w:rPr>
      </w:pPr>
    </w:p>
    <w:p w14:paraId="38111DD3">
      <w:pPr>
        <w:shd w:val="clear" w:color="auto" w:fill="FFFFFF"/>
        <w:tabs>
          <w:tab w:val="left" w:pos="3045"/>
        </w:tabs>
        <w:autoSpaceDE w:val="0"/>
        <w:autoSpaceDN w:val="0"/>
        <w:adjustRightInd w:val="0"/>
        <w:snapToGrid w:val="0"/>
        <w:spacing w:line="360" w:lineRule="exact"/>
        <w:rPr>
          <w:rFonts w:hint="eastAsia" w:ascii="宋体" w:hAnsi="宋体" w:cs="宋体"/>
          <w:b/>
          <w:color w:val="auto"/>
          <w:sz w:val="24"/>
          <w:highlight w:val="none"/>
        </w:rPr>
      </w:pPr>
    </w:p>
    <w:p w14:paraId="661FB104">
      <w:pPr>
        <w:shd w:val="clear" w:color="auto" w:fill="FFFFFF"/>
        <w:tabs>
          <w:tab w:val="left" w:pos="3045"/>
        </w:tabs>
        <w:autoSpaceDE w:val="0"/>
        <w:autoSpaceDN w:val="0"/>
        <w:adjustRightInd w:val="0"/>
        <w:snapToGrid w:val="0"/>
        <w:spacing w:line="360" w:lineRule="exact"/>
        <w:rPr>
          <w:rFonts w:hint="eastAsia" w:ascii="宋体" w:hAnsi="宋体" w:cs="宋体"/>
          <w:b/>
          <w:color w:val="auto"/>
          <w:sz w:val="24"/>
          <w:highlight w:val="none"/>
        </w:rPr>
      </w:pPr>
    </w:p>
    <w:p w14:paraId="36EAE729">
      <w:pPr>
        <w:shd w:val="clear" w:color="auto" w:fill="FFFFFF"/>
        <w:tabs>
          <w:tab w:val="left" w:pos="3045"/>
        </w:tabs>
        <w:autoSpaceDE w:val="0"/>
        <w:autoSpaceDN w:val="0"/>
        <w:adjustRightInd w:val="0"/>
        <w:snapToGrid w:val="0"/>
        <w:spacing w:line="360" w:lineRule="exact"/>
        <w:rPr>
          <w:rFonts w:hint="eastAsia" w:ascii="宋体" w:hAnsi="宋体" w:cs="宋体"/>
          <w:b/>
          <w:color w:val="auto"/>
          <w:sz w:val="24"/>
          <w:highlight w:val="none"/>
        </w:rPr>
      </w:pPr>
    </w:p>
    <w:p w14:paraId="00CC77B6">
      <w:pPr>
        <w:shd w:val="clear" w:color="auto" w:fill="FFFFFF"/>
        <w:tabs>
          <w:tab w:val="left" w:pos="3045"/>
        </w:tabs>
        <w:autoSpaceDE w:val="0"/>
        <w:autoSpaceDN w:val="0"/>
        <w:adjustRightInd w:val="0"/>
        <w:snapToGrid w:val="0"/>
        <w:spacing w:line="360" w:lineRule="exact"/>
        <w:rPr>
          <w:rFonts w:hint="eastAsia" w:ascii="宋体" w:hAnsi="宋体" w:cs="宋体"/>
          <w:b/>
          <w:color w:val="auto"/>
          <w:sz w:val="24"/>
          <w:highlight w:val="none"/>
        </w:rPr>
      </w:pPr>
    </w:p>
    <w:p w14:paraId="229FF1AF">
      <w:pPr>
        <w:shd w:val="clear" w:color="auto" w:fill="FFFFFF"/>
        <w:tabs>
          <w:tab w:val="left" w:pos="3045"/>
        </w:tabs>
        <w:autoSpaceDE w:val="0"/>
        <w:autoSpaceDN w:val="0"/>
        <w:adjustRightInd w:val="0"/>
        <w:snapToGrid w:val="0"/>
        <w:spacing w:line="360" w:lineRule="exact"/>
        <w:rPr>
          <w:rFonts w:hint="eastAsia" w:ascii="宋体" w:hAnsi="宋体" w:cs="宋体"/>
          <w:b/>
          <w:color w:val="auto"/>
          <w:sz w:val="24"/>
          <w:highlight w:val="none"/>
        </w:rPr>
      </w:pPr>
    </w:p>
    <w:p w14:paraId="565A14AF">
      <w:pPr>
        <w:shd w:val="clear" w:color="auto" w:fill="FFFFFF"/>
        <w:tabs>
          <w:tab w:val="left" w:pos="3045"/>
        </w:tabs>
        <w:autoSpaceDE w:val="0"/>
        <w:autoSpaceDN w:val="0"/>
        <w:adjustRightInd w:val="0"/>
        <w:snapToGrid w:val="0"/>
        <w:spacing w:line="360" w:lineRule="exact"/>
        <w:rPr>
          <w:rFonts w:hint="eastAsia" w:ascii="宋体" w:hAnsi="宋体" w:cs="宋体"/>
          <w:b/>
          <w:color w:val="auto"/>
          <w:sz w:val="24"/>
          <w:szCs w:val="24"/>
          <w:highlight w:val="none"/>
        </w:rPr>
      </w:pPr>
    </w:p>
    <w:p w14:paraId="3DB6FBF5">
      <w:pPr>
        <w:shd w:val="clear" w:color="auto" w:fill="FFFFFF"/>
        <w:tabs>
          <w:tab w:val="left" w:pos="3045"/>
        </w:tabs>
        <w:autoSpaceDE w:val="0"/>
        <w:autoSpaceDN w:val="0"/>
        <w:adjustRightInd w:val="0"/>
        <w:snapToGrid w:val="0"/>
        <w:spacing w:line="360" w:lineRule="exact"/>
        <w:rPr>
          <w:rFonts w:hint="eastAsia"/>
          <w:color w:val="auto"/>
          <w:sz w:val="24"/>
          <w:szCs w:val="24"/>
          <w:highlight w:val="none"/>
        </w:rPr>
      </w:pPr>
      <w:r>
        <w:rPr>
          <w:rFonts w:hint="eastAsia" w:ascii="宋体" w:hAnsi="宋体" w:cs="宋体"/>
          <w:b/>
          <w:color w:val="auto"/>
          <w:sz w:val="24"/>
          <w:szCs w:val="24"/>
          <w:highlight w:val="none"/>
        </w:rPr>
        <w:t>符合</w:t>
      </w:r>
      <w:r>
        <w:rPr>
          <w:rFonts w:hint="eastAsia" w:ascii="宋体" w:hAnsi="宋体" w:cs="宋体"/>
          <w:b/>
          <w:color w:val="auto"/>
          <w:sz w:val="24"/>
          <w:szCs w:val="24"/>
          <w:highlight w:val="none"/>
          <w:lang w:eastAsia="zh-CN"/>
        </w:rPr>
        <w:t>性</w:t>
      </w:r>
      <w:r>
        <w:rPr>
          <w:rFonts w:hint="eastAsia" w:cs="宋体"/>
          <w:b/>
          <w:color w:val="auto"/>
          <w:sz w:val="24"/>
          <w:szCs w:val="24"/>
          <w:highlight w:val="none"/>
          <w:lang w:val="en-US" w:eastAsia="zh-CN"/>
        </w:rPr>
        <w:t>审查表-</w:t>
      </w:r>
      <w:r>
        <w:rPr>
          <w:rFonts w:hint="eastAsia" w:ascii="宋体" w:hAnsi="宋体" w:cs="宋体"/>
          <w:b/>
          <w:color w:val="auto"/>
          <w:sz w:val="24"/>
          <w:szCs w:val="24"/>
          <w:highlight w:val="none"/>
        </w:rPr>
        <w:t>附表</w:t>
      </w:r>
    </w:p>
    <w:p w14:paraId="70584E38">
      <w:pPr>
        <w:pStyle w:val="4"/>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center"/>
        <w:textAlignment w:val="auto"/>
        <w:rPr>
          <w:rFonts w:hint="eastAsia" w:ascii="宋体" w:hAnsi="宋体" w:eastAsia="宋体" w:cstheme="minorBidi"/>
          <w:b/>
          <w:bCs/>
          <w:color w:val="auto"/>
          <w:kern w:val="2"/>
          <w:sz w:val="28"/>
          <w:szCs w:val="28"/>
          <w:highlight w:val="none"/>
          <w:lang w:val="zh-CN" w:eastAsia="zh-CN" w:bidi="ar-SA"/>
        </w:rPr>
      </w:pPr>
      <w:r>
        <w:rPr>
          <w:rFonts w:hint="eastAsia" w:ascii="宋体" w:hAnsi="宋体" w:eastAsia="宋体" w:cstheme="minorBidi"/>
          <w:b/>
          <w:bCs/>
          <w:color w:val="auto"/>
          <w:kern w:val="2"/>
          <w:sz w:val="28"/>
          <w:szCs w:val="28"/>
          <w:highlight w:val="none"/>
          <w:lang w:val="zh-CN" w:eastAsia="zh-CN" w:bidi="ar-SA"/>
        </w:rPr>
        <w:t>实质性响应一览表</w:t>
      </w:r>
    </w:p>
    <w:p w14:paraId="7DFD9111">
      <w:pPr>
        <w:shd w:val="clear" w:color="auto" w:fill="FFFFFF"/>
        <w:tabs>
          <w:tab w:val="left" w:pos="3045"/>
        </w:tabs>
        <w:autoSpaceDE w:val="0"/>
        <w:autoSpaceDN w:val="0"/>
        <w:adjustRightInd w:val="0"/>
        <w:snapToGrid w:val="0"/>
        <w:spacing w:line="360" w:lineRule="exact"/>
        <w:jc w:val="center"/>
        <w:rPr>
          <w:rFonts w:hint="eastAsia" w:ascii="宋体" w:hAnsi="宋体" w:cs="宋体"/>
          <w:b w:val="0"/>
          <w:bCs/>
          <w:color w:val="auto"/>
          <w:sz w:val="24"/>
          <w:szCs w:val="24"/>
          <w:highlight w:val="none"/>
        </w:rPr>
      </w:pPr>
      <w:r>
        <w:rPr>
          <w:rFonts w:hint="eastAsia" w:ascii="宋体" w:hAnsi="宋体" w:cs="宋体"/>
          <w:b w:val="0"/>
          <w:bCs/>
          <w:color w:val="auto"/>
          <w:sz w:val="24"/>
          <w:szCs w:val="24"/>
          <w:highlight w:val="none"/>
        </w:rPr>
        <w:t>（</w:t>
      </w:r>
      <w:r>
        <w:rPr>
          <w:rFonts w:hint="eastAsia" w:cs="宋体"/>
          <w:b w:val="0"/>
          <w:bCs/>
          <w:color w:val="auto"/>
          <w:sz w:val="24"/>
          <w:szCs w:val="24"/>
          <w:highlight w:val="none"/>
          <w:lang w:val="en-US" w:eastAsia="zh-CN"/>
        </w:rPr>
        <w:t>投标人</w:t>
      </w:r>
      <w:r>
        <w:rPr>
          <w:rFonts w:hint="eastAsia" w:ascii="宋体" w:hAnsi="宋体" w:cs="宋体"/>
          <w:b w:val="0"/>
          <w:bCs/>
          <w:color w:val="auto"/>
          <w:sz w:val="24"/>
          <w:szCs w:val="24"/>
          <w:highlight w:val="none"/>
        </w:rPr>
        <w:t>须对本附表所有内容逐条响应且无负偏离，否则</w:t>
      </w:r>
      <w:r>
        <w:rPr>
          <w:rFonts w:hint="eastAsia" w:cs="宋体"/>
          <w:b w:val="0"/>
          <w:bCs/>
          <w:color w:val="auto"/>
          <w:sz w:val="24"/>
          <w:szCs w:val="24"/>
          <w:highlight w:val="none"/>
          <w:lang w:val="en-US" w:eastAsia="zh-CN"/>
        </w:rPr>
        <w:t>其</w:t>
      </w:r>
      <w:r>
        <w:rPr>
          <w:rFonts w:hint="eastAsia" w:ascii="宋体" w:hAnsi="宋体" w:cs="宋体"/>
          <w:b/>
          <w:bCs w:val="0"/>
          <w:color w:val="auto"/>
          <w:sz w:val="24"/>
          <w:szCs w:val="24"/>
          <w:highlight w:val="none"/>
        </w:rPr>
        <w:t>投标无效</w:t>
      </w:r>
      <w:r>
        <w:rPr>
          <w:rFonts w:hint="eastAsia" w:ascii="宋体" w:hAnsi="宋体" w:cs="宋体"/>
          <w:b w:val="0"/>
          <w:bCs/>
          <w:color w:val="auto"/>
          <w:sz w:val="24"/>
          <w:szCs w:val="24"/>
          <w:highlight w:val="none"/>
        </w:rPr>
        <w:t>）</w:t>
      </w:r>
    </w:p>
    <w:p w14:paraId="212CF784">
      <w:pPr>
        <w:pStyle w:val="24"/>
        <w:rPr>
          <w:rFonts w:hint="eastAsia" w:ascii="宋体" w:hAnsi="宋体" w:cs="宋体"/>
          <w:color w:val="auto"/>
          <w:sz w:val="24"/>
          <w:szCs w:val="24"/>
          <w:highlight w:val="none"/>
        </w:rPr>
      </w:pPr>
    </w:p>
    <w:tbl>
      <w:tblPr>
        <w:tblStyle w:val="30"/>
        <w:tblW w:w="5435" w:type="pct"/>
        <w:tblInd w:w="-2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8"/>
        <w:gridCol w:w="1992"/>
        <w:gridCol w:w="4259"/>
        <w:gridCol w:w="1873"/>
        <w:gridCol w:w="732"/>
      </w:tblGrid>
      <w:tr w14:paraId="098C5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220" w:type="pct"/>
            <w:vMerge w:val="restart"/>
            <w:noWrap w:val="0"/>
            <w:vAlign w:val="center"/>
          </w:tcPr>
          <w:p w14:paraId="7CE32AA3">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3373" w:type="pct"/>
            <w:gridSpan w:val="2"/>
            <w:noWrap w:val="0"/>
            <w:vAlign w:val="center"/>
          </w:tcPr>
          <w:p w14:paraId="01AF8505">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招标文件要求的实质性响应内容</w:t>
            </w:r>
          </w:p>
        </w:tc>
        <w:tc>
          <w:tcPr>
            <w:tcW w:w="1010" w:type="pct"/>
            <w:vMerge w:val="restart"/>
            <w:noWrap w:val="0"/>
            <w:vAlign w:val="center"/>
          </w:tcPr>
          <w:p w14:paraId="2428BDFD">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投标文件响应</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rPr>
              <w:t>具体内容</w:t>
            </w:r>
          </w:p>
        </w:tc>
        <w:tc>
          <w:tcPr>
            <w:tcW w:w="395" w:type="pct"/>
            <w:vMerge w:val="restart"/>
            <w:noWrap w:val="0"/>
            <w:vAlign w:val="center"/>
          </w:tcPr>
          <w:p w14:paraId="2BD31803">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14:paraId="6F69C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20" w:type="pct"/>
            <w:vMerge w:val="continue"/>
            <w:noWrap w:val="0"/>
            <w:vAlign w:val="center"/>
          </w:tcPr>
          <w:p w14:paraId="03EF4065">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rPr>
            </w:pPr>
          </w:p>
        </w:tc>
        <w:tc>
          <w:tcPr>
            <w:tcW w:w="1075" w:type="pct"/>
            <w:shd w:val="clear" w:color="auto" w:fill="auto"/>
            <w:noWrap w:val="0"/>
            <w:vAlign w:val="center"/>
          </w:tcPr>
          <w:p w14:paraId="5FC570A7">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实质性要求</w:t>
            </w:r>
          </w:p>
        </w:tc>
        <w:tc>
          <w:tcPr>
            <w:tcW w:w="2298" w:type="pct"/>
            <w:shd w:val="clear" w:color="auto" w:fill="auto"/>
            <w:noWrap w:val="0"/>
            <w:vAlign w:val="center"/>
          </w:tcPr>
          <w:p w14:paraId="19DBCA50">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招标文件中的规定</w:t>
            </w:r>
          </w:p>
        </w:tc>
        <w:tc>
          <w:tcPr>
            <w:tcW w:w="1010" w:type="pct"/>
            <w:vMerge w:val="continue"/>
            <w:noWrap w:val="0"/>
            <w:vAlign w:val="center"/>
          </w:tcPr>
          <w:p w14:paraId="6263BFD6">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rPr>
            </w:pPr>
          </w:p>
        </w:tc>
        <w:tc>
          <w:tcPr>
            <w:tcW w:w="395" w:type="pct"/>
            <w:vMerge w:val="continue"/>
            <w:noWrap w:val="0"/>
            <w:vAlign w:val="center"/>
          </w:tcPr>
          <w:p w14:paraId="1B799351">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rPr>
            </w:pPr>
          </w:p>
        </w:tc>
      </w:tr>
      <w:tr w14:paraId="0E72D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4" w:hRule="atLeast"/>
        </w:trPr>
        <w:tc>
          <w:tcPr>
            <w:tcW w:w="220" w:type="pct"/>
            <w:noWrap w:val="0"/>
            <w:vAlign w:val="center"/>
          </w:tcPr>
          <w:p w14:paraId="7ECA8034">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075" w:type="pct"/>
            <w:shd w:val="clear" w:color="auto" w:fill="auto"/>
            <w:noWrap w:val="0"/>
            <w:vAlign w:val="center"/>
          </w:tcPr>
          <w:p w14:paraId="62642515">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sz w:val="24"/>
                <w:szCs w:val="24"/>
                <w:highlight w:val="none"/>
                <w:lang w:eastAsia="zh-CN"/>
              </w:rPr>
              <w:t>响应文件</w:t>
            </w:r>
            <w:r>
              <w:rPr>
                <w:rFonts w:hint="eastAsia" w:ascii="宋体" w:hAnsi="宋体" w:eastAsia="宋体" w:cs="宋体"/>
                <w:i w:val="0"/>
                <w:iCs w:val="0"/>
                <w:color w:val="auto"/>
                <w:sz w:val="24"/>
                <w:szCs w:val="24"/>
                <w:highlight w:val="none"/>
              </w:rPr>
              <w:t>有效期</w:t>
            </w:r>
          </w:p>
        </w:tc>
        <w:tc>
          <w:tcPr>
            <w:tcW w:w="2298" w:type="pct"/>
            <w:shd w:val="clear" w:color="auto" w:fill="auto"/>
            <w:noWrap w:val="0"/>
            <w:vAlign w:val="center"/>
          </w:tcPr>
          <w:p w14:paraId="3517C392">
            <w:pPr>
              <w:keepNext w:val="0"/>
              <w:keepLines w:val="0"/>
              <w:pageBreakBefore w:val="0"/>
              <w:widowControl w:val="0"/>
              <w:shd w:val="clear" w:color="auto" w:fill="FFFFFF"/>
              <w:kinsoku/>
              <w:wordWrap/>
              <w:overflowPunct/>
              <w:topLinePunct w:val="0"/>
              <w:autoSpaceDE w:val="0"/>
              <w:autoSpaceDN w:val="0"/>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sz w:val="24"/>
                <w:szCs w:val="24"/>
                <w:highlight w:val="none"/>
              </w:rPr>
              <w:t>响应文件递交截止日期后90日历日。</w:t>
            </w:r>
          </w:p>
        </w:tc>
        <w:tc>
          <w:tcPr>
            <w:tcW w:w="1010" w:type="pct"/>
            <w:noWrap w:val="0"/>
            <w:vAlign w:val="center"/>
          </w:tcPr>
          <w:p w14:paraId="3F7DA8EA">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投标人在</w:t>
            </w:r>
            <w:r>
              <w:rPr>
                <w:rFonts w:hint="eastAsia" w:ascii="宋体" w:hAnsi="宋体" w:eastAsia="宋体" w:cs="宋体"/>
                <w:color w:val="auto"/>
                <w:sz w:val="24"/>
                <w:szCs w:val="24"/>
                <w:highlight w:val="none"/>
              </w:rPr>
              <w:t>此处填写</w:t>
            </w:r>
            <w:r>
              <w:rPr>
                <w:rFonts w:hint="eastAsia" w:ascii="宋体" w:hAnsi="宋体" w:eastAsia="宋体" w:cs="宋体"/>
                <w:color w:val="auto"/>
                <w:sz w:val="24"/>
                <w:szCs w:val="24"/>
                <w:highlight w:val="none"/>
                <w:lang w:eastAsia="zh-CN"/>
              </w:rPr>
              <w:t>投标</w:t>
            </w:r>
            <w:r>
              <w:rPr>
                <w:rFonts w:hint="eastAsia" w:ascii="宋体" w:hAnsi="宋体" w:eastAsia="宋体" w:cs="宋体"/>
                <w:color w:val="auto"/>
                <w:sz w:val="24"/>
                <w:szCs w:val="24"/>
                <w:highlight w:val="none"/>
                <w:lang w:val="en-US" w:eastAsia="zh-CN"/>
              </w:rPr>
              <w:t>文件的相关内容</w:t>
            </w:r>
            <w:r>
              <w:rPr>
                <w:rFonts w:hint="eastAsia" w:ascii="宋体" w:hAnsi="宋体" w:eastAsia="宋体" w:cs="宋体"/>
                <w:color w:val="auto"/>
                <w:sz w:val="24"/>
                <w:szCs w:val="24"/>
                <w:highlight w:val="none"/>
                <w:lang w:eastAsia="zh-CN"/>
              </w:rPr>
              <w:t>】</w:t>
            </w:r>
          </w:p>
        </w:tc>
        <w:tc>
          <w:tcPr>
            <w:tcW w:w="395" w:type="pct"/>
            <w:noWrap w:val="0"/>
            <w:vAlign w:val="center"/>
          </w:tcPr>
          <w:p w14:paraId="729A3125">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r>
      <w:tr w14:paraId="671CC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trPr>
        <w:tc>
          <w:tcPr>
            <w:tcW w:w="220" w:type="pct"/>
            <w:noWrap w:val="0"/>
            <w:vAlign w:val="center"/>
          </w:tcPr>
          <w:p w14:paraId="79561691">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075" w:type="pct"/>
            <w:shd w:val="clear" w:color="auto" w:fill="auto"/>
            <w:noWrap w:val="0"/>
            <w:vAlign w:val="center"/>
          </w:tcPr>
          <w:p w14:paraId="7FB35A2D">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i w:val="0"/>
                <w:iCs w:val="0"/>
                <w:color w:val="auto"/>
                <w:kern w:val="2"/>
                <w:sz w:val="24"/>
                <w:szCs w:val="24"/>
                <w:highlight w:val="none"/>
                <w:lang w:val="en-US" w:eastAsia="zh-CN" w:bidi="ar-SA"/>
              </w:rPr>
            </w:pPr>
            <w:r>
              <w:rPr>
                <w:rFonts w:hint="eastAsia"/>
                <w:color w:val="auto"/>
                <w:sz w:val="24"/>
                <w:szCs w:val="24"/>
                <w:highlight w:val="none"/>
              </w:rPr>
              <w:t>交货期限</w:t>
            </w:r>
          </w:p>
        </w:tc>
        <w:tc>
          <w:tcPr>
            <w:tcW w:w="2298" w:type="pct"/>
            <w:shd w:val="clear" w:color="auto" w:fill="auto"/>
            <w:noWrap w:val="0"/>
            <w:vAlign w:val="center"/>
          </w:tcPr>
          <w:p w14:paraId="10296614">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自合同签订之日起30天内完成供货、安装并达到交付使用标准。</w:t>
            </w:r>
          </w:p>
        </w:tc>
        <w:tc>
          <w:tcPr>
            <w:tcW w:w="1010" w:type="pct"/>
            <w:noWrap w:val="0"/>
            <w:vAlign w:val="center"/>
          </w:tcPr>
          <w:p w14:paraId="5BB89004">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投标人在</w:t>
            </w:r>
            <w:r>
              <w:rPr>
                <w:rFonts w:hint="eastAsia" w:ascii="宋体" w:hAnsi="宋体" w:eastAsia="宋体" w:cs="宋体"/>
                <w:color w:val="auto"/>
                <w:sz w:val="24"/>
                <w:szCs w:val="24"/>
                <w:highlight w:val="none"/>
              </w:rPr>
              <w:t>此处填写</w:t>
            </w:r>
            <w:r>
              <w:rPr>
                <w:rFonts w:hint="eastAsia" w:ascii="宋体" w:hAnsi="宋体" w:eastAsia="宋体" w:cs="宋体"/>
                <w:color w:val="auto"/>
                <w:sz w:val="24"/>
                <w:szCs w:val="24"/>
                <w:highlight w:val="none"/>
                <w:lang w:eastAsia="zh-CN"/>
              </w:rPr>
              <w:t>投标</w:t>
            </w:r>
            <w:r>
              <w:rPr>
                <w:rFonts w:hint="eastAsia" w:ascii="宋体" w:hAnsi="宋体" w:eastAsia="宋体" w:cs="宋体"/>
                <w:color w:val="auto"/>
                <w:sz w:val="24"/>
                <w:szCs w:val="24"/>
                <w:highlight w:val="none"/>
                <w:lang w:val="en-US" w:eastAsia="zh-CN"/>
              </w:rPr>
              <w:t>文件的相关内容</w:t>
            </w:r>
            <w:r>
              <w:rPr>
                <w:rFonts w:hint="eastAsia" w:ascii="宋体" w:hAnsi="宋体" w:eastAsia="宋体" w:cs="宋体"/>
                <w:color w:val="auto"/>
                <w:sz w:val="24"/>
                <w:szCs w:val="24"/>
                <w:highlight w:val="none"/>
                <w:lang w:eastAsia="zh-CN"/>
              </w:rPr>
              <w:t>】</w:t>
            </w:r>
          </w:p>
        </w:tc>
        <w:tc>
          <w:tcPr>
            <w:tcW w:w="395" w:type="pct"/>
            <w:noWrap w:val="0"/>
            <w:vAlign w:val="center"/>
          </w:tcPr>
          <w:p w14:paraId="0E4E1170">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r>
      <w:tr w14:paraId="35056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trPr>
        <w:tc>
          <w:tcPr>
            <w:tcW w:w="220" w:type="pct"/>
            <w:shd w:val="clear" w:color="auto" w:fill="auto"/>
            <w:noWrap w:val="0"/>
            <w:vAlign w:val="center"/>
          </w:tcPr>
          <w:p w14:paraId="7D5DC93C">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3</w:t>
            </w:r>
          </w:p>
        </w:tc>
        <w:tc>
          <w:tcPr>
            <w:tcW w:w="1075" w:type="pct"/>
            <w:shd w:val="clear" w:color="auto" w:fill="auto"/>
            <w:noWrap w:val="0"/>
            <w:vAlign w:val="center"/>
          </w:tcPr>
          <w:p w14:paraId="505EE26A">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snapToGrid w:val="0"/>
                <w:color w:val="auto"/>
                <w:sz w:val="24"/>
                <w:szCs w:val="24"/>
                <w:highlight w:val="none"/>
                <w:lang w:val="en-US" w:eastAsia="zh-CN"/>
              </w:rPr>
              <w:t>交</w:t>
            </w:r>
            <w:r>
              <w:rPr>
                <w:rFonts w:hint="eastAsia"/>
                <w:color w:val="auto"/>
                <w:sz w:val="24"/>
                <w:szCs w:val="24"/>
                <w:highlight w:val="none"/>
              </w:rPr>
              <w:t>货</w:t>
            </w:r>
            <w:r>
              <w:rPr>
                <w:rFonts w:hint="eastAsia" w:ascii="宋体" w:hAnsi="宋体" w:eastAsia="宋体" w:cs="宋体"/>
                <w:i w:val="0"/>
                <w:iCs w:val="0"/>
                <w:color w:val="auto"/>
                <w:sz w:val="24"/>
                <w:szCs w:val="24"/>
                <w:highlight w:val="none"/>
                <w:lang w:val="zh-CN" w:eastAsia="zh-CN"/>
              </w:rPr>
              <w:t>地点</w:t>
            </w:r>
          </w:p>
        </w:tc>
        <w:tc>
          <w:tcPr>
            <w:tcW w:w="2298" w:type="pct"/>
            <w:shd w:val="clear" w:color="auto" w:fill="auto"/>
            <w:noWrap w:val="0"/>
            <w:vAlign w:val="center"/>
          </w:tcPr>
          <w:p w14:paraId="324EF1FF">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i w:val="0"/>
                <w:iCs w:val="0"/>
                <w:snapToGrid w:val="0"/>
                <w:color w:val="auto"/>
                <w:sz w:val="24"/>
                <w:szCs w:val="24"/>
                <w:highlight w:val="none"/>
                <w:lang w:val="en-US" w:eastAsia="zh-CN"/>
              </w:rPr>
              <w:t>采购人指定地点。</w:t>
            </w:r>
          </w:p>
        </w:tc>
        <w:tc>
          <w:tcPr>
            <w:tcW w:w="1010" w:type="pct"/>
            <w:noWrap w:val="0"/>
            <w:vAlign w:val="center"/>
          </w:tcPr>
          <w:p w14:paraId="042BD647">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投标人在</w:t>
            </w:r>
            <w:r>
              <w:rPr>
                <w:rFonts w:hint="eastAsia" w:ascii="宋体" w:hAnsi="宋体" w:eastAsia="宋体" w:cs="宋体"/>
                <w:color w:val="auto"/>
                <w:sz w:val="24"/>
                <w:szCs w:val="24"/>
                <w:highlight w:val="none"/>
              </w:rPr>
              <w:t>此处填写</w:t>
            </w:r>
            <w:r>
              <w:rPr>
                <w:rFonts w:hint="eastAsia" w:ascii="宋体" w:hAnsi="宋体" w:eastAsia="宋体" w:cs="宋体"/>
                <w:color w:val="auto"/>
                <w:sz w:val="24"/>
                <w:szCs w:val="24"/>
                <w:highlight w:val="none"/>
                <w:lang w:eastAsia="zh-CN"/>
              </w:rPr>
              <w:t>投标</w:t>
            </w:r>
            <w:r>
              <w:rPr>
                <w:rFonts w:hint="eastAsia" w:ascii="宋体" w:hAnsi="宋体" w:eastAsia="宋体" w:cs="宋体"/>
                <w:color w:val="auto"/>
                <w:sz w:val="24"/>
                <w:szCs w:val="24"/>
                <w:highlight w:val="none"/>
                <w:lang w:val="en-US" w:eastAsia="zh-CN"/>
              </w:rPr>
              <w:t>文件的相关内容</w:t>
            </w:r>
            <w:r>
              <w:rPr>
                <w:rFonts w:hint="eastAsia" w:ascii="宋体" w:hAnsi="宋体" w:eastAsia="宋体" w:cs="宋体"/>
                <w:color w:val="auto"/>
                <w:sz w:val="24"/>
                <w:szCs w:val="24"/>
                <w:highlight w:val="none"/>
                <w:lang w:eastAsia="zh-CN"/>
              </w:rPr>
              <w:t>】</w:t>
            </w:r>
          </w:p>
        </w:tc>
        <w:tc>
          <w:tcPr>
            <w:tcW w:w="395" w:type="pct"/>
            <w:noWrap w:val="0"/>
            <w:vAlign w:val="center"/>
          </w:tcPr>
          <w:p w14:paraId="458E18AF">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r>
      <w:tr w14:paraId="0126A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220" w:type="pct"/>
            <w:shd w:val="clear" w:color="auto" w:fill="auto"/>
            <w:noWrap w:val="0"/>
            <w:vAlign w:val="center"/>
          </w:tcPr>
          <w:p w14:paraId="24A010C1">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4</w:t>
            </w:r>
          </w:p>
        </w:tc>
        <w:tc>
          <w:tcPr>
            <w:tcW w:w="1075" w:type="pct"/>
            <w:shd w:val="clear" w:color="auto" w:fill="auto"/>
            <w:noWrap w:val="0"/>
            <w:vAlign w:val="center"/>
          </w:tcPr>
          <w:p w14:paraId="127FA675">
            <w:pPr>
              <w:keepNext w:val="0"/>
              <w:keepLines w:val="0"/>
              <w:pageBreakBefore w:val="0"/>
              <w:widowControl w:val="0"/>
              <w:kinsoku/>
              <w:wordWrap/>
              <w:overflowPunct/>
              <w:topLinePunct w:val="0"/>
              <w:bidi w:val="0"/>
              <w:adjustRightInd/>
              <w:snapToGrid/>
              <w:spacing w:line="360" w:lineRule="exact"/>
              <w:jc w:val="center"/>
              <w:textAlignment w:val="auto"/>
              <w:rPr>
                <w:rFonts w:hint="default" w:ascii="宋体" w:hAnsi="宋体" w:eastAsia="宋体" w:cs="宋体"/>
                <w:color w:val="auto"/>
                <w:kern w:val="2"/>
                <w:sz w:val="24"/>
                <w:szCs w:val="24"/>
                <w:highlight w:val="none"/>
                <w:lang w:val="en-US" w:eastAsia="zh-CN" w:bidi="ar-SA"/>
              </w:rPr>
            </w:pPr>
            <w:r>
              <w:rPr>
                <w:rFonts w:hint="eastAsia"/>
                <w:snapToGrid w:val="0"/>
                <w:color w:val="auto"/>
                <w:sz w:val="24"/>
                <w:szCs w:val="24"/>
                <w:highlight w:val="none"/>
                <w:lang w:val="en-US" w:eastAsia="zh-CN"/>
              </w:rPr>
              <w:t>售后服务</w:t>
            </w:r>
          </w:p>
        </w:tc>
        <w:tc>
          <w:tcPr>
            <w:tcW w:w="2298" w:type="pct"/>
            <w:shd w:val="clear" w:color="auto" w:fill="auto"/>
            <w:noWrap w:val="0"/>
            <w:vAlign w:val="center"/>
          </w:tcPr>
          <w:p w14:paraId="67F8FB4E">
            <w:pPr>
              <w:pStyle w:val="37"/>
              <w:keepNext w:val="0"/>
              <w:keepLines w:val="0"/>
              <w:pageBreakBefore w:val="0"/>
              <w:widowControl w:val="0"/>
              <w:kinsoku/>
              <w:wordWrap w:val="0"/>
              <w:overflowPunct/>
              <w:topLinePunct w:val="0"/>
              <w:autoSpaceDE/>
              <w:autoSpaceDN/>
              <w:bidi w:val="0"/>
              <w:adjustRightInd/>
              <w:snapToGrid/>
              <w:spacing w:line="380" w:lineRule="exact"/>
              <w:ind w:firstLine="0" w:firstLineChars="0"/>
              <w:jc w:val="left"/>
              <w:textAlignment w:val="auto"/>
              <w:rPr>
                <w:rFonts w:hint="eastAsia"/>
                <w:snapToGrid w:val="0"/>
                <w:color w:val="auto"/>
                <w:sz w:val="24"/>
                <w:szCs w:val="24"/>
                <w:highlight w:val="none"/>
                <w:lang w:val="en-US" w:eastAsia="zh-CN"/>
              </w:rPr>
            </w:pPr>
            <w:r>
              <w:rPr>
                <w:rFonts w:hint="eastAsia"/>
                <w:snapToGrid w:val="0"/>
                <w:color w:val="auto"/>
                <w:sz w:val="24"/>
                <w:szCs w:val="24"/>
                <w:highlight w:val="none"/>
                <w:lang w:val="en-US" w:eastAsia="zh-CN"/>
              </w:rPr>
              <w:t>①质保期：正常使用情况下，设备免费保修3年，终身成本维修。</w:t>
            </w:r>
          </w:p>
          <w:p w14:paraId="306C2FF4">
            <w:pPr>
              <w:pStyle w:val="37"/>
              <w:keepNext w:val="0"/>
              <w:keepLines w:val="0"/>
              <w:pageBreakBefore w:val="0"/>
              <w:widowControl w:val="0"/>
              <w:kinsoku/>
              <w:overflowPunct/>
              <w:topLinePunct w:val="0"/>
              <w:autoSpaceDE/>
              <w:autoSpaceDN/>
              <w:bidi w:val="0"/>
              <w:adjustRightInd/>
              <w:snapToGrid/>
              <w:spacing w:line="380" w:lineRule="exact"/>
              <w:ind w:left="0" w:leftChars="0" w:firstLine="0" w:firstLineChars="0"/>
              <w:textAlignment w:val="auto"/>
              <w:rPr>
                <w:rFonts w:hint="default" w:ascii="宋体" w:hAnsi="宋体" w:eastAsia="宋体" w:cs="宋体"/>
                <w:color w:val="auto"/>
                <w:kern w:val="2"/>
                <w:sz w:val="24"/>
                <w:szCs w:val="24"/>
                <w:highlight w:val="none"/>
                <w:lang w:val="en-US" w:eastAsia="zh-CN" w:bidi="ar-SA"/>
              </w:rPr>
            </w:pPr>
            <w:r>
              <w:rPr>
                <w:rFonts w:hint="eastAsia" w:cs="宋体"/>
                <w:i w:val="0"/>
                <w:iCs w:val="0"/>
                <w:color w:val="auto"/>
                <w:kern w:val="0"/>
                <w:sz w:val="24"/>
                <w:szCs w:val="24"/>
                <w:u w:val="none"/>
                <w:lang w:val="en-US" w:eastAsia="zh-CN" w:bidi="ar"/>
              </w:rPr>
              <w:t>②</w:t>
            </w:r>
            <w:r>
              <w:rPr>
                <w:rFonts w:hint="eastAsia" w:ascii="宋体" w:hAnsi="宋体" w:eastAsia="宋体" w:cs="宋体"/>
                <w:i w:val="0"/>
                <w:iCs w:val="0"/>
                <w:color w:val="auto"/>
                <w:kern w:val="0"/>
                <w:sz w:val="24"/>
                <w:szCs w:val="24"/>
                <w:u w:val="none"/>
                <w:lang w:val="en-US" w:eastAsia="zh-CN" w:bidi="ar"/>
              </w:rPr>
              <w:t>5年内，每年定期维护1次</w:t>
            </w:r>
            <w:r>
              <w:rPr>
                <w:rFonts w:hint="eastAsia" w:cs="宋体"/>
                <w:i w:val="0"/>
                <w:iCs w:val="0"/>
                <w:color w:val="auto"/>
                <w:kern w:val="0"/>
                <w:sz w:val="24"/>
                <w:szCs w:val="24"/>
                <w:u w:val="none"/>
                <w:lang w:val="en-US" w:eastAsia="zh-CN" w:bidi="ar"/>
              </w:rPr>
              <w:t>（具体要求以签订合同为准）。</w:t>
            </w:r>
          </w:p>
        </w:tc>
        <w:tc>
          <w:tcPr>
            <w:tcW w:w="1010" w:type="pct"/>
            <w:noWrap w:val="0"/>
            <w:vAlign w:val="center"/>
          </w:tcPr>
          <w:p w14:paraId="6E29F276">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投标人在</w:t>
            </w:r>
            <w:r>
              <w:rPr>
                <w:rFonts w:hint="eastAsia" w:ascii="宋体" w:hAnsi="宋体" w:eastAsia="宋体" w:cs="宋体"/>
                <w:color w:val="auto"/>
                <w:sz w:val="24"/>
                <w:szCs w:val="24"/>
                <w:highlight w:val="none"/>
              </w:rPr>
              <w:t>此处填写</w:t>
            </w:r>
            <w:r>
              <w:rPr>
                <w:rFonts w:hint="eastAsia" w:ascii="宋体" w:hAnsi="宋体" w:eastAsia="宋体" w:cs="宋体"/>
                <w:color w:val="auto"/>
                <w:sz w:val="24"/>
                <w:szCs w:val="24"/>
                <w:highlight w:val="none"/>
                <w:lang w:eastAsia="zh-CN"/>
              </w:rPr>
              <w:t>投标</w:t>
            </w:r>
            <w:r>
              <w:rPr>
                <w:rFonts w:hint="eastAsia" w:ascii="宋体" w:hAnsi="宋体" w:eastAsia="宋体" w:cs="宋体"/>
                <w:color w:val="auto"/>
                <w:sz w:val="24"/>
                <w:szCs w:val="24"/>
                <w:highlight w:val="none"/>
                <w:lang w:val="en-US" w:eastAsia="zh-CN"/>
              </w:rPr>
              <w:t>文件的相关内容</w:t>
            </w:r>
            <w:r>
              <w:rPr>
                <w:rFonts w:hint="eastAsia" w:ascii="宋体" w:hAnsi="宋体" w:eastAsia="宋体" w:cs="宋体"/>
                <w:color w:val="auto"/>
                <w:sz w:val="24"/>
                <w:szCs w:val="24"/>
                <w:highlight w:val="none"/>
                <w:lang w:eastAsia="zh-CN"/>
              </w:rPr>
              <w:t>】</w:t>
            </w:r>
          </w:p>
        </w:tc>
        <w:tc>
          <w:tcPr>
            <w:tcW w:w="395" w:type="pct"/>
            <w:noWrap w:val="0"/>
            <w:vAlign w:val="center"/>
          </w:tcPr>
          <w:p w14:paraId="63A4B6FE">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r>
    </w:tbl>
    <w:p w14:paraId="50258B92">
      <w:pPr>
        <w:rPr>
          <w:rFonts w:hint="eastAsia"/>
          <w:b/>
          <w:bCs/>
          <w:color w:val="auto"/>
          <w:highlight w:val="none"/>
          <w:lang w:val="en-US" w:eastAsia="zh-CN"/>
        </w:rPr>
      </w:pPr>
    </w:p>
    <w:p w14:paraId="48517D6B">
      <w:pPr>
        <w:shd w:val="clear" w:color="auto" w:fill="FFFFFF"/>
        <w:tabs>
          <w:tab w:val="left" w:pos="3045"/>
        </w:tabs>
        <w:autoSpaceDE w:val="0"/>
        <w:autoSpaceDN w:val="0"/>
        <w:adjustRightInd w:val="0"/>
        <w:snapToGrid w:val="0"/>
        <w:spacing w:line="360" w:lineRule="exact"/>
        <w:rPr>
          <w:rFonts w:hint="eastAsia" w:ascii="宋体" w:hAnsi="宋体" w:eastAsia="宋体" w:cstheme="minorBidi"/>
          <w:b/>
          <w:bCs/>
          <w:color w:val="auto"/>
          <w:kern w:val="2"/>
          <w:sz w:val="30"/>
          <w:szCs w:val="32"/>
          <w:highlight w:val="none"/>
          <w:lang w:val="zh-CN" w:eastAsia="zh-CN" w:bidi="ar-SA"/>
        </w:rPr>
      </w:pPr>
      <w:bookmarkStart w:id="314" w:name="_Toc155185917"/>
      <w:bookmarkStart w:id="315" w:name="_Toc163492910"/>
      <w:r>
        <w:rPr>
          <w:rFonts w:hint="eastAsia" w:ascii="宋体" w:hAnsi="宋体" w:eastAsia="宋体" w:cstheme="minorBidi"/>
          <w:b/>
          <w:bCs/>
          <w:color w:val="auto"/>
          <w:kern w:val="2"/>
          <w:sz w:val="30"/>
          <w:szCs w:val="32"/>
          <w:highlight w:val="none"/>
          <w:lang w:val="zh-CN" w:eastAsia="zh-CN" w:bidi="ar-SA"/>
        </w:rPr>
        <w:br w:type="page"/>
      </w:r>
    </w:p>
    <w:p w14:paraId="3FE0903E">
      <w:pPr>
        <w:pStyle w:val="4"/>
        <w:keepNext w:val="0"/>
        <w:keepLines w:val="0"/>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r>
        <w:rPr>
          <w:rFonts w:hint="eastAsia" w:ascii="宋体" w:hAnsi="宋体" w:eastAsia="宋体" w:cs="宋体"/>
          <w:b/>
          <w:bCs/>
          <w:color w:val="auto"/>
          <w:kern w:val="2"/>
          <w:sz w:val="24"/>
          <w:szCs w:val="24"/>
          <w:highlight w:val="none"/>
          <w:lang w:val="zh-CN" w:eastAsia="zh-CN" w:bidi="ar-SA"/>
        </w:rPr>
        <w:t>（二）评分标准</w:t>
      </w:r>
      <w:bookmarkEnd w:id="314"/>
      <w:bookmarkEnd w:id="315"/>
    </w:p>
    <w:p w14:paraId="06EEC6BD">
      <w:pPr>
        <w:rPr>
          <w:rFonts w:hint="default"/>
          <w:b/>
          <w:bCs/>
          <w:color w:val="auto"/>
          <w:sz w:val="21"/>
          <w:szCs w:val="21"/>
          <w:highlight w:val="none"/>
          <w:lang w:val="en-US" w:eastAsia="zh-CN"/>
        </w:rPr>
      </w:pPr>
      <w:r>
        <w:rPr>
          <w:rFonts w:hint="eastAsia"/>
          <w:b/>
          <w:bCs/>
          <w:color w:val="auto"/>
          <w:sz w:val="21"/>
          <w:szCs w:val="21"/>
          <w:highlight w:val="none"/>
          <w:lang w:val="en-US" w:eastAsia="zh-CN"/>
        </w:rPr>
        <w:t>注：以下评标分项根据项目实际情况可自行设置。</w:t>
      </w:r>
    </w:p>
    <w:tbl>
      <w:tblPr>
        <w:tblStyle w:val="30"/>
        <w:tblW w:w="564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9"/>
        <w:gridCol w:w="1481"/>
        <w:gridCol w:w="999"/>
        <w:gridCol w:w="6039"/>
      </w:tblGrid>
      <w:tr w14:paraId="5175C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571" w:type="pct"/>
            <w:shd w:val="clear" w:color="auto" w:fill="D8D8D8" w:themeFill="background1" w:themeFillShade="D9"/>
            <w:vAlign w:val="center"/>
          </w:tcPr>
          <w:p w14:paraId="4924CA4E">
            <w:pPr>
              <w:pStyle w:val="49"/>
              <w:keepNext w:val="0"/>
              <w:keepLines w:val="0"/>
              <w:pageBreakBefore w:val="0"/>
              <w:widowControl w:val="0"/>
              <w:kinsoku/>
              <w:wordWrap/>
              <w:overflowPunct/>
              <w:topLinePunct w:val="0"/>
              <w:autoSpaceDE/>
              <w:autoSpaceDN/>
              <w:bidi w:val="0"/>
              <w:adjustRightInd/>
              <w:snapToGrid/>
              <w:spacing w:line="33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评标项目</w:t>
            </w:r>
          </w:p>
        </w:tc>
        <w:tc>
          <w:tcPr>
            <w:tcW w:w="769" w:type="pct"/>
            <w:shd w:val="clear" w:color="auto" w:fill="D8D8D8" w:themeFill="background1" w:themeFillShade="D9"/>
            <w:vAlign w:val="center"/>
          </w:tcPr>
          <w:p w14:paraId="7A3DCB70">
            <w:pPr>
              <w:pStyle w:val="49"/>
              <w:keepNext w:val="0"/>
              <w:keepLines w:val="0"/>
              <w:pageBreakBefore w:val="0"/>
              <w:widowControl w:val="0"/>
              <w:kinsoku/>
              <w:wordWrap/>
              <w:overflowPunct/>
              <w:topLinePunct w:val="0"/>
              <w:autoSpaceDE/>
              <w:autoSpaceDN/>
              <w:bidi w:val="0"/>
              <w:adjustRightInd/>
              <w:snapToGrid/>
              <w:spacing w:line="33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评标分项</w:t>
            </w:r>
          </w:p>
        </w:tc>
        <w:tc>
          <w:tcPr>
            <w:tcW w:w="519" w:type="pct"/>
            <w:shd w:val="clear" w:color="auto" w:fill="D8D8D8" w:themeFill="background1" w:themeFillShade="D9"/>
            <w:vAlign w:val="center"/>
          </w:tcPr>
          <w:p w14:paraId="65B86E0D">
            <w:pPr>
              <w:pStyle w:val="49"/>
              <w:keepNext w:val="0"/>
              <w:keepLines w:val="0"/>
              <w:pageBreakBefore w:val="0"/>
              <w:widowControl w:val="0"/>
              <w:kinsoku/>
              <w:wordWrap/>
              <w:overflowPunct/>
              <w:topLinePunct w:val="0"/>
              <w:autoSpaceDE/>
              <w:autoSpaceDN/>
              <w:bidi w:val="0"/>
              <w:adjustRightInd/>
              <w:snapToGrid/>
              <w:spacing w:line="33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分值</w:t>
            </w:r>
          </w:p>
        </w:tc>
        <w:tc>
          <w:tcPr>
            <w:tcW w:w="3139" w:type="pct"/>
            <w:shd w:val="clear" w:color="auto" w:fill="D8D8D8" w:themeFill="background1" w:themeFillShade="D9"/>
            <w:vAlign w:val="center"/>
          </w:tcPr>
          <w:p w14:paraId="467A385D">
            <w:pPr>
              <w:pStyle w:val="49"/>
              <w:keepNext w:val="0"/>
              <w:keepLines w:val="0"/>
              <w:pageBreakBefore w:val="0"/>
              <w:widowControl w:val="0"/>
              <w:kinsoku/>
              <w:wordWrap/>
              <w:overflowPunct/>
              <w:topLinePunct w:val="0"/>
              <w:autoSpaceDE/>
              <w:autoSpaceDN/>
              <w:bidi w:val="0"/>
              <w:adjustRightInd/>
              <w:snapToGrid/>
              <w:spacing w:line="33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子项目及分值</w:t>
            </w:r>
          </w:p>
        </w:tc>
      </w:tr>
      <w:tr w14:paraId="497D9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jc w:val="center"/>
        </w:trPr>
        <w:tc>
          <w:tcPr>
            <w:tcW w:w="571" w:type="pct"/>
            <w:vAlign w:val="center"/>
          </w:tcPr>
          <w:p w14:paraId="217DA059">
            <w:pPr>
              <w:pStyle w:val="49"/>
              <w:keepNext w:val="0"/>
              <w:keepLines w:val="0"/>
              <w:pageBreakBefore w:val="0"/>
              <w:widowControl w:val="0"/>
              <w:kinsoku/>
              <w:wordWrap/>
              <w:overflowPunct/>
              <w:topLinePunct w:val="0"/>
              <w:autoSpaceDE/>
              <w:autoSpaceDN/>
              <w:bidi w:val="0"/>
              <w:adjustRightInd/>
              <w:snapToGrid/>
              <w:spacing w:line="33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价格部分</w:t>
            </w:r>
          </w:p>
          <w:p w14:paraId="0CF72946">
            <w:pPr>
              <w:pStyle w:val="49"/>
              <w:keepNext w:val="0"/>
              <w:keepLines w:val="0"/>
              <w:pageBreakBefore w:val="0"/>
              <w:widowControl w:val="0"/>
              <w:kinsoku/>
              <w:wordWrap/>
              <w:overflowPunct/>
              <w:topLinePunct w:val="0"/>
              <w:autoSpaceDE/>
              <w:autoSpaceDN/>
              <w:bidi w:val="0"/>
              <w:adjustRightInd/>
              <w:snapToGrid/>
              <w:spacing w:line="33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cs="宋体"/>
                <w:color w:val="auto"/>
                <w:sz w:val="21"/>
                <w:szCs w:val="21"/>
                <w:highlight w:val="none"/>
                <w:lang w:val="en-US" w:eastAsia="zh-CN"/>
              </w:rPr>
              <w:t>30</w:t>
            </w:r>
            <w:r>
              <w:rPr>
                <w:rFonts w:hint="eastAsia" w:ascii="宋体" w:hAnsi="宋体" w:eastAsia="宋体" w:cs="宋体"/>
                <w:color w:val="auto"/>
                <w:sz w:val="21"/>
                <w:szCs w:val="21"/>
                <w:highlight w:val="none"/>
              </w:rPr>
              <w:t>分）</w:t>
            </w:r>
          </w:p>
        </w:tc>
        <w:tc>
          <w:tcPr>
            <w:tcW w:w="769" w:type="pct"/>
            <w:tcBorders>
              <w:bottom w:val="single" w:color="auto" w:sz="4" w:space="0"/>
            </w:tcBorders>
            <w:vAlign w:val="center"/>
          </w:tcPr>
          <w:p w14:paraId="4D31CF31">
            <w:pPr>
              <w:pStyle w:val="49"/>
              <w:keepNext w:val="0"/>
              <w:keepLines w:val="0"/>
              <w:pageBreakBefore w:val="0"/>
              <w:widowControl w:val="0"/>
              <w:kinsoku/>
              <w:wordWrap/>
              <w:overflowPunct/>
              <w:topLinePunct w:val="0"/>
              <w:autoSpaceDE/>
              <w:autoSpaceDN/>
              <w:bidi w:val="0"/>
              <w:adjustRightInd/>
              <w:snapToGrid/>
              <w:spacing w:line="33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w:t>
            </w:r>
          </w:p>
        </w:tc>
        <w:tc>
          <w:tcPr>
            <w:tcW w:w="519" w:type="pct"/>
            <w:vAlign w:val="center"/>
          </w:tcPr>
          <w:p w14:paraId="318A84CC">
            <w:pPr>
              <w:pStyle w:val="49"/>
              <w:keepNext w:val="0"/>
              <w:keepLines w:val="0"/>
              <w:pageBreakBefore w:val="0"/>
              <w:widowControl w:val="0"/>
              <w:kinsoku/>
              <w:wordWrap/>
              <w:overflowPunct/>
              <w:topLinePunct w:val="0"/>
              <w:autoSpaceDE/>
              <w:autoSpaceDN/>
              <w:bidi w:val="0"/>
              <w:adjustRightInd/>
              <w:snapToGrid/>
              <w:spacing w:line="33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30分</w:t>
            </w:r>
          </w:p>
        </w:tc>
        <w:tc>
          <w:tcPr>
            <w:tcW w:w="3139" w:type="pct"/>
            <w:vAlign w:val="center"/>
          </w:tcPr>
          <w:p w14:paraId="5B2B9EA6">
            <w:pPr>
              <w:pStyle w:val="49"/>
              <w:keepNext w:val="0"/>
              <w:keepLines w:val="0"/>
              <w:pageBreakBefore w:val="0"/>
              <w:widowControl w:val="0"/>
              <w:kinsoku/>
              <w:wordWrap/>
              <w:overflowPunct/>
              <w:topLinePunct w:val="0"/>
              <w:autoSpaceDE/>
              <w:autoSpaceDN/>
              <w:bidi w:val="0"/>
              <w:adjustRightInd/>
              <w:snapToGrid/>
              <w:spacing w:line="33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满足招标文件要求且投标价格最低的投标报价为评标基准价，其价格分为满分。其他投标人的价格分统一按照下列公式计算：</w:t>
            </w:r>
          </w:p>
          <w:p w14:paraId="167B7E7F">
            <w:pPr>
              <w:pStyle w:val="49"/>
              <w:keepNext w:val="0"/>
              <w:keepLines w:val="0"/>
              <w:pageBreakBefore w:val="0"/>
              <w:widowControl w:val="0"/>
              <w:kinsoku/>
              <w:wordWrap/>
              <w:overflowPunct/>
              <w:topLinePunct w:val="0"/>
              <w:autoSpaceDE/>
              <w:autoSpaceDN/>
              <w:bidi w:val="0"/>
              <w:adjustRightInd/>
              <w:snapToGrid/>
              <w:spacing w:line="33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投标报价得分=（评标基准价／投标报价)×价格</w:t>
            </w:r>
            <w:r>
              <w:rPr>
                <w:rFonts w:hint="eastAsia" w:ascii="宋体" w:hAnsi="宋体" w:eastAsia="宋体" w:cs="宋体"/>
                <w:color w:val="auto"/>
                <w:sz w:val="21"/>
                <w:szCs w:val="21"/>
                <w:highlight w:val="none"/>
                <w:lang w:eastAsia="zh-CN"/>
              </w:rPr>
              <w:t>分值</w:t>
            </w:r>
          </w:p>
          <w:p w14:paraId="10F723CE">
            <w:pPr>
              <w:pStyle w:val="49"/>
              <w:keepNext w:val="0"/>
              <w:keepLines w:val="0"/>
              <w:pageBreakBefore w:val="0"/>
              <w:widowControl w:val="0"/>
              <w:kinsoku/>
              <w:wordWrap/>
              <w:overflowPunct/>
              <w:topLinePunct w:val="0"/>
              <w:autoSpaceDE/>
              <w:autoSpaceDN/>
              <w:bidi w:val="0"/>
              <w:adjustRightInd/>
              <w:snapToGrid/>
              <w:spacing w:line="330" w:lineRule="exac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备注</w:t>
            </w:r>
            <w:r>
              <w:rPr>
                <w:rFonts w:hint="eastAsia" w:ascii="宋体" w:hAnsi="宋体" w:eastAsia="宋体" w:cs="宋体"/>
                <w:color w:val="auto"/>
                <w:sz w:val="21"/>
                <w:szCs w:val="21"/>
                <w:highlight w:val="none"/>
              </w:rPr>
              <w:t>：符合</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投标人须知</w:t>
            </w:r>
            <w:r>
              <w:rPr>
                <w:rFonts w:hint="eastAsia" w:ascii="宋体" w:hAnsi="宋体" w:eastAsia="宋体" w:cs="宋体"/>
                <w:color w:val="auto"/>
                <w:sz w:val="21"/>
                <w:szCs w:val="21"/>
                <w:highlight w:val="none"/>
                <w:lang w:val="en-US" w:eastAsia="zh-CN"/>
              </w:rPr>
              <w:t>前附表”</w:t>
            </w:r>
            <w:r>
              <w:rPr>
                <w:rFonts w:hint="eastAsia" w:ascii="宋体" w:hAnsi="宋体" w:eastAsia="宋体" w:cs="宋体"/>
                <w:color w:val="auto"/>
                <w:sz w:val="21"/>
                <w:szCs w:val="21"/>
                <w:highlight w:val="none"/>
              </w:rPr>
              <w:t>中价格扣除规定的，在评审时予以价格扣除，用扣除后的价格参与评审。</w:t>
            </w:r>
          </w:p>
        </w:tc>
      </w:tr>
      <w:tr w14:paraId="1F710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571" w:type="pct"/>
            <w:vMerge w:val="restart"/>
            <w:vAlign w:val="center"/>
          </w:tcPr>
          <w:p w14:paraId="0407C64C">
            <w:pPr>
              <w:pStyle w:val="49"/>
              <w:keepNext w:val="0"/>
              <w:keepLines w:val="0"/>
              <w:pageBreakBefore w:val="0"/>
              <w:widowControl w:val="0"/>
              <w:kinsoku/>
              <w:wordWrap/>
              <w:overflowPunct/>
              <w:topLinePunct w:val="0"/>
              <w:autoSpaceDE/>
              <w:autoSpaceDN/>
              <w:bidi w:val="0"/>
              <w:adjustRightInd/>
              <w:snapToGrid/>
              <w:spacing w:line="33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商务部分</w:t>
            </w:r>
          </w:p>
          <w:p w14:paraId="0F2B2DC8">
            <w:pPr>
              <w:pStyle w:val="49"/>
              <w:keepNext w:val="0"/>
              <w:keepLines w:val="0"/>
              <w:pageBreakBefore w:val="0"/>
              <w:widowControl w:val="0"/>
              <w:kinsoku/>
              <w:wordWrap/>
              <w:overflowPunct/>
              <w:topLinePunct w:val="0"/>
              <w:autoSpaceDE/>
              <w:autoSpaceDN/>
              <w:bidi w:val="0"/>
              <w:adjustRightInd/>
              <w:snapToGrid/>
              <w:spacing w:line="33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cs="宋体"/>
                <w:color w:val="auto"/>
                <w:sz w:val="21"/>
                <w:szCs w:val="21"/>
                <w:highlight w:val="none"/>
                <w:lang w:val="en-US" w:eastAsia="zh-CN"/>
              </w:rPr>
              <w:t>17</w:t>
            </w:r>
            <w:r>
              <w:rPr>
                <w:rFonts w:hint="eastAsia" w:ascii="宋体" w:hAnsi="宋体" w:eastAsia="宋体" w:cs="宋体"/>
                <w:color w:val="auto"/>
                <w:sz w:val="21"/>
                <w:szCs w:val="21"/>
                <w:highlight w:val="none"/>
              </w:rPr>
              <w:t>分）</w:t>
            </w:r>
          </w:p>
        </w:tc>
        <w:tc>
          <w:tcPr>
            <w:tcW w:w="769" w:type="pct"/>
            <w:tcBorders>
              <w:top w:val="single" w:color="auto" w:sz="4" w:space="0"/>
            </w:tcBorders>
            <w:vAlign w:val="center"/>
          </w:tcPr>
          <w:p w14:paraId="7B47B92D">
            <w:pPr>
              <w:pStyle w:val="49"/>
              <w:keepNext w:val="0"/>
              <w:keepLines w:val="0"/>
              <w:pageBreakBefore w:val="0"/>
              <w:widowControl w:val="0"/>
              <w:kinsoku/>
              <w:wordWrap/>
              <w:overflowPunct/>
              <w:topLinePunct w:val="0"/>
              <w:autoSpaceDE/>
              <w:autoSpaceDN/>
              <w:bidi w:val="0"/>
              <w:adjustRightInd/>
              <w:snapToGrid/>
              <w:spacing w:line="33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业绩</w:t>
            </w:r>
          </w:p>
        </w:tc>
        <w:tc>
          <w:tcPr>
            <w:tcW w:w="519" w:type="pct"/>
            <w:vAlign w:val="center"/>
          </w:tcPr>
          <w:p w14:paraId="4E7EA155">
            <w:pPr>
              <w:pStyle w:val="49"/>
              <w:keepNext w:val="0"/>
              <w:keepLines w:val="0"/>
              <w:pageBreakBefore w:val="0"/>
              <w:widowControl w:val="0"/>
              <w:kinsoku/>
              <w:wordWrap/>
              <w:overflowPunct/>
              <w:topLinePunct w:val="0"/>
              <w:autoSpaceDE/>
              <w:autoSpaceDN/>
              <w:bidi w:val="0"/>
              <w:adjustRightInd/>
              <w:snapToGrid/>
              <w:spacing w:line="330" w:lineRule="exact"/>
              <w:jc w:val="center"/>
              <w:textAlignment w:val="auto"/>
              <w:rPr>
                <w:rFonts w:hint="eastAsia" w:ascii="宋体" w:hAnsi="宋体" w:eastAsia="宋体" w:cs="宋体"/>
                <w:color w:val="auto"/>
                <w:sz w:val="21"/>
                <w:szCs w:val="21"/>
                <w:highlight w:val="none"/>
              </w:rPr>
            </w:pPr>
            <w:r>
              <w:rPr>
                <w:rFonts w:hint="eastAsia"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分</w:t>
            </w:r>
          </w:p>
        </w:tc>
        <w:tc>
          <w:tcPr>
            <w:tcW w:w="3139" w:type="pct"/>
            <w:vAlign w:val="center"/>
          </w:tcPr>
          <w:p w14:paraId="00872C1F">
            <w:pPr>
              <w:pStyle w:val="49"/>
              <w:keepNext w:val="0"/>
              <w:keepLines w:val="0"/>
              <w:pageBreakBefore w:val="0"/>
              <w:widowControl w:val="0"/>
              <w:kinsoku/>
              <w:wordWrap/>
              <w:overflowPunct/>
              <w:topLinePunct w:val="0"/>
              <w:autoSpaceDE/>
              <w:autoSpaceDN/>
              <w:bidi w:val="0"/>
              <w:adjustRightInd/>
              <w:snapToGrid/>
              <w:spacing w:line="33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提供近三年(20</w:t>
            </w:r>
            <w:r>
              <w:rPr>
                <w:rFonts w:hint="eastAsia" w:cs="宋体"/>
                <w:color w:val="auto"/>
                <w:sz w:val="21"/>
                <w:szCs w:val="21"/>
                <w:highlight w:val="none"/>
                <w:lang w:val="en-US" w:eastAsia="zh-CN"/>
              </w:rPr>
              <w:t>23</w:t>
            </w:r>
            <w:r>
              <w:rPr>
                <w:rFonts w:hint="eastAsia" w:ascii="宋体" w:hAnsi="宋体" w:eastAsia="宋体" w:cs="宋体"/>
                <w:color w:val="auto"/>
                <w:sz w:val="21"/>
                <w:szCs w:val="21"/>
                <w:highlight w:val="none"/>
                <w:lang w:val="en-US" w:eastAsia="zh-CN"/>
              </w:rPr>
              <w:t>年</w:t>
            </w:r>
            <w:r>
              <w:rPr>
                <w:rFonts w:hint="eastAsia"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月1日至</w:t>
            </w:r>
            <w:r>
              <w:rPr>
                <w:rFonts w:hint="eastAsia" w:cs="宋体"/>
                <w:color w:val="auto"/>
                <w:sz w:val="21"/>
                <w:szCs w:val="21"/>
                <w:highlight w:val="none"/>
                <w:lang w:val="en-US" w:eastAsia="zh-CN"/>
              </w:rPr>
              <w:t>投标截止时间</w:t>
            </w:r>
            <w:r>
              <w:rPr>
                <w:rFonts w:hint="eastAsia" w:ascii="宋体" w:hAnsi="宋体" w:eastAsia="宋体" w:cs="宋体"/>
                <w:color w:val="auto"/>
                <w:sz w:val="21"/>
                <w:szCs w:val="21"/>
                <w:highlight w:val="none"/>
                <w:lang w:val="en-US" w:eastAsia="zh-CN"/>
              </w:rPr>
              <w:t>）</w:t>
            </w:r>
            <w:r>
              <w:rPr>
                <w:rFonts w:hint="eastAsia" w:cs="宋体"/>
                <w:color w:val="auto"/>
                <w:sz w:val="21"/>
                <w:szCs w:val="21"/>
                <w:highlight w:val="none"/>
                <w:lang w:val="en-US" w:eastAsia="zh-CN"/>
              </w:rPr>
              <w:t>完成过类似项目业绩，</w:t>
            </w:r>
            <w:r>
              <w:rPr>
                <w:rFonts w:hint="eastAsia" w:ascii="宋体" w:hAnsi="宋体" w:eastAsia="宋体" w:cs="宋体"/>
                <w:color w:val="auto"/>
                <w:sz w:val="21"/>
                <w:szCs w:val="21"/>
                <w:highlight w:val="none"/>
                <w:lang w:val="en-US" w:eastAsia="zh-CN"/>
              </w:rPr>
              <w:t>每</w:t>
            </w:r>
            <w:r>
              <w:rPr>
                <w:rFonts w:hint="eastAsia" w:cs="宋体"/>
                <w:color w:val="auto"/>
                <w:sz w:val="21"/>
                <w:szCs w:val="21"/>
                <w:highlight w:val="none"/>
                <w:lang w:val="en-US" w:eastAsia="zh-CN"/>
              </w:rPr>
              <w:t>提供1项</w:t>
            </w:r>
            <w:r>
              <w:rPr>
                <w:rFonts w:hint="eastAsia" w:ascii="宋体" w:hAnsi="宋体" w:eastAsia="宋体" w:cs="宋体"/>
                <w:color w:val="auto"/>
                <w:sz w:val="21"/>
                <w:szCs w:val="21"/>
                <w:highlight w:val="none"/>
                <w:lang w:val="en-US" w:eastAsia="zh-CN"/>
              </w:rPr>
              <w:t>业绩得</w:t>
            </w:r>
            <w:r>
              <w:rPr>
                <w:rFonts w:hint="eastAsia"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分，最多得</w:t>
            </w:r>
            <w:r>
              <w:rPr>
                <w:rFonts w:hint="eastAsia"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分。无不得分。</w:t>
            </w:r>
            <w:r>
              <w:rPr>
                <w:rFonts w:hint="eastAsia" w:cs="宋体"/>
                <w:color w:val="auto"/>
                <w:sz w:val="21"/>
                <w:szCs w:val="21"/>
                <w:highlight w:val="none"/>
                <w:lang w:val="en-US" w:eastAsia="zh-CN"/>
              </w:rPr>
              <w:t>附</w:t>
            </w:r>
            <w:r>
              <w:rPr>
                <w:rFonts w:hint="eastAsia" w:ascii="宋体" w:hAnsi="宋体" w:eastAsia="宋体" w:cs="宋体"/>
                <w:color w:val="auto"/>
                <w:sz w:val="21"/>
                <w:szCs w:val="21"/>
                <w:highlight w:val="none"/>
                <w:lang w:val="en-US" w:eastAsia="zh-CN"/>
              </w:rPr>
              <w:t>有效业绩须提供合同</w:t>
            </w:r>
            <w:r>
              <w:rPr>
                <w:rFonts w:hint="eastAsia" w:cs="宋体"/>
                <w:color w:val="auto"/>
                <w:sz w:val="21"/>
                <w:szCs w:val="21"/>
                <w:highlight w:val="none"/>
                <w:lang w:val="en-US" w:eastAsia="zh-CN"/>
              </w:rPr>
              <w:t>或</w:t>
            </w:r>
            <w:r>
              <w:rPr>
                <w:rFonts w:hint="eastAsia" w:ascii="宋体" w:hAnsi="宋体" w:eastAsia="宋体" w:cs="宋体"/>
                <w:color w:val="auto"/>
                <w:sz w:val="21"/>
                <w:szCs w:val="21"/>
                <w:highlight w:val="none"/>
                <w:lang w:val="en-US" w:eastAsia="zh-CN"/>
              </w:rPr>
              <w:t>中标（成交）通知书</w:t>
            </w:r>
            <w:r>
              <w:rPr>
                <w:rFonts w:hint="eastAsia"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合同须体现项目内容</w:t>
            </w:r>
            <w:r>
              <w:rPr>
                <w:rFonts w:hint="eastAsia" w:cs="宋体"/>
                <w:color w:val="auto"/>
                <w:sz w:val="21"/>
                <w:szCs w:val="21"/>
                <w:highlight w:val="none"/>
                <w:lang w:val="en-US" w:eastAsia="zh-CN"/>
              </w:rPr>
              <w:t>。</w:t>
            </w:r>
          </w:p>
        </w:tc>
      </w:tr>
      <w:tr w14:paraId="27940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571" w:type="pct"/>
            <w:vMerge w:val="continue"/>
            <w:vAlign w:val="center"/>
          </w:tcPr>
          <w:p w14:paraId="052C663E">
            <w:pPr>
              <w:pStyle w:val="49"/>
              <w:keepNext w:val="0"/>
              <w:keepLines w:val="0"/>
              <w:pageBreakBefore w:val="0"/>
              <w:widowControl w:val="0"/>
              <w:kinsoku/>
              <w:wordWrap/>
              <w:overflowPunct/>
              <w:topLinePunct w:val="0"/>
              <w:autoSpaceDE/>
              <w:autoSpaceDN/>
              <w:bidi w:val="0"/>
              <w:adjustRightInd/>
              <w:snapToGrid/>
              <w:spacing w:line="330" w:lineRule="exact"/>
              <w:jc w:val="center"/>
              <w:textAlignment w:val="auto"/>
              <w:rPr>
                <w:rFonts w:hint="eastAsia" w:ascii="宋体" w:hAnsi="宋体" w:eastAsia="宋体" w:cs="宋体"/>
                <w:color w:val="auto"/>
                <w:sz w:val="21"/>
                <w:szCs w:val="21"/>
                <w:highlight w:val="none"/>
              </w:rPr>
            </w:pPr>
          </w:p>
        </w:tc>
        <w:tc>
          <w:tcPr>
            <w:tcW w:w="769" w:type="pct"/>
            <w:tcBorders>
              <w:top w:val="single" w:color="auto" w:sz="4" w:space="0"/>
            </w:tcBorders>
            <w:vAlign w:val="center"/>
          </w:tcPr>
          <w:p w14:paraId="460AF2C5">
            <w:pPr>
              <w:pStyle w:val="49"/>
              <w:keepNext w:val="0"/>
              <w:keepLines w:val="0"/>
              <w:pageBreakBefore w:val="0"/>
              <w:widowControl w:val="0"/>
              <w:kinsoku/>
              <w:wordWrap/>
              <w:overflowPunct/>
              <w:topLinePunct w:val="0"/>
              <w:autoSpaceDE/>
              <w:autoSpaceDN/>
              <w:bidi w:val="0"/>
              <w:adjustRightInd/>
              <w:snapToGrid/>
              <w:spacing w:line="33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w:t>
            </w:r>
            <w:r>
              <w:rPr>
                <w:rFonts w:hint="eastAsia" w:cs="宋体"/>
                <w:color w:val="auto"/>
                <w:sz w:val="21"/>
                <w:szCs w:val="21"/>
                <w:highlight w:val="none"/>
                <w:lang w:val="en-US" w:eastAsia="zh-CN"/>
              </w:rPr>
              <w:t>团队</w:t>
            </w:r>
          </w:p>
        </w:tc>
        <w:tc>
          <w:tcPr>
            <w:tcW w:w="519" w:type="pct"/>
            <w:vAlign w:val="center"/>
          </w:tcPr>
          <w:p w14:paraId="628FC415">
            <w:pPr>
              <w:pStyle w:val="49"/>
              <w:keepNext w:val="0"/>
              <w:keepLines w:val="0"/>
              <w:pageBreakBefore w:val="0"/>
              <w:widowControl w:val="0"/>
              <w:kinsoku/>
              <w:wordWrap/>
              <w:overflowPunct/>
              <w:topLinePunct w:val="0"/>
              <w:autoSpaceDE/>
              <w:autoSpaceDN/>
              <w:bidi w:val="0"/>
              <w:adjustRightInd/>
              <w:snapToGrid/>
              <w:spacing w:line="330" w:lineRule="exact"/>
              <w:jc w:val="center"/>
              <w:textAlignment w:val="auto"/>
              <w:rPr>
                <w:rFonts w:hint="eastAsia"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分</w:t>
            </w:r>
          </w:p>
        </w:tc>
        <w:tc>
          <w:tcPr>
            <w:tcW w:w="3139" w:type="pct"/>
            <w:vAlign w:val="center"/>
          </w:tcPr>
          <w:p w14:paraId="49671FF8">
            <w:pPr>
              <w:pStyle w:val="49"/>
              <w:keepNext w:val="0"/>
              <w:keepLines w:val="0"/>
              <w:pageBreakBefore w:val="0"/>
              <w:widowControl w:val="0"/>
              <w:kinsoku/>
              <w:wordWrap/>
              <w:overflowPunct/>
              <w:topLinePunct w:val="0"/>
              <w:autoSpaceDE/>
              <w:autoSpaceDN/>
              <w:bidi w:val="0"/>
              <w:adjustRightInd/>
              <w:snapToGrid/>
              <w:spacing w:line="33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具有针对本项目的服务团队配置，包括项目团队的架构以及职责和分工，人员设置合理，各专业人员配置充足，提供参与本项目人员的详细名单，团队成员岗位职责明晰，专业结构合理，服务经验丰富，完全满足项目需求得</w:t>
            </w:r>
            <w:r>
              <w:rPr>
                <w:rFonts w:hint="eastAsia"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分；各专业人员配置充足、提供人员名单、有编制岗位职责划分，配备完整、能满足项目需求得</w:t>
            </w:r>
            <w:r>
              <w:rPr>
                <w:rFonts w:hint="eastAsia"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分；人员能满足项目执行需要，配有人员清单，安排较差，有一定的经验得</w:t>
            </w:r>
            <w:r>
              <w:rPr>
                <w:rFonts w:hint="eastAsia"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分；项目团队组成人员能力不足，很难满足项目执行需要，安排不合理，专业性较差得1分；不提供不得分。</w:t>
            </w:r>
          </w:p>
          <w:p w14:paraId="52A1D03B">
            <w:pPr>
              <w:pStyle w:val="49"/>
              <w:keepNext w:val="0"/>
              <w:keepLines w:val="0"/>
              <w:pageBreakBefore w:val="0"/>
              <w:widowControl w:val="0"/>
              <w:kinsoku/>
              <w:wordWrap/>
              <w:overflowPunct/>
              <w:topLinePunct w:val="0"/>
              <w:autoSpaceDE/>
              <w:autoSpaceDN/>
              <w:bidi w:val="0"/>
              <w:adjustRightInd/>
              <w:snapToGrid/>
              <w:spacing w:line="33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注：以上人员需提供人员用工合同。</w:t>
            </w:r>
          </w:p>
        </w:tc>
      </w:tr>
      <w:tr w14:paraId="7FF12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571" w:type="pct"/>
            <w:vMerge w:val="continue"/>
            <w:vAlign w:val="center"/>
          </w:tcPr>
          <w:p w14:paraId="61D1A101">
            <w:pPr>
              <w:pStyle w:val="49"/>
              <w:keepNext w:val="0"/>
              <w:keepLines w:val="0"/>
              <w:pageBreakBefore w:val="0"/>
              <w:widowControl w:val="0"/>
              <w:kinsoku/>
              <w:wordWrap/>
              <w:overflowPunct/>
              <w:topLinePunct w:val="0"/>
              <w:autoSpaceDE/>
              <w:autoSpaceDN/>
              <w:bidi w:val="0"/>
              <w:adjustRightInd/>
              <w:snapToGrid/>
              <w:spacing w:line="330" w:lineRule="exact"/>
              <w:jc w:val="center"/>
              <w:textAlignment w:val="auto"/>
              <w:rPr>
                <w:rFonts w:hint="eastAsia" w:ascii="宋体" w:hAnsi="宋体" w:eastAsia="宋体" w:cs="宋体"/>
                <w:color w:val="auto"/>
                <w:sz w:val="21"/>
                <w:szCs w:val="21"/>
                <w:highlight w:val="none"/>
              </w:rPr>
            </w:pPr>
          </w:p>
        </w:tc>
        <w:tc>
          <w:tcPr>
            <w:tcW w:w="769" w:type="pct"/>
            <w:tcBorders>
              <w:top w:val="single" w:color="auto" w:sz="4" w:space="0"/>
            </w:tcBorders>
            <w:vAlign w:val="center"/>
          </w:tcPr>
          <w:p w14:paraId="7DB86936">
            <w:pPr>
              <w:pStyle w:val="49"/>
              <w:keepNext w:val="0"/>
              <w:keepLines w:val="0"/>
              <w:pageBreakBefore w:val="0"/>
              <w:widowControl w:val="0"/>
              <w:kinsoku/>
              <w:wordWrap/>
              <w:overflowPunct/>
              <w:topLinePunct w:val="0"/>
              <w:autoSpaceDE/>
              <w:autoSpaceDN/>
              <w:bidi w:val="0"/>
              <w:adjustRightInd/>
              <w:snapToGrid/>
              <w:spacing w:line="33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质保期</w:t>
            </w:r>
          </w:p>
        </w:tc>
        <w:tc>
          <w:tcPr>
            <w:tcW w:w="519" w:type="pct"/>
            <w:vAlign w:val="center"/>
          </w:tcPr>
          <w:p w14:paraId="44EF5A7B">
            <w:pPr>
              <w:pStyle w:val="49"/>
              <w:keepNext w:val="0"/>
              <w:keepLines w:val="0"/>
              <w:pageBreakBefore w:val="0"/>
              <w:widowControl w:val="0"/>
              <w:kinsoku/>
              <w:wordWrap/>
              <w:overflowPunct/>
              <w:topLinePunct w:val="0"/>
              <w:autoSpaceDE/>
              <w:autoSpaceDN/>
              <w:bidi w:val="0"/>
              <w:adjustRightInd/>
              <w:snapToGrid/>
              <w:spacing w:line="330" w:lineRule="exact"/>
              <w:jc w:val="center"/>
              <w:textAlignment w:val="auto"/>
              <w:rPr>
                <w:rFonts w:hint="default" w:cs="宋体"/>
                <w:color w:val="auto"/>
                <w:sz w:val="21"/>
                <w:szCs w:val="21"/>
                <w:highlight w:val="none"/>
                <w:lang w:val="en-US" w:eastAsia="zh-CN"/>
              </w:rPr>
            </w:pPr>
            <w:r>
              <w:rPr>
                <w:rFonts w:hint="eastAsia" w:cs="宋体"/>
                <w:color w:val="auto"/>
                <w:sz w:val="21"/>
                <w:szCs w:val="21"/>
                <w:highlight w:val="none"/>
                <w:lang w:val="en-US" w:eastAsia="zh-CN"/>
              </w:rPr>
              <w:t>2分</w:t>
            </w:r>
          </w:p>
        </w:tc>
        <w:tc>
          <w:tcPr>
            <w:tcW w:w="3139" w:type="pct"/>
            <w:vAlign w:val="center"/>
          </w:tcPr>
          <w:p w14:paraId="7B5D3662">
            <w:pPr>
              <w:pStyle w:val="49"/>
              <w:keepNext w:val="0"/>
              <w:keepLines w:val="0"/>
              <w:pageBreakBefore w:val="0"/>
              <w:widowControl w:val="0"/>
              <w:kinsoku/>
              <w:wordWrap/>
              <w:overflowPunct/>
              <w:topLinePunct w:val="0"/>
              <w:autoSpaceDE/>
              <w:autoSpaceDN/>
              <w:bidi w:val="0"/>
              <w:adjustRightInd/>
              <w:snapToGrid/>
              <w:spacing w:line="33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投标人在满足本次采购产品质保期要求的基础上，每增加1年 </w:t>
            </w:r>
          </w:p>
          <w:p w14:paraId="26179EEB">
            <w:pPr>
              <w:pStyle w:val="49"/>
              <w:keepNext w:val="0"/>
              <w:keepLines w:val="0"/>
              <w:pageBreakBefore w:val="0"/>
              <w:widowControl w:val="0"/>
              <w:kinsoku/>
              <w:wordWrap/>
              <w:overflowPunct/>
              <w:topLinePunct w:val="0"/>
              <w:autoSpaceDE/>
              <w:autoSpaceDN/>
              <w:bidi w:val="0"/>
              <w:adjustRightInd/>
              <w:snapToGrid/>
              <w:spacing w:line="33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质保的得1分，最多得2分。证明材料需做到印章清晰可见， </w:t>
            </w:r>
          </w:p>
          <w:p w14:paraId="648F5CBC">
            <w:pPr>
              <w:pStyle w:val="49"/>
              <w:keepNext w:val="0"/>
              <w:keepLines w:val="0"/>
              <w:pageBreakBefore w:val="0"/>
              <w:widowControl w:val="0"/>
              <w:kinsoku/>
              <w:wordWrap/>
              <w:overflowPunct/>
              <w:topLinePunct w:val="0"/>
              <w:autoSpaceDE/>
              <w:autoSpaceDN/>
              <w:bidi w:val="0"/>
              <w:adjustRightInd/>
              <w:snapToGrid/>
              <w:spacing w:line="33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如因出现字体模糊不清，印章不清晰导致的后果，投标人自行 </w:t>
            </w:r>
          </w:p>
          <w:p w14:paraId="745F8867">
            <w:pPr>
              <w:pStyle w:val="49"/>
              <w:keepNext w:val="0"/>
              <w:keepLines w:val="0"/>
              <w:pageBreakBefore w:val="0"/>
              <w:widowControl w:val="0"/>
              <w:kinsoku/>
              <w:wordWrap/>
              <w:overflowPunct/>
              <w:topLinePunct w:val="0"/>
              <w:autoSpaceDE/>
              <w:autoSpaceDN/>
              <w:bidi w:val="0"/>
              <w:adjustRightInd/>
              <w:snapToGrid/>
              <w:spacing w:line="33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承担。</w:t>
            </w:r>
          </w:p>
        </w:tc>
      </w:tr>
      <w:tr w14:paraId="314D4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571" w:type="pct"/>
            <w:vMerge w:val="continue"/>
            <w:vAlign w:val="center"/>
          </w:tcPr>
          <w:p w14:paraId="4DE816D1">
            <w:pPr>
              <w:pStyle w:val="49"/>
              <w:keepNext w:val="0"/>
              <w:keepLines w:val="0"/>
              <w:pageBreakBefore w:val="0"/>
              <w:widowControl w:val="0"/>
              <w:kinsoku/>
              <w:wordWrap/>
              <w:overflowPunct/>
              <w:topLinePunct w:val="0"/>
              <w:autoSpaceDE/>
              <w:autoSpaceDN/>
              <w:bidi w:val="0"/>
              <w:adjustRightInd/>
              <w:snapToGrid/>
              <w:spacing w:line="330" w:lineRule="exact"/>
              <w:jc w:val="center"/>
              <w:textAlignment w:val="auto"/>
              <w:rPr>
                <w:rFonts w:hint="eastAsia" w:ascii="宋体" w:hAnsi="宋体" w:eastAsia="宋体" w:cs="宋体"/>
                <w:color w:val="auto"/>
                <w:sz w:val="21"/>
                <w:szCs w:val="21"/>
                <w:highlight w:val="none"/>
              </w:rPr>
            </w:pPr>
          </w:p>
        </w:tc>
        <w:tc>
          <w:tcPr>
            <w:tcW w:w="769" w:type="pct"/>
            <w:tcBorders>
              <w:top w:val="single" w:color="auto" w:sz="4" w:space="0"/>
            </w:tcBorders>
            <w:vAlign w:val="center"/>
          </w:tcPr>
          <w:p w14:paraId="273AF502">
            <w:pPr>
              <w:pStyle w:val="49"/>
              <w:keepNext w:val="0"/>
              <w:keepLines w:val="0"/>
              <w:pageBreakBefore w:val="0"/>
              <w:widowControl w:val="0"/>
              <w:kinsoku/>
              <w:wordWrap/>
              <w:overflowPunct/>
              <w:topLinePunct w:val="0"/>
              <w:autoSpaceDE/>
              <w:autoSpaceDN/>
              <w:bidi w:val="0"/>
              <w:adjustRightInd/>
              <w:snapToGrid/>
              <w:spacing w:line="33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售后服务</w:t>
            </w:r>
          </w:p>
          <w:p w14:paraId="72CA7B85">
            <w:pPr>
              <w:pStyle w:val="49"/>
              <w:keepNext w:val="0"/>
              <w:keepLines w:val="0"/>
              <w:pageBreakBefore w:val="0"/>
              <w:widowControl w:val="0"/>
              <w:kinsoku/>
              <w:wordWrap/>
              <w:overflowPunct/>
              <w:topLinePunct w:val="0"/>
              <w:autoSpaceDE/>
              <w:autoSpaceDN/>
              <w:bidi w:val="0"/>
              <w:adjustRightInd/>
              <w:snapToGrid/>
              <w:spacing w:line="33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方案</w:t>
            </w:r>
          </w:p>
        </w:tc>
        <w:tc>
          <w:tcPr>
            <w:tcW w:w="519" w:type="pct"/>
            <w:vAlign w:val="center"/>
          </w:tcPr>
          <w:p w14:paraId="09CF9C5F">
            <w:pPr>
              <w:pStyle w:val="49"/>
              <w:keepNext w:val="0"/>
              <w:keepLines w:val="0"/>
              <w:pageBreakBefore w:val="0"/>
              <w:widowControl w:val="0"/>
              <w:kinsoku/>
              <w:wordWrap/>
              <w:overflowPunct/>
              <w:topLinePunct w:val="0"/>
              <w:autoSpaceDE/>
              <w:autoSpaceDN/>
              <w:bidi w:val="0"/>
              <w:adjustRightInd/>
              <w:snapToGrid/>
              <w:spacing w:line="330" w:lineRule="exact"/>
              <w:jc w:val="center"/>
              <w:textAlignment w:val="auto"/>
              <w:rPr>
                <w:rFonts w:hint="eastAsia" w:cs="宋体"/>
                <w:color w:val="auto"/>
                <w:sz w:val="21"/>
                <w:szCs w:val="21"/>
                <w:highlight w:val="none"/>
                <w:lang w:val="en-US" w:eastAsia="zh-CN"/>
              </w:rPr>
            </w:pPr>
            <w:r>
              <w:rPr>
                <w:rFonts w:hint="eastAsia"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分</w:t>
            </w:r>
          </w:p>
        </w:tc>
        <w:tc>
          <w:tcPr>
            <w:tcW w:w="3139" w:type="pct"/>
            <w:vAlign w:val="center"/>
          </w:tcPr>
          <w:p w14:paraId="61306C52">
            <w:pPr>
              <w:pStyle w:val="49"/>
              <w:keepNext w:val="0"/>
              <w:keepLines w:val="0"/>
              <w:pageBreakBefore w:val="0"/>
              <w:widowControl w:val="0"/>
              <w:kinsoku/>
              <w:wordWrap/>
              <w:overflowPunct/>
              <w:topLinePunct w:val="0"/>
              <w:autoSpaceDE/>
              <w:autoSpaceDN/>
              <w:bidi w:val="0"/>
              <w:adjustRightInd/>
              <w:snapToGrid/>
              <w:spacing w:line="330" w:lineRule="exac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提供详细的售后服务方案，包含但不限于①解决问题的流程；</w:t>
            </w:r>
            <w:r>
              <w:rPr>
                <w:rFonts w:hint="eastAsia" w:cs="宋体"/>
                <w:color w:val="auto"/>
                <w:kern w:val="2"/>
                <w:sz w:val="21"/>
                <w:szCs w:val="21"/>
                <w:highlight w:val="none"/>
                <w:lang w:val="en-US" w:eastAsia="zh-CN" w:bidi="ar-SA"/>
              </w:rPr>
              <w:t>②</w:t>
            </w:r>
            <w:r>
              <w:rPr>
                <w:rFonts w:hint="eastAsia" w:ascii="宋体" w:hAnsi="宋体" w:eastAsia="宋体" w:cs="宋体"/>
                <w:color w:val="auto"/>
                <w:kern w:val="2"/>
                <w:sz w:val="21"/>
                <w:szCs w:val="21"/>
                <w:highlight w:val="none"/>
                <w:lang w:val="en-US" w:eastAsia="zh-CN" w:bidi="ar-SA"/>
              </w:rPr>
              <w:t>售后</w:t>
            </w:r>
            <w:r>
              <w:rPr>
                <w:rFonts w:hint="eastAsia" w:cs="宋体"/>
                <w:color w:val="auto"/>
                <w:kern w:val="2"/>
                <w:sz w:val="21"/>
                <w:szCs w:val="21"/>
                <w:highlight w:val="none"/>
                <w:lang w:val="en-US" w:eastAsia="zh-CN" w:bidi="ar-SA"/>
              </w:rPr>
              <w:t>设备</w:t>
            </w:r>
            <w:r>
              <w:rPr>
                <w:rFonts w:hint="eastAsia" w:ascii="宋体" w:hAnsi="宋体" w:eastAsia="宋体" w:cs="宋体"/>
                <w:color w:val="auto"/>
                <w:kern w:val="2"/>
                <w:sz w:val="21"/>
                <w:szCs w:val="21"/>
                <w:highlight w:val="none"/>
                <w:lang w:val="en-US" w:eastAsia="zh-CN" w:bidi="ar-SA"/>
              </w:rPr>
              <w:t>日常维护、软件的更新及维护；</w:t>
            </w:r>
            <w:r>
              <w:rPr>
                <w:rFonts w:hint="eastAsia" w:cs="宋体"/>
                <w:color w:val="auto"/>
                <w:kern w:val="2"/>
                <w:sz w:val="21"/>
                <w:szCs w:val="21"/>
                <w:highlight w:val="none"/>
                <w:lang w:val="en-US" w:eastAsia="zh-CN" w:bidi="ar-SA"/>
              </w:rPr>
              <w:t>③</w:t>
            </w:r>
            <w:r>
              <w:rPr>
                <w:rFonts w:hint="eastAsia" w:ascii="宋体" w:hAnsi="宋体" w:eastAsia="宋体" w:cs="宋体"/>
                <w:color w:val="auto"/>
                <w:kern w:val="2"/>
                <w:sz w:val="21"/>
                <w:szCs w:val="21"/>
                <w:highlight w:val="none"/>
                <w:lang w:val="en-US" w:eastAsia="zh-CN" w:bidi="ar-SA"/>
              </w:rPr>
              <w:t>售后人员配备（响应时间、故障处理、电话回访）；</w:t>
            </w:r>
            <w:r>
              <w:rPr>
                <w:rFonts w:hint="eastAsia" w:cs="宋体"/>
                <w:color w:val="auto"/>
                <w:kern w:val="2"/>
                <w:sz w:val="21"/>
                <w:szCs w:val="21"/>
                <w:highlight w:val="none"/>
                <w:lang w:val="en-US" w:eastAsia="zh-CN" w:bidi="ar-SA"/>
              </w:rPr>
              <w:t>④</w:t>
            </w:r>
            <w:r>
              <w:rPr>
                <w:rFonts w:hint="eastAsia" w:ascii="宋体" w:hAnsi="宋体" w:eastAsia="宋体" w:cs="宋体"/>
                <w:color w:val="auto"/>
                <w:kern w:val="2"/>
                <w:sz w:val="21"/>
                <w:szCs w:val="21"/>
                <w:highlight w:val="none"/>
                <w:lang w:val="en-US" w:eastAsia="zh-CN" w:bidi="ar-SA"/>
              </w:rPr>
              <w:t>售后服务</w:t>
            </w:r>
            <w:r>
              <w:rPr>
                <w:rFonts w:hint="eastAsia" w:cs="宋体"/>
                <w:color w:val="auto"/>
                <w:kern w:val="2"/>
                <w:sz w:val="21"/>
                <w:szCs w:val="21"/>
                <w:highlight w:val="none"/>
                <w:lang w:val="en-US" w:eastAsia="zh-CN" w:bidi="ar-SA"/>
              </w:rPr>
              <w:t>承诺及</w:t>
            </w:r>
            <w:r>
              <w:rPr>
                <w:rFonts w:hint="eastAsia" w:ascii="宋体" w:hAnsi="宋体" w:eastAsia="宋体" w:cs="宋体"/>
                <w:color w:val="auto"/>
                <w:kern w:val="2"/>
                <w:sz w:val="21"/>
                <w:szCs w:val="21"/>
                <w:highlight w:val="none"/>
                <w:lang w:val="en-US" w:eastAsia="zh-CN" w:bidi="ar-SA"/>
              </w:rPr>
              <w:t>保障措施；</w:t>
            </w:r>
            <w:r>
              <w:rPr>
                <w:rFonts w:hint="eastAsia" w:cs="宋体"/>
                <w:color w:val="auto"/>
                <w:kern w:val="2"/>
                <w:sz w:val="21"/>
                <w:szCs w:val="21"/>
                <w:highlight w:val="none"/>
                <w:lang w:val="en-US" w:eastAsia="zh-CN" w:bidi="ar-SA"/>
              </w:rPr>
              <w:t>⑤</w:t>
            </w:r>
            <w:r>
              <w:rPr>
                <w:rFonts w:hint="eastAsia" w:ascii="宋体" w:hAnsi="宋体" w:eastAsia="宋体" w:cs="宋体"/>
                <w:color w:val="auto"/>
                <w:kern w:val="2"/>
                <w:sz w:val="21"/>
                <w:szCs w:val="21"/>
                <w:highlight w:val="none"/>
                <w:lang w:val="en-US" w:eastAsia="zh-CN" w:bidi="ar-SA"/>
              </w:rPr>
              <w:t>违约处罚措施；</w:t>
            </w:r>
            <w:r>
              <w:rPr>
                <w:rFonts w:hint="eastAsia" w:cs="宋体"/>
                <w:color w:val="auto"/>
                <w:kern w:val="2"/>
                <w:sz w:val="21"/>
                <w:szCs w:val="21"/>
                <w:highlight w:val="none"/>
                <w:lang w:val="en-US" w:eastAsia="zh-CN" w:bidi="ar-SA"/>
              </w:rPr>
              <w:t>⑥</w:t>
            </w:r>
            <w:r>
              <w:rPr>
                <w:rFonts w:hint="eastAsia" w:ascii="宋体" w:hAnsi="宋体" w:eastAsia="宋体" w:cs="宋体"/>
                <w:color w:val="auto"/>
                <w:kern w:val="2"/>
                <w:sz w:val="21"/>
                <w:szCs w:val="21"/>
                <w:highlight w:val="none"/>
                <w:lang w:val="en-US" w:eastAsia="zh-CN" w:bidi="ar-SA"/>
              </w:rPr>
              <w:t>质保期内的配件更换等内容。</w:t>
            </w:r>
          </w:p>
          <w:p w14:paraId="49780CCE">
            <w:pPr>
              <w:pStyle w:val="49"/>
              <w:keepNext w:val="0"/>
              <w:keepLines w:val="0"/>
              <w:pageBreakBefore w:val="0"/>
              <w:widowControl w:val="0"/>
              <w:kinsoku/>
              <w:wordWrap/>
              <w:overflowPunct/>
              <w:topLinePunct w:val="0"/>
              <w:autoSpaceDE/>
              <w:autoSpaceDN/>
              <w:bidi w:val="0"/>
              <w:adjustRightInd/>
              <w:snapToGrid/>
              <w:spacing w:line="330" w:lineRule="exact"/>
              <w:textAlignment w:val="auto"/>
              <w:rPr>
                <w:rFonts w:hint="default" w:cs="宋体"/>
                <w:color w:val="auto"/>
                <w:kern w:val="0"/>
                <w:sz w:val="21"/>
                <w:szCs w:val="24"/>
                <w:lang w:val="en-US" w:eastAsia="zh-CN" w:bidi="ar-SA"/>
              </w:rPr>
            </w:pPr>
            <w:r>
              <w:rPr>
                <w:rFonts w:hint="default" w:cs="宋体"/>
                <w:color w:val="auto"/>
                <w:kern w:val="0"/>
                <w:sz w:val="21"/>
                <w:szCs w:val="24"/>
                <w:lang w:val="en-US" w:eastAsia="zh-CN" w:bidi="ar-SA"/>
              </w:rPr>
              <w:t>经评标委员会评审，以上内容均能满足项目需求且方案措施完整全面、合理可行的得满分</w:t>
            </w:r>
            <w:r>
              <w:rPr>
                <w:rFonts w:hint="eastAsia" w:cs="宋体"/>
                <w:color w:val="auto"/>
                <w:kern w:val="0"/>
                <w:sz w:val="21"/>
                <w:szCs w:val="24"/>
                <w:lang w:val="en-US" w:eastAsia="zh-CN" w:bidi="ar-SA"/>
              </w:rPr>
              <w:t>6</w:t>
            </w:r>
            <w:r>
              <w:rPr>
                <w:rFonts w:hint="default" w:cs="宋体"/>
                <w:color w:val="auto"/>
                <w:kern w:val="0"/>
                <w:sz w:val="21"/>
                <w:szCs w:val="24"/>
                <w:lang w:val="en-US" w:eastAsia="zh-CN" w:bidi="ar-SA"/>
              </w:rPr>
              <w:t>分，每缺少一项或每项内容与本项目无关的扣1分；每有一项描述简单粗略或存在漏洞或不利于本项目实施的扣</w:t>
            </w:r>
            <w:r>
              <w:rPr>
                <w:rFonts w:hint="eastAsia" w:cs="宋体"/>
                <w:color w:val="auto"/>
                <w:kern w:val="0"/>
                <w:sz w:val="21"/>
                <w:szCs w:val="24"/>
                <w:lang w:val="en-US" w:eastAsia="zh-CN" w:bidi="ar-SA"/>
              </w:rPr>
              <w:t>0.5</w:t>
            </w:r>
            <w:r>
              <w:rPr>
                <w:rFonts w:hint="default" w:cs="宋体"/>
                <w:color w:val="auto"/>
                <w:kern w:val="0"/>
                <w:sz w:val="21"/>
                <w:szCs w:val="24"/>
                <w:lang w:val="en-US" w:eastAsia="zh-CN" w:bidi="ar-SA"/>
              </w:rPr>
              <w:t>分。扣完为止。未提供不得分。</w:t>
            </w:r>
          </w:p>
          <w:p w14:paraId="58C5F723">
            <w:pPr>
              <w:pStyle w:val="49"/>
              <w:keepNext w:val="0"/>
              <w:keepLines w:val="0"/>
              <w:pageBreakBefore w:val="0"/>
              <w:widowControl w:val="0"/>
              <w:kinsoku/>
              <w:wordWrap/>
              <w:overflowPunct/>
              <w:topLinePunct w:val="0"/>
              <w:autoSpaceDE/>
              <w:autoSpaceDN/>
              <w:bidi w:val="0"/>
              <w:adjustRightInd/>
              <w:snapToGrid/>
              <w:spacing w:line="33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缺陷是指：与本项目采购标的无关、方案内容前后不一致、前后逻辑错误、涉及的相关规范及标准错误、地点区域错误、内容缺失、只有简单描述无实质性内容</w:t>
            </w:r>
            <w:r>
              <w:rPr>
                <w:rFonts w:hint="eastAsia" w:cs="宋体"/>
                <w:color w:val="auto"/>
                <w:sz w:val="21"/>
                <w:szCs w:val="21"/>
                <w:highlight w:val="none"/>
                <w:lang w:val="en-US" w:eastAsia="zh-CN"/>
              </w:rPr>
              <w:t>。</w:t>
            </w:r>
          </w:p>
        </w:tc>
      </w:tr>
      <w:tr w14:paraId="05A34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571" w:type="pct"/>
            <w:vMerge w:val="restart"/>
            <w:vAlign w:val="center"/>
          </w:tcPr>
          <w:p w14:paraId="0F7C3128">
            <w:pPr>
              <w:pStyle w:val="49"/>
              <w:keepNext w:val="0"/>
              <w:keepLines w:val="0"/>
              <w:pageBreakBefore w:val="0"/>
              <w:widowControl w:val="0"/>
              <w:kinsoku/>
              <w:wordWrap/>
              <w:overflowPunct/>
              <w:topLinePunct w:val="0"/>
              <w:autoSpaceDE/>
              <w:autoSpaceDN/>
              <w:bidi w:val="0"/>
              <w:adjustRightInd/>
              <w:snapToGrid/>
              <w:spacing w:line="33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技术部分</w:t>
            </w:r>
          </w:p>
          <w:p w14:paraId="7DB9FAD7">
            <w:pPr>
              <w:pStyle w:val="49"/>
              <w:keepNext w:val="0"/>
              <w:keepLines w:val="0"/>
              <w:pageBreakBefore w:val="0"/>
              <w:widowControl w:val="0"/>
              <w:kinsoku/>
              <w:wordWrap/>
              <w:overflowPunct/>
              <w:topLinePunct w:val="0"/>
              <w:autoSpaceDE/>
              <w:autoSpaceDN/>
              <w:bidi w:val="0"/>
              <w:adjustRightInd/>
              <w:snapToGrid/>
              <w:spacing w:line="33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cs="宋体"/>
                <w:color w:val="auto"/>
                <w:sz w:val="21"/>
                <w:szCs w:val="21"/>
                <w:highlight w:val="none"/>
                <w:lang w:val="en-US" w:eastAsia="zh-CN"/>
              </w:rPr>
              <w:t>53</w:t>
            </w:r>
            <w:r>
              <w:rPr>
                <w:rFonts w:hint="eastAsia" w:ascii="宋体" w:hAnsi="宋体" w:eastAsia="宋体" w:cs="宋体"/>
                <w:color w:val="auto"/>
                <w:sz w:val="21"/>
                <w:szCs w:val="21"/>
                <w:highlight w:val="none"/>
              </w:rPr>
              <w:t>分）</w:t>
            </w:r>
          </w:p>
        </w:tc>
        <w:tc>
          <w:tcPr>
            <w:tcW w:w="769" w:type="pct"/>
            <w:tcBorders>
              <w:top w:val="single" w:color="auto" w:sz="4" w:space="0"/>
            </w:tcBorders>
            <w:shd w:val="clear" w:color="auto" w:fill="auto"/>
            <w:vAlign w:val="center"/>
          </w:tcPr>
          <w:p w14:paraId="74282B28">
            <w:pPr>
              <w:pStyle w:val="49"/>
              <w:keepNext w:val="0"/>
              <w:keepLines w:val="0"/>
              <w:pageBreakBefore w:val="0"/>
              <w:widowControl w:val="0"/>
              <w:kinsoku/>
              <w:wordWrap/>
              <w:overflowPunct/>
              <w:topLinePunct w:val="0"/>
              <w:autoSpaceDE/>
              <w:autoSpaceDN/>
              <w:bidi w:val="0"/>
              <w:adjustRightInd/>
              <w:snapToGrid/>
              <w:spacing w:line="33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技术参数</w:t>
            </w:r>
            <w:r>
              <w:rPr>
                <w:rFonts w:hint="eastAsia" w:cs="宋体"/>
                <w:color w:val="auto"/>
                <w:sz w:val="21"/>
                <w:szCs w:val="21"/>
                <w:highlight w:val="none"/>
                <w:lang w:val="en-US" w:eastAsia="zh-CN"/>
              </w:rPr>
              <w:t>响应</w:t>
            </w:r>
          </w:p>
        </w:tc>
        <w:tc>
          <w:tcPr>
            <w:tcW w:w="519" w:type="pct"/>
            <w:shd w:val="clear" w:color="auto" w:fill="auto"/>
            <w:vAlign w:val="center"/>
          </w:tcPr>
          <w:p w14:paraId="5CC6F5C7">
            <w:pPr>
              <w:pStyle w:val="49"/>
              <w:keepNext w:val="0"/>
              <w:keepLines w:val="0"/>
              <w:pageBreakBefore w:val="0"/>
              <w:widowControl w:val="0"/>
              <w:kinsoku/>
              <w:wordWrap/>
              <w:overflowPunct/>
              <w:topLinePunct w:val="0"/>
              <w:autoSpaceDE/>
              <w:autoSpaceDN/>
              <w:bidi w:val="0"/>
              <w:adjustRightInd/>
              <w:snapToGrid/>
              <w:spacing w:line="33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cs="宋体"/>
                <w:color w:val="auto"/>
                <w:sz w:val="21"/>
                <w:szCs w:val="21"/>
                <w:highlight w:val="none"/>
                <w:lang w:val="en-US" w:eastAsia="zh-CN"/>
              </w:rPr>
              <w:t>22分</w:t>
            </w:r>
          </w:p>
        </w:tc>
        <w:tc>
          <w:tcPr>
            <w:tcW w:w="3139" w:type="pct"/>
            <w:shd w:val="clear" w:color="auto" w:fill="auto"/>
            <w:vAlign w:val="center"/>
          </w:tcPr>
          <w:p w14:paraId="7E0603A5">
            <w:pPr>
              <w:pStyle w:val="49"/>
              <w:keepNext w:val="0"/>
              <w:keepLines w:val="0"/>
              <w:pageBreakBefore w:val="0"/>
              <w:widowControl w:val="0"/>
              <w:kinsoku/>
              <w:wordWrap/>
              <w:overflowPunct/>
              <w:topLinePunct w:val="0"/>
              <w:autoSpaceDE/>
              <w:autoSpaceDN/>
              <w:bidi w:val="0"/>
              <w:adjustRightInd/>
              <w:snapToGrid/>
              <w:spacing w:line="330" w:lineRule="exac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根据投标人提供的投标产品对</w:t>
            </w:r>
            <w:r>
              <w:rPr>
                <w:rFonts w:hint="eastAsia" w:cs="宋体"/>
                <w:color w:val="auto"/>
                <w:kern w:val="2"/>
                <w:sz w:val="21"/>
                <w:szCs w:val="21"/>
                <w:highlight w:val="none"/>
                <w:lang w:val="en-US" w:eastAsia="zh-CN" w:bidi="ar-SA"/>
              </w:rPr>
              <w:t>招标</w:t>
            </w:r>
            <w:r>
              <w:rPr>
                <w:rFonts w:hint="eastAsia" w:ascii="宋体" w:hAnsi="宋体" w:eastAsia="宋体" w:cs="宋体"/>
                <w:color w:val="auto"/>
                <w:kern w:val="2"/>
                <w:sz w:val="21"/>
                <w:szCs w:val="21"/>
                <w:highlight w:val="none"/>
                <w:lang w:val="en-US" w:eastAsia="zh-CN" w:bidi="ar-SA"/>
              </w:rPr>
              <w:t>文件技术</w:t>
            </w:r>
            <w:r>
              <w:rPr>
                <w:rFonts w:hint="eastAsia" w:cs="宋体"/>
                <w:color w:val="auto"/>
                <w:kern w:val="2"/>
                <w:sz w:val="21"/>
                <w:szCs w:val="21"/>
                <w:highlight w:val="none"/>
                <w:lang w:val="en-US" w:eastAsia="zh-CN" w:bidi="ar-SA"/>
              </w:rPr>
              <w:t>参数</w:t>
            </w:r>
            <w:r>
              <w:rPr>
                <w:rFonts w:hint="eastAsia" w:ascii="宋体" w:hAnsi="宋体" w:eastAsia="宋体" w:cs="宋体"/>
                <w:color w:val="auto"/>
                <w:kern w:val="2"/>
                <w:sz w:val="21"/>
                <w:szCs w:val="21"/>
                <w:highlight w:val="none"/>
                <w:lang w:val="en-US" w:eastAsia="zh-CN" w:bidi="ar-SA"/>
              </w:rPr>
              <w:t>的响应程度综合评审</w:t>
            </w:r>
            <w:r>
              <w:rPr>
                <w:rFonts w:hint="eastAsia" w:cs="宋体"/>
                <w:color w:val="auto"/>
                <w:kern w:val="2"/>
                <w:sz w:val="21"/>
                <w:szCs w:val="21"/>
                <w:highlight w:val="none"/>
                <w:lang w:val="en-US" w:eastAsia="zh-CN" w:bidi="ar-SA"/>
              </w:rPr>
              <w:t>：</w:t>
            </w:r>
            <w:r>
              <w:rPr>
                <w:rFonts w:hint="eastAsia" w:ascii="宋体" w:hAnsi="宋体" w:eastAsia="宋体" w:cs="宋体"/>
                <w:color w:val="auto"/>
                <w:kern w:val="2"/>
                <w:sz w:val="21"/>
                <w:szCs w:val="21"/>
                <w:highlight w:val="none"/>
                <w:lang w:val="en-US" w:eastAsia="zh-CN" w:bidi="ar-SA"/>
              </w:rPr>
              <w:t>技术参数完全</w:t>
            </w:r>
            <w:r>
              <w:rPr>
                <w:rFonts w:hint="eastAsia" w:cs="宋体"/>
                <w:color w:val="auto"/>
                <w:kern w:val="2"/>
                <w:sz w:val="21"/>
                <w:szCs w:val="21"/>
                <w:highlight w:val="none"/>
                <w:lang w:val="en-US" w:eastAsia="zh-CN" w:bidi="ar-SA"/>
              </w:rPr>
              <w:t>满足要求</w:t>
            </w:r>
            <w:r>
              <w:rPr>
                <w:rFonts w:hint="eastAsia" w:ascii="宋体" w:hAnsi="宋体" w:eastAsia="宋体" w:cs="宋体"/>
                <w:color w:val="auto"/>
                <w:kern w:val="2"/>
                <w:sz w:val="21"/>
                <w:szCs w:val="21"/>
                <w:highlight w:val="none"/>
                <w:lang w:val="en-US" w:eastAsia="zh-CN" w:bidi="ar-SA"/>
              </w:rPr>
              <w:t>的得</w:t>
            </w:r>
            <w:r>
              <w:rPr>
                <w:rFonts w:hint="eastAsia" w:cs="宋体"/>
                <w:color w:val="auto"/>
                <w:kern w:val="2"/>
                <w:sz w:val="21"/>
                <w:szCs w:val="21"/>
                <w:highlight w:val="none"/>
                <w:lang w:val="en-US" w:eastAsia="zh-CN" w:bidi="ar-SA"/>
              </w:rPr>
              <w:t>22</w:t>
            </w:r>
            <w:r>
              <w:rPr>
                <w:rFonts w:hint="eastAsia" w:ascii="宋体" w:hAnsi="宋体" w:eastAsia="宋体" w:cs="宋体"/>
                <w:color w:val="auto"/>
                <w:kern w:val="2"/>
                <w:sz w:val="21"/>
                <w:szCs w:val="21"/>
                <w:highlight w:val="none"/>
                <w:lang w:val="en-US" w:eastAsia="zh-CN" w:bidi="ar-SA"/>
              </w:rPr>
              <w:t>分。</w:t>
            </w:r>
          </w:p>
          <w:p w14:paraId="4E2928E2">
            <w:pPr>
              <w:pStyle w:val="49"/>
              <w:keepNext w:val="0"/>
              <w:keepLines w:val="0"/>
              <w:pageBreakBefore w:val="0"/>
              <w:widowControl w:val="0"/>
              <w:kinsoku/>
              <w:wordWrap/>
              <w:overflowPunct/>
              <w:topLinePunct w:val="0"/>
              <w:autoSpaceDE/>
              <w:autoSpaceDN/>
              <w:bidi w:val="0"/>
              <w:adjustRightInd/>
              <w:snapToGrid/>
              <w:spacing w:line="330" w:lineRule="exact"/>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1.标注</w:t>
            </w:r>
            <w:r>
              <w:rPr>
                <w:rFonts w:hint="eastAsia" w:cs="宋体"/>
                <w:color w:val="auto"/>
                <w:kern w:val="2"/>
                <w:sz w:val="21"/>
                <w:szCs w:val="21"/>
                <w:highlight w:val="none"/>
                <w:lang w:val="en-US" w:eastAsia="zh-CN" w:bidi="ar-SA"/>
              </w:rPr>
              <w:t>“</w:t>
            </w:r>
            <w:r>
              <w:rPr>
                <w:rFonts w:hint="eastAsia" w:ascii="宋体" w:hAnsi="宋体" w:eastAsia="宋体" w:cs="宋体"/>
                <w:color w:val="auto"/>
                <w:kern w:val="2"/>
                <w:sz w:val="21"/>
                <w:szCs w:val="21"/>
                <w:highlight w:val="none"/>
                <w:lang w:val="en-US" w:eastAsia="zh-CN" w:bidi="ar-SA"/>
              </w:rPr>
              <w:t>▲</w:t>
            </w:r>
            <w:r>
              <w:rPr>
                <w:rFonts w:hint="eastAsia" w:cs="宋体"/>
                <w:color w:val="auto"/>
                <w:kern w:val="2"/>
                <w:sz w:val="21"/>
                <w:szCs w:val="21"/>
                <w:highlight w:val="none"/>
                <w:lang w:val="en-US" w:eastAsia="zh-CN" w:bidi="ar-SA"/>
              </w:rPr>
              <w:t>”</w:t>
            </w:r>
            <w:r>
              <w:rPr>
                <w:rFonts w:hint="eastAsia" w:ascii="宋体" w:hAnsi="宋体" w:eastAsia="宋体" w:cs="宋体"/>
                <w:color w:val="auto"/>
                <w:kern w:val="2"/>
                <w:sz w:val="21"/>
                <w:szCs w:val="21"/>
                <w:highlight w:val="none"/>
                <w:lang w:val="en-US" w:eastAsia="zh-CN" w:bidi="ar-SA"/>
              </w:rPr>
              <w:t>号的条款为重要技术参数，全部满足得11分。共有</w:t>
            </w:r>
            <w:r>
              <w:rPr>
                <w:rFonts w:hint="eastAsia" w:cs="宋体"/>
                <w:color w:val="auto"/>
                <w:kern w:val="2"/>
                <w:sz w:val="21"/>
                <w:szCs w:val="21"/>
                <w:highlight w:val="none"/>
                <w:lang w:val="en-US" w:eastAsia="zh-CN" w:bidi="ar-SA"/>
              </w:rPr>
              <w:t>22</w:t>
            </w:r>
            <w:r>
              <w:rPr>
                <w:rFonts w:hint="eastAsia" w:ascii="宋体" w:hAnsi="宋体" w:eastAsia="宋体" w:cs="宋体"/>
                <w:color w:val="auto"/>
                <w:kern w:val="2"/>
                <w:sz w:val="21"/>
                <w:szCs w:val="21"/>
                <w:highlight w:val="none"/>
                <w:lang w:val="en-US" w:eastAsia="zh-CN" w:bidi="ar-SA"/>
              </w:rPr>
              <w:t>条重要技术参数，每出现一条负偏离，扣</w:t>
            </w:r>
            <w:r>
              <w:rPr>
                <w:rFonts w:hint="eastAsia" w:cs="宋体"/>
                <w:color w:val="auto"/>
                <w:kern w:val="2"/>
                <w:sz w:val="21"/>
                <w:szCs w:val="21"/>
                <w:highlight w:val="none"/>
                <w:lang w:val="en-US" w:eastAsia="zh-CN" w:bidi="ar-SA"/>
              </w:rPr>
              <w:t>0.5</w:t>
            </w:r>
            <w:r>
              <w:rPr>
                <w:rFonts w:hint="eastAsia" w:ascii="宋体" w:hAnsi="宋体" w:eastAsia="宋体" w:cs="宋体"/>
                <w:color w:val="auto"/>
                <w:kern w:val="2"/>
                <w:sz w:val="21"/>
                <w:szCs w:val="21"/>
                <w:highlight w:val="none"/>
                <w:lang w:val="en-US" w:eastAsia="zh-CN" w:bidi="ar-SA"/>
              </w:rPr>
              <w:t>分</w:t>
            </w:r>
            <w:r>
              <w:rPr>
                <w:rFonts w:hint="eastAsia" w:cs="宋体"/>
                <w:color w:val="auto"/>
                <w:kern w:val="2"/>
                <w:sz w:val="21"/>
                <w:szCs w:val="21"/>
                <w:highlight w:val="none"/>
                <w:lang w:val="en-US" w:eastAsia="zh-CN" w:bidi="ar-SA"/>
              </w:rPr>
              <w:t>，</w:t>
            </w:r>
            <w:r>
              <w:rPr>
                <w:rFonts w:hint="eastAsia" w:ascii="宋体" w:hAnsi="宋体" w:eastAsia="宋体" w:cs="宋体"/>
                <w:color w:val="auto"/>
                <w:kern w:val="2"/>
                <w:sz w:val="21"/>
                <w:szCs w:val="21"/>
                <w:highlight w:val="none"/>
                <w:lang w:val="en-US" w:eastAsia="zh-CN" w:bidi="ar-SA"/>
              </w:rPr>
              <w:t>为保证项目服务质量，此项参数偏离超过</w:t>
            </w:r>
            <w:r>
              <w:rPr>
                <w:rFonts w:hint="eastAsia" w:cs="宋体"/>
                <w:color w:val="auto"/>
                <w:kern w:val="2"/>
                <w:sz w:val="21"/>
                <w:szCs w:val="21"/>
                <w:highlight w:val="none"/>
                <w:lang w:val="en-US" w:eastAsia="zh-CN" w:bidi="ar-SA"/>
              </w:rPr>
              <w:t>5</w:t>
            </w:r>
            <w:r>
              <w:rPr>
                <w:rFonts w:hint="eastAsia" w:ascii="宋体" w:hAnsi="宋体" w:eastAsia="宋体" w:cs="宋体"/>
                <w:color w:val="auto"/>
                <w:kern w:val="2"/>
                <w:sz w:val="21"/>
                <w:szCs w:val="21"/>
                <w:highlight w:val="none"/>
                <w:lang w:val="en-US" w:eastAsia="zh-CN" w:bidi="ar-SA"/>
              </w:rPr>
              <w:t>条(不含</w:t>
            </w:r>
            <w:r>
              <w:rPr>
                <w:rFonts w:hint="eastAsia" w:cs="宋体"/>
                <w:color w:val="auto"/>
                <w:kern w:val="2"/>
                <w:sz w:val="21"/>
                <w:szCs w:val="21"/>
                <w:highlight w:val="none"/>
                <w:lang w:val="en-US" w:eastAsia="zh-CN" w:bidi="ar-SA"/>
              </w:rPr>
              <w:t>5</w:t>
            </w:r>
            <w:r>
              <w:rPr>
                <w:rFonts w:hint="eastAsia" w:ascii="宋体" w:hAnsi="宋体" w:eastAsia="宋体" w:cs="宋体"/>
                <w:color w:val="auto"/>
                <w:kern w:val="2"/>
                <w:sz w:val="21"/>
                <w:szCs w:val="21"/>
                <w:highlight w:val="none"/>
                <w:lang w:val="en-US" w:eastAsia="zh-CN" w:bidi="ar-SA"/>
              </w:rPr>
              <w:t>条)此项不得分。</w:t>
            </w:r>
            <w:r>
              <w:rPr>
                <w:rFonts w:hint="eastAsia" w:cs="宋体"/>
                <w:color w:val="auto"/>
                <w:kern w:val="2"/>
                <w:sz w:val="21"/>
                <w:szCs w:val="21"/>
                <w:highlight w:val="none"/>
                <w:lang w:val="en-US" w:eastAsia="zh-CN" w:bidi="ar-SA"/>
              </w:rPr>
              <w:t xml:space="preserve"> </w:t>
            </w:r>
          </w:p>
          <w:p w14:paraId="77C08116">
            <w:pPr>
              <w:pStyle w:val="49"/>
              <w:keepNext w:val="0"/>
              <w:keepLines w:val="0"/>
              <w:pageBreakBefore w:val="0"/>
              <w:widowControl w:val="0"/>
              <w:kinsoku/>
              <w:wordWrap/>
              <w:overflowPunct/>
              <w:topLinePunct w:val="0"/>
              <w:autoSpaceDE/>
              <w:autoSpaceDN/>
              <w:bidi w:val="0"/>
              <w:adjustRightInd/>
              <w:snapToGrid/>
              <w:spacing w:line="330" w:lineRule="exac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2.未标记任何符号的为一般技术参数，共有</w:t>
            </w:r>
            <w:r>
              <w:rPr>
                <w:rFonts w:hint="eastAsia" w:cs="宋体"/>
                <w:color w:val="auto"/>
                <w:kern w:val="2"/>
                <w:sz w:val="21"/>
                <w:szCs w:val="21"/>
                <w:highlight w:val="none"/>
                <w:lang w:val="en-US" w:eastAsia="zh-CN" w:bidi="ar-SA"/>
              </w:rPr>
              <w:t>110</w:t>
            </w:r>
            <w:r>
              <w:rPr>
                <w:rFonts w:hint="eastAsia" w:ascii="宋体" w:hAnsi="宋体" w:eastAsia="宋体" w:cs="宋体"/>
                <w:color w:val="auto"/>
                <w:kern w:val="2"/>
                <w:sz w:val="21"/>
                <w:szCs w:val="21"/>
                <w:highlight w:val="none"/>
                <w:lang w:val="en-US" w:eastAsia="zh-CN" w:bidi="ar-SA"/>
              </w:rPr>
              <w:t>条技术参数全部满足得</w:t>
            </w:r>
            <w:r>
              <w:rPr>
                <w:rFonts w:hint="eastAsia" w:cs="宋体"/>
                <w:color w:val="auto"/>
                <w:kern w:val="2"/>
                <w:sz w:val="21"/>
                <w:szCs w:val="21"/>
                <w:highlight w:val="none"/>
                <w:lang w:val="en-US" w:eastAsia="zh-CN" w:bidi="ar-SA"/>
              </w:rPr>
              <w:t>11</w:t>
            </w:r>
            <w:r>
              <w:rPr>
                <w:rFonts w:hint="eastAsia" w:ascii="宋体" w:hAnsi="宋体" w:eastAsia="宋体" w:cs="宋体"/>
                <w:color w:val="auto"/>
                <w:kern w:val="2"/>
                <w:sz w:val="21"/>
                <w:szCs w:val="21"/>
                <w:highlight w:val="none"/>
                <w:lang w:val="en-US" w:eastAsia="zh-CN" w:bidi="ar-SA"/>
              </w:rPr>
              <w:t>分。每出现一条负偏离，扣</w:t>
            </w:r>
            <w:r>
              <w:rPr>
                <w:rFonts w:hint="eastAsia" w:cs="宋体"/>
                <w:color w:val="auto"/>
                <w:kern w:val="2"/>
                <w:sz w:val="21"/>
                <w:szCs w:val="21"/>
                <w:highlight w:val="none"/>
                <w:lang w:val="en-US" w:eastAsia="zh-CN" w:bidi="ar-SA"/>
              </w:rPr>
              <w:t>0.1</w:t>
            </w:r>
            <w:r>
              <w:rPr>
                <w:rFonts w:hint="eastAsia" w:ascii="宋体" w:hAnsi="宋体" w:eastAsia="宋体" w:cs="宋体"/>
                <w:color w:val="auto"/>
                <w:kern w:val="2"/>
                <w:sz w:val="21"/>
                <w:szCs w:val="21"/>
                <w:highlight w:val="none"/>
                <w:lang w:val="en-US" w:eastAsia="zh-CN" w:bidi="ar-SA"/>
              </w:rPr>
              <w:t>分，扣完为止。</w:t>
            </w:r>
          </w:p>
          <w:p w14:paraId="5569123D">
            <w:pPr>
              <w:pStyle w:val="49"/>
              <w:keepNext w:val="0"/>
              <w:keepLines w:val="0"/>
              <w:pageBreakBefore w:val="0"/>
              <w:widowControl w:val="0"/>
              <w:kinsoku/>
              <w:wordWrap/>
              <w:overflowPunct/>
              <w:topLinePunct w:val="0"/>
              <w:autoSpaceDE/>
              <w:autoSpaceDN/>
              <w:bidi w:val="0"/>
              <w:adjustRightInd/>
              <w:snapToGrid/>
              <w:spacing w:line="330" w:lineRule="exac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注：（1）供应商须对本招标文件技术要求进行点对点应答，必须根据本</w:t>
            </w:r>
            <w:r>
              <w:rPr>
                <w:rFonts w:hint="eastAsia" w:cs="宋体"/>
                <w:color w:val="auto"/>
                <w:kern w:val="2"/>
                <w:sz w:val="21"/>
                <w:szCs w:val="21"/>
                <w:highlight w:val="none"/>
                <w:lang w:val="en-US" w:eastAsia="zh-CN" w:bidi="ar-SA"/>
              </w:rPr>
              <w:t>招标</w:t>
            </w:r>
            <w:r>
              <w:rPr>
                <w:rFonts w:hint="eastAsia" w:ascii="宋体" w:hAnsi="宋体" w:eastAsia="宋体" w:cs="宋体"/>
                <w:color w:val="auto"/>
                <w:kern w:val="2"/>
                <w:sz w:val="21"/>
                <w:szCs w:val="21"/>
                <w:highlight w:val="none"/>
                <w:lang w:val="en-US" w:eastAsia="zh-CN" w:bidi="ar-SA"/>
              </w:rPr>
              <w:t>文件的要求</w:t>
            </w:r>
            <w:r>
              <w:rPr>
                <w:rFonts w:hint="eastAsia" w:cs="宋体"/>
                <w:color w:val="auto"/>
                <w:kern w:val="2"/>
                <w:sz w:val="21"/>
                <w:szCs w:val="21"/>
                <w:highlight w:val="none"/>
                <w:lang w:val="en-US" w:eastAsia="zh-CN" w:bidi="ar-SA"/>
              </w:rPr>
              <w:t>，</w:t>
            </w:r>
            <w:r>
              <w:rPr>
                <w:rFonts w:hint="eastAsia" w:ascii="宋体" w:hAnsi="宋体" w:eastAsia="宋体" w:cs="宋体"/>
                <w:color w:val="auto"/>
                <w:kern w:val="2"/>
                <w:sz w:val="21"/>
                <w:szCs w:val="21"/>
                <w:highlight w:val="none"/>
                <w:lang w:val="en-US" w:eastAsia="zh-CN" w:bidi="ar-SA"/>
              </w:rPr>
              <w:t>结合所投产品的实际参数值，进行逐条逐项答复、说明和解释</w:t>
            </w:r>
            <w:r>
              <w:rPr>
                <w:rFonts w:hint="eastAsia" w:cs="宋体"/>
                <w:color w:val="auto"/>
                <w:kern w:val="2"/>
                <w:sz w:val="21"/>
                <w:szCs w:val="21"/>
                <w:highlight w:val="none"/>
                <w:lang w:val="en-US" w:eastAsia="zh-CN" w:bidi="ar-SA"/>
              </w:rPr>
              <w:t>。</w:t>
            </w:r>
            <w:r>
              <w:rPr>
                <w:rFonts w:hint="eastAsia" w:ascii="宋体" w:hAnsi="宋体" w:eastAsia="宋体" w:cs="宋体"/>
                <w:color w:val="auto"/>
                <w:kern w:val="2"/>
                <w:sz w:val="21"/>
                <w:szCs w:val="21"/>
                <w:highlight w:val="none"/>
                <w:lang w:val="en-US" w:eastAsia="zh-CN" w:bidi="ar-SA"/>
              </w:rPr>
              <w:t>（2）技术参数中要求提供相关证明材料，（功能截图、产品彩页、</w:t>
            </w:r>
            <w:r>
              <w:rPr>
                <w:rFonts w:hint="eastAsia" w:cs="宋体"/>
                <w:color w:val="auto"/>
                <w:kern w:val="2"/>
                <w:sz w:val="21"/>
                <w:szCs w:val="21"/>
                <w:highlight w:val="none"/>
                <w:lang w:val="en-US" w:eastAsia="zh-CN" w:bidi="ar-SA"/>
              </w:rPr>
              <w:t>合格</w:t>
            </w:r>
            <w:r>
              <w:rPr>
                <w:rFonts w:hint="eastAsia" w:ascii="宋体" w:hAnsi="宋体" w:eastAsia="宋体" w:cs="宋体"/>
                <w:color w:val="auto"/>
                <w:kern w:val="2"/>
                <w:sz w:val="21"/>
                <w:szCs w:val="21"/>
                <w:highlight w:val="none"/>
                <w:lang w:val="en-US" w:eastAsia="zh-CN" w:bidi="ar-SA"/>
              </w:rPr>
              <w:t>证书、检测报告等）未提供或不符合要求的，视为不响应技术参数。</w:t>
            </w:r>
          </w:p>
        </w:tc>
      </w:tr>
      <w:tr w14:paraId="0D050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571" w:type="pct"/>
            <w:vMerge w:val="continue"/>
            <w:vAlign w:val="center"/>
          </w:tcPr>
          <w:p w14:paraId="69B1AA5B">
            <w:pPr>
              <w:pStyle w:val="49"/>
              <w:keepNext w:val="0"/>
              <w:keepLines w:val="0"/>
              <w:pageBreakBefore w:val="0"/>
              <w:widowControl w:val="0"/>
              <w:kinsoku/>
              <w:wordWrap/>
              <w:overflowPunct/>
              <w:topLinePunct w:val="0"/>
              <w:autoSpaceDE/>
              <w:autoSpaceDN/>
              <w:bidi w:val="0"/>
              <w:adjustRightInd/>
              <w:snapToGrid/>
              <w:spacing w:line="330" w:lineRule="exact"/>
              <w:jc w:val="center"/>
              <w:textAlignment w:val="auto"/>
              <w:rPr>
                <w:rFonts w:hint="eastAsia" w:ascii="宋体" w:hAnsi="宋体" w:eastAsia="宋体" w:cs="宋体"/>
                <w:color w:val="auto"/>
                <w:sz w:val="21"/>
                <w:szCs w:val="21"/>
                <w:highlight w:val="none"/>
              </w:rPr>
            </w:pPr>
          </w:p>
        </w:tc>
        <w:tc>
          <w:tcPr>
            <w:tcW w:w="769" w:type="pct"/>
            <w:tcBorders>
              <w:top w:val="single" w:color="auto" w:sz="4" w:space="0"/>
            </w:tcBorders>
            <w:shd w:val="clear" w:color="auto" w:fill="auto"/>
            <w:vAlign w:val="center"/>
          </w:tcPr>
          <w:p w14:paraId="51CACEA2">
            <w:pPr>
              <w:pStyle w:val="49"/>
              <w:keepNext w:val="0"/>
              <w:keepLines w:val="0"/>
              <w:pageBreakBefore w:val="0"/>
              <w:widowControl w:val="0"/>
              <w:kinsoku/>
              <w:wordWrap/>
              <w:overflowPunct/>
              <w:topLinePunct w:val="0"/>
              <w:autoSpaceDE/>
              <w:autoSpaceDN/>
              <w:bidi w:val="0"/>
              <w:adjustRightInd/>
              <w:snapToGrid/>
              <w:spacing w:line="33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cs="宋体"/>
                <w:color w:val="auto"/>
                <w:sz w:val="21"/>
                <w:szCs w:val="21"/>
                <w:highlight w:val="none"/>
                <w:lang w:val="en-US" w:eastAsia="zh-CN"/>
              </w:rPr>
              <w:t>供货</w:t>
            </w:r>
            <w:r>
              <w:rPr>
                <w:rFonts w:hint="eastAsia" w:ascii="宋体" w:hAnsi="宋体" w:eastAsia="宋体" w:cs="宋体"/>
                <w:color w:val="auto"/>
                <w:sz w:val="21"/>
                <w:szCs w:val="21"/>
                <w:highlight w:val="none"/>
                <w:lang w:eastAsia="zh-CN"/>
              </w:rPr>
              <w:t xml:space="preserve">方案 </w:t>
            </w:r>
          </w:p>
        </w:tc>
        <w:tc>
          <w:tcPr>
            <w:tcW w:w="519" w:type="pct"/>
            <w:shd w:val="clear" w:color="auto" w:fill="auto"/>
            <w:vAlign w:val="center"/>
          </w:tcPr>
          <w:p w14:paraId="3C77B20B">
            <w:pPr>
              <w:pStyle w:val="49"/>
              <w:keepNext w:val="0"/>
              <w:keepLines w:val="0"/>
              <w:pageBreakBefore w:val="0"/>
              <w:widowControl w:val="0"/>
              <w:kinsoku/>
              <w:wordWrap/>
              <w:overflowPunct/>
              <w:topLinePunct w:val="0"/>
              <w:autoSpaceDE/>
              <w:autoSpaceDN/>
              <w:bidi w:val="0"/>
              <w:adjustRightInd/>
              <w:snapToGrid/>
              <w:spacing w:line="33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cs="宋体"/>
                <w:color w:val="auto"/>
                <w:sz w:val="21"/>
                <w:szCs w:val="21"/>
                <w:highlight w:val="none"/>
                <w:lang w:val="en-US" w:eastAsia="zh-CN"/>
              </w:rPr>
              <w:t>8</w:t>
            </w:r>
            <w:r>
              <w:rPr>
                <w:rFonts w:hint="eastAsia" w:ascii="宋体" w:hAnsi="宋体" w:eastAsia="宋体" w:cs="宋体"/>
                <w:color w:val="auto"/>
                <w:sz w:val="21"/>
                <w:szCs w:val="21"/>
                <w:highlight w:val="none"/>
                <w:lang w:val="en-US" w:eastAsia="zh-CN"/>
              </w:rPr>
              <w:t>分</w:t>
            </w:r>
          </w:p>
        </w:tc>
        <w:tc>
          <w:tcPr>
            <w:tcW w:w="3139" w:type="pct"/>
            <w:shd w:val="clear" w:color="auto" w:fill="auto"/>
            <w:vAlign w:val="center"/>
          </w:tcPr>
          <w:p w14:paraId="1E777080">
            <w:pPr>
              <w:pStyle w:val="49"/>
              <w:keepNext w:val="0"/>
              <w:keepLines w:val="0"/>
              <w:pageBreakBefore w:val="0"/>
              <w:widowControl w:val="0"/>
              <w:kinsoku/>
              <w:wordWrap/>
              <w:overflowPunct/>
              <w:topLinePunct w:val="0"/>
              <w:autoSpaceDE/>
              <w:autoSpaceDN/>
              <w:bidi w:val="0"/>
              <w:adjustRightInd/>
              <w:snapToGrid/>
              <w:spacing w:line="330" w:lineRule="exact"/>
              <w:textAlignment w:val="auto"/>
              <w:rPr>
                <w:rFonts w:hint="eastAsia" w:ascii="宋体" w:hAnsi="宋体" w:eastAsia="宋体" w:cs="宋体"/>
                <w:color w:val="auto"/>
                <w:sz w:val="21"/>
                <w:szCs w:val="21"/>
                <w:highlight w:val="none"/>
                <w:lang w:eastAsia="zh-CN"/>
              </w:rPr>
            </w:pPr>
            <w:r>
              <w:rPr>
                <w:rFonts w:hint="eastAsia" w:cs="宋体"/>
                <w:color w:val="auto"/>
                <w:sz w:val="21"/>
                <w:szCs w:val="21"/>
                <w:highlight w:val="none"/>
                <w:lang w:val="en-US" w:eastAsia="zh-CN"/>
              </w:rPr>
              <w:t>投标人</w:t>
            </w:r>
            <w:r>
              <w:rPr>
                <w:rFonts w:hint="eastAsia" w:ascii="宋体" w:hAnsi="宋体" w:eastAsia="宋体" w:cs="宋体"/>
                <w:color w:val="auto"/>
                <w:sz w:val="21"/>
                <w:szCs w:val="21"/>
                <w:highlight w:val="none"/>
                <w:lang w:val="en-US" w:eastAsia="zh-CN"/>
              </w:rPr>
              <w:t>应根据项目需求，结合基础环境条件、实施标准等因素，提</w:t>
            </w:r>
            <w:r>
              <w:rPr>
                <w:rFonts w:hint="eastAsia" w:cs="宋体"/>
                <w:color w:val="auto"/>
                <w:sz w:val="21"/>
                <w:szCs w:val="21"/>
                <w:highlight w:val="none"/>
                <w:lang w:val="en-US" w:eastAsia="zh-CN"/>
              </w:rPr>
              <w:t>供详细的供货方案，方案应包括但不限于①各阶段工作内容分析；②进度计划及目标；③设备配送方案；④供货人员配备；⑤货物交接程序；⑥进度保证措施；⑦</w:t>
            </w:r>
            <w:r>
              <w:rPr>
                <w:rFonts w:hint="eastAsia" w:ascii="宋体" w:hAnsi="宋体" w:eastAsia="宋体" w:cs="宋体"/>
                <w:color w:val="auto"/>
                <w:kern w:val="0"/>
                <w:sz w:val="21"/>
                <w:szCs w:val="21"/>
                <w:lang w:val="en-US" w:eastAsia="zh-CN" w:bidi="ar"/>
              </w:rPr>
              <w:t>运输、包装保护措施</w:t>
            </w:r>
            <w:r>
              <w:rPr>
                <w:rFonts w:hint="eastAsia" w:cs="宋体"/>
                <w:color w:val="auto"/>
                <w:sz w:val="21"/>
                <w:szCs w:val="21"/>
                <w:highlight w:val="none"/>
                <w:lang w:val="en-US" w:eastAsia="zh-CN"/>
              </w:rPr>
              <w:t>；⑧供货实施安全管理措施等内容。</w:t>
            </w:r>
          </w:p>
          <w:p w14:paraId="168E1DFF">
            <w:pPr>
              <w:pStyle w:val="49"/>
              <w:keepNext w:val="0"/>
              <w:keepLines w:val="0"/>
              <w:pageBreakBefore w:val="0"/>
              <w:kinsoku/>
              <w:wordWrap/>
              <w:overflowPunct/>
              <w:topLinePunct w:val="0"/>
              <w:autoSpaceDE/>
              <w:autoSpaceDN/>
              <w:bidi w:val="0"/>
              <w:adjustRightInd/>
              <w:snapToGrid/>
              <w:spacing w:line="33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经评标委员会评审，以上内容均能满足项目需求且方案措施完整全面、合理可行的得满分</w:t>
            </w:r>
            <w:r>
              <w:rPr>
                <w:rFonts w:hint="eastAsia" w:cs="宋体"/>
                <w:color w:val="auto"/>
                <w:sz w:val="21"/>
                <w:szCs w:val="21"/>
                <w:highlight w:val="none"/>
                <w:lang w:val="en-US" w:eastAsia="zh-CN"/>
              </w:rPr>
              <w:t>8</w:t>
            </w:r>
            <w:r>
              <w:rPr>
                <w:rFonts w:hint="eastAsia" w:ascii="宋体" w:hAnsi="宋体" w:eastAsia="宋体" w:cs="宋体"/>
                <w:color w:val="auto"/>
                <w:sz w:val="21"/>
                <w:szCs w:val="21"/>
                <w:highlight w:val="none"/>
                <w:lang w:val="en-US" w:eastAsia="zh-CN"/>
              </w:rPr>
              <w:t>分，</w:t>
            </w:r>
            <w:r>
              <w:rPr>
                <w:rFonts w:hint="eastAsia" w:ascii="宋体" w:hAnsi="宋体" w:eastAsia="宋体" w:cs="宋体"/>
                <w:b w:val="0"/>
                <w:bCs w:val="0"/>
                <w:color w:val="auto"/>
                <w:sz w:val="21"/>
                <w:szCs w:val="21"/>
                <w:highlight w:val="none"/>
                <w:lang w:val="en-US" w:eastAsia="zh-CN"/>
              </w:rPr>
              <w:t>每缺少一项或每项内容与本项目无关的扣</w:t>
            </w:r>
            <w:r>
              <w:rPr>
                <w:rFonts w:hint="eastAsia"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val="en-US" w:eastAsia="zh-CN"/>
              </w:rPr>
              <w:t>分；每有一项描述简单粗略或存在漏洞或不利于本项目实施的扣</w:t>
            </w:r>
            <w:r>
              <w:rPr>
                <w:rFonts w:hint="eastAsia" w:cs="宋体"/>
                <w:b w:val="0"/>
                <w:bCs w:val="0"/>
                <w:color w:val="auto"/>
                <w:sz w:val="21"/>
                <w:szCs w:val="21"/>
                <w:highlight w:val="none"/>
                <w:lang w:val="en-US" w:eastAsia="zh-CN"/>
              </w:rPr>
              <w:t>0.5</w:t>
            </w:r>
            <w:r>
              <w:rPr>
                <w:rFonts w:hint="eastAsia" w:ascii="宋体" w:hAnsi="宋体" w:eastAsia="宋体" w:cs="宋体"/>
                <w:b w:val="0"/>
                <w:bCs w:val="0"/>
                <w:color w:val="auto"/>
                <w:sz w:val="21"/>
                <w:szCs w:val="21"/>
                <w:highlight w:val="none"/>
                <w:lang w:val="en-US" w:eastAsia="zh-CN"/>
              </w:rPr>
              <w:t>分。</w:t>
            </w:r>
            <w:r>
              <w:rPr>
                <w:rFonts w:hint="eastAsia" w:ascii="宋体" w:hAnsi="宋体" w:eastAsia="宋体" w:cs="宋体"/>
                <w:color w:val="auto"/>
                <w:sz w:val="21"/>
                <w:szCs w:val="21"/>
                <w:highlight w:val="none"/>
                <w:lang w:val="en-US" w:eastAsia="zh-CN"/>
              </w:rPr>
              <w:t>扣完为止。未提供不得分。</w:t>
            </w:r>
          </w:p>
          <w:p w14:paraId="2E4524CF">
            <w:pPr>
              <w:pStyle w:val="49"/>
              <w:keepNext w:val="0"/>
              <w:keepLines w:val="0"/>
              <w:pageBreakBefore w:val="0"/>
              <w:widowControl w:val="0"/>
              <w:kinsoku/>
              <w:wordWrap/>
              <w:overflowPunct/>
              <w:topLinePunct w:val="0"/>
              <w:autoSpaceDE/>
              <w:autoSpaceDN/>
              <w:bidi w:val="0"/>
              <w:adjustRightInd/>
              <w:snapToGrid/>
              <w:spacing w:line="330" w:lineRule="exac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缺陷是指：与本项目采购标的无关、方案内容前后不一致、前后逻辑错误、涉及的相关规范及标准错误、地点区域错误、内容缺失、只有简单描述无实质性内容</w:t>
            </w:r>
            <w:r>
              <w:rPr>
                <w:rFonts w:hint="eastAsia" w:cs="宋体"/>
                <w:color w:val="auto"/>
                <w:sz w:val="21"/>
                <w:szCs w:val="21"/>
                <w:highlight w:val="none"/>
                <w:lang w:val="en-US" w:eastAsia="zh-CN"/>
              </w:rPr>
              <w:t>。</w:t>
            </w:r>
          </w:p>
        </w:tc>
      </w:tr>
      <w:tr w14:paraId="6799A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jc w:val="center"/>
        </w:trPr>
        <w:tc>
          <w:tcPr>
            <w:tcW w:w="571" w:type="pct"/>
            <w:vMerge w:val="continue"/>
            <w:vAlign w:val="center"/>
          </w:tcPr>
          <w:p w14:paraId="18C12774">
            <w:pPr>
              <w:pStyle w:val="49"/>
              <w:keepNext w:val="0"/>
              <w:keepLines w:val="0"/>
              <w:pageBreakBefore w:val="0"/>
              <w:widowControl w:val="0"/>
              <w:kinsoku/>
              <w:wordWrap/>
              <w:overflowPunct/>
              <w:topLinePunct w:val="0"/>
              <w:autoSpaceDE/>
              <w:autoSpaceDN/>
              <w:bidi w:val="0"/>
              <w:adjustRightInd/>
              <w:snapToGrid/>
              <w:spacing w:line="330" w:lineRule="exact"/>
              <w:jc w:val="center"/>
              <w:textAlignment w:val="auto"/>
              <w:rPr>
                <w:rFonts w:hint="eastAsia" w:ascii="宋体" w:hAnsi="宋体" w:eastAsia="宋体" w:cs="宋体"/>
                <w:color w:val="auto"/>
                <w:sz w:val="21"/>
                <w:szCs w:val="21"/>
                <w:highlight w:val="none"/>
              </w:rPr>
            </w:pPr>
          </w:p>
        </w:tc>
        <w:tc>
          <w:tcPr>
            <w:tcW w:w="769" w:type="pct"/>
            <w:tcBorders>
              <w:top w:val="single" w:color="auto" w:sz="4" w:space="0"/>
            </w:tcBorders>
            <w:shd w:val="clear" w:color="auto" w:fill="auto"/>
            <w:vAlign w:val="center"/>
          </w:tcPr>
          <w:p w14:paraId="3EBD2F9C">
            <w:pPr>
              <w:pStyle w:val="49"/>
              <w:keepNext w:val="0"/>
              <w:keepLines w:val="0"/>
              <w:pageBreakBefore w:val="0"/>
              <w:widowControl w:val="0"/>
              <w:kinsoku/>
              <w:wordWrap/>
              <w:overflowPunct/>
              <w:topLinePunct w:val="0"/>
              <w:autoSpaceDE/>
              <w:autoSpaceDN/>
              <w:bidi w:val="0"/>
              <w:adjustRightInd/>
              <w:snapToGrid/>
              <w:spacing w:line="330" w:lineRule="exact"/>
              <w:jc w:val="center"/>
              <w:textAlignment w:val="auto"/>
              <w:rPr>
                <w:rFonts w:hint="eastAsia" w:cs="宋体"/>
                <w:color w:val="auto"/>
                <w:sz w:val="21"/>
                <w:szCs w:val="21"/>
                <w:highlight w:val="none"/>
                <w:lang w:val="en-US" w:eastAsia="zh-CN"/>
              </w:rPr>
            </w:pPr>
            <w:r>
              <w:rPr>
                <w:rFonts w:hint="eastAsia" w:ascii="宋体" w:hAnsi="宋体" w:eastAsia="宋体" w:cs="宋体"/>
                <w:color w:val="auto"/>
                <w:sz w:val="21"/>
                <w:szCs w:val="21"/>
                <w:highlight w:val="none"/>
                <w:lang w:val="en-US" w:eastAsia="en-US"/>
              </w:rPr>
              <w:t>安装方案</w:t>
            </w:r>
          </w:p>
        </w:tc>
        <w:tc>
          <w:tcPr>
            <w:tcW w:w="519" w:type="pct"/>
            <w:shd w:val="clear" w:color="auto" w:fill="auto"/>
            <w:vAlign w:val="center"/>
          </w:tcPr>
          <w:p w14:paraId="4F5A87B8">
            <w:pPr>
              <w:pStyle w:val="49"/>
              <w:keepNext w:val="0"/>
              <w:keepLines w:val="0"/>
              <w:pageBreakBefore w:val="0"/>
              <w:widowControl w:val="0"/>
              <w:kinsoku/>
              <w:wordWrap/>
              <w:overflowPunct/>
              <w:topLinePunct w:val="0"/>
              <w:autoSpaceDE/>
              <w:autoSpaceDN/>
              <w:bidi w:val="0"/>
              <w:adjustRightInd/>
              <w:snapToGrid/>
              <w:spacing w:line="330" w:lineRule="exact"/>
              <w:jc w:val="center"/>
              <w:textAlignment w:val="auto"/>
              <w:rPr>
                <w:rFonts w:hint="default" w:cs="宋体"/>
                <w:color w:val="auto"/>
                <w:sz w:val="21"/>
                <w:szCs w:val="21"/>
                <w:highlight w:val="none"/>
                <w:lang w:val="en-US" w:eastAsia="zh-CN"/>
              </w:rPr>
            </w:pPr>
            <w:r>
              <w:rPr>
                <w:rFonts w:hint="eastAsia" w:cs="宋体"/>
                <w:color w:val="auto"/>
                <w:sz w:val="21"/>
                <w:szCs w:val="21"/>
                <w:highlight w:val="none"/>
                <w:lang w:val="en-US" w:eastAsia="zh-CN"/>
              </w:rPr>
              <w:t>4分</w:t>
            </w:r>
          </w:p>
        </w:tc>
        <w:tc>
          <w:tcPr>
            <w:tcW w:w="3139" w:type="pct"/>
            <w:shd w:val="clear" w:color="auto" w:fill="auto"/>
            <w:vAlign w:val="center"/>
          </w:tcPr>
          <w:p w14:paraId="4A429F84">
            <w:pPr>
              <w:pStyle w:val="49"/>
              <w:keepNext w:val="0"/>
              <w:keepLines w:val="0"/>
              <w:pageBreakBefore w:val="0"/>
              <w:widowControl w:val="0"/>
              <w:kinsoku/>
              <w:wordWrap/>
              <w:overflowPunct/>
              <w:topLinePunct w:val="0"/>
              <w:autoSpaceDE/>
              <w:autoSpaceDN/>
              <w:bidi w:val="0"/>
              <w:adjustRightInd/>
              <w:snapToGrid/>
              <w:spacing w:line="330" w:lineRule="exact"/>
              <w:textAlignment w:val="auto"/>
              <w:rPr>
                <w:rFonts w:hint="eastAsia" w:cs="宋体"/>
                <w:color w:val="auto"/>
                <w:kern w:val="0"/>
                <w:sz w:val="21"/>
                <w:szCs w:val="24"/>
                <w:lang w:val="en-US" w:eastAsia="zh-CN" w:bidi="ar-SA"/>
              </w:rPr>
            </w:pPr>
            <w:r>
              <w:rPr>
                <w:rFonts w:hint="eastAsia" w:cs="宋体"/>
                <w:color w:val="auto"/>
                <w:sz w:val="21"/>
                <w:szCs w:val="21"/>
                <w:highlight w:val="none"/>
                <w:lang w:val="en-US" w:eastAsia="zh-CN"/>
              </w:rPr>
              <w:t>投标人</w:t>
            </w:r>
            <w:r>
              <w:rPr>
                <w:rFonts w:hint="eastAsia" w:ascii="宋体" w:hAnsi="宋体" w:eastAsia="宋体" w:cs="宋体"/>
                <w:color w:val="auto"/>
                <w:sz w:val="21"/>
                <w:szCs w:val="21"/>
                <w:highlight w:val="none"/>
                <w:lang w:val="en-US" w:eastAsia="zh-CN"/>
              </w:rPr>
              <w:t>应根据项目需求，结合基础环境条件、实施标准等因素，提供详细的</w:t>
            </w:r>
            <w:r>
              <w:rPr>
                <w:rFonts w:hint="eastAsia" w:ascii="宋体" w:hAnsi="宋体" w:eastAsia="宋体" w:cs="宋体"/>
                <w:color w:val="auto"/>
                <w:sz w:val="21"/>
                <w:szCs w:val="21"/>
                <w:highlight w:val="none"/>
                <w:lang w:val="en-US" w:eastAsia="en-US"/>
              </w:rPr>
              <w:t>安装</w:t>
            </w:r>
            <w:r>
              <w:rPr>
                <w:rFonts w:hint="eastAsia" w:ascii="宋体" w:hAnsi="宋体" w:eastAsia="宋体" w:cs="宋体"/>
                <w:color w:val="auto"/>
                <w:sz w:val="21"/>
                <w:szCs w:val="21"/>
                <w:highlight w:val="none"/>
                <w:lang w:eastAsia="zh-CN"/>
              </w:rPr>
              <w:t>方案</w:t>
            </w:r>
            <w:r>
              <w:rPr>
                <w:rFonts w:hint="eastAsia" w:cs="宋体"/>
                <w:color w:val="auto"/>
                <w:sz w:val="21"/>
                <w:szCs w:val="21"/>
                <w:highlight w:val="none"/>
                <w:lang w:val="en-US" w:eastAsia="zh-CN"/>
              </w:rPr>
              <w:t>，</w:t>
            </w:r>
            <w:r>
              <w:rPr>
                <w:rFonts w:hint="eastAsia" w:ascii="宋体" w:hAnsi="宋体" w:eastAsia="宋体" w:cs="宋体"/>
                <w:color w:val="auto"/>
                <w:sz w:val="21"/>
                <w:szCs w:val="21"/>
                <w:highlight w:val="none"/>
              </w:rPr>
              <w:t>方案应包括但不限于</w:t>
            </w:r>
            <w:r>
              <w:rPr>
                <w:rFonts w:hint="eastAsia" w:cs="宋体"/>
                <w:color w:val="auto"/>
                <w:sz w:val="21"/>
                <w:szCs w:val="21"/>
                <w:highlight w:val="none"/>
                <w:lang w:val="en-US" w:eastAsia="zh-CN"/>
              </w:rPr>
              <w:t>①</w:t>
            </w:r>
            <w:r>
              <w:rPr>
                <w:rFonts w:hint="eastAsia" w:ascii="宋体" w:hAnsi="宋体" w:eastAsia="宋体" w:cs="宋体"/>
                <w:color w:val="auto"/>
                <w:sz w:val="21"/>
                <w:szCs w:val="21"/>
                <w:highlight w:val="none"/>
              </w:rPr>
              <w:t>专业技术人员配备方案；</w:t>
            </w:r>
            <w:r>
              <w:rPr>
                <w:rFonts w:hint="eastAsia" w:cs="宋体"/>
                <w:color w:val="auto"/>
                <w:sz w:val="21"/>
                <w:szCs w:val="21"/>
                <w:highlight w:val="none"/>
                <w:lang w:val="en-US" w:eastAsia="zh-CN"/>
              </w:rPr>
              <w:t>②</w:t>
            </w:r>
            <w:r>
              <w:rPr>
                <w:rFonts w:hint="eastAsia" w:ascii="宋体" w:hAnsi="宋体" w:eastAsia="宋体" w:cs="宋体"/>
                <w:color w:val="auto"/>
                <w:sz w:val="21"/>
                <w:szCs w:val="21"/>
                <w:highlight w:val="none"/>
              </w:rPr>
              <w:t>安装、调试</w:t>
            </w:r>
            <w:r>
              <w:rPr>
                <w:rFonts w:hint="eastAsia" w:cs="宋体"/>
                <w:color w:val="auto"/>
                <w:sz w:val="21"/>
                <w:szCs w:val="21"/>
                <w:highlight w:val="none"/>
                <w:lang w:val="en-US" w:eastAsia="zh-CN"/>
              </w:rPr>
              <w:t>方案；③</w:t>
            </w:r>
            <w:r>
              <w:rPr>
                <w:rFonts w:hint="eastAsia" w:ascii="宋体" w:hAnsi="宋体" w:eastAsia="宋体" w:cs="宋体"/>
                <w:color w:val="auto"/>
                <w:sz w:val="21"/>
                <w:szCs w:val="21"/>
                <w:highlight w:val="none"/>
              </w:rPr>
              <w:t>系统软件试运行方案；</w:t>
            </w:r>
            <w:r>
              <w:rPr>
                <w:rFonts w:hint="eastAsia" w:cs="宋体"/>
                <w:color w:val="auto"/>
                <w:sz w:val="21"/>
                <w:szCs w:val="21"/>
                <w:highlight w:val="none"/>
                <w:lang w:val="en-US" w:eastAsia="zh-CN"/>
              </w:rPr>
              <w:t>④</w:t>
            </w:r>
            <w:r>
              <w:rPr>
                <w:rFonts w:ascii="宋体" w:hAnsi="宋体" w:eastAsia="宋体" w:cs="宋体"/>
                <w:color w:val="auto"/>
                <w:kern w:val="0"/>
                <w:sz w:val="21"/>
                <w:szCs w:val="24"/>
                <w:lang w:val="en-US" w:eastAsia="en-US" w:bidi="ar-SA"/>
              </w:rPr>
              <w:t>验收方案</w:t>
            </w:r>
            <w:r>
              <w:rPr>
                <w:rFonts w:hint="eastAsia" w:cs="宋体"/>
                <w:color w:val="auto"/>
                <w:kern w:val="0"/>
                <w:sz w:val="21"/>
                <w:szCs w:val="24"/>
                <w:lang w:val="en-US" w:eastAsia="zh-CN" w:bidi="ar-SA"/>
              </w:rPr>
              <w:t>等内容。</w:t>
            </w:r>
          </w:p>
          <w:p w14:paraId="2C136353">
            <w:pPr>
              <w:pStyle w:val="49"/>
              <w:keepNext w:val="0"/>
              <w:keepLines w:val="0"/>
              <w:pageBreakBefore w:val="0"/>
              <w:widowControl w:val="0"/>
              <w:kinsoku/>
              <w:wordWrap/>
              <w:overflowPunct/>
              <w:topLinePunct w:val="0"/>
              <w:autoSpaceDE/>
              <w:autoSpaceDN/>
              <w:bidi w:val="0"/>
              <w:adjustRightInd/>
              <w:snapToGrid/>
              <w:spacing w:line="330" w:lineRule="exact"/>
              <w:textAlignment w:val="auto"/>
              <w:rPr>
                <w:rFonts w:hint="default" w:cs="宋体"/>
                <w:color w:val="auto"/>
                <w:kern w:val="0"/>
                <w:sz w:val="21"/>
                <w:szCs w:val="24"/>
                <w:lang w:val="en-US" w:eastAsia="zh-CN" w:bidi="ar-SA"/>
              </w:rPr>
            </w:pPr>
            <w:r>
              <w:rPr>
                <w:rFonts w:hint="default" w:cs="宋体"/>
                <w:color w:val="auto"/>
                <w:kern w:val="0"/>
                <w:sz w:val="21"/>
                <w:szCs w:val="24"/>
                <w:lang w:val="en-US" w:eastAsia="zh-CN" w:bidi="ar-SA"/>
              </w:rPr>
              <w:t>经评标委员会评审，以上内容均能满足项目需求且方案措施完整全面、合理可行的得满分</w:t>
            </w:r>
            <w:r>
              <w:rPr>
                <w:rFonts w:hint="eastAsia" w:cs="宋体"/>
                <w:color w:val="auto"/>
                <w:kern w:val="0"/>
                <w:sz w:val="21"/>
                <w:szCs w:val="24"/>
                <w:lang w:val="en-US" w:eastAsia="zh-CN" w:bidi="ar-SA"/>
              </w:rPr>
              <w:t>4</w:t>
            </w:r>
            <w:r>
              <w:rPr>
                <w:rFonts w:hint="default" w:cs="宋体"/>
                <w:color w:val="auto"/>
                <w:kern w:val="0"/>
                <w:sz w:val="21"/>
                <w:szCs w:val="24"/>
                <w:lang w:val="en-US" w:eastAsia="zh-CN" w:bidi="ar-SA"/>
              </w:rPr>
              <w:t>分，每缺少一项或每项内容与本项目无关的扣1分；每有一项描述简单粗略或存在漏洞或不利于本项目实施的扣</w:t>
            </w:r>
            <w:r>
              <w:rPr>
                <w:rFonts w:hint="eastAsia" w:cs="宋体"/>
                <w:color w:val="auto"/>
                <w:kern w:val="0"/>
                <w:sz w:val="21"/>
                <w:szCs w:val="24"/>
                <w:lang w:val="en-US" w:eastAsia="zh-CN" w:bidi="ar-SA"/>
              </w:rPr>
              <w:t>0.5</w:t>
            </w:r>
            <w:r>
              <w:rPr>
                <w:rFonts w:hint="default" w:cs="宋体"/>
                <w:color w:val="auto"/>
                <w:kern w:val="0"/>
                <w:sz w:val="21"/>
                <w:szCs w:val="24"/>
                <w:lang w:val="en-US" w:eastAsia="zh-CN" w:bidi="ar-SA"/>
              </w:rPr>
              <w:t>分。扣完为止。未提供不得分。</w:t>
            </w:r>
          </w:p>
          <w:p w14:paraId="6EFFDE60">
            <w:pPr>
              <w:pStyle w:val="49"/>
              <w:keepNext w:val="0"/>
              <w:keepLines w:val="0"/>
              <w:pageBreakBefore w:val="0"/>
              <w:widowControl w:val="0"/>
              <w:kinsoku/>
              <w:wordWrap/>
              <w:overflowPunct/>
              <w:topLinePunct w:val="0"/>
              <w:autoSpaceDE/>
              <w:autoSpaceDN/>
              <w:bidi w:val="0"/>
              <w:adjustRightInd/>
              <w:snapToGrid/>
              <w:spacing w:line="330" w:lineRule="exact"/>
              <w:textAlignment w:val="auto"/>
              <w:rPr>
                <w:rFonts w:hint="default" w:cs="宋体"/>
                <w:color w:val="auto"/>
                <w:kern w:val="0"/>
                <w:sz w:val="21"/>
                <w:szCs w:val="24"/>
                <w:lang w:val="en-US" w:eastAsia="zh-CN" w:bidi="ar-SA"/>
              </w:rPr>
            </w:pPr>
            <w:r>
              <w:rPr>
                <w:rFonts w:hint="default" w:cs="宋体"/>
                <w:color w:val="auto"/>
                <w:kern w:val="0"/>
                <w:sz w:val="21"/>
                <w:szCs w:val="24"/>
                <w:lang w:val="en-US" w:eastAsia="zh-CN" w:bidi="ar-SA"/>
              </w:rPr>
              <w:t>缺陷是指：与本项目采购标的无关、方案内容前后不一致、前后逻辑错误、涉及的相关规范及标准错误、地点区域错误、内容缺失、只有简单描述无实质性内容</w:t>
            </w:r>
            <w:r>
              <w:rPr>
                <w:rFonts w:hint="eastAsia" w:cs="宋体"/>
                <w:color w:val="auto"/>
                <w:kern w:val="0"/>
                <w:sz w:val="21"/>
                <w:szCs w:val="24"/>
                <w:lang w:val="en-US" w:eastAsia="zh-CN" w:bidi="ar-SA"/>
              </w:rPr>
              <w:t>。</w:t>
            </w:r>
          </w:p>
        </w:tc>
      </w:tr>
      <w:tr w14:paraId="09565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71" w:type="pct"/>
            <w:vMerge w:val="continue"/>
            <w:vAlign w:val="center"/>
          </w:tcPr>
          <w:p w14:paraId="2E6E07AB">
            <w:pPr>
              <w:pStyle w:val="49"/>
              <w:keepNext w:val="0"/>
              <w:keepLines w:val="0"/>
              <w:pageBreakBefore w:val="0"/>
              <w:widowControl w:val="0"/>
              <w:kinsoku/>
              <w:wordWrap/>
              <w:overflowPunct/>
              <w:topLinePunct w:val="0"/>
              <w:autoSpaceDE/>
              <w:autoSpaceDN/>
              <w:bidi w:val="0"/>
              <w:adjustRightInd/>
              <w:snapToGrid/>
              <w:spacing w:line="330" w:lineRule="exact"/>
              <w:jc w:val="center"/>
              <w:textAlignment w:val="auto"/>
              <w:rPr>
                <w:rFonts w:hint="eastAsia" w:ascii="宋体" w:hAnsi="宋体" w:eastAsia="宋体" w:cs="宋体"/>
                <w:color w:val="auto"/>
                <w:sz w:val="21"/>
                <w:szCs w:val="21"/>
                <w:highlight w:val="none"/>
              </w:rPr>
            </w:pPr>
          </w:p>
        </w:tc>
        <w:tc>
          <w:tcPr>
            <w:tcW w:w="769" w:type="pct"/>
            <w:tcBorders>
              <w:top w:val="single" w:color="auto" w:sz="4" w:space="0"/>
            </w:tcBorders>
            <w:vAlign w:val="center"/>
          </w:tcPr>
          <w:p w14:paraId="23875990">
            <w:pPr>
              <w:keepNext w:val="0"/>
              <w:keepLines w:val="0"/>
              <w:pageBreakBefore w:val="0"/>
              <w:widowControl/>
              <w:suppressLineNumbers w:val="0"/>
              <w:kinsoku/>
              <w:wordWrap/>
              <w:overflowPunct/>
              <w:topLinePunct w:val="0"/>
              <w:autoSpaceDE/>
              <w:autoSpaceDN/>
              <w:bidi w:val="0"/>
              <w:adjustRightInd/>
              <w:snapToGrid/>
              <w:spacing w:line="33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lang w:val="en-US" w:eastAsia="zh-CN" w:bidi="ar"/>
              </w:rPr>
              <w:t>质量保障方案</w:t>
            </w:r>
          </w:p>
          <w:p w14:paraId="67847299">
            <w:pPr>
              <w:pStyle w:val="49"/>
              <w:keepNext w:val="0"/>
              <w:keepLines w:val="0"/>
              <w:pageBreakBefore w:val="0"/>
              <w:widowControl w:val="0"/>
              <w:kinsoku/>
              <w:wordWrap/>
              <w:overflowPunct/>
              <w:topLinePunct w:val="0"/>
              <w:autoSpaceDE/>
              <w:autoSpaceDN/>
              <w:bidi w:val="0"/>
              <w:adjustRightInd/>
              <w:snapToGrid/>
              <w:spacing w:line="330" w:lineRule="exact"/>
              <w:jc w:val="center"/>
              <w:textAlignment w:val="auto"/>
              <w:rPr>
                <w:rFonts w:hint="eastAsia" w:ascii="宋体" w:hAnsi="宋体" w:eastAsia="宋体" w:cs="宋体"/>
                <w:color w:val="auto"/>
                <w:sz w:val="21"/>
                <w:szCs w:val="21"/>
                <w:highlight w:val="none"/>
              </w:rPr>
            </w:pPr>
          </w:p>
        </w:tc>
        <w:tc>
          <w:tcPr>
            <w:tcW w:w="519" w:type="pct"/>
            <w:vAlign w:val="center"/>
          </w:tcPr>
          <w:p w14:paraId="057CBCEF">
            <w:pPr>
              <w:pStyle w:val="49"/>
              <w:keepNext w:val="0"/>
              <w:keepLines w:val="0"/>
              <w:pageBreakBefore w:val="0"/>
              <w:widowControl w:val="0"/>
              <w:kinsoku/>
              <w:wordWrap/>
              <w:overflowPunct/>
              <w:topLinePunct w:val="0"/>
              <w:autoSpaceDE/>
              <w:autoSpaceDN/>
              <w:bidi w:val="0"/>
              <w:adjustRightInd/>
              <w:snapToGrid/>
              <w:spacing w:line="330" w:lineRule="exact"/>
              <w:jc w:val="center"/>
              <w:textAlignment w:val="auto"/>
              <w:rPr>
                <w:rFonts w:hint="default"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5分</w:t>
            </w:r>
          </w:p>
        </w:tc>
        <w:tc>
          <w:tcPr>
            <w:tcW w:w="3139" w:type="pct"/>
            <w:vAlign w:val="center"/>
          </w:tcPr>
          <w:p w14:paraId="6ED15FF8">
            <w:pPr>
              <w:pStyle w:val="49"/>
              <w:keepNext w:val="0"/>
              <w:keepLines w:val="0"/>
              <w:pageBreakBefore w:val="0"/>
              <w:widowControl w:val="0"/>
              <w:kinsoku/>
              <w:wordWrap/>
              <w:overflowPunct/>
              <w:topLinePunct w:val="0"/>
              <w:autoSpaceDE/>
              <w:autoSpaceDN/>
              <w:bidi w:val="0"/>
              <w:adjustRightInd/>
              <w:snapToGrid/>
              <w:spacing w:line="330" w:lineRule="exact"/>
              <w:jc w:val="left"/>
              <w:textAlignment w:val="auto"/>
              <w:rPr>
                <w:rFonts w:hint="eastAsia" w:cs="宋体"/>
                <w:color w:val="auto"/>
                <w:sz w:val="21"/>
                <w:szCs w:val="21"/>
                <w:highlight w:val="none"/>
                <w:lang w:val="en-US" w:eastAsia="zh-CN"/>
              </w:rPr>
            </w:pPr>
            <w:r>
              <w:rPr>
                <w:rFonts w:hint="eastAsia" w:ascii="宋体" w:hAnsi="宋体" w:eastAsia="宋体" w:cs="宋体"/>
                <w:color w:val="auto"/>
                <w:kern w:val="0"/>
                <w:sz w:val="21"/>
                <w:szCs w:val="21"/>
                <w:lang w:val="en-US" w:eastAsia="zh-CN" w:bidi="ar"/>
              </w:rPr>
              <w:t>投标</w:t>
            </w:r>
            <w:r>
              <w:rPr>
                <w:rFonts w:hint="eastAsia" w:cs="宋体"/>
                <w:color w:val="auto"/>
                <w:sz w:val="21"/>
                <w:szCs w:val="21"/>
                <w:highlight w:val="none"/>
                <w:lang w:val="en-US" w:eastAsia="zh-CN"/>
              </w:rPr>
              <w:t xml:space="preserve">人针对本项目制定质量保障方案，包括但不限于①质量管 </w:t>
            </w:r>
          </w:p>
          <w:p w14:paraId="74579FB8">
            <w:pPr>
              <w:pStyle w:val="49"/>
              <w:keepNext w:val="0"/>
              <w:keepLines w:val="0"/>
              <w:pageBreakBefore w:val="0"/>
              <w:widowControl w:val="0"/>
              <w:kinsoku/>
              <w:wordWrap/>
              <w:overflowPunct/>
              <w:topLinePunct w:val="0"/>
              <w:autoSpaceDE/>
              <w:autoSpaceDN/>
              <w:bidi w:val="0"/>
              <w:adjustRightInd/>
              <w:snapToGrid/>
              <w:spacing w:line="330" w:lineRule="exact"/>
              <w:jc w:val="left"/>
              <w:textAlignment w:val="auto"/>
              <w:rPr>
                <w:rFonts w:hint="eastAsia" w:cs="宋体"/>
                <w:color w:val="auto"/>
                <w:sz w:val="21"/>
                <w:szCs w:val="21"/>
                <w:highlight w:val="none"/>
                <w:lang w:val="en-US" w:eastAsia="zh-CN"/>
              </w:rPr>
            </w:pPr>
            <w:r>
              <w:rPr>
                <w:rFonts w:hint="eastAsia" w:cs="宋体"/>
                <w:color w:val="auto"/>
                <w:sz w:val="21"/>
                <w:szCs w:val="21"/>
                <w:highlight w:val="none"/>
                <w:lang w:val="en-US" w:eastAsia="zh-CN"/>
              </w:rPr>
              <w:t>理制度及体系；②质量保障目标及质量保障措施；③关键节点质量控制；④出厂检验程序、出厂检验标准；⑤备品备件供应保障等内容。</w:t>
            </w:r>
          </w:p>
          <w:p w14:paraId="2B61BAFD">
            <w:pPr>
              <w:pStyle w:val="49"/>
              <w:keepNext w:val="0"/>
              <w:keepLines w:val="0"/>
              <w:pageBreakBefore w:val="0"/>
              <w:widowControl w:val="0"/>
              <w:kinsoku/>
              <w:wordWrap/>
              <w:overflowPunct/>
              <w:topLinePunct w:val="0"/>
              <w:autoSpaceDE/>
              <w:autoSpaceDN/>
              <w:bidi w:val="0"/>
              <w:adjustRightInd/>
              <w:snapToGrid/>
              <w:spacing w:line="330" w:lineRule="exact"/>
              <w:jc w:val="left"/>
              <w:textAlignment w:val="auto"/>
              <w:rPr>
                <w:rFonts w:hint="default" w:cs="宋体"/>
                <w:color w:val="auto"/>
                <w:sz w:val="21"/>
                <w:szCs w:val="21"/>
                <w:highlight w:val="none"/>
                <w:lang w:val="en-US" w:eastAsia="zh-CN"/>
              </w:rPr>
            </w:pPr>
            <w:r>
              <w:rPr>
                <w:rFonts w:hint="default" w:cs="宋体"/>
                <w:color w:val="auto"/>
                <w:sz w:val="21"/>
                <w:szCs w:val="21"/>
                <w:highlight w:val="none"/>
                <w:lang w:val="en-US" w:eastAsia="zh-CN"/>
              </w:rPr>
              <w:t>经评标委员会评审，以上内容均能满足项目需求且方案措施完整全面、合理可行的得满分</w:t>
            </w:r>
            <w:r>
              <w:rPr>
                <w:rFonts w:hint="eastAsia" w:cs="宋体"/>
                <w:color w:val="auto"/>
                <w:sz w:val="21"/>
                <w:szCs w:val="21"/>
                <w:highlight w:val="none"/>
                <w:lang w:val="en-US" w:eastAsia="zh-CN"/>
              </w:rPr>
              <w:t>5</w:t>
            </w:r>
            <w:r>
              <w:rPr>
                <w:rFonts w:hint="default" w:cs="宋体"/>
                <w:color w:val="auto"/>
                <w:sz w:val="21"/>
                <w:szCs w:val="21"/>
                <w:highlight w:val="none"/>
                <w:lang w:val="en-US" w:eastAsia="zh-CN"/>
              </w:rPr>
              <w:t>分，每缺少一项或每项内容与本项目无关的扣1分；每有一项描述简单粗略或存在漏洞或不利于本项目实施的扣</w:t>
            </w:r>
            <w:r>
              <w:rPr>
                <w:rFonts w:hint="eastAsia" w:cs="宋体"/>
                <w:color w:val="auto"/>
                <w:sz w:val="21"/>
                <w:szCs w:val="21"/>
                <w:highlight w:val="none"/>
                <w:lang w:val="en-US" w:eastAsia="zh-CN"/>
              </w:rPr>
              <w:t>0.5</w:t>
            </w:r>
            <w:r>
              <w:rPr>
                <w:rFonts w:hint="default" w:cs="宋体"/>
                <w:color w:val="auto"/>
                <w:sz w:val="21"/>
                <w:szCs w:val="21"/>
                <w:highlight w:val="none"/>
                <w:lang w:val="en-US" w:eastAsia="zh-CN"/>
              </w:rPr>
              <w:t>分。扣完为止。未提供不得分。</w:t>
            </w:r>
          </w:p>
          <w:p w14:paraId="5B986398">
            <w:pPr>
              <w:pStyle w:val="49"/>
              <w:keepNext w:val="0"/>
              <w:keepLines w:val="0"/>
              <w:pageBreakBefore w:val="0"/>
              <w:widowControl w:val="0"/>
              <w:kinsoku/>
              <w:wordWrap/>
              <w:overflowPunct/>
              <w:topLinePunct w:val="0"/>
              <w:autoSpaceDE/>
              <w:autoSpaceDN/>
              <w:bidi w:val="0"/>
              <w:adjustRightInd/>
              <w:snapToGrid/>
              <w:spacing w:line="330" w:lineRule="exact"/>
              <w:jc w:val="left"/>
              <w:textAlignment w:val="auto"/>
              <w:rPr>
                <w:rFonts w:hint="eastAsia"/>
                <w:color w:val="auto"/>
              </w:rPr>
            </w:pPr>
            <w:r>
              <w:rPr>
                <w:rFonts w:hint="eastAsia" w:cs="宋体"/>
                <w:color w:val="auto"/>
                <w:sz w:val="21"/>
                <w:szCs w:val="21"/>
                <w:highlight w:val="none"/>
                <w:lang w:val="en-US" w:eastAsia="zh-CN"/>
              </w:rPr>
              <w:t>缺陷是指：与本项目采购标的无关、方案内容前后不一致、前后逻辑错误、涉及的相关规范及标准错误、地点区域错误、内容缺失、只有简单描述无实质性内容。</w:t>
            </w:r>
          </w:p>
        </w:tc>
      </w:tr>
      <w:tr w14:paraId="105D2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571" w:type="pct"/>
            <w:vMerge w:val="continue"/>
            <w:vAlign w:val="center"/>
          </w:tcPr>
          <w:p w14:paraId="3C5A6CF4">
            <w:pPr>
              <w:pStyle w:val="49"/>
              <w:keepNext w:val="0"/>
              <w:keepLines w:val="0"/>
              <w:pageBreakBefore w:val="0"/>
              <w:widowControl w:val="0"/>
              <w:kinsoku/>
              <w:wordWrap/>
              <w:overflowPunct/>
              <w:topLinePunct w:val="0"/>
              <w:autoSpaceDE/>
              <w:autoSpaceDN/>
              <w:bidi w:val="0"/>
              <w:adjustRightInd/>
              <w:snapToGrid/>
              <w:spacing w:line="330" w:lineRule="exact"/>
              <w:jc w:val="center"/>
              <w:textAlignment w:val="auto"/>
              <w:rPr>
                <w:rFonts w:hint="eastAsia" w:ascii="宋体" w:hAnsi="宋体" w:eastAsia="宋体" w:cs="宋体"/>
                <w:color w:val="auto"/>
                <w:sz w:val="21"/>
                <w:szCs w:val="21"/>
                <w:highlight w:val="none"/>
              </w:rPr>
            </w:pPr>
          </w:p>
        </w:tc>
        <w:tc>
          <w:tcPr>
            <w:tcW w:w="769" w:type="pct"/>
            <w:tcBorders>
              <w:top w:val="single" w:color="auto" w:sz="4" w:space="0"/>
            </w:tcBorders>
            <w:vAlign w:val="center"/>
          </w:tcPr>
          <w:p w14:paraId="1ECFDBB7">
            <w:pPr>
              <w:pStyle w:val="49"/>
              <w:keepNext w:val="0"/>
              <w:keepLines w:val="0"/>
              <w:pageBreakBefore w:val="0"/>
              <w:widowControl w:val="0"/>
              <w:kinsoku/>
              <w:wordWrap/>
              <w:overflowPunct/>
              <w:topLinePunct w:val="0"/>
              <w:autoSpaceDE/>
              <w:autoSpaceDN/>
              <w:bidi w:val="0"/>
              <w:adjustRightInd/>
              <w:snapToGrid/>
              <w:spacing w:line="33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应急</w:t>
            </w:r>
            <w:r>
              <w:rPr>
                <w:rFonts w:hint="eastAsia" w:ascii="宋体" w:hAnsi="宋体" w:eastAsia="宋体" w:cs="宋体"/>
                <w:color w:val="auto"/>
                <w:sz w:val="21"/>
                <w:szCs w:val="21"/>
                <w:highlight w:val="none"/>
                <w:lang w:val="en-US" w:eastAsia="zh-CN"/>
              </w:rPr>
              <w:t>方案</w:t>
            </w:r>
          </w:p>
        </w:tc>
        <w:tc>
          <w:tcPr>
            <w:tcW w:w="519" w:type="pct"/>
            <w:vAlign w:val="center"/>
          </w:tcPr>
          <w:p w14:paraId="35C961A9">
            <w:pPr>
              <w:pStyle w:val="49"/>
              <w:keepNext w:val="0"/>
              <w:keepLines w:val="0"/>
              <w:pageBreakBefore w:val="0"/>
              <w:widowControl w:val="0"/>
              <w:kinsoku/>
              <w:wordWrap/>
              <w:overflowPunct/>
              <w:topLinePunct w:val="0"/>
              <w:autoSpaceDE/>
              <w:autoSpaceDN/>
              <w:bidi w:val="0"/>
              <w:adjustRightInd/>
              <w:snapToGrid/>
              <w:spacing w:line="330" w:lineRule="exact"/>
              <w:jc w:val="center"/>
              <w:textAlignment w:val="auto"/>
              <w:rPr>
                <w:rFonts w:hint="eastAsia" w:ascii="宋体" w:hAnsi="宋体" w:eastAsia="宋体" w:cs="宋体"/>
                <w:color w:val="auto"/>
                <w:sz w:val="21"/>
                <w:szCs w:val="21"/>
                <w:highlight w:val="none"/>
              </w:rPr>
            </w:pPr>
            <w:r>
              <w:rPr>
                <w:rFonts w:hint="eastAsia" w:cs="宋体"/>
                <w:color w:val="auto"/>
                <w:sz w:val="21"/>
                <w:szCs w:val="21"/>
                <w:highlight w:val="none"/>
                <w:lang w:val="en-US" w:eastAsia="zh-CN"/>
              </w:rPr>
              <w:t>10</w:t>
            </w:r>
            <w:r>
              <w:rPr>
                <w:rFonts w:hint="eastAsia" w:ascii="宋体" w:hAnsi="宋体" w:eastAsia="宋体" w:cs="宋体"/>
                <w:color w:val="auto"/>
                <w:sz w:val="21"/>
                <w:szCs w:val="21"/>
                <w:highlight w:val="none"/>
                <w:lang w:val="en-US" w:eastAsia="zh-CN"/>
              </w:rPr>
              <w:t>分</w:t>
            </w:r>
          </w:p>
        </w:tc>
        <w:tc>
          <w:tcPr>
            <w:tcW w:w="3139" w:type="pct"/>
            <w:vAlign w:val="center"/>
          </w:tcPr>
          <w:p w14:paraId="5592D074">
            <w:pPr>
              <w:keepNext w:val="0"/>
              <w:keepLines w:val="0"/>
              <w:pageBreakBefore w:val="0"/>
              <w:widowControl/>
              <w:suppressLineNumbers w:val="0"/>
              <w:kinsoku/>
              <w:wordWrap/>
              <w:overflowPunct/>
              <w:topLinePunct w:val="0"/>
              <w:autoSpaceDE/>
              <w:autoSpaceDN/>
              <w:bidi w:val="0"/>
              <w:adjustRightInd/>
              <w:snapToGrid/>
              <w:spacing w:line="330"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根据投标人提供的应急预案方案进行综合评审，方案应包括但不限于</w:t>
            </w:r>
            <w:r>
              <w:rPr>
                <w:rFonts w:hint="eastAsia" w:cs="宋体"/>
                <w:color w:val="auto"/>
                <w:kern w:val="2"/>
                <w:sz w:val="21"/>
                <w:szCs w:val="21"/>
                <w:highlight w:val="none"/>
                <w:lang w:val="en-US" w:eastAsia="zh-CN" w:bidi="ar-SA"/>
              </w:rPr>
              <w:t>①应急组织机构及响应机制；②设备</w:t>
            </w:r>
            <w:r>
              <w:rPr>
                <w:rFonts w:hint="eastAsia" w:ascii="宋体" w:hAnsi="宋体" w:eastAsia="宋体" w:cs="宋体"/>
                <w:color w:val="auto"/>
                <w:kern w:val="2"/>
                <w:sz w:val="21"/>
                <w:szCs w:val="21"/>
                <w:highlight w:val="none"/>
                <w:lang w:val="en-US" w:eastAsia="zh-CN" w:bidi="ar-SA"/>
              </w:rPr>
              <w:t>质量问题应急</w:t>
            </w:r>
            <w:r>
              <w:rPr>
                <w:rFonts w:hint="eastAsia" w:cs="宋体"/>
                <w:color w:val="auto"/>
                <w:kern w:val="2"/>
                <w:sz w:val="21"/>
                <w:szCs w:val="21"/>
                <w:highlight w:val="none"/>
                <w:lang w:val="en-US" w:eastAsia="zh-CN" w:bidi="ar-SA"/>
              </w:rPr>
              <w:t>方案</w:t>
            </w:r>
            <w:r>
              <w:rPr>
                <w:rFonts w:hint="eastAsia" w:ascii="宋体" w:hAnsi="宋体" w:eastAsia="宋体" w:cs="宋体"/>
                <w:color w:val="auto"/>
                <w:kern w:val="2"/>
                <w:sz w:val="21"/>
                <w:szCs w:val="21"/>
                <w:highlight w:val="none"/>
                <w:lang w:val="en-US" w:eastAsia="zh-CN" w:bidi="ar-SA"/>
              </w:rPr>
              <w:t>；</w:t>
            </w:r>
            <w:r>
              <w:rPr>
                <w:rFonts w:hint="eastAsia" w:cs="宋体"/>
                <w:color w:val="auto"/>
                <w:kern w:val="2"/>
                <w:sz w:val="21"/>
                <w:szCs w:val="21"/>
                <w:highlight w:val="none"/>
                <w:lang w:val="en-US" w:eastAsia="zh-CN" w:bidi="ar-SA"/>
              </w:rPr>
              <w:t>③</w:t>
            </w:r>
            <w:r>
              <w:rPr>
                <w:rFonts w:hint="eastAsia" w:ascii="宋体" w:hAnsi="宋体" w:eastAsia="宋体" w:cs="宋体"/>
                <w:color w:val="auto"/>
                <w:kern w:val="2"/>
                <w:sz w:val="21"/>
                <w:szCs w:val="21"/>
                <w:highlight w:val="none"/>
                <w:lang w:val="en-US" w:eastAsia="zh-CN" w:bidi="ar-SA"/>
              </w:rPr>
              <w:t>运输过程应急</w:t>
            </w:r>
            <w:r>
              <w:rPr>
                <w:rFonts w:hint="eastAsia" w:cs="宋体"/>
                <w:color w:val="auto"/>
                <w:kern w:val="2"/>
                <w:sz w:val="21"/>
                <w:szCs w:val="21"/>
                <w:highlight w:val="none"/>
                <w:lang w:val="en-US" w:eastAsia="zh-CN" w:bidi="ar-SA"/>
              </w:rPr>
              <w:t>方案；④设备故障分级及处理方案</w:t>
            </w:r>
            <w:r>
              <w:rPr>
                <w:rFonts w:hint="eastAsia" w:ascii="宋体" w:hAnsi="宋体" w:eastAsia="宋体" w:cs="宋体"/>
                <w:color w:val="auto"/>
                <w:kern w:val="2"/>
                <w:sz w:val="21"/>
                <w:szCs w:val="21"/>
                <w:highlight w:val="none"/>
                <w:lang w:val="en-US" w:eastAsia="zh-CN" w:bidi="ar-SA"/>
              </w:rPr>
              <w:t>；</w:t>
            </w:r>
            <w:r>
              <w:rPr>
                <w:rFonts w:hint="eastAsia" w:cs="宋体"/>
                <w:color w:val="auto"/>
                <w:kern w:val="2"/>
                <w:sz w:val="21"/>
                <w:szCs w:val="21"/>
                <w:highlight w:val="none"/>
                <w:lang w:val="en-US" w:eastAsia="zh-CN" w:bidi="ar-SA"/>
              </w:rPr>
              <w:t>⑤安装调试应急方案</w:t>
            </w:r>
            <w:r>
              <w:rPr>
                <w:rFonts w:hint="eastAsia" w:ascii="宋体" w:hAnsi="宋体" w:eastAsia="宋体" w:cs="宋体"/>
                <w:color w:val="auto"/>
                <w:kern w:val="2"/>
                <w:sz w:val="21"/>
                <w:szCs w:val="21"/>
                <w:highlight w:val="none"/>
                <w:lang w:val="en-US" w:eastAsia="zh-CN" w:bidi="ar-SA"/>
              </w:rPr>
              <w:t>等内容。</w:t>
            </w:r>
          </w:p>
          <w:p w14:paraId="0174FB15">
            <w:pPr>
              <w:pStyle w:val="49"/>
              <w:keepNext w:val="0"/>
              <w:keepLines w:val="0"/>
              <w:pageBreakBefore w:val="0"/>
              <w:widowControl w:val="0"/>
              <w:kinsoku/>
              <w:wordWrap/>
              <w:overflowPunct/>
              <w:topLinePunct w:val="0"/>
              <w:autoSpaceDE/>
              <w:autoSpaceDN/>
              <w:bidi w:val="0"/>
              <w:adjustRightInd/>
              <w:snapToGrid/>
              <w:spacing w:line="330" w:lineRule="exact"/>
              <w:textAlignment w:val="auto"/>
              <w:rPr>
                <w:rFonts w:hint="default" w:cs="宋体"/>
                <w:color w:val="auto"/>
                <w:kern w:val="0"/>
                <w:sz w:val="21"/>
                <w:szCs w:val="24"/>
                <w:lang w:val="en-US" w:eastAsia="zh-CN" w:bidi="ar-SA"/>
              </w:rPr>
            </w:pPr>
            <w:r>
              <w:rPr>
                <w:rFonts w:hint="default" w:cs="宋体"/>
                <w:color w:val="auto"/>
                <w:kern w:val="0"/>
                <w:sz w:val="21"/>
                <w:szCs w:val="24"/>
                <w:lang w:val="en-US" w:eastAsia="zh-CN" w:bidi="ar-SA"/>
              </w:rPr>
              <w:t>经评标委员会评审，以上内容均能满足项目需求且方案措施完整全面、合理可行的得满分</w:t>
            </w:r>
            <w:r>
              <w:rPr>
                <w:rFonts w:hint="eastAsia" w:cs="宋体"/>
                <w:color w:val="auto"/>
                <w:kern w:val="0"/>
                <w:sz w:val="21"/>
                <w:szCs w:val="24"/>
                <w:lang w:val="en-US" w:eastAsia="zh-CN" w:bidi="ar-SA"/>
              </w:rPr>
              <w:t>10</w:t>
            </w:r>
            <w:r>
              <w:rPr>
                <w:rFonts w:hint="default" w:cs="宋体"/>
                <w:color w:val="auto"/>
                <w:kern w:val="0"/>
                <w:sz w:val="21"/>
                <w:szCs w:val="24"/>
                <w:lang w:val="en-US" w:eastAsia="zh-CN" w:bidi="ar-SA"/>
              </w:rPr>
              <w:t>分，每缺少一项或每项内容与本项目无关的扣</w:t>
            </w:r>
            <w:r>
              <w:rPr>
                <w:rFonts w:hint="eastAsia" w:cs="宋体"/>
                <w:color w:val="auto"/>
                <w:kern w:val="0"/>
                <w:sz w:val="21"/>
                <w:szCs w:val="24"/>
                <w:lang w:val="en-US" w:eastAsia="zh-CN" w:bidi="ar-SA"/>
              </w:rPr>
              <w:t>2</w:t>
            </w:r>
            <w:r>
              <w:rPr>
                <w:rFonts w:hint="default" w:cs="宋体"/>
                <w:color w:val="auto"/>
                <w:kern w:val="0"/>
                <w:sz w:val="21"/>
                <w:szCs w:val="24"/>
                <w:lang w:val="en-US" w:eastAsia="zh-CN" w:bidi="ar-SA"/>
              </w:rPr>
              <w:t>分；每有一项描述简单粗略或存在漏洞或不利于本项目实施的扣1分。扣完为止。未提供不得分。</w:t>
            </w:r>
          </w:p>
          <w:p w14:paraId="080C5A5B">
            <w:pPr>
              <w:pStyle w:val="49"/>
              <w:keepNext w:val="0"/>
              <w:keepLines w:val="0"/>
              <w:pageBreakBefore w:val="0"/>
              <w:widowControl w:val="0"/>
              <w:kinsoku/>
              <w:wordWrap/>
              <w:overflowPunct/>
              <w:topLinePunct w:val="0"/>
              <w:autoSpaceDE/>
              <w:autoSpaceDN/>
              <w:bidi w:val="0"/>
              <w:adjustRightInd/>
              <w:snapToGrid/>
              <w:spacing w:line="33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缺陷是指：与本项目采购标的无关、方案内容前后不一致、前后逻辑错误、涉及的相关规范及标准错误、地点区域错误、内容缺失、只有简单描述无实质性内容。</w:t>
            </w:r>
          </w:p>
        </w:tc>
      </w:tr>
      <w:tr w14:paraId="58C0B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571" w:type="pct"/>
            <w:vMerge w:val="continue"/>
            <w:vAlign w:val="center"/>
          </w:tcPr>
          <w:p w14:paraId="6BC81CA5">
            <w:pPr>
              <w:pStyle w:val="49"/>
              <w:keepNext w:val="0"/>
              <w:keepLines w:val="0"/>
              <w:pageBreakBefore w:val="0"/>
              <w:widowControl w:val="0"/>
              <w:kinsoku/>
              <w:wordWrap/>
              <w:overflowPunct/>
              <w:topLinePunct w:val="0"/>
              <w:autoSpaceDE/>
              <w:autoSpaceDN/>
              <w:bidi w:val="0"/>
              <w:adjustRightInd/>
              <w:snapToGrid/>
              <w:spacing w:line="330" w:lineRule="exact"/>
              <w:jc w:val="center"/>
              <w:textAlignment w:val="auto"/>
              <w:rPr>
                <w:rFonts w:hint="eastAsia" w:ascii="宋体" w:hAnsi="宋体" w:eastAsia="宋体" w:cs="宋体"/>
                <w:color w:val="auto"/>
                <w:sz w:val="21"/>
                <w:szCs w:val="21"/>
                <w:highlight w:val="none"/>
              </w:rPr>
            </w:pPr>
          </w:p>
        </w:tc>
        <w:tc>
          <w:tcPr>
            <w:tcW w:w="769" w:type="pct"/>
            <w:vAlign w:val="center"/>
          </w:tcPr>
          <w:p w14:paraId="4FF5A0D7">
            <w:pPr>
              <w:pStyle w:val="49"/>
              <w:keepNext w:val="0"/>
              <w:keepLines w:val="0"/>
              <w:pageBreakBefore w:val="0"/>
              <w:widowControl w:val="0"/>
              <w:kinsoku/>
              <w:wordWrap/>
              <w:overflowPunct/>
              <w:topLinePunct w:val="0"/>
              <w:autoSpaceDE/>
              <w:autoSpaceDN/>
              <w:bidi w:val="0"/>
              <w:adjustRightInd/>
              <w:snapToGrid/>
              <w:spacing w:line="330" w:lineRule="exact"/>
              <w:jc w:val="center"/>
              <w:textAlignment w:val="auto"/>
              <w:rPr>
                <w:rFonts w:hint="eastAsia" w:ascii="宋体" w:hAnsi="宋体" w:eastAsia="宋体" w:cs="宋体"/>
                <w:color w:val="auto"/>
                <w:sz w:val="21"/>
                <w:szCs w:val="21"/>
                <w:highlight w:val="none"/>
              </w:rPr>
            </w:pPr>
            <w:r>
              <w:rPr>
                <w:rFonts w:hint="eastAsia" w:cs="宋体"/>
                <w:color w:val="auto"/>
                <w:sz w:val="21"/>
                <w:szCs w:val="21"/>
                <w:highlight w:val="none"/>
                <w:lang w:val="en-US" w:eastAsia="zh-CN"/>
              </w:rPr>
              <w:t>技术</w:t>
            </w:r>
            <w:r>
              <w:rPr>
                <w:rFonts w:hint="eastAsia" w:ascii="宋体" w:hAnsi="宋体" w:eastAsia="宋体" w:cs="宋体"/>
                <w:color w:val="auto"/>
                <w:sz w:val="21"/>
                <w:szCs w:val="21"/>
                <w:highlight w:val="none"/>
                <w:lang w:val="en-US" w:eastAsia="zh-CN"/>
              </w:rPr>
              <w:t>培训方案</w:t>
            </w:r>
          </w:p>
        </w:tc>
        <w:tc>
          <w:tcPr>
            <w:tcW w:w="519" w:type="pct"/>
            <w:vAlign w:val="center"/>
          </w:tcPr>
          <w:p w14:paraId="124035BA">
            <w:pPr>
              <w:pStyle w:val="49"/>
              <w:keepNext w:val="0"/>
              <w:keepLines w:val="0"/>
              <w:pageBreakBefore w:val="0"/>
              <w:widowControl w:val="0"/>
              <w:kinsoku/>
              <w:wordWrap/>
              <w:overflowPunct/>
              <w:topLinePunct w:val="0"/>
              <w:autoSpaceDE/>
              <w:autoSpaceDN/>
              <w:bidi w:val="0"/>
              <w:adjustRightInd/>
              <w:snapToGrid/>
              <w:spacing w:line="330" w:lineRule="exact"/>
              <w:jc w:val="center"/>
              <w:textAlignment w:val="auto"/>
              <w:rPr>
                <w:rFonts w:hint="eastAsia"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 xml:space="preserve">分 </w:t>
            </w:r>
          </w:p>
        </w:tc>
        <w:tc>
          <w:tcPr>
            <w:tcW w:w="3139" w:type="pct"/>
            <w:vAlign w:val="center"/>
          </w:tcPr>
          <w:p w14:paraId="4E52EF74">
            <w:pPr>
              <w:keepNext w:val="0"/>
              <w:keepLines w:val="0"/>
              <w:pageBreakBefore w:val="0"/>
              <w:widowControl/>
              <w:suppressLineNumbers w:val="0"/>
              <w:kinsoku/>
              <w:wordWrap/>
              <w:overflowPunct/>
              <w:topLinePunct w:val="0"/>
              <w:autoSpaceDE/>
              <w:autoSpaceDN/>
              <w:bidi w:val="0"/>
              <w:adjustRightInd/>
              <w:snapToGrid/>
              <w:spacing w:line="330" w:lineRule="exact"/>
              <w:jc w:val="left"/>
              <w:textAlignment w:val="auto"/>
              <w:rPr>
                <w:rFonts w:hint="eastAsia"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针对设备、系统软件使用做出合理可行的培训方案，方案内容包含但不限于：①培训目标</w:t>
            </w:r>
            <w:r>
              <w:rPr>
                <w:rFonts w:hint="eastAsia"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计划</w:t>
            </w:r>
            <w:r>
              <w:rPr>
                <w:rFonts w:hint="eastAsia" w:cs="宋体"/>
                <w:color w:val="auto"/>
                <w:sz w:val="21"/>
                <w:szCs w:val="21"/>
                <w:highlight w:val="none"/>
                <w:lang w:val="en-US" w:eastAsia="zh-CN"/>
              </w:rPr>
              <w:t>及</w:t>
            </w:r>
            <w:r>
              <w:rPr>
                <w:rFonts w:hint="eastAsia" w:ascii="宋体" w:hAnsi="宋体" w:eastAsia="宋体" w:cs="宋体"/>
                <w:color w:val="auto"/>
                <w:sz w:val="21"/>
                <w:szCs w:val="21"/>
                <w:highlight w:val="none"/>
                <w:lang w:val="en-US" w:eastAsia="zh-CN"/>
              </w:rPr>
              <w:t>流程；</w:t>
            </w:r>
            <w:r>
              <w:rPr>
                <w:rFonts w:hint="eastAsia" w:cs="宋体"/>
                <w:color w:val="auto"/>
                <w:sz w:val="21"/>
                <w:szCs w:val="21"/>
                <w:highlight w:val="none"/>
                <w:lang w:val="en-US" w:eastAsia="zh-CN"/>
              </w:rPr>
              <w:t>②</w:t>
            </w:r>
            <w:r>
              <w:rPr>
                <w:rFonts w:hint="eastAsia" w:ascii="宋体" w:hAnsi="宋体" w:eastAsia="宋体" w:cs="宋体"/>
                <w:color w:val="auto"/>
                <w:sz w:val="21"/>
                <w:szCs w:val="21"/>
                <w:highlight w:val="none"/>
                <w:lang w:val="en-US" w:eastAsia="zh-CN"/>
              </w:rPr>
              <w:t>组织、教材；</w:t>
            </w:r>
            <w:r>
              <w:rPr>
                <w:rFonts w:hint="eastAsia" w:cs="宋体"/>
                <w:color w:val="auto"/>
                <w:sz w:val="21"/>
                <w:szCs w:val="21"/>
                <w:highlight w:val="none"/>
                <w:lang w:val="en-US" w:eastAsia="zh-CN"/>
              </w:rPr>
              <w:t>③</w:t>
            </w:r>
            <w:r>
              <w:rPr>
                <w:rFonts w:hint="eastAsia" w:ascii="宋体" w:hAnsi="宋体" w:eastAsia="宋体" w:cs="宋体"/>
                <w:color w:val="auto"/>
                <w:sz w:val="21"/>
                <w:szCs w:val="21"/>
                <w:highlight w:val="none"/>
                <w:lang w:val="en-US" w:eastAsia="zh-CN"/>
              </w:rPr>
              <w:t>方式、技术指导</w:t>
            </w:r>
            <w:r>
              <w:rPr>
                <w:rFonts w:hint="eastAsia" w:cs="宋体"/>
                <w:color w:val="auto"/>
                <w:sz w:val="21"/>
                <w:szCs w:val="21"/>
                <w:highlight w:val="none"/>
                <w:lang w:val="en-US" w:eastAsia="zh-CN"/>
              </w:rPr>
              <w:t>；④安全使用培训与注意事项</w:t>
            </w:r>
            <w:r>
              <w:rPr>
                <w:rFonts w:hint="eastAsia" w:ascii="宋体" w:hAnsi="宋体" w:eastAsia="宋体" w:cs="宋体"/>
                <w:color w:val="auto"/>
                <w:sz w:val="21"/>
                <w:szCs w:val="21"/>
                <w:highlight w:val="none"/>
                <w:lang w:val="en-US" w:eastAsia="zh-CN"/>
              </w:rPr>
              <w:t>等内容</w:t>
            </w:r>
            <w:r>
              <w:rPr>
                <w:rFonts w:hint="eastAsia" w:cs="宋体"/>
                <w:color w:val="auto"/>
                <w:sz w:val="21"/>
                <w:szCs w:val="21"/>
                <w:highlight w:val="none"/>
                <w:lang w:val="en-US" w:eastAsia="zh-CN"/>
              </w:rPr>
              <w:t>。</w:t>
            </w:r>
          </w:p>
          <w:p w14:paraId="37B85E77">
            <w:pPr>
              <w:pStyle w:val="49"/>
              <w:keepNext w:val="0"/>
              <w:keepLines w:val="0"/>
              <w:pageBreakBefore w:val="0"/>
              <w:widowControl w:val="0"/>
              <w:kinsoku/>
              <w:wordWrap/>
              <w:overflowPunct/>
              <w:topLinePunct w:val="0"/>
              <w:autoSpaceDE/>
              <w:autoSpaceDN/>
              <w:bidi w:val="0"/>
              <w:adjustRightInd/>
              <w:snapToGrid/>
              <w:spacing w:line="330" w:lineRule="exact"/>
              <w:textAlignment w:val="auto"/>
              <w:rPr>
                <w:rFonts w:hint="default" w:cs="宋体"/>
                <w:color w:val="auto"/>
                <w:kern w:val="0"/>
                <w:sz w:val="21"/>
                <w:szCs w:val="24"/>
                <w:lang w:val="en-US" w:eastAsia="zh-CN" w:bidi="ar-SA"/>
              </w:rPr>
            </w:pPr>
            <w:r>
              <w:rPr>
                <w:rFonts w:hint="default" w:cs="宋体"/>
                <w:color w:val="auto"/>
                <w:kern w:val="0"/>
                <w:sz w:val="21"/>
                <w:szCs w:val="24"/>
                <w:lang w:val="en-US" w:eastAsia="zh-CN" w:bidi="ar-SA"/>
              </w:rPr>
              <w:t>经评标委员会评审，以上内容均能满足项目需求且方案措施完整全面、合理可行的得满分</w:t>
            </w:r>
            <w:r>
              <w:rPr>
                <w:rFonts w:hint="eastAsia" w:cs="宋体"/>
                <w:color w:val="auto"/>
                <w:kern w:val="0"/>
                <w:sz w:val="21"/>
                <w:szCs w:val="24"/>
                <w:lang w:val="en-US" w:eastAsia="zh-CN" w:bidi="ar-SA"/>
              </w:rPr>
              <w:t>4</w:t>
            </w:r>
            <w:r>
              <w:rPr>
                <w:rFonts w:hint="default" w:cs="宋体"/>
                <w:color w:val="auto"/>
                <w:kern w:val="0"/>
                <w:sz w:val="21"/>
                <w:szCs w:val="24"/>
                <w:lang w:val="en-US" w:eastAsia="zh-CN" w:bidi="ar-SA"/>
              </w:rPr>
              <w:t>分，每缺少一项或每项内容与本项目无关的扣1分；每有一项描述简单粗略或存在漏洞或不利于本项目实施的扣</w:t>
            </w:r>
            <w:r>
              <w:rPr>
                <w:rFonts w:hint="eastAsia" w:cs="宋体"/>
                <w:color w:val="auto"/>
                <w:kern w:val="0"/>
                <w:sz w:val="21"/>
                <w:szCs w:val="24"/>
                <w:lang w:val="en-US" w:eastAsia="zh-CN" w:bidi="ar-SA"/>
              </w:rPr>
              <w:t>0.5</w:t>
            </w:r>
            <w:r>
              <w:rPr>
                <w:rFonts w:hint="default" w:cs="宋体"/>
                <w:color w:val="auto"/>
                <w:kern w:val="0"/>
                <w:sz w:val="21"/>
                <w:szCs w:val="24"/>
                <w:lang w:val="en-US" w:eastAsia="zh-CN" w:bidi="ar-SA"/>
              </w:rPr>
              <w:t>分。扣完为止。未提供不得分。</w:t>
            </w:r>
          </w:p>
          <w:p w14:paraId="4F2AD3E2">
            <w:pPr>
              <w:pStyle w:val="22"/>
              <w:keepNext w:val="0"/>
              <w:keepLines w:val="0"/>
              <w:pageBreakBefore w:val="0"/>
              <w:kinsoku/>
              <w:wordWrap/>
              <w:overflowPunct/>
              <w:topLinePunct w:val="0"/>
              <w:autoSpaceDE/>
              <w:autoSpaceDN/>
              <w:bidi w:val="0"/>
              <w:adjustRightInd/>
              <w:snapToGrid/>
              <w:spacing w:line="33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aps w:val="0"/>
                <w:color w:val="auto"/>
                <w:kern w:val="2"/>
                <w:sz w:val="21"/>
                <w:szCs w:val="21"/>
                <w:highlight w:val="none"/>
                <w:lang w:val="en-US" w:eastAsia="zh-CN" w:bidi="ar-SA"/>
              </w:rPr>
              <w:t>缺陷是指：与本项目采购标的无关、方案内容前后不一致、前后逻辑错误、涉及的相关规范及标准错误、地点区域错误、内容缺失、只有简单描述无实质性内容</w:t>
            </w:r>
            <w:r>
              <w:rPr>
                <w:rFonts w:hint="eastAsia" w:ascii="宋体" w:eastAsia="宋体" w:cs="宋体"/>
                <w:b w:val="0"/>
                <w:bCs w:val="0"/>
                <w:caps w:val="0"/>
                <w:color w:val="auto"/>
                <w:kern w:val="2"/>
                <w:sz w:val="21"/>
                <w:szCs w:val="21"/>
                <w:highlight w:val="none"/>
                <w:lang w:val="en-US" w:eastAsia="zh-CN" w:bidi="ar-SA"/>
              </w:rPr>
              <w:t>。</w:t>
            </w:r>
          </w:p>
        </w:tc>
      </w:tr>
      <w:tr w14:paraId="349B4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1341" w:type="pct"/>
            <w:gridSpan w:val="2"/>
            <w:vAlign w:val="center"/>
          </w:tcPr>
          <w:p w14:paraId="4009041A">
            <w:pPr>
              <w:pStyle w:val="49"/>
              <w:keepNext w:val="0"/>
              <w:keepLines w:val="0"/>
              <w:pageBreakBefore w:val="0"/>
              <w:widowControl w:val="0"/>
              <w:kinsoku/>
              <w:wordWrap/>
              <w:overflowPunct/>
              <w:topLinePunct w:val="0"/>
              <w:autoSpaceDE/>
              <w:autoSpaceDN/>
              <w:bidi w:val="0"/>
              <w:adjustRightInd/>
              <w:snapToGrid/>
              <w:spacing w:line="33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合计</w:t>
            </w:r>
          </w:p>
        </w:tc>
        <w:tc>
          <w:tcPr>
            <w:tcW w:w="519" w:type="pct"/>
            <w:vAlign w:val="center"/>
          </w:tcPr>
          <w:p w14:paraId="56908100">
            <w:pPr>
              <w:pStyle w:val="49"/>
              <w:keepNext w:val="0"/>
              <w:keepLines w:val="0"/>
              <w:pageBreakBefore w:val="0"/>
              <w:widowControl w:val="0"/>
              <w:kinsoku/>
              <w:wordWrap/>
              <w:overflowPunct/>
              <w:topLinePunct w:val="0"/>
              <w:autoSpaceDE/>
              <w:autoSpaceDN/>
              <w:bidi w:val="0"/>
              <w:adjustRightInd/>
              <w:snapToGrid/>
              <w:spacing w:line="33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=SUM(ABOVE)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100</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lang w:val="en-US" w:eastAsia="zh-CN"/>
              </w:rPr>
              <w:t>分</w:t>
            </w:r>
          </w:p>
        </w:tc>
        <w:tc>
          <w:tcPr>
            <w:tcW w:w="3139" w:type="pct"/>
            <w:vAlign w:val="center"/>
          </w:tcPr>
          <w:p w14:paraId="17119387">
            <w:pPr>
              <w:pStyle w:val="49"/>
              <w:keepNext w:val="0"/>
              <w:keepLines w:val="0"/>
              <w:pageBreakBefore w:val="0"/>
              <w:widowControl w:val="0"/>
              <w:kinsoku/>
              <w:wordWrap/>
              <w:overflowPunct/>
              <w:topLinePunct w:val="0"/>
              <w:autoSpaceDE/>
              <w:autoSpaceDN/>
              <w:bidi w:val="0"/>
              <w:adjustRightInd/>
              <w:snapToGrid/>
              <w:spacing w:line="330" w:lineRule="exact"/>
              <w:textAlignment w:val="auto"/>
              <w:rPr>
                <w:rFonts w:hint="eastAsia" w:ascii="宋体" w:hAnsi="宋体" w:eastAsia="宋体" w:cs="宋体"/>
                <w:color w:val="auto"/>
                <w:sz w:val="21"/>
                <w:szCs w:val="21"/>
                <w:highlight w:val="none"/>
                <w:lang w:val="en-US" w:eastAsia="zh-CN"/>
              </w:rPr>
            </w:pPr>
          </w:p>
        </w:tc>
      </w:tr>
    </w:tbl>
    <w:p w14:paraId="2DDBFD6E">
      <w:pPr>
        <w:rPr>
          <w:rFonts w:hint="eastAsia" w:ascii="宋体" w:hAnsi="宋体" w:eastAsia="宋体" w:cs="宋体"/>
          <w:b/>
          <w:bCs/>
          <w:color w:val="auto"/>
          <w:kern w:val="44"/>
          <w:sz w:val="36"/>
          <w:szCs w:val="36"/>
          <w:highlight w:val="none"/>
          <w:lang w:val="zh-CN" w:eastAsia="zh-CN" w:bidi="ar-SA"/>
        </w:rPr>
      </w:pPr>
      <w:bookmarkStart w:id="316" w:name="_Toc155185918"/>
      <w:bookmarkStart w:id="317" w:name="_Toc163492912"/>
      <w:bookmarkStart w:id="318" w:name="_Toc4842"/>
      <w:r>
        <w:rPr>
          <w:rFonts w:hint="eastAsia" w:ascii="宋体" w:hAnsi="宋体" w:eastAsia="宋体" w:cs="宋体"/>
          <w:b/>
          <w:bCs/>
          <w:color w:val="auto"/>
          <w:kern w:val="44"/>
          <w:sz w:val="36"/>
          <w:szCs w:val="36"/>
          <w:highlight w:val="none"/>
          <w:lang w:val="zh-CN" w:eastAsia="zh-CN" w:bidi="ar-SA"/>
        </w:rPr>
        <w:br w:type="page"/>
      </w:r>
    </w:p>
    <w:p w14:paraId="54C87150">
      <w:pPr>
        <w:pStyle w:val="2"/>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宋体" w:hAnsi="宋体" w:eastAsia="宋体" w:cs="宋体"/>
          <w:b/>
          <w:bCs/>
          <w:color w:val="auto"/>
          <w:kern w:val="44"/>
          <w:sz w:val="36"/>
          <w:szCs w:val="36"/>
          <w:highlight w:val="none"/>
          <w:lang w:val="zh-CN" w:eastAsia="zh-CN" w:bidi="ar-SA"/>
        </w:rPr>
      </w:pPr>
      <w:r>
        <w:rPr>
          <w:rFonts w:hint="eastAsia" w:ascii="宋体" w:hAnsi="宋体" w:eastAsia="宋体" w:cs="宋体"/>
          <w:b/>
          <w:bCs/>
          <w:color w:val="auto"/>
          <w:kern w:val="44"/>
          <w:sz w:val="36"/>
          <w:szCs w:val="36"/>
          <w:highlight w:val="none"/>
          <w:lang w:val="zh-CN" w:eastAsia="zh-CN" w:bidi="ar-SA"/>
        </w:rPr>
        <w:t xml:space="preserve">第六章 </w:t>
      </w:r>
      <w:r>
        <w:rPr>
          <w:rFonts w:hint="default" w:eastAsia="宋体" w:cs="宋体"/>
          <w:b/>
          <w:bCs/>
          <w:color w:val="auto"/>
          <w:kern w:val="44"/>
          <w:sz w:val="36"/>
          <w:szCs w:val="36"/>
          <w:highlight w:val="none"/>
          <w:lang w:val="en-US" w:eastAsia="zh-CN" w:bidi="ar-SA"/>
        </w:rPr>
        <w:t xml:space="preserve"> </w:t>
      </w:r>
      <w:r>
        <w:rPr>
          <w:rFonts w:hint="eastAsia" w:ascii="宋体" w:hAnsi="宋体" w:eastAsia="宋体" w:cs="宋体"/>
          <w:b/>
          <w:bCs/>
          <w:color w:val="auto"/>
          <w:kern w:val="44"/>
          <w:sz w:val="36"/>
          <w:szCs w:val="36"/>
          <w:highlight w:val="none"/>
          <w:lang w:val="zh-CN" w:eastAsia="zh-CN" w:bidi="ar-SA"/>
        </w:rPr>
        <w:t>合同</w:t>
      </w:r>
      <w:bookmarkEnd w:id="316"/>
      <w:r>
        <w:rPr>
          <w:rFonts w:hint="eastAsia" w:ascii="宋体" w:hAnsi="宋体" w:eastAsia="宋体" w:cs="宋体"/>
          <w:b/>
          <w:bCs/>
          <w:color w:val="auto"/>
          <w:kern w:val="44"/>
          <w:sz w:val="36"/>
          <w:szCs w:val="36"/>
          <w:highlight w:val="none"/>
          <w:lang w:val="zh-CN" w:eastAsia="zh-CN" w:bidi="ar-SA"/>
        </w:rPr>
        <w:t>草案</w:t>
      </w:r>
      <w:bookmarkEnd w:id="317"/>
      <w:bookmarkEnd w:id="318"/>
    </w:p>
    <w:p w14:paraId="290EAE22">
      <w:pPr>
        <w:rPr>
          <w:color w:val="auto"/>
          <w:highlight w:val="none"/>
          <w:lang w:val="zh-CN"/>
        </w:rPr>
      </w:pPr>
    </w:p>
    <w:p w14:paraId="5F54BF5D">
      <w:pPr>
        <w:bidi w:val="0"/>
        <w:jc w:val="center"/>
        <w:rPr>
          <w:rFonts w:ascii="宋体" w:hAnsi="宋体" w:cs="宋体"/>
          <w:color w:val="auto"/>
          <w:sz w:val="28"/>
          <w:szCs w:val="28"/>
        </w:rPr>
      </w:pPr>
      <w:bookmarkStart w:id="319" w:name="_Toc256000317"/>
      <w:r>
        <w:rPr>
          <w:rFonts w:ascii="宋体" w:hAnsi="宋体" w:cs="宋体"/>
          <w:b/>
          <w:bCs/>
          <w:color w:val="auto"/>
          <w:spacing w:val="-6"/>
          <w:sz w:val="28"/>
          <w:szCs w:val="28"/>
        </w:rPr>
        <w:t>（具体以双方签订为准）</w:t>
      </w:r>
      <w:bookmarkEnd w:id="319"/>
    </w:p>
    <w:p w14:paraId="0F391F84">
      <w:pPr>
        <w:wordWrap w:val="0"/>
        <w:rPr>
          <w:rFonts w:hint="eastAsia" w:cs="Helvetica"/>
          <w:bCs/>
          <w:color w:val="auto"/>
          <w:sz w:val="24"/>
          <w:szCs w:val="24"/>
          <w:highlight w:val="none"/>
          <w:lang w:val="zh-CN"/>
        </w:rPr>
      </w:pPr>
    </w:p>
    <w:p w14:paraId="51E629DD">
      <w:pPr>
        <w:wordWrap w:val="0"/>
        <w:rPr>
          <w:bCs/>
          <w:color w:val="auto"/>
          <w:sz w:val="24"/>
          <w:szCs w:val="24"/>
          <w:highlight w:val="none"/>
        </w:rPr>
      </w:pPr>
      <w:r>
        <w:rPr>
          <w:rFonts w:hint="eastAsia" w:cs="Helvetica"/>
          <w:bCs/>
          <w:color w:val="auto"/>
          <w:sz w:val="24"/>
          <w:szCs w:val="24"/>
          <w:highlight w:val="none"/>
          <w:lang w:val="zh-CN"/>
        </w:rPr>
        <w:t>合同编号：</w:t>
      </w:r>
      <w:r>
        <w:rPr>
          <w:rFonts w:hint="eastAsia" w:cs="Helvetica"/>
          <w:bCs/>
          <w:color w:val="auto"/>
          <w:sz w:val="24"/>
          <w:szCs w:val="24"/>
          <w:highlight w:val="none"/>
          <w:u w:val="single"/>
        </w:rPr>
        <w:t xml:space="preserve">              </w:t>
      </w:r>
    </w:p>
    <w:p w14:paraId="453FD5DE">
      <w:pPr>
        <w:pStyle w:val="13"/>
        <w:spacing w:after="0"/>
        <w:jc w:val="center"/>
        <w:rPr>
          <w:rFonts w:ascii="宋体" w:hAnsi="宋体" w:cs="宋体"/>
          <w:b/>
          <w:bCs/>
          <w:color w:val="auto"/>
          <w:spacing w:val="-20"/>
          <w:kern w:val="44"/>
          <w:sz w:val="48"/>
          <w:szCs w:val="48"/>
          <w:highlight w:val="none"/>
        </w:rPr>
      </w:pPr>
      <w:bookmarkStart w:id="320" w:name="_Toc3995"/>
    </w:p>
    <w:p w14:paraId="4DD54709">
      <w:pPr>
        <w:pStyle w:val="13"/>
        <w:spacing w:after="0"/>
        <w:jc w:val="both"/>
        <w:rPr>
          <w:rFonts w:ascii="宋体" w:hAnsi="宋体" w:cs="宋体"/>
          <w:b/>
          <w:bCs/>
          <w:color w:val="auto"/>
          <w:spacing w:val="-20"/>
          <w:kern w:val="44"/>
          <w:sz w:val="48"/>
          <w:szCs w:val="48"/>
          <w:highlight w:val="none"/>
        </w:rPr>
      </w:pPr>
    </w:p>
    <w:p w14:paraId="1471AFF4">
      <w:pPr>
        <w:pStyle w:val="13"/>
        <w:spacing w:after="0"/>
        <w:jc w:val="center"/>
        <w:rPr>
          <w:rFonts w:ascii="宋体" w:hAnsi="宋体" w:cs="宋体"/>
          <w:b/>
          <w:bCs/>
          <w:color w:val="auto"/>
          <w:spacing w:val="-20"/>
          <w:kern w:val="44"/>
          <w:sz w:val="48"/>
          <w:szCs w:val="48"/>
          <w:highlight w:val="none"/>
        </w:rPr>
      </w:pPr>
    </w:p>
    <w:p w14:paraId="71BEC943">
      <w:pPr>
        <w:pStyle w:val="13"/>
        <w:spacing w:after="0"/>
        <w:jc w:val="center"/>
        <w:rPr>
          <w:rFonts w:hint="eastAsia" w:ascii="宋体" w:hAnsi="宋体" w:eastAsia="宋体" w:cs="宋体"/>
          <w:b/>
          <w:bCs/>
          <w:color w:val="auto"/>
          <w:spacing w:val="-20"/>
          <w:kern w:val="44"/>
          <w:sz w:val="44"/>
          <w:szCs w:val="44"/>
          <w:highlight w:val="none"/>
        </w:rPr>
      </w:pPr>
      <w:r>
        <w:rPr>
          <w:rFonts w:hint="eastAsia" w:ascii="宋体" w:hAnsi="宋体" w:eastAsia="宋体" w:cs="宋体"/>
          <w:b/>
          <w:bCs/>
          <w:color w:val="auto"/>
          <w:spacing w:val="-20"/>
          <w:kern w:val="44"/>
          <w:sz w:val="44"/>
          <w:szCs w:val="44"/>
          <w:highlight w:val="none"/>
        </w:rPr>
        <w:t>政府采购</w:t>
      </w:r>
      <w:r>
        <w:rPr>
          <w:rFonts w:hint="eastAsia" w:ascii="宋体" w:hAnsi="宋体" w:eastAsia="宋体" w:cs="宋体"/>
          <w:b/>
          <w:bCs/>
          <w:color w:val="auto"/>
          <w:spacing w:val="-20"/>
          <w:kern w:val="44"/>
          <w:sz w:val="44"/>
          <w:szCs w:val="44"/>
          <w:highlight w:val="none"/>
          <w:lang w:eastAsia="zh-CN"/>
        </w:rPr>
        <w:t>货物买卖</w:t>
      </w:r>
      <w:r>
        <w:rPr>
          <w:rFonts w:hint="eastAsia" w:ascii="宋体" w:hAnsi="宋体" w:eastAsia="宋体" w:cs="宋体"/>
          <w:b/>
          <w:bCs/>
          <w:color w:val="auto"/>
          <w:spacing w:val="-20"/>
          <w:kern w:val="44"/>
          <w:sz w:val="44"/>
          <w:szCs w:val="44"/>
          <w:highlight w:val="none"/>
        </w:rPr>
        <w:t>合同</w:t>
      </w:r>
    </w:p>
    <w:p w14:paraId="2D8DEEA6">
      <w:pPr>
        <w:pStyle w:val="13"/>
        <w:spacing w:after="0"/>
        <w:jc w:val="center"/>
        <w:rPr>
          <w:rFonts w:hint="eastAsia" w:ascii="宋体" w:hAnsi="宋体" w:eastAsia="宋体" w:cs="宋体"/>
          <w:b/>
          <w:bCs/>
          <w:color w:val="auto"/>
          <w:spacing w:val="-20"/>
          <w:kern w:val="44"/>
          <w:sz w:val="44"/>
          <w:szCs w:val="44"/>
          <w:highlight w:val="none"/>
          <w:lang w:eastAsia="zh-CN"/>
        </w:rPr>
      </w:pPr>
      <w:r>
        <w:rPr>
          <w:rFonts w:hint="eastAsia" w:ascii="宋体" w:hAnsi="宋体" w:eastAsia="宋体" w:cs="宋体"/>
          <w:b/>
          <w:bCs/>
          <w:color w:val="auto"/>
          <w:spacing w:val="-20"/>
          <w:kern w:val="44"/>
          <w:sz w:val="44"/>
          <w:szCs w:val="44"/>
          <w:highlight w:val="none"/>
          <w:lang w:eastAsia="zh-CN"/>
        </w:rPr>
        <w:t>（试行）</w:t>
      </w:r>
    </w:p>
    <w:p w14:paraId="6894012D">
      <w:pPr>
        <w:rPr>
          <w:rFonts w:ascii="宋体" w:hAnsi="宋体" w:cs="宋体"/>
          <w:b/>
          <w:bCs/>
          <w:color w:val="auto"/>
          <w:spacing w:val="-20"/>
          <w:kern w:val="44"/>
          <w:sz w:val="40"/>
          <w:szCs w:val="40"/>
          <w:highlight w:val="none"/>
        </w:rPr>
      </w:pPr>
    </w:p>
    <w:p w14:paraId="1F202B9E">
      <w:pPr>
        <w:rPr>
          <w:rFonts w:ascii="宋体" w:hAnsi="宋体" w:cs="宋体"/>
          <w:b/>
          <w:bCs/>
          <w:color w:val="auto"/>
          <w:spacing w:val="-20"/>
          <w:kern w:val="44"/>
          <w:sz w:val="40"/>
          <w:szCs w:val="40"/>
          <w:highlight w:val="none"/>
        </w:rPr>
      </w:pPr>
    </w:p>
    <w:p w14:paraId="081AFCCE">
      <w:pPr>
        <w:rPr>
          <w:rFonts w:ascii="宋体" w:hAnsi="宋体" w:cs="宋体"/>
          <w:b/>
          <w:bCs/>
          <w:color w:val="auto"/>
          <w:spacing w:val="-20"/>
          <w:kern w:val="44"/>
          <w:sz w:val="40"/>
          <w:szCs w:val="40"/>
          <w:highlight w:val="none"/>
        </w:rPr>
      </w:pPr>
    </w:p>
    <w:p w14:paraId="6673C93A">
      <w:pPr>
        <w:spacing w:line="360" w:lineRule="auto"/>
        <w:ind w:left="480" w:leftChars="200"/>
        <w:rPr>
          <w:color w:val="auto"/>
          <w:sz w:val="36"/>
          <w:szCs w:val="36"/>
          <w:highlight w:val="none"/>
        </w:rPr>
      </w:pPr>
      <w:r>
        <w:rPr>
          <w:rFonts w:hint="eastAsia" w:ascii="宋体" w:hAnsi="宋体" w:cs="宋体"/>
          <w:color w:val="auto"/>
          <w:kern w:val="0"/>
          <w:sz w:val="36"/>
          <w:szCs w:val="36"/>
          <w:highlight w:val="none"/>
        </w:rPr>
        <w:t>项目名称：</w:t>
      </w:r>
      <w:r>
        <w:rPr>
          <w:rFonts w:hint="eastAsia"/>
          <w:color w:val="auto"/>
          <w:sz w:val="36"/>
          <w:szCs w:val="36"/>
          <w:highlight w:val="none"/>
          <w:u w:val="single"/>
        </w:rPr>
        <w:t xml:space="preserve">                             </w:t>
      </w:r>
    </w:p>
    <w:p w14:paraId="3AA2BFC4">
      <w:pPr>
        <w:spacing w:line="360" w:lineRule="auto"/>
        <w:ind w:left="480" w:leftChars="200"/>
        <w:rPr>
          <w:color w:val="auto"/>
          <w:sz w:val="36"/>
          <w:szCs w:val="36"/>
          <w:highlight w:val="none"/>
          <w:u w:val="single"/>
        </w:rPr>
      </w:pPr>
      <w:r>
        <w:rPr>
          <w:rFonts w:hint="eastAsia"/>
          <w:color w:val="auto"/>
          <w:sz w:val="36"/>
          <w:szCs w:val="36"/>
          <w:highlight w:val="none"/>
        </w:rPr>
        <w:t>合同编号：</w:t>
      </w:r>
      <w:r>
        <w:rPr>
          <w:rFonts w:hint="eastAsia"/>
          <w:color w:val="auto"/>
          <w:sz w:val="36"/>
          <w:szCs w:val="36"/>
          <w:highlight w:val="none"/>
          <w:u w:val="single"/>
        </w:rPr>
        <w:t xml:space="preserve">                             </w:t>
      </w:r>
    </w:p>
    <w:p w14:paraId="17A8F806">
      <w:pPr>
        <w:spacing w:line="360" w:lineRule="auto"/>
        <w:ind w:left="480" w:leftChars="200"/>
        <w:rPr>
          <w:color w:val="auto"/>
          <w:sz w:val="36"/>
          <w:szCs w:val="36"/>
          <w:highlight w:val="none"/>
        </w:rPr>
      </w:pPr>
      <w:r>
        <w:rPr>
          <w:rFonts w:hint="eastAsia"/>
          <w:color w:val="auto"/>
          <w:sz w:val="36"/>
          <w:szCs w:val="36"/>
          <w:highlight w:val="none"/>
        </w:rPr>
        <w:t>甲    方：</w:t>
      </w:r>
      <w:r>
        <w:rPr>
          <w:rFonts w:hint="eastAsia"/>
          <w:color w:val="auto"/>
          <w:sz w:val="36"/>
          <w:szCs w:val="36"/>
          <w:highlight w:val="none"/>
          <w:u w:val="single"/>
        </w:rPr>
        <w:t xml:space="preserve">                             </w:t>
      </w:r>
    </w:p>
    <w:p w14:paraId="5A1FCD07">
      <w:pPr>
        <w:spacing w:line="360" w:lineRule="auto"/>
        <w:ind w:left="480" w:leftChars="200"/>
        <w:rPr>
          <w:color w:val="auto"/>
          <w:sz w:val="36"/>
          <w:szCs w:val="36"/>
          <w:highlight w:val="none"/>
          <w:u w:val="single"/>
        </w:rPr>
      </w:pPr>
      <w:r>
        <w:rPr>
          <w:rFonts w:hint="eastAsia"/>
          <w:color w:val="auto"/>
          <w:sz w:val="36"/>
          <w:szCs w:val="36"/>
          <w:highlight w:val="none"/>
        </w:rPr>
        <w:t>乙    方：</w:t>
      </w:r>
      <w:r>
        <w:rPr>
          <w:rFonts w:hint="eastAsia"/>
          <w:color w:val="auto"/>
          <w:sz w:val="36"/>
          <w:szCs w:val="36"/>
          <w:highlight w:val="none"/>
          <w:u w:val="single"/>
        </w:rPr>
        <w:t xml:space="preserve">                             </w:t>
      </w:r>
    </w:p>
    <w:p w14:paraId="772DCE52">
      <w:pPr>
        <w:spacing w:line="360" w:lineRule="auto"/>
        <w:ind w:left="480" w:leftChars="200"/>
        <w:rPr>
          <w:color w:val="auto"/>
          <w:sz w:val="36"/>
          <w:szCs w:val="36"/>
          <w:highlight w:val="none"/>
        </w:rPr>
      </w:pPr>
      <w:r>
        <w:rPr>
          <w:rFonts w:hint="eastAsia"/>
          <w:color w:val="auto"/>
          <w:sz w:val="36"/>
          <w:szCs w:val="36"/>
          <w:highlight w:val="none"/>
        </w:rPr>
        <w:t>签订时间：</w:t>
      </w:r>
      <w:r>
        <w:rPr>
          <w:rFonts w:hint="eastAsia"/>
          <w:color w:val="auto"/>
          <w:sz w:val="36"/>
          <w:szCs w:val="36"/>
          <w:highlight w:val="none"/>
          <w:u w:val="single"/>
        </w:rPr>
        <w:t xml:space="preserve">      </w:t>
      </w:r>
      <w:r>
        <w:rPr>
          <w:color w:val="auto"/>
          <w:sz w:val="36"/>
          <w:szCs w:val="36"/>
          <w:highlight w:val="none"/>
          <w:u w:val="single"/>
        </w:rPr>
        <w:t xml:space="preserve">           </w:t>
      </w:r>
      <w:r>
        <w:rPr>
          <w:rFonts w:hint="eastAsia"/>
          <w:color w:val="auto"/>
          <w:sz w:val="36"/>
          <w:szCs w:val="36"/>
          <w:highlight w:val="none"/>
          <w:u w:val="single"/>
        </w:rPr>
        <w:t xml:space="preserve">            </w:t>
      </w:r>
    </w:p>
    <w:p w14:paraId="15CE477A">
      <w:pPr>
        <w:rPr>
          <w:color w:val="auto"/>
          <w:highlight w:val="none"/>
        </w:rPr>
      </w:pPr>
    </w:p>
    <w:p w14:paraId="6DC7E545">
      <w:pPr>
        <w:rPr>
          <w:rFonts w:eastAsia="黑体"/>
          <w:color w:val="auto"/>
          <w:sz w:val="44"/>
          <w:szCs w:val="44"/>
          <w:highlight w:val="none"/>
        </w:rPr>
      </w:pPr>
      <w:r>
        <w:rPr>
          <w:rFonts w:eastAsia="黑体"/>
          <w:color w:val="auto"/>
          <w:sz w:val="44"/>
          <w:szCs w:val="44"/>
          <w:highlight w:val="none"/>
        </w:rPr>
        <w:br w:type="page"/>
      </w:r>
    </w:p>
    <w:p w14:paraId="248E6903">
      <w:pPr>
        <w:rPr>
          <w:rFonts w:eastAsia="黑体"/>
          <w:color w:val="auto"/>
          <w:sz w:val="44"/>
          <w:szCs w:val="44"/>
          <w:highlight w:val="none"/>
        </w:rPr>
      </w:pPr>
    </w:p>
    <w:p w14:paraId="4A7C638C">
      <w:pPr>
        <w:jc w:val="center"/>
        <w:rPr>
          <w:rFonts w:hint="eastAsia" w:ascii="宋体" w:hAnsi="宋体" w:eastAsia="宋体" w:cs="宋体"/>
          <w:b/>
          <w:bCs/>
          <w:color w:val="auto"/>
          <w:sz w:val="36"/>
          <w:szCs w:val="36"/>
          <w:highlight w:val="none"/>
          <w:lang w:eastAsia="zh-CN"/>
        </w:rPr>
      </w:pPr>
      <w:r>
        <w:rPr>
          <w:rFonts w:hint="eastAsia" w:ascii="宋体" w:hAnsi="宋体" w:eastAsia="宋体" w:cs="宋体"/>
          <w:b/>
          <w:bCs/>
          <w:color w:val="auto"/>
          <w:sz w:val="36"/>
          <w:szCs w:val="36"/>
          <w:highlight w:val="none"/>
          <w:lang w:eastAsia="zh-CN"/>
        </w:rPr>
        <w:t>使</w:t>
      </w:r>
      <w:r>
        <w:rPr>
          <w:rFonts w:hint="eastAsia" w:ascii="宋体" w:hAnsi="宋体" w:eastAsia="宋体" w:cs="宋体"/>
          <w:b/>
          <w:bCs/>
          <w:color w:val="auto"/>
          <w:sz w:val="36"/>
          <w:szCs w:val="36"/>
          <w:highlight w:val="none"/>
          <w:lang w:val="en-US" w:eastAsia="zh-CN"/>
        </w:rPr>
        <w:t xml:space="preserve"> </w:t>
      </w:r>
      <w:r>
        <w:rPr>
          <w:rFonts w:hint="eastAsia" w:ascii="宋体" w:hAnsi="宋体" w:eastAsia="宋体" w:cs="宋体"/>
          <w:b/>
          <w:bCs/>
          <w:color w:val="auto"/>
          <w:sz w:val="36"/>
          <w:szCs w:val="36"/>
          <w:highlight w:val="none"/>
          <w:lang w:eastAsia="zh-CN"/>
        </w:rPr>
        <w:t>用</w:t>
      </w:r>
      <w:r>
        <w:rPr>
          <w:rFonts w:hint="eastAsia" w:ascii="宋体" w:hAnsi="宋体" w:eastAsia="宋体" w:cs="宋体"/>
          <w:b/>
          <w:bCs/>
          <w:color w:val="auto"/>
          <w:sz w:val="36"/>
          <w:szCs w:val="36"/>
          <w:highlight w:val="none"/>
          <w:lang w:val="en-US" w:eastAsia="zh-CN"/>
        </w:rPr>
        <w:t xml:space="preserve"> </w:t>
      </w:r>
      <w:r>
        <w:rPr>
          <w:rFonts w:hint="eastAsia" w:ascii="宋体" w:hAnsi="宋体" w:eastAsia="宋体" w:cs="宋体"/>
          <w:b/>
          <w:bCs/>
          <w:color w:val="auto"/>
          <w:sz w:val="36"/>
          <w:szCs w:val="36"/>
          <w:highlight w:val="none"/>
          <w:lang w:eastAsia="zh-CN"/>
        </w:rPr>
        <w:t>说</w:t>
      </w:r>
      <w:r>
        <w:rPr>
          <w:rFonts w:hint="eastAsia" w:ascii="宋体" w:hAnsi="宋体" w:eastAsia="宋体" w:cs="宋体"/>
          <w:b/>
          <w:bCs/>
          <w:color w:val="auto"/>
          <w:sz w:val="36"/>
          <w:szCs w:val="36"/>
          <w:highlight w:val="none"/>
          <w:lang w:val="en-US" w:eastAsia="zh-CN"/>
        </w:rPr>
        <w:t xml:space="preserve"> </w:t>
      </w:r>
      <w:r>
        <w:rPr>
          <w:rFonts w:hint="eastAsia" w:ascii="宋体" w:hAnsi="宋体" w:eastAsia="宋体" w:cs="宋体"/>
          <w:b/>
          <w:bCs/>
          <w:color w:val="auto"/>
          <w:sz w:val="36"/>
          <w:szCs w:val="36"/>
          <w:highlight w:val="none"/>
          <w:lang w:eastAsia="zh-CN"/>
        </w:rPr>
        <w:t>明</w:t>
      </w:r>
    </w:p>
    <w:p w14:paraId="6B592E2F">
      <w:pPr>
        <w:ind w:firstLine="640" w:firstLineChars="200"/>
        <w:rPr>
          <w:rFonts w:hint="eastAsia" w:ascii="仿宋_GB2312" w:hAnsi="仿宋_GB2312" w:eastAsia="仿宋_GB2312" w:cs="仿宋_GB2312"/>
          <w:color w:val="auto"/>
          <w:sz w:val="32"/>
          <w:szCs w:val="32"/>
          <w:highlight w:val="none"/>
          <w:lang w:val="en-US" w:eastAsia="zh-CN"/>
        </w:rPr>
      </w:pPr>
    </w:p>
    <w:p w14:paraId="3CAECAF9">
      <w:pPr>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1.本合同标准文本适用于购买现成货物的采购项目，不包括需要供应商定制开发、创新研发的货物采购项目。</w:t>
      </w:r>
    </w:p>
    <w:p w14:paraId="2627C031">
      <w:pPr>
        <w:ind w:firstLine="0" w:firstLineChars="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    2.本合同标准文本为政府采购货物买卖合同编制提供参考，可以结合采购项目具体情况，对文本作必要的调整修订后使用。</w:t>
      </w:r>
    </w:p>
    <w:p w14:paraId="1C280F5C">
      <w:pPr>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3.本合同标准文本各条款中，如涉及填写多家供应商、制造商，多种采购标的、分包主要内容等信息的，可根据采购项目具体情况添加信息项。</w:t>
      </w:r>
    </w:p>
    <w:p w14:paraId="61BB5935">
      <w:pPr>
        <w:ind w:firstLine="560" w:firstLineChars="200"/>
        <w:jc w:val="both"/>
        <w:rPr>
          <w:rFonts w:hint="eastAsia" w:ascii="宋体" w:hAnsi="宋体" w:eastAsia="宋体" w:cs="宋体"/>
          <w:color w:val="auto"/>
          <w:sz w:val="28"/>
          <w:szCs w:val="28"/>
          <w:highlight w:val="none"/>
        </w:rPr>
        <w:sectPr>
          <w:headerReference r:id="rId7" w:type="default"/>
          <w:footerReference r:id="rId8"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cols w:space="425" w:num="1"/>
          <w:docGrid w:type="lines" w:linePitch="312" w:charSpace="0"/>
        </w:sectPr>
      </w:pPr>
    </w:p>
    <w:bookmarkEnd w:id="320"/>
    <w:p w14:paraId="3276BAC0">
      <w:pPr>
        <w:pStyle w:val="3"/>
        <w:adjustRightInd w:val="0"/>
        <w:snapToGrid w:val="0"/>
        <w:spacing w:beforeLines="0" w:line="400" w:lineRule="exact"/>
        <w:jc w:val="center"/>
        <w:rPr>
          <w:rFonts w:hint="eastAsia" w:ascii="宋体" w:hAnsi="宋体" w:eastAsia="宋体" w:cs="宋体"/>
          <w:b/>
          <w:bCs/>
          <w:color w:val="auto"/>
          <w:sz w:val="36"/>
          <w:szCs w:val="36"/>
          <w:highlight w:val="none"/>
        </w:rPr>
      </w:pPr>
      <w:bookmarkStart w:id="321" w:name="_Toc8407"/>
      <w:bookmarkStart w:id="322" w:name="_Toc13631"/>
      <w:bookmarkStart w:id="323" w:name="_Toc22209"/>
      <w:r>
        <w:rPr>
          <w:rFonts w:hint="eastAsia" w:ascii="宋体" w:hAnsi="宋体" w:eastAsia="宋体" w:cs="宋体"/>
          <w:b/>
          <w:bCs/>
          <w:color w:val="auto"/>
          <w:sz w:val="36"/>
          <w:szCs w:val="36"/>
          <w:highlight w:val="none"/>
        </w:rPr>
        <w:t>第一节 政府采购合同协议书</w:t>
      </w:r>
      <w:bookmarkEnd w:id="321"/>
      <w:bookmarkEnd w:id="322"/>
      <w:bookmarkEnd w:id="323"/>
    </w:p>
    <w:p w14:paraId="65911421">
      <w:pPr>
        <w:pStyle w:val="3"/>
        <w:keepNext/>
        <w:keepLines/>
        <w:pageBreakBefore w:val="0"/>
        <w:widowControl w:val="0"/>
        <w:kinsoku/>
        <w:wordWrap/>
        <w:overflowPunct/>
        <w:topLinePunct w:val="0"/>
        <w:autoSpaceDE/>
        <w:autoSpaceDN/>
        <w:bidi w:val="0"/>
        <w:adjustRightInd w:val="0"/>
        <w:snapToGrid w:val="0"/>
        <w:spacing w:before="140" w:beforeLines="0" w:after="140" w:line="400" w:lineRule="exact"/>
        <w:jc w:val="center"/>
        <w:textAlignment w:val="auto"/>
        <w:rPr>
          <w:rFonts w:hint="eastAsia" w:ascii="黑体" w:hAnsi="华文中宋" w:eastAsia="黑体"/>
          <w:b w:val="0"/>
          <w:bCs w:val="0"/>
          <w:color w:val="auto"/>
          <w:sz w:val="28"/>
          <w:szCs w:val="28"/>
          <w:highlight w:val="none"/>
        </w:rPr>
      </w:pPr>
    </w:p>
    <w:p w14:paraId="7749E471">
      <w:pPr>
        <w:adjustRightInd w:val="0"/>
        <w:snapToGrid w:val="0"/>
        <w:spacing w:before="0" w:beforeLines="0" w:line="400" w:lineRule="exact"/>
        <w:ind w:left="4800" w:hanging="4200" w:hangingChars="20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甲方（全称）：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（采购人</w:t>
      </w:r>
      <w:r>
        <w:rPr>
          <w:rFonts w:hint="eastAsia" w:ascii="宋体" w:hAnsi="宋体" w:eastAsia="宋体" w:cs="宋体"/>
          <w:color w:val="auto"/>
          <w:sz w:val="21"/>
          <w:szCs w:val="21"/>
          <w:highlight w:val="none"/>
          <w:lang w:eastAsia="zh-CN"/>
        </w:rPr>
        <w:t>、受采购人委托签订合同的单位</w:t>
      </w:r>
      <w:r>
        <w:rPr>
          <w:rFonts w:hint="eastAsia" w:ascii="宋体" w:hAnsi="宋体" w:eastAsia="宋体" w:cs="宋体"/>
          <w:color w:val="auto"/>
          <w:sz w:val="21"/>
          <w:szCs w:val="21"/>
          <w:highlight w:val="none"/>
        </w:rPr>
        <w:t>或采购文件约定的合同甲方）</w:t>
      </w:r>
    </w:p>
    <w:p w14:paraId="5F8C6ADE">
      <w:pPr>
        <w:adjustRightInd w:val="0"/>
        <w:snapToGrid w:val="0"/>
        <w:spacing w:before="0" w:beforeLines="0"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（全称）：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（供应商）</w:t>
      </w:r>
    </w:p>
    <w:p w14:paraId="294172C4">
      <w:pPr>
        <w:adjustRightInd w:val="0"/>
        <w:snapToGrid w:val="0"/>
        <w:spacing w:before="0" w:beforeLines="0" w:line="400" w:lineRule="exact"/>
        <w:ind w:left="5040" w:hanging="4410" w:hangingChars="2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乙方2（全称）：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（联合体成员供应商或其他合同主体）（如有）</w:t>
      </w:r>
    </w:p>
    <w:p w14:paraId="5F8DC28B">
      <w:pPr>
        <w:adjustRightInd w:val="0"/>
        <w:snapToGrid w:val="0"/>
        <w:spacing w:before="0" w:beforeLines="0" w:line="400" w:lineRule="exact"/>
        <w:ind w:left="5040" w:hanging="4410" w:hangingChars="2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lang w:val="en-US" w:eastAsia="zh-CN"/>
        </w:rPr>
        <w:t>3（全称）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（联合体成员供应商或其他合同主体）（如有）</w:t>
      </w:r>
    </w:p>
    <w:p w14:paraId="7295A8B9">
      <w:pPr>
        <w:spacing w:beforeLines="0" w:line="400" w:lineRule="exact"/>
        <w:rPr>
          <w:rFonts w:hint="eastAsia" w:ascii="宋体" w:hAnsi="宋体" w:eastAsia="宋体" w:cs="宋体"/>
          <w:color w:val="auto"/>
          <w:sz w:val="21"/>
          <w:szCs w:val="21"/>
          <w:highlight w:val="none"/>
          <w:lang w:val="en-US" w:eastAsia="zh-CN"/>
        </w:rPr>
      </w:pPr>
    </w:p>
    <w:p w14:paraId="73AFFB38">
      <w:pPr>
        <w:pStyle w:val="14"/>
        <w:adjustRightInd w:val="0"/>
        <w:snapToGrid w:val="0"/>
        <w:spacing w:before="0" w:beforeLines="0" w:after="0"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依据《中华人民共和国民法典》</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《中华人民共和国政府采购法》等有关的法律法规，以及</w:t>
      </w:r>
      <w:r>
        <w:rPr>
          <w:rFonts w:hint="eastAsia" w:ascii="宋体" w:hAnsi="宋体" w:eastAsia="宋体" w:cs="宋体"/>
          <w:i w:val="0"/>
          <w:iCs w:val="0"/>
          <w:color w:val="auto"/>
          <w:sz w:val="21"/>
          <w:szCs w:val="21"/>
          <w:highlight w:val="none"/>
          <w:u w:val="none"/>
          <w:lang w:eastAsia="zh-CN"/>
        </w:rPr>
        <w:t>本采购项目</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lang w:eastAsia="zh-CN"/>
        </w:rPr>
        <w:t>招标</w:t>
      </w:r>
      <w:r>
        <w:rPr>
          <w:rFonts w:hint="eastAsia" w:ascii="宋体" w:hAnsi="宋体" w:eastAsia="宋体" w:cs="宋体"/>
          <w:color w:val="auto"/>
          <w:sz w:val="21"/>
          <w:szCs w:val="21"/>
          <w:highlight w:val="none"/>
          <w:lang w:val="en-US" w:eastAsia="zh-CN"/>
        </w:rPr>
        <w:t>/谈判</w:t>
      </w:r>
      <w:r>
        <w:rPr>
          <w:rFonts w:hint="eastAsia" w:ascii="宋体" w:hAnsi="宋体" w:eastAsia="宋体" w:cs="宋体"/>
          <w:color w:val="auto"/>
          <w:sz w:val="21"/>
          <w:szCs w:val="21"/>
          <w:highlight w:val="none"/>
          <w:lang w:eastAsia="zh-CN"/>
        </w:rPr>
        <w:t>文件等</w:t>
      </w:r>
      <w:r>
        <w:rPr>
          <w:rFonts w:hint="eastAsia" w:ascii="宋体" w:hAnsi="宋体" w:eastAsia="宋体" w:cs="宋体"/>
          <w:color w:val="auto"/>
          <w:sz w:val="21"/>
          <w:szCs w:val="21"/>
          <w:highlight w:val="none"/>
        </w:rPr>
        <w:t>采购文件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 xml:space="preserve">乙方的《投标（响应）文件》及《中标（成交）通知书》，甲乙双方同意签订本合同。具体情况及要求如下：     </w:t>
      </w:r>
    </w:p>
    <w:p w14:paraId="2B03533E">
      <w:pPr>
        <w:numPr>
          <w:ilvl w:val="0"/>
          <w:numId w:val="12"/>
        </w:numPr>
        <w:adjustRightInd w:val="0"/>
        <w:snapToGrid w:val="0"/>
        <w:spacing w:before="0" w:beforeLines="0" w:line="40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项目信息</w:t>
      </w:r>
    </w:p>
    <w:p w14:paraId="60DDE6F7">
      <w:pPr>
        <w:pStyle w:val="14"/>
        <w:numPr>
          <w:ilvl w:val="0"/>
          <w:numId w:val="13"/>
        </w:numPr>
        <w:adjustRightInd w:val="0"/>
        <w:snapToGrid w:val="0"/>
        <w:spacing w:before="0" w:beforeLines="0" w:after="0" w:line="400" w:lineRule="exact"/>
        <w:ind w:left="0" w:leftChars="0"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采购项目名称：</w:t>
      </w:r>
      <w:r>
        <w:rPr>
          <w:rFonts w:hint="eastAsia" w:ascii="宋体" w:hAnsi="宋体" w:eastAsia="宋体" w:cs="宋体"/>
          <w:color w:val="auto"/>
          <w:sz w:val="21"/>
          <w:szCs w:val="21"/>
          <w:highlight w:val="none"/>
          <w:u w:val="single"/>
        </w:rPr>
        <w:t xml:space="preserve">                                          </w:t>
      </w:r>
    </w:p>
    <w:p w14:paraId="71185B53">
      <w:pPr>
        <w:pStyle w:val="14"/>
        <w:numPr>
          <w:ilvl w:val="-1"/>
          <w:numId w:val="0"/>
        </w:numPr>
        <w:tabs>
          <w:tab w:val="left" w:pos="999"/>
        </w:tabs>
        <w:adjustRightInd w:val="0"/>
        <w:snapToGrid w:val="0"/>
        <w:spacing w:before="0" w:beforeLines="0" w:after="0" w:line="400" w:lineRule="exact"/>
        <w:ind w:left="0" w:leftChars="0" w:firstLine="0" w:firstLineChars="0"/>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 xml:space="preserve">         采购项目（包）编号：</w:t>
      </w:r>
      <w:r>
        <w:rPr>
          <w:rFonts w:hint="eastAsia" w:ascii="宋体" w:hAnsi="宋体" w:eastAsia="宋体" w:cs="宋体"/>
          <w:color w:val="auto"/>
          <w:sz w:val="21"/>
          <w:szCs w:val="21"/>
          <w:highlight w:val="none"/>
          <w:u w:val="single"/>
        </w:rPr>
        <w:t xml:space="preserve">                                    </w:t>
      </w:r>
    </w:p>
    <w:p w14:paraId="29C2DF94">
      <w:pPr>
        <w:pStyle w:val="14"/>
        <w:adjustRightInd w:val="0"/>
        <w:snapToGrid w:val="0"/>
        <w:spacing w:before="0" w:beforeLines="0" w:after="0"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（2）采购计划编号：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51F91617">
      <w:pPr>
        <w:adjustRightInd w:val="0"/>
        <w:snapToGrid w:val="0"/>
        <w:spacing w:before="0" w:beforeLines="0"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（3）项目内容：</w:t>
      </w:r>
    </w:p>
    <w:p w14:paraId="19BD6A2B">
      <w:pPr>
        <w:adjustRightInd w:val="0"/>
        <w:snapToGrid w:val="0"/>
        <w:spacing w:before="0" w:beforeLines="0" w:line="40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采购标的及数量</w:t>
      </w:r>
      <w:r>
        <w:rPr>
          <w:rFonts w:hint="eastAsia" w:ascii="宋体" w:hAnsi="宋体" w:eastAsia="宋体" w:cs="宋体"/>
          <w:color w:val="auto"/>
          <w:sz w:val="21"/>
          <w:szCs w:val="21"/>
          <w:highlight w:val="none"/>
          <w:lang w:val="en-US" w:eastAsia="zh-CN"/>
        </w:rPr>
        <w:t>（台/套</w:t>
      </w:r>
      <w:r>
        <w:rPr>
          <w:rFonts w:hint="eastAsia" w:ascii="宋体" w:hAnsi="宋体" w:eastAsia="宋体" w:cs="宋体"/>
          <w:color w:val="auto"/>
          <w:sz w:val="21"/>
          <w:szCs w:val="21"/>
          <w:highlight w:val="none"/>
          <w:lang w:val="en" w:eastAsia="zh-CN"/>
        </w:rPr>
        <w:t>/个/架/组等</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 xml:space="preserve"> </w:t>
      </w:r>
    </w:p>
    <w:p w14:paraId="2D253C95">
      <w:pPr>
        <w:numPr>
          <w:ilvl w:val="-1"/>
          <w:numId w:val="0"/>
        </w:numPr>
        <w:adjustRightInd w:val="0"/>
        <w:snapToGrid w:val="0"/>
        <w:spacing w:before="0" w:beforeLines="0" w:line="400" w:lineRule="exact"/>
        <w:ind w:firstLine="420" w:firstLineChars="200"/>
        <w:rPr>
          <w:rFonts w:hint="eastAsia" w:ascii="宋体" w:hAnsi="宋体" w:eastAsia="宋体" w:cs="宋体"/>
          <w:color w:val="auto"/>
          <w:sz w:val="21"/>
          <w:szCs w:val="21"/>
          <w:highlight w:val="none"/>
          <w:lang w:val="en" w:eastAsia="zh-CN"/>
        </w:rPr>
      </w:pPr>
      <w:r>
        <w:rPr>
          <w:rFonts w:hint="eastAsia" w:ascii="宋体" w:hAnsi="宋体" w:eastAsia="宋体" w:cs="宋体"/>
          <w:color w:val="auto"/>
          <w:sz w:val="21"/>
          <w:szCs w:val="21"/>
          <w:highlight w:val="none"/>
          <w:u w:val="none"/>
          <w:lang w:val="en-US" w:eastAsia="zh-CN"/>
        </w:rPr>
        <w:t xml:space="preserve">     </w:t>
      </w:r>
      <w:r>
        <w:rPr>
          <w:rFonts w:hint="eastAsia" w:ascii="宋体" w:hAnsi="宋体" w:eastAsia="宋体" w:cs="宋体"/>
          <w:color w:val="auto"/>
          <w:sz w:val="21"/>
          <w:szCs w:val="21"/>
          <w:highlight w:val="none"/>
          <w:lang w:val="en-US" w:eastAsia="zh-CN"/>
        </w:rPr>
        <w:t>品牌：</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en" w:eastAsia="zh-CN"/>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en" w:eastAsia="zh-CN"/>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 w:eastAsia="zh-CN"/>
        </w:rPr>
        <w:t xml:space="preserve">     </w:t>
      </w:r>
      <w:r>
        <w:rPr>
          <w:rFonts w:hint="eastAsia" w:ascii="宋体" w:hAnsi="宋体" w:eastAsia="宋体" w:cs="宋体"/>
          <w:color w:val="auto"/>
          <w:sz w:val="21"/>
          <w:szCs w:val="21"/>
          <w:highlight w:val="none"/>
          <w:lang w:val="en-US" w:eastAsia="zh-CN"/>
        </w:rPr>
        <w:t>规格型号：</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en" w:eastAsia="zh-CN"/>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en" w:eastAsia="zh-CN"/>
        </w:rPr>
        <w:t xml:space="preserve">   </w:t>
      </w:r>
    </w:p>
    <w:p w14:paraId="0A19BCBE">
      <w:pPr>
        <w:adjustRightInd w:val="0"/>
        <w:snapToGrid w:val="0"/>
        <w:spacing w:before="0" w:beforeLines="0" w:line="400" w:lineRule="exact"/>
        <w:ind w:firstLine="945" w:firstLineChars="45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none"/>
          <w:lang w:val="en-US" w:eastAsia="zh-CN"/>
        </w:rPr>
        <w:t>采购标的的技术要求、商务要求具体见附件。</w:t>
      </w:r>
    </w:p>
    <w:p w14:paraId="1EE9A6FC">
      <w:pPr>
        <w:numPr>
          <w:ilvl w:val="-1"/>
          <w:numId w:val="0"/>
        </w:numPr>
        <w:adjustRightInd w:val="0"/>
        <w:snapToGrid w:val="0"/>
        <w:spacing w:before="0" w:beforeLines="0" w:line="400" w:lineRule="exact"/>
        <w:ind w:firstLine="945" w:firstLineChars="45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①涉及信息类产品，请填写该产品关键部件的品牌、型号：</w:t>
      </w:r>
    </w:p>
    <w:p w14:paraId="105F1076">
      <w:pPr>
        <w:numPr>
          <w:ilvl w:val="-1"/>
          <w:numId w:val="0"/>
        </w:numPr>
        <w:adjustRightInd w:val="0"/>
        <w:snapToGrid w:val="0"/>
        <w:spacing w:before="0" w:beforeLines="0" w:line="400" w:lineRule="exact"/>
        <w:ind w:firstLine="420" w:firstLineChars="200"/>
        <w:rPr>
          <w:rFonts w:hint="eastAsia" w:ascii="宋体" w:hAnsi="宋体" w:eastAsia="宋体" w:cs="宋体"/>
          <w:color w:val="auto"/>
          <w:kern w:val="0"/>
          <w:sz w:val="21"/>
          <w:szCs w:val="21"/>
          <w:highlight w:val="none"/>
          <w:u w:val="single"/>
          <w:lang w:val="en-US" w:eastAsia="zh-CN"/>
        </w:rPr>
      </w:pPr>
      <w:r>
        <w:rPr>
          <w:rFonts w:hint="eastAsia" w:ascii="宋体" w:hAnsi="宋体" w:eastAsia="宋体" w:cs="宋体"/>
          <w:color w:val="auto"/>
          <w:sz w:val="21"/>
          <w:szCs w:val="21"/>
          <w:highlight w:val="none"/>
          <w:lang w:val="en-US" w:eastAsia="zh-CN"/>
        </w:rPr>
        <w:t xml:space="preserve">     标的名称：</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lang w:val="en" w:eastAsia="zh-CN"/>
        </w:rPr>
        <w:t xml:space="preserve">               </w:t>
      </w:r>
      <w:r>
        <w:rPr>
          <w:rFonts w:hint="eastAsia" w:ascii="宋体" w:hAnsi="宋体" w:eastAsia="宋体" w:cs="宋体"/>
          <w:color w:val="auto"/>
          <w:kern w:val="0"/>
          <w:sz w:val="21"/>
          <w:szCs w:val="21"/>
          <w:highlight w:val="none"/>
          <w:u w:val="single"/>
          <w:lang w:val="en-US" w:eastAsia="zh-CN"/>
        </w:rPr>
        <w:t xml:space="preserve">    </w:t>
      </w:r>
    </w:p>
    <w:p w14:paraId="36CCB7D0">
      <w:pPr>
        <w:numPr>
          <w:ilvl w:val="-1"/>
          <w:numId w:val="0"/>
        </w:numPr>
        <w:adjustRightInd w:val="0"/>
        <w:snapToGrid w:val="0"/>
        <w:spacing w:before="0" w:beforeLines="0" w:line="40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关键部件：</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none"/>
          <w:lang w:val="en-US" w:eastAsia="zh-CN"/>
        </w:rPr>
        <w:t xml:space="preserve"> </w:t>
      </w:r>
      <w:r>
        <w:rPr>
          <w:rFonts w:hint="eastAsia" w:ascii="宋体" w:hAnsi="宋体" w:eastAsia="宋体" w:cs="宋体"/>
          <w:color w:val="auto"/>
          <w:sz w:val="21"/>
          <w:szCs w:val="21"/>
          <w:highlight w:val="none"/>
          <w:lang w:val="en-US" w:eastAsia="zh-CN"/>
        </w:rPr>
        <w:t>品牌：</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 xml:space="preserve"> </w:t>
      </w:r>
      <w:r>
        <w:rPr>
          <w:rFonts w:hint="eastAsia" w:ascii="宋体" w:hAnsi="宋体" w:eastAsia="宋体" w:cs="宋体"/>
          <w:color w:val="auto"/>
          <w:sz w:val="21"/>
          <w:szCs w:val="21"/>
          <w:highlight w:val="none"/>
          <w:lang w:val="en-US" w:eastAsia="zh-CN"/>
        </w:rPr>
        <w:t>型号：</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 xml:space="preserve"> </w:t>
      </w:r>
    </w:p>
    <w:p w14:paraId="7FD83092">
      <w:pPr>
        <w:pStyle w:val="36"/>
        <w:spacing w:beforeLine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kern w:val="2"/>
          <w:sz w:val="21"/>
          <w:szCs w:val="21"/>
          <w:highlight w:val="none"/>
          <w:lang w:val="en-US" w:eastAsia="zh-CN"/>
        </w:rPr>
        <w:t>关键部件</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 xml:space="preserve"> </w:t>
      </w:r>
      <w:r>
        <w:rPr>
          <w:rFonts w:hint="eastAsia" w:ascii="宋体" w:hAnsi="宋体" w:eastAsia="宋体" w:cs="宋体"/>
          <w:color w:val="auto"/>
          <w:sz w:val="21"/>
          <w:szCs w:val="21"/>
          <w:highlight w:val="none"/>
          <w:lang w:val="en-US" w:eastAsia="zh-CN"/>
        </w:rPr>
        <w:t>品牌：</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 xml:space="preserve"> </w:t>
      </w:r>
      <w:r>
        <w:rPr>
          <w:rFonts w:hint="eastAsia" w:ascii="宋体" w:hAnsi="宋体" w:eastAsia="宋体" w:cs="宋体"/>
          <w:color w:val="auto"/>
          <w:sz w:val="21"/>
          <w:szCs w:val="21"/>
          <w:highlight w:val="none"/>
          <w:lang w:val="en-US" w:eastAsia="zh-CN"/>
        </w:rPr>
        <w:t>型号：</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 xml:space="preserve"> </w:t>
      </w:r>
    </w:p>
    <w:p w14:paraId="0349841B">
      <w:pPr>
        <w:pStyle w:val="36"/>
        <w:spacing w:beforeLine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关键部件：</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 xml:space="preserve"> </w:t>
      </w:r>
      <w:r>
        <w:rPr>
          <w:rFonts w:hint="eastAsia" w:ascii="宋体" w:hAnsi="宋体" w:eastAsia="宋体" w:cs="宋体"/>
          <w:color w:val="auto"/>
          <w:sz w:val="21"/>
          <w:szCs w:val="21"/>
          <w:highlight w:val="none"/>
          <w:lang w:val="en-US" w:eastAsia="zh-CN"/>
        </w:rPr>
        <w:t>品牌：</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 xml:space="preserve"> </w:t>
      </w:r>
      <w:r>
        <w:rPr>
          <w:rFonts w:hint="eastAsia" w:ascii="宋体" w:hAnsi="宋体" w:eastAsia="宋体" w:cs="宋体"/>
          <w:color w:val="auto"/>
          <w:sz w:val="21"/>
          <w:szCs w:val="21"/>
          <w:highlight w:val="none"/>
          <w:lang w:val="en-US" w:eastAsia="zh-CN"/>
        </w:rPr>
        <w:t>型号：</w:t>
      </w:r>
      <w:r>
        <w:rPr>
          <w:rFonts w:hint="eastAsia" w:ascii="宋体" w:hAnsi="宋体" w:eastAsia="宋体" w:cs="宋体"/>
          <w:color w:val="auto"/>
          <w:sz w:val="21"/>
          <w:szCs w:val="21"/>
          <w:highlight w:val="none"/>
          <w:u w:val="single"/>
          <w:lang w:val="en-US" w:eastAsia="zh-CN"/>
        </w:rPr>
        <w:t xml:space="preserve">       </w:t>
      </w:r>
    </w:p>
    <w:p w14:paraId="35222B95">
      <w:pPr>
        <w:pStyle w:val="36"/>
        <w:numPr>
          <w:ilvl w:val="-1"/>
          <w:numId w:val="0"/>
        </w:numPr>
        <w:adjustRightInd w:val="0"/>
        <w:snapToGrid w:val="0"/>
        <w:spacing w:before="0" w:beforeLines="0" w:line="400" w:lineRule="exact"/>
        <w:ind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（注：关键部件是指财政部会同有关部门发布的政府采购需求标准规定的需要通过国家有关部门指定的测评机构开展的安全可靠测评的软硬件，如CPU芯片、操作系统、数据库等。）</w:t>
      </w:r>
    </w:p>
    <w:p w14:paraId="4535AD96">
      <w:pPr>
        <w:pStyle w:val="36"/>
        <w:numPr>
          <w:ilvl w:val="-1"/>
          <w:numId w:val="0"/>
        </w:numPr>
        <w:adjustRightInd w:val="0"/>
        <w:snapToGrid w:val="0"/>
        <w:spacing w:before="0" w:beforeLines="0" w:line="400" w:lineRule="exact"/>
        <w:ind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②涉及车辆采购，请填写是否属于新能源汽车：</w:t>
      </w:r>
    </w:p>
    <w:p w14:paraId="27BCD974">
      <w:pPr>
        <w:pStyle w:val="36"/>
        <w:numPr>
          <w:ilvl w:val="-1"/>
          <w:numId w:val="0"/>
        </w:numPr>
        <w:adjustRightInd w:val="0"/>
        <w:snapToGrid w:val="0"/>
        <w:spacing w:before="0" w:beforeLines="0" w:line="400" w:lineRule="exact"/>
        <w:ind w:firstLine="0" w:firstLineChars="0"/>
        <w:rPr>
          <w:rFonts w:hint="eastAsia" w:ascii="宋体" w:hAnsi="宋体" w:eastAsia="宋体" w:cs="宋体"/>
          <w:iCs w:val="0"/>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rPr>
        <w:t>是</w:t>
      </w:r>
      <w:r>
        <w:rPr>
          <w:rFonts w:hint="eastAsia" w:ascii="宋体" w:hAnsi="宋体" w:eastAsia="宋体" w:cs="宋体"/>
          <w:iCs w:val="0"/>
          <w:color w:val="auto"/>
          <w:sz w:val="21"/>
          <w:szCs w:val="21"/>
          <w:highlight w:val="none"/>
          <w:lang w:eastAsia="zh-CN"/>
        </w:rPr>
        <w:t>，《政府采购品目分类目录》底级品目名称</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 xml:space="preserve"> 数量：</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 xml:space="preserve"> 金额：</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iCs w:val="0"/>
          <w:color w:val="auto"/>
          <w:sz w:val="21"/>
          <w:szCs w:val="21"/>
          <w:highlight w:val="none"/>
          <w:lang w:val="en-US" w:eastAsia="zh-CN"/>
        </w:rPr>
        <w:t xml:space="preserve"> </w:t>
      </w:r>
    </w:p>
    <w:p w14:paraId="58C18C71">
      <w:pPr>
        <w:pStyle w:val="36"/>
        <w:numPr>
          <w:ilvl w:val="-1"/>
          <w:numId w:val="0"/>
        </w:numPr>
        <w:adjustRightInd w:val="0"/>
        <w:snapToGrid w:val="0"/>
        <w:spacing w:before="0" w:beforeLines="0" w:line="400" w:lineRule="exact"/>
        <w:ind w:firstLine="0" w:firstLineChars="0"/>
        <w:rPr>
          <w:rFonts w:hint="eastAsia" w:ascii="宋体" w:hAnsi="宋体" w:eastAsia="宋体" w:cs="宋体"/>
          <w:iCs w:val="0"/>
          <w:color w:val="auto"/>
          <w:sz w:val="21"/>
          <w:szCs w:val="21"/>
          <w:highlight w:val="none"/>
          <w:lang w:eastAsia="zh-CN"/>
        </w:rPr>
      </w:pPr>
      <w:r>
        <w:rPr>
          <w:rFonts w:hint="eastAsia" w:ascii="宋体" w:hAnsi="宋体" w:eastAsia="宋体" w:cs="宋体"/>
          <w:iCs w:val="0"/>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eastAsia="zh-CN"/>
        </w:rPr>
        <w:t>否</w:t>
      </w:r>
    </w:p>
    <w:p w14:paraId="3301B3DD">
      <w:pPr>
        <w:pStyle w:val="36"/>
        <w:numPr>
          <w:ilvl w:val="-1"/>
          <w:numId w:val="0"/>
        </w:numPr>
        <w:adjustRightInd w:val="0"/>
        <w:snapToGrid w:val="0"/>
        <w:spacing w:before="0" w:beforeLines="0" w:line="400" w:lineRule="exact"/>
        <w:ind w:left="0" w:firstLine="0" w:firstLineChars="0"/>
        <w:rPr>
          <w:rFonts w:hint="eastAsia" w:ascii="宋体" w:hAnsi="宋体" w:eastAsia="宋体" w:cs="宋体"/>
          <w:iCs w:val="0"/>
          <w:color w:val="auto"/>
          <w:sz w:val="21"/>
          <w:szCs w:val="21"/>
          <w:highlight w:val="none"/>
          <w:lang w:val="en-US" w:eastAsia="zh-CN"/>
        </w:rPr>
      </w:pPr>
      <w:r>
        <w:rPr>
          <w:rFonts w:hint="eastAsia" w:ascii="宋体" w:hAnsi="宋体" w:eastAsia="宋体" w:cs="宋体"/>
          <w:iCs w:val="0"/>
          <w:color w:val="auto"/>
          <w:sz w:val="21"/>
          <w:szCs w:val="21"/>
          <w:highlight w:val="none"/>
          <w:lang w:val="en-US" w:eastAsia="zh-CN"/>
        </w:rPr>
        <w:t xml:space="preserve">    （</w:t>
      </w:r>
      <w:r>
        <w:rPr>
          <w:rFonts w:hint="eastAsia" w:ascii="宋体" w:hAnsi="宋体" w:eastAsia="宋体" w:cs="宋体"/>
          <w:iCs w:val="0"/>
          <w:color w:val="auto"/>
          <w:sz w:val="21"/>
          <w:szCs w:val="21"/>
          <w:highlight w:val="none"/>
          <w:lang w:val="en" w:eastAsia="zh-CN"/>
        </w:rPr>
        <w:t>4</w:t>
      </w:r>
      <w:r>
        <w:rPr>
          <w:rFonts w:hint="eastAsia" w:ascii="宋体" w:hAnsi="宋体" w:eastAsia="宋体" w:cs="宋体"/>
          <w:iCs w:val="0"/>
          <w:color w:val="auto"/>
          <w:sz w:val="21"/>
          <w:szCs w:val="21"/>
          <w:highlight w:val="none"/>
          <w:lang w:val="en-US" w:eastAsia="zh-CN"/>
        </w:rPr>
        <w:t>）政府采购组织形式：</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eastAsia="zh-CN"/>
        </w:rPr>
        <w:t>政府集中采购</w:t>
      </w:r>
      <w:r>
        <w:rPr>
          <w:rFonts w:hint="eastAsia" w:ascii="宋体" w:hAnsi="宋体" w:eastAsia="宋体" w:cs="宋体"/>
          <w:iCs w:val="0"/>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val="en-US" w:eastAsia="zh-CN"/>
        </w:rPr>
        <w:t xml:space="preserve">部门集中采购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val="en-US" w:eastAsia="zh-CN"/>
        </w:rPr>
        <w:t>分散采购</w:t>
      </w:r>
    </w:p>
    <w:p w14:paraId="51033CAD">
      <w:pPr>
        <w:pStyle w:val="36"/>
        <w:numPr>
          <w:ilvl w:val="-1"/>
          <w:numId w:val="0"/>
        </w:numPr>
        <w:adjustRightInd w:val="0"/>
        <w:snapToGrid w:val="0"/>
        <w:spacing w:before="0" w:beforeLines="0" w:line="400" w:lineRule="exact"/>
        <w:ind w:left="0" w:firstLine="420" w:firstLineChars="0"/>
        <w:rPr>
          <w:rFonts w:hint="eastAsia" w:ascii="宋体" w:hAnsi="宋体" w:eastAsia="宋体" w:cs="宋体"/>
          <w:iCs w:val="0"/>
          <w:color w:val="auto"/>
          <w:sz w:val="21"/>
          <w:szCs w:val="21"/>
          <w:highlight w:val="none"/>
          <w:lang w:eastAsia="zh-CN"/>
        </w:rPr>
      </w:pPr>
      <w:r>
        <w:rPr>
          <w:rFonts w:hint="eastAsia" w:ascii="宋体" w:hAnsi="宋体" w:eastAsia="宋体" w:cs="宋体"/>
          <w:iCs w:val="0"/>
          <w:color w:val="auto"/>
          <w:sz w:val="21"/>
          <w:szCs w:val="21"/>
          <w:highlight w:val="none"/>
          <w:lang w:val="en-US" w:eastAsia="zh-CN"/>
        </w:rPr>
        <w:t>（</w:t>
      </w:r>
      <w:r>
        <w:rPr>
          <w:rFonts w:hint="eastAsia" w:ascii="宋体" w:hAnsi="宋体" w:eastAsia="宋体" w:cs="宋体"/>
          <w:iCs w:val="0"/>
          <w:color w:val="auto"/>
          <w:sz w:val="21"/>
          <w:szCs w:val="21"/>
          <w:highlight w:val="none"/>
          <w:lang w:val="en" w:eastAsia="zh-CN"/>
        </w:rPr>
        <w:t>5</w:t>
      </w:r>
      <w:r>
        <w:rPr>
          <w:rFonts w:hint="eastAsia" w:ascii="宋体" w:hAnsi="宋体" w:eastAsia="宋体" w:cs="宋体"/>
          <w:iCs w:val="0"/>
          <w:color w:val="auto"/>
          <w:sz w:val="21"/>
          <w:szCs w:val="21"/>
          <w:highlight w:val="none"/>
          <w:lang w:val="en-US" w:eastAsia="zh-CN"/>
        </w:rPr>
        <w:t>）政府采购方式：</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eastAsia="zh-CN"/>
        </w:rPr>
        <w:t>公开招标</w:t>
      </w:r>
      <w:r>
        <w:rPr>
          <w:rFonts w:hint="eastAsia" w:ascii="宋体" w:hAnsi="宋体" w:eastAsia="宋体" w:cs="宋体"/>
          <w:iCs w:val="0"/>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eastAsia="zh-CN"/>
        </w:rPr>
        <w:t>邀请招标</w:t>
      </w:r>
      <w:r>
        <w:rPr>
          <w:rFonts w:hint="eastAsia" w:ascii="宋体" w:hAnsi="宋体" w:eastAsia="宋体" w:cs="宋体"/>
          <w:iCs w:val="0"/>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eastAsia="zh-CN"/>
        </w:rPr>
        <w:t>竞争性谈判</w:t>
      </w:r>
      <w:r>
        <w:rPr>
          <w:rFonts w:hint="eastAsia" w:ascii="宋体" w:hAnsi="宋体" w:eastAsia="宋体" w:cs="宋体"/>
          <w:iCs w:val="0"/>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eastAsia="zh-CN"/>
        </w:rPr>
        <w:t>竞争性磋商</w:t>
      </w:r>
    </w:p>
    <w:p w14:paraId="7B1D1C5B">
      <w:pPr>
        <w:pStyle w:val="36"/>
        <w:numPr>
          <w:ilvl w:val="-1"/>
          <w:numId w:val="0"/>
        </w:numPr>
        <w:adjustRightInd w:val="0"/>
        <w:snapToGrid w:val="0"/>
        <w:spacing w:before="0" w:beforeLines="0" w:line="400" w:lineRule="exact"/>
        <w:ind w:left="0" w:firstLine="420" w:firstLineChars="0"/>
        <w:rPr>
          <w:rFonts w:hint="eastAsia" w:ascii="宋体" w:hAnsi="宋体" w:eastAsia="宋体" w:cs="宋体"/>
          <w:iCs w:val="0"/>
          <w:color w:val="auto"/>
          <w:sz w:val="21"/>
          <w:szCs w:val="21"/>
          <w:highlight w:val="none"/>
          <w:u w:val="single"/>
          <w:lang w:val="en-US" w:eastAsia="zh-CN"/>
        </w:rPr>
      </w:pPr>
      <w:r>
        <w:rPr>
          <w:rFonts w:hint="eastAsia" w:ascii="宋体" w:hAnsi="宋体" w:eastAsia="宋体" w:cs="宋体"/>
          <w:color w:val="auto"/>
          <w:sz w:val="21"/>
          <w:szCs w:val="21"/>
          <w:highlight w:val="none"/>
          <w:u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eastAsia="zh-CN"/>
        </w:rPr>
        <w:t>询价</w:t>
      </w:r>
      <w:r>
        <w:rPr>
          <w:rFonts w:hint="eastAsia" w:ascii="宋体" w:hAnsi="宋体" w:eastAsia="宋体" w:cs="宋体"/>
          <w:iCs w:val="0"/>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eastAsia="zh-CN"/>
        </w:rPr>
        <w:t>单一来源</w:t>
      </w:r>
      <w:r>
        <w:rPr>
          <w:rFonts w:hint="eastAsia" w:ascii="宋体" w:hAnsi="宋体" w:eastAsia="宋体" w:cs="宋体"/>
          <w:iCs w:val="0"/>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eastAsia="zh-CN"/>
        </w:rPr>
        <w:t>框架协议</w:t>
      </w:r>
      <w:r>
        <w:rPr>
          <w:rFonts w:hint="eastAsia" w:ascii="宋体" w:hAnsi="宋体" w:eastAsia="宋体" w:cs="宋体"/>
          <w:iCs w:val="0"/>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eastAsia="zh-CN"/>
        </w:rPr>
        <w:t>其他：</w:t>
      </w:r>
      <w:r>
        <w:rPr>
          <w:rFonts w:hint="eastAsia" w:ascii="宋体" w:hAnsi="宋体" w:eastAsia="宋体" w:cs="宋体"/>
          <w:iCs w:val="0"/>
          <w:color w:val="auto"/>
          <w:sz w:val="21"/>
          <w:szCs w:val="21"/>
          <w:highlight w:val="none"/>
          <w:u w:val="single"/>
          <w:lang w:val="en-US" w:eastAsia="zh-CN"/>
        </w:rPr>
        <w:t xml:space="preserve">          </w:t>
      </w:r>
    </w:p>
    <w:p w14:paraId="556B6728">
      <w:pPr>
        <w:pStyle w:val="36"/>
        <w:numPr>
          <w:ilvl w:val="-1"/>
          <w:numId w:val="0"/>
        </w:numPr>
        <w:adjustRightInd w:val="0"/>
        <w:snapToGrid w:val="0"/>
        <w:spacing w:before="0" w:beforeLines="0" w:line="400" w:lineRule="exact"/>
        <w:ind w:left="0" w:firstLine="420" w:firstLineChars="0"/>
        <w:rPr>
          <w:rFonts w:hint="eastAsia" w:ascii="宋体" w:hAnsi="宋体" w:eastAsia="宋体" w:cs="宋体"/>
          <w:iCs w:val="0"/>
          <w:color w:val="auto"/>
          <w:sz w:val="21"/>
          <w:szCs w:val="21"/>
          <w:highlight w:val="none"/>
          <w:u w:val="none"/>
          <w:lang w:val="en-US" w:eastAsia="zh-CN"/>
        </w:rPr>
      </w:pPr>
      <w:r>
        <w:rPr>
          <w:rFonts w:hint="eastAsia" w:ascii="宋体" w:hAnsi="宋体" w:eastAsia="宋体" w:cs="宋体"/>
          <w:iCs w:val="0"/>
          <w:color w:val="auto"/>
          <w:sz w:val="21"/>
          <w:szCs w:val="21"/>
          <w:highlight w:val="none"/>
          <w:u w:val="none"/>
          <w:lang w:val="en-US" w:eastAsia="zh-CN"/>
        </w:rPr>
        <w:t>（注：在框架协议采购的第二阶段，可选择使用该合同文本）</w:t>
      </w:r>
    </w:p>
    <w:p w14:paraId="1636898B">
      <w:pPr>
        <w:pStyle w:val="36"/>
        <w:numPr>
          <w:ilvl w:val="-1"/>
          <w:numId w:val="0"/>
        </w:numPr>
        <w:adjustRightInd w:val="0"/>
        <w:snapToGrid w:val="0"/>
        <w:spacing w:before="0" w:beforeLines="0" w:line="400" w:lineRule="exact"/>
        <w:ind w:firstLine="210" w:firstLineChars="100"/>
        <w:rPr>
          <w:rFonts w:hint="eastAsia" w:ascii="宋体" w:hAnsi="宋体" w:eastAsia="宋体" w:cs="宋体"/>
          <w:color w:val="auto"/>
          <w:w w:val="100"/>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en" w:eastAsia="zh-CN"/>
        </w:rPr>
        <w:t>6</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w w:val="100"/>
          <w:kern w:val="2"/>
          <w:sz w:val="21"/>
          <w:szCs w:val="21"/>
          <w:highlight w:val="none"/>
          <w:lang w:val="en-US" w:eastAsia="zh-CN" w:bidi="ar-SA"/>
        </w:rPr>
        <w:t>中标（成交）采购标的制造商是否为中小企业：</w:t>
      </w:r>
      <w:r>
        <w:rPr>
          <w:rFonts w:hint="eastAsia" w:ascii="宋体" w:hAnsi="宋体" w:eastAsia="宋体" w:cs="宋体"/>
          <w:color w:val="auto"/>
          <w:w w:val="100"/>
          <w:kern w:val="2"/>
          <w:sz w:val="21"/>
          <w:szCs w:val="21"/>
          <w:highlight w:val="none"/>
          <w:lang w:val="en-US" w:eastAsia="zh-CN" w:bidi="ar-SA"/>
        </w:rPr>
        <w:sym w:font="Wingdings" w:char="00A8"/>
      </w:r>
      <w:r>
        <w:rPr>
          <w:rFonts w:hint="eastAsia" w:ascii="宋体" w:hAnsi="宋体" w:eastAsia="宋体" w:cs="宋体"/>
          <w:color w:val="auto"/>
          <w:w w:val="100"/>
          <w:kern w:val="2"/>
          <w:sz w:val="21"/>
          <w:szCs w:val="21"/>
          <w:highlight w:val="none"/>
          <w:lang w:val="en-US" w:eastAsia="zh-CN" w:bidi="ar-SA"/>
        </w:rPr>
        <w:t xml:space="preserve">是      </w:t>
      </w:r>
      <w:r>
        <w:rPr>
          <w:rFonts w:hint="eastAsia" w:ascii="宋体" w:hAnsi="宋体" w:eastAsia="宋体" w:cs="宋体"/>
          <w:color w:val="auto"/>
          <w:w w:val="100"/>
          <w:kern w:val="2"/>
          <w:sz w:val="21"/>
          <w:szCs w:val="21"/>
          <w:highlight w:val="none"/>
          <w:lang w:val="en-US" w:eastAsia="zh-CN" w:bidi="ar-SA"/>
        </w:rPr>
        <w:sym w:font="Wingdings" w:char="00A8"/>
      </w:r>
      <w:r>
        <w:rPr>
          <w:rFonts w:hint="eastAsia" w:ascii="宋体" w:hAnsi="宋体" w:eastAsia="宋体" w:cs="宋体"/>
          <w:color w:val="auto"/>
          <w:w w:val="100"/>
          <w:kern w:val="2"/>
          <w:sz w:val="21"/>
          <w:szCs w:val="21"/>
          <w:highlight w:val="none"/>
          <w:lang w:val="en-US" w:eastAsia="zh-CN" w:bidi="ar-SA"/>
        </w:rPr>
        <w:t>否</w:t>
      </w:r>
    </w:p>
    <w:p w14:paraId="61FB4A07">
      <w:pPr>
        <w:numPr>
          <w:ilvl w:val="-1"/>
          <w:numId w:val="0"/>
        </w:numPr>
        <w:adjustRightInd w:val="0"/>
        <w:snapToGrid w:val="0"/>
        <w:spacing w:before="0" w:beforeLines="0" w:line="400" w:lineRule="exact"/>
        <w:ind w:left="0" w:leftChars="0" w:firstLine="0" w:firstLineChars="0"/>
        <w:rPr>
          <w:rFonts w:hint="eastAsia" w:ascii="宋体" w:hAnsi="宋体" w:eastAsia="宋体" w:cs="宋体"/>
          <w:iCs/>
          <w:color w:val="auto"/>
          <w:sz w:val="21"/>
          <w:szCs w:val="21"/>
          <w:highlight w:val="none"/>
        </w:rPr>
      </w:pPr>
      <w:r>
        <w:rPr>
          <w:rFonts w:hint="eastAsia" w:ascii="宋体" w:hAnsi="宋体" w:eastAsia="宋体" w:cs="宋体"/>
          <w:color w:val="auto"/>
          <w:w w:val="100"/>
          <w:sz w:val="21"/>
          <w:szCs w:val="21"/>
          <w:highlight w:val="none"/>
          <w:lang w:val="en-US" w:eastAsia="zh-CN"/>
        </w:rPr>
        <w:t xml:space="preserve">         本合同</w:t>
      </w:r>
      <w:r>
        <w:rPr>
          <w:rFonts w:hint="eastAsia" w:ascii="宋体" w:hAnsi="宋体" w:eastAsia="宋体" w:cs="宋体"/>
          <w:color w:val="auto"/>
          <w:w w:val="100"/>
          <w:sz w:val="21"/>
          <w:szCs w:val="21"/>
          <w:highlight w:val="none"/>
        </w:rPr>
        <w:t>是否</w:t>
      </w:r>
      <w:r>
        <w:rPr>
          <w:rFonts w:hint="eastAsia" w:ascii="宋体" w:hAnsi="宋体" w:eastAsia="宋体" w:cs="宋体"/>
          <w:color w:val="auto"/>
          <w:w w:val="100"/>
          <w:sz w:val="21"/>
          <w:szCs w:val="21"/>
          <w:highlight w:val="none"/>
          <w:lang w:eastAsia="zh-CN"/>
        </w:rPr>
        <w:t>为专门面向</w:t>
      </w:r>
      <w:r>
        <w:rPr>
          <w:rFonts w:hint="eastAsia" w:ascii="宋体" w:hAnsi="宋体" w:eastAsia="宋体" w:cs="宋体"/>
          <w:color w:val="auto"/>
          <w:w w:val="100"/>
          <w:sz w:val="21"/>
          <w:szCs w:val="21"/>
          <w:highlight w:val="none"/>
        </w:rPr>
        <w:t>中小企业</w:t>
      </w:r>
      <w:r>
        <w:rPr>
          <w:rFonts w:hint="eastAsia" w:ascii="宋体" w:hAnsi="宋体" w:eastAsia="宋体" w:cs="宋体"/>
          <w:color w:val="auto"/>
          <w:w w:val="100"/>
          <w:sz w:val="21"/>
          <w:szCs w:val="21"/>
          <w:highlight w:val="none"/>
          <w:lang w:eastAsia="zh-CN"/>
        </w:rPr>
        <w:t>的采</w:t>
      </w:r>
      <w:r>
        <w:rPr>
          <w:rFonts w:hint="eastAsia" w:ascii="宋体" w:hAnsi="宋体" w:eastAsia="宋体" w:cs="宋体"/>
          <w:color w:val="auto"/>
          <w:w w:val="100"/>
          <w:sz w:val="21"/>
          <w:szCs w:val="21"/>
          <w:highlight w:val="none"/>
          <w:shd w:val="clear"/>
          <w:lang w:eastAsia="zh-CN"/>
        </w:rPr>
        <w:t>购</w:t>
      </w:r>
      <w:r>
        <w:rPr>
          <w:rFonts w:hint="eastAsia" w:ascii="宋体" w:hAnsi="宋体" w:eastAsia="宋体" w:cs="宋体"/>
          <w:color w:val="auto"/>
          <w:w w:val="100"/>
          <w:sz w:val="21"/>
          <w:szCs w:val="21"/>
          <w:highlight w:val="none"/>
          <w:shd w:val="clear"/>
        </w:rPr>
        <w:t>合同</w:t>
      </w:r>
      <w:r>
        <w:rPr>
          <w:rFonts w:hint="eastAsia" w:ascii="宋体" w:hAnsi="宋体" w:eastAsia="宋体" w:cs="宋体"/>
          <w:color w:val="auto"/>
          <w:w w:val="100"/>
          <w:sz w:val="21"/>
          <w:szCs w:val="21"/>
          <w:highlight w:val="none"/>
          <w:shd w:val="clear"/>
          <w:lang w:eastAsia="zh-CN"/>
        </w:rPr>
        <w:t>（中小企业预留合同）</w:t>
      </w:r>
      <w:r>
        <w:rPr>
          <w:rFonts w:hint="eastAsia" w:ascii="宋体" w:hAnsi="宋体" w:eastAsia="宋体" w:cs="宋体"/>
          <w:color w:val="auto"/>
          <w:sz w:val="21"/>
          <w:szCs w:val="21"/>
          <w:highlight w:val="none"/>
          <w:shd w:val="clear"/>
        </w:rPr>
        <w:t>：</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rPr>
        <w:t xml:space="preserve">是 </w:t>
      </w:r>
      <w:r>
        <w:rPr>
          <w:rFonts w:hint="eastAsia" w:ascii="宋体" w:hAnsi="宋体" w:eastAsia="宋体" w:cs="宋体"/>
          <w:iCs/>
          <w:color w:val="auto"/>
          <w:sz w:val="21"/>
          <w:szCs w:val="21"/>
          <w:highlight w:val="none"/>
          <w:lang w:val="en-US" w:eastAsia="zh-CN"/>
        </w:rPr>
        <w:t xml:space="preserve">  </w:t>
      </w:r>
      <w:r>
        <w:rPr>
          <w:rFonts w:hint="eastAsia" w:ascii="宋体" w:hAnsi="宋体" w:eastAsia="宋体" w:cs="宋体"/>
          <w:iCs/>
          <w:color w:val="auto"/>
          <w:sz w:val="21"/>
          <w:szCs w:val="21"/>
          <w:highlight w:val="none"/>
        </w:rPr>
        <w:t xml:space="preserve">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rPr>
        <w:t>否</w:t>
      </w:r>
    </w:p>
    <w:p w14:paraId="636EFF63">
      <w:pPr>
        <w:numPr>
          <w:ilvl w:val="-1"/>
          <w:numId w:val="0"/>
        </w:numPr>
        <w:adjustRightInd w:val="0"/>
        <w:snapToGrid w:val="0"/>
        <w:spacing w:before="0" w:beforeLines="0" w:line="400" w:lineRule="exact"/>
        <w:ind w:firstLine="0" w:firstLineChars="0"/>
        <w:rPr>
          <w:rFonts w:hint="eastAsia" w:ascii="宋体" w:hAnsi="宋体" w:eastAsia="宋体" w:cs="宋体"/>
          <w:iCs/>
          <w:color w:val="auto"/>
          <w:sz w:val="21"/>
          <w:szCs w:val="21"/>
          <w:highlight w:val="none"/>
        </w:rPr>
      </w:pPr>
      <w:r>
        <w:rPr>
          <w:rFonts w:hint="eastAsia" w:ascii="宋体" w:hAnsi="宋体" w:eastAsia="宋体" w:cs="宋体"/>
          <w:color w:val="auto"/>
          <w:sz w:val="21"/>
          <w:szCs w:val="21"/>
          <w:highlight w:val="none"/>
          <w:lang w:val="en-US" w:eastAsia="zh-CN"/>
        </w:rPr>
        <w:t xml:space="preserve">         若本项目不专门面向中小企业采购，是否给予小微企业评审优惠：</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rPr>
        <w:t xml:space="preserve">是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rPr>
        <w:t>否</w:t>
      </w:r>
    </w:p>
    <w:p w14:paraId="29E43A75">
      <w:pPr>
        <w:numPr>
          <w:ilvl w:val="-1"/>
          <w:numId w:val="0"/>
        </w:numPr>
        <w:adjustRightInd w:val="0"/>
        <w:snapToGrid w:val="0"/>
        <w:spacing w:before="0" w:beforeLines="0" w:line="400" w:lineRule="exact"/>
        <w:ind w:firstLine="0" w:firstLineChars="0"/>
        <w:rPr>
          <w:rFonts w:hint="eastAsia" w:ascii="宋体" w:hAnsi="宋体" w:eastAsia="宋体" w:cs="宋体"/>
          <w:iCs/>
          <w:color w:val="auto"/>
          <w:sz w:val="21"/>
          <w:szCs w:val="21"/>
          <w:highlight w:val="none"/>
        </w:rPr>
      </w:pPr>
      <w:r>
        <w:rPr>
          <w:rFonts w:hint="eastAsia" w:ascii="宋体" w:hAnsi="宋体" w:eastAsia="宋体" w:cs="宋体"/>
          <w:color w:val="auto"/>
          <w:sz w:val="21"/>
          <w:szCs w:val="21"/>
          <w:highlight w:val="none"/>
          <w:lang w:val="en-US" w:eastAsia="zh-CN"/>
        </w:rPr>
        <w:t xml:space="preserve">         中标（成交）采购标的制造商是否为残疾人福利性单位：</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rPr>
        <w:t xml:space="preserve">是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rPr>
        <w:t>否</w:t>
      </w:r>
    </w:p>
    <w:p w14:paraId="0B497E98">
      <w:pPr>
        <w:numPr>
          <w:ilvl w:val="0"/>
          <w:numId w:val="0"/>
        </w:numPr>
        <w:snapToGrid w:val="0"/>
        <w:spacing w:beforeLines="0" w:line="400" w:lineRule="exact"/>
        <w:ind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中标（成交）采购标的制造商是否为监狱企业：</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rPr>
        <w:t xml:space="preserve">是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rPr>
        <w:t>否</w:t>
      </w:r>
    </w:p>
    <w:p w14:paraId="3BCD1D71">
      <w:pPr>
        <w:adjustRightInd w:val="0"/>
        <w:snapToGrid w:val="0"/>
        <w:spacing w:before="0" w:beforeLines="0"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 w:eastAsia="zh-CN"/>
        </w:rPr>
        <w:t>7</w:t>
      </w:r>
      <w:r>
        <w:rPr>
          <w:rFonts w:hint="eastAsia" w:ascii="宋体" w:hAnsi="宋体" w:eastAsia="宋体" w:cs="宋体"/>
          <w:color w:val="auto"/>
          <w:sz w:val="21"/>
          <w:szCs w:val="21"/>
          <w:highlight w:val="none"/>
        </w:rPr>
        <w:t>）合同是否分包：</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rPr>
        <w:t xml:space="preserve">是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rPr>
        <w:t>否</w:t>
      </w:r>
    </w:p>
    <w:p w14:paraId="6C603DBA">
      <w:pPr>
        <w:adjustRightInd w:val="0"/>
        <w:snapToGrid w:val="0"/>
        <w:spacing w:before="0" w:beforeLines="0" w:line="400" w:lineRule="exact"/>
        <w:ind w:firstLine="840" w:firstLineChars="4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分包主要内容：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p w14:paraId="742AEBBC">
      <w:pPr>
        <w:adjustRightInd w:val="0"/>
        <w:snapToGrid w:val="0"/>
        <w:spacing w:before="0" w:beforeLines="0" w:line="400" w:lineRule="exact"/>
        <w:ind w:firstLine="840" w:firstLineChars="4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none"/>
          <w:lang w:val="en-US" w:eastAsia="zh-CN"/>
        </w:rPr>
        <w:t xml:space="preserve"> </w:t>
      </w:r>
      <w:r>
        <w:rPr>
          <w:rFonts w:hint="eastAsia" w:ascii="宋体" w:hAnsi="宋体" w:eastAsia="宋体" w:cs="宋体"/>
          <w:color w:val="auto"/>
          <w:sz w:val="21"/>
          <w:szCs w:val="21"/>
          <w:highlight w:val="none"/>
        </w:rPr>
        <w:t>分包供应商</w:t>
      </w:r>
      <w:r>
        <w:rPr>
          <w:rFonts w:hint="eastAsia" w:ascii="宋体" w:hAnsi="宋体" w:eastAsia="宋体" w:cs="宋体"/>
          <w:color w:val="auto"/>
          <w:sz w:val="21"/>
          <w:szCs w:val="21"/>
          <w:highlight w:val="none"/>
          <w:lang w:eastAsia="zh-CN"/>
        </w:rPr>
        <w:t>/制造商</w:t>
      </w:r>
      <w:r>
        <w:rPr>
          <w:rFonts w:hint="eastAsia" w:ascii="宋体" w:hAnsi="宋体" w:eastAsia="宋体" w:cs="宋体"/>
          <w:color w:val="auto"/>
          <w:sz w:val="21"/>
          <w:szCs w:val="21"/>
          <w:highlight w:val="none"/>
        </w:rPr>
        <w:t>名称</w:t>
      </w:r>
      <w:r>
        <w:rPr>
          <w:rFonts w:hint="eastAsia" w:ascii="宋体" w:hAnsi="宋体" w:eastAsia="宋体" w:cs="宋体"/>
          <w:color w:val="auto"/>
          <w:sz w:val="21"/>
          <w:szCs w:val="21"/>
          <w:highlight w:val="none"/>
          <w:lang w:eastAsia="zh-CN"/>
        </w:rPr>
        <w:t>（如供应商和制造商不同，请分别填写）</w:t>
      </w:r>
      <w:r>
        <w:rPr>
          <w:rFonts w:hint="eastAsia" w:ascii="宋体" w:hAnsi="宋体" w:eastAsia="宋体" w:cs="宋体"/>
          <w:color w:val="auto"/>
          <w:sz w:val="21"/>
          <w:szCs w:val="21"/>
          <w:highlight w:val="none"/>
        </w:rPr>
        <w:t>：</w:t>
      </w:r>
    </w:p>
    <w:p w14:paraId="7FA5EA47">
      <w:pPr>
        <w:adjustRightInd w:val="0"/>
        <w:snapToGrid w:val="0"/>
        <w:spacing w:before="0" w:beforeLines="0" w:line="400" w:lineRule="exact"/>
        <w:ind w:firstLine="840" w:firstLineChars="4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non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p>
    <w:p w14:paraId="1F1D2B04">
      <w:pPr>
        <w:adjustRightInd w:val="0"/>
        <w:snapToGrid w:val="0"/>
        <w:spacing w:before="0" w:beforeLines="0" w:line="400" w:lineRule="exact"/>
        <w:ind w:firstLine="840" w:firstLineChars="4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分包供应商</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制造商</w:t>
      </w:r>
      <w:r>
        <w:rPr>
          <w:rFonts w:hint="eastAsia" w:ascii="宋体" w:hAnsi="宋体" w:eastAsia="宋体" w:cs="宋体"/>
          <w:color w:val="auto"/>
          <w:sz w:val="21"/>
          <w:szCs w:val="21"/>
          <w:highlight w:val="none"/>
        </w:rPr>
        <w:t>类型</w:t>
      </w:r>
      <w:r>
        <w:rPr>
          <w:rFonts w:hint="eastAsia" w:ascii="宋体" w:hAnsi="宋体" w:eastAsia="宋体" w:cs="宋体"/>
          <w:color w:val="auto"/>
          <w:sz w:val="21"/>
          <w:szCs w:val="21"/>
          <w:highlight w:val="none"/>
          <w:lang w:eastAsia="zh-CN"/>
        </w:rPr>
        <w:t>（如果供应商和制造商不同，只填写制造商类型）</w:t>
      </w:r>
      <w:r>
        <w:rPr>
          <w:rFonts w:hint="eastAsia" w:ascii="宋体" w:hAnsi="宋体" w:eastAsia="宋体" w:cs="宋体"/>
          <w:color w:val="auto"/>
          <w:sz w:val="21"/>
          <w:szCs w:val="21"/>
          <w:highlight w:val="none"/>
        </w:rPr>
        <w:t>：</w:t>
      </w:r>
    </w:p>
    <w:p w14:paraId="180ED0E3">
      <w:pPr>
        <w:adjustRightInd w:val="0"/>
        <w:snapToGrid w:val="0"/>
        <w:spacing w:beforeLines="0" w:line="400" w:lineRule="exact"/>
        <w:ind w:firstLine="840" w:firstLineChars="400"/>
        <w:rPr>
          <w:rFonts w:hint="eastAsia" w:ascii="宋体" w:hAnsi="宋体" w:eastAsia="宋体" w:cs="宋体"/>
          <w:iCs/>
          <w:color w:val="auto"/>
          <w:sz w:val="21"/>
          <w:szCs w:val="21"/>
          <w:highlight w:val="none"/>
          <w:lang w:val="en-US" w:eastAsia="zh-CN"/>
        </w:rPr>
      </w:pPr>
      <w:r>
        <w:rPr>
          <w:rFonts w:hint="eastAsia" w:ascii="宋体" w:hAnsi="宋体" w:eastAsia="宋体" w:cs="宋体"/>
          <w:iCs/>
          <w:color w:val="auto"/>
          <w:sz w:val="21"/>
          <w:szCs w:val="21"/>
          <w:highlight w:val="none"/>
          <w:lang w:val="en-US" w:eastAsia="zh-CN"/>
        </w:rPr>
        <w:t xml:space="preserve">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rPr>
        <w:t xml:space="preserve">大型企业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rPr>
        <w:t xml:space="preserve">中型企业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rPr>
        <w:t>小微型企业</w:t>
      </w:r>
      <w:r>
        <w:rPr>
          <w:rFonts w:hint="eastAsia" w:ascii="宋体" w:hAnsi="宋体" w:eastAsia="宋体" w:cs="宋体"/>
          <w:iCs/>
          <w:color w:val="auto"/>
          <w:sz w:val="21"/>
          <w:szCs w:val="21"/>
          <w:highlight w:val="none"/>
          <w:lang w:val="en-US" w:eastAsia="zh-CN"/>
        </w:rPr>
        <w:t xml:space="preserve">  </w:t>
      </w:r>
    </w:p>
    <w:p w14:paraId="18BF3496">
      <w:pPr>
        <w:adjustRightInd w:val="0"/>
        <w:snapToGrid w:val="0"/>
        <w:spacing w:beforeLines="0" w:line="400" w:lineRule="exact"/>
        <w:ind w:firstLine="840" w:firstLineChars="400"/>
        <w:rPr>
          <w:rFonts w:hint="eastAsia" w:ascii="宋体" w:hAnsi="宋体" w:eastAsia="宋体" w:cs="宋体"/>
          <w:color w:val="auto"/>
          <w:sz w:val="21"/>
          <w:szCs w:val="21"/>
          <w:highlight w:val="none"/>
          <w:u w:val="none"/>
          <w:lang w:val="en-US" w:eastAsia="zh-CN"/>
        </w:rPr>
      </w:pPr>
      <w:r>
        <w:rPr>
          <w:rFonts w:hint="eastAsia" w:ascii="宋体" w:hAnsi="宋体" w:eastAsia="宋体" w:cs="宋体"/>
          <w:iCs/>
          <w:color w:val="auto"/>
          <w:sz w:val="21"/>
          <w:szCs w:val="21"/>
          <w:highlight w:val="none"/>
          <w:lang w:val="en-US" w:eastAsia="zh-CN"/>
        </w:rPr>
        <w:t xml:space="preserve">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lang w:eastAsia="zh-CN"/>
        </w:rPr>
        <w:t>残疾人福利性单位</w:t>
      </w:r>
      <w:r>
        <w:rPr>
          <w:rFonts w:hint="eastAsia" w:ascii="宋体" w:hAnsi="宋体" w:eastAsia="宋体" w:cs="宋体"/>
          <w:iCs/>
          <w:color w:val="auto"/>
          <w:sz w:val="21"/>
          <w:szCs w:val="21"/>
          <w:highlight w:val="none"/>
          <w:lang w:val="en-US" w:eastAsia="zh-CN"/>
        </w:rPr>
        <w:t xml:space="preserve">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lang w:eastAsia="zh-CN"/>
        </w:rPr>
        <w:t>监狱</w:t>
      </w:r>
      <w:r>
        <w:rPr>
          <w:rFonts w:hint="eastAsia" w:ascii="宋体" w:hAnsi="宋体" w:eastAsia="宋体" w:cs="宋体"/>
          <w:iCs/>
          <w:color w:val="auto"/>
          <w:sz w:val="21"/>
          <w:szCs w:val="21"/>
          <w:highlight w:val="none"/>
        </w:rPr>
        <w:t>企业</w:t>
      </w:r>
      <w:r>
        <w:rPr>
          <w:rFonts w:hint="eastAsia" w:ascii="宋体" w:hAnsi="宋体" w:eastAsia="宋体" w:cs="宋体"/>
          <w:iCs/>
          <w:color w:val="auto"/>
          <w:sz w:val="21"/>
          <w:szCs w:val="21"/>
          <w:highlight w:val="none"/>
          <w:lang w:val="en-US" w:eastAsia="zh-CN"/>
        </w:rPr>
        <w:t xml:space="preserve">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lang w:eastAsia="zh-CN"/>
        </w:rPr>
        <w:t>其他</w:t>
      </w:r>
    </w:p>
    <w:p w14:paraId="7F2E0B02">
      <w:pPr>
        <w:numPr>
          <w:ilvl w:val="-1"/>
          <w:numId w:val="0"/>
        </w:numPr>
        <w:adjustRightInd w:val="0"/>
        <w:snapToGrid w:val="0"/>
        <w:spacing w:before="0" w:beforeLines="0" w:line="400" w:lineRule="exact"/>
        <w:ind w:left="0" w:leftChars="0" w:firstLine="0" w:firstLineChars="0"/>
        <w:rPr>
          <w:rFonts w:hint="eastAsia" w:ascii="宋体" w:hAnsi="宋体" w:eastAsia="宋体" w:cs="宋体"/>
          <w:iCs/>
          <w:color w:val="auto"/>
          <w:sz w:val="21"/>
          <w:szCs w:val="21"/>
          <w:highlight w:val="none"/>
        </w:rPr>
      </w:pPr>
      <w:r>
        <w:rPr>
          <w:rFonts w:hint="eastAsia" w:ascii="宋体" w:hAnsi="宋体" w:eastAsia="宋体" w:cs="宋体"/>
          <w:color w:val="auto"/>
          <w:sz w:val="21"/>
          <w:szCs w:val="21"/>
          <w:highlight w:val="none"/>
          <w:u w:val="none"/>
          <w:lang w:val="en-US" w:eastAsia="zh-CN"/>
        </w:rPr>
        <w:t xml:space="preserve">    （</w:t>
      </w:r>
      <w:r>
        <w:rPr>
          <w:rFonts w:hint="eastAsia" w:ascii="宋体" w:hAnsi="宋体" w:eastAsia="宋体" w:cs="宋体"/>
          <w:color w:val="auto"/>
          <w:sz w:val="21"/>
          <w:szCs w:val="21"/>
          <w:highlight w:val="none"/>
          <w:u w:val="none"/>
          <w:lang w:val="en" w:eastAsia="zh-CN"/>
        </w:rPr>
        <w:t>8</w:t>
      </w:r>
      <w:r>
        <w:rPr>
          <w:rFonts w:hint="eastAsia" w:ascii="宋体" w:hAnsi="宋体" w:eastAsia="宋体" w:cs="宋体"/>
          <w:color w:val="auto"/>
          <w:sz w:val="21"/>
          <w:szCs w:val="21"/>
          <w:highlight w:val="none"/>
          <w:u w:val="none"/>
          <w:lang w:val="en-US" w:eastAsia="zh-CN"/>
        </w:rPr>
        <w:t>）中标（成交）供应商是否为外商投资企业：</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rPr>
        <w:t xml:space="preserve">是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rPr>
        <w:t>否</w:t>
      </w:r>
    </w:p>
    <w:p w14:paraId="4ADA4F13">
      <w:pPr>
        <w:pStyle w:val="36"/>
        <w:tabs>
          <w:tab w:val="left" w:pos="1340"/>
        </w:tabs>
        <w:spacing w:beforeLines="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none"/>
          <w:lang w:val="en-US" w:eastAsia="zh-CN"/>
        </w:rPr>
        <w:t xml:space="preserve">     外商投资企业类型：</w:t>
      </w:r>
      <w:r>
        <w:rPr>
          <w:rFonts w:hint="eastAsia" w:ascii="宋体" w:hAnsi="宋体" w:eastAsia="宋体" w:cs="宋体"/>
          <w:iCs/>
          <w:color w:val="auto"/>
          <w:sz w:val="21"/>
          <w:szCs w:val="21"/>
          <w:highlight w:val="none"/>
        </w:rPr>
        <w:sym w:font="Wingdings" w:char="00A8"/>
      </w:r>
      <w:r>
        <w:rPr>
          <w:rFonts w:hint="eastAsia" w:ascii="宋体" w:hAnsi="宋体" w:eastAsia="宋体" w:cs="宋体"/>
          <w:color w:val="auto"/>
          <w:sz w:val="21"/>
          <w:szCs w:val="21"/>
          <w:highlight w:val="none"/>
          <w:u w:val="none"/>
          <w:lang w:val="en-US" w:eastAsia="zh-CN"/>
        </w:rPr>
        <w:t xml:space="preserve">全部由外国投资者投资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lang w:val="en-US" w:eastAsia="zh-CN"/>
        </w:rPr>
        <w:t>部分由外国投资者投资</w:t>
      </w:r>
    </w:p>
    <w:p w14:paraId="3678F9F3">
      <w:pPr>
        <w:numPr>
          <w:ilvl w:val="-1"/>
          <w:numId w:val="0"/>
        </w:numPr>
        <w:adjustRightInd w:val="0"/>
        <w:snapToGrid w:val="0"/>
        <w:spacing w:before="0" w:beforeLines="0" w:line="400" w:lineRule="exact"/>
        <w:ind w:firstLine="420" w:firstLineChars="200"/>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w:t>
      </w:r>
      <w:r>
        <w:rPr>
          <w:rFonts w:hint="eastAsia" w:ascii="宋体" w:hAnsi="宋体" w:eastAsia="宋体" w:cs="宋体"/>
          <w:b w:val="0"/>
          <w:bCs w:val="0"/>
          <w:color w:val="auto"/>
          <w:sz w:val="21"/>
          <w:szCs w:val="21"/>
          <w:highlight w:val="none"/>
          <w:u w:val="none"/>
          <w:lang w:val="en" w:eastAsia="zh-CN"/>
        </w:rPr>
        <w:t>9</w:t>
      </w:r>
      <w:r>
        <w:rPr>
          <w:rFonts w:hint="eastAsia" w:ascii="宋体" w:hAnsi="宋体" w:eastAsia="宋体" w:cs="宋体"/>
          <w:b w:val="0"/>
          <w:bCs w:val="0"/>
          <w:color w:val="auto"/>
          <w:sz w:val="21"/>
          <w:szCs w:val="21"/>
          <w:highlight w:val="none"/>
          <w:u w:val="none"/>
          <w:lang w:val="en-US" w:eastAsia="zh-CN"/>
        </w:rPr>
        <w:t>）是否涉及进口产品：</w:t>
      </w:r>
    </w:p>
    <w:p w14:paraId="158ED47C">
      <w:pPr>
        <w:numPr>
          <w:ilvl w:val="-1"/>
          <w:numId w:val="0"/>
        </w:numPr>
        <w:adjustRightInd w:val="0"/>
        <w:snapToGrid w:val="0"/>
        <w:spacing w:before="0" w:beforeLines="0" w:line="400" w:lineRule="exact"/>
        <w:ind w:firstLine="840" w:firstLineChars="400"/>
        <w:rPr>
          <w:rFonts w:hint="eastAsia" w:ascii="宋体" w:hAnsi="宋体" w:eastAsia="宋体" w:cs="宋体"/>
          <w:color w:val="auto"/>
          <w:sz w:val="21"/>
          <w:szCs w:val="21"/>
          <w:highlight w:val="none"/>
          <w:u w:val="single"/>
          <w:lang w:val="en-US" w:eastAsia="zh-CN"/>
        </w:rPr>
      </w:pPr>
      <w:r>
        <w:rPr>
          <w:rFonts w:hint="eastAsia" w:ascii="宋体" w:hAnsi="宋体" w:eastAsia="宋体" w:cs="宋体"/>
          <w:iCs w:val="0"/>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rPr>
        <w:t>是</w:t>
      </w:r>
      <w:r>
        <w:rPr>
          <w:rFonts w:hint="eastAsia" w:ascii="宋体" w:hAnsi="宋体" w:eastAsia="宋体" w:cs="宋体"/>
          <w:iCs w:val="0"/>
          <w:color w:val="auto"/>
          <w:sz w:val="21"/>
          <w:szCs w:val="21"/>
          <w:highlight w:val="none"/>
          <w:lang w:eastAsia="zh-CN"/>
        </w:rPr>
        <w:t>，《政府采购品目分类目录》底级品目名称</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 xml:space="preserve"> 金额：</w:t>
      </w:r>
      <w:r>
        <w:rPr>
          <w:rFonts w:hint="eastAsia" w:ascii="宋体" w:hAnsi="宋体" w:eastAsia="宋体" w:cs="宋体"/>
          <w:color w:val="auto"/>
          <w:sz w:val="21"/>
          <w:szCs w:val="21"/>
          <w:highlight w:val="none"/>
          <w:u w:val="single"/>
          <w:lang w:val="en-US" w:eastAsia="zh-CN"/>
        </w:rPr>
        <w:t xml:space="preserve">        </w:t>
      </w:r>
    </w:p>
    <w:p w14:paraId="3333668C">
      <w:pPr>
        <w:numPr>
          <w:ilvl w:val="-1"/>
          <w:numId w:val="0"/>
        </w:numPr>
        <w:adjustRightInd w:val="0"/>
        <w:snapToGrid w:val="0"/>
        <w:spacing w:before="0" w:beforeLines="0" w:line="400" w:lineRule="exact"/>
        <w:ind w:firstLine="840" w:firstLineChars="400"/>
        <w:rPr>
          <w:rFonts w:hint="eastAsia" w:ascii="宋体" w:hAnsi="宋体" w:eastAsia="宋体" w:cs="宋体"/>
          <w:iCs w:val="0"/>
          <w:color w:val="auto"/>
          <w:sz w:val="21"/>
          <w:szCs w:val="21"/>
          <w:highlight w:val="none"/>
        </w:rPr>
      </w:pPr>
      <w:r>
        <w:rPr>
          <w:rFonts w:hint="eastAsia" w:ascii="宋体" w:hAnsi="宋体" w:eastAsia="宋体" w:cs="宋体"/>
          <w:color w:val="auto"/>
          <w:sz w:val="21"/>
          <w:szCs w:val="21"/>
          <w:highlight w:val="none"/>
          <w:lang w:val="en-US" w:eastAsia="zh-CN"/>
        </w:rPr>
        <w:t xml:space="preserve">        国别：</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 xml:space="preserve"> 品牌：</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 xml:space="preserve"> 规格型号：</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iCs w:val="0"/>
          <w:color w:val="auto"/>
          <w:sz w:val="21"/>
          <w:szCs w:val="21"/>
          <w:highlight w:val="none"/>
        </w:rPr>
        <w:t xml:space="preserve">      </w:t>
      </w:r>
    </w:p>
    <w:p w14:paraId="2F868BE1">
      <w:pPr>
        <w:adjustRightInd w:val="0"/>
        <w:snapToGrid w:val="0"/>
        <w:spacing w:before="0" w:beforeLines="0" w:line="400" w:lineRule="exact"/>
        <w:ind w:firstLine="840" w:firstLineChars="400"/>
        <w:rPr>
          <w:rFonts w:hint="eastAsia" w:ascii="宋体" w:hAnsi="宋体" w:eastAsia="宋体" w:cs="宋体"/>
          <w:color w:val="auto"/>
          <w:sz w:val="21"/>
          <w:szCs w:val="21"/>
          <w:highlight w:val="none"/>
          <w:u w:val="none"/>
          <w:lang w:val="en-US" w:eastAsia="zh-CN"/>
        </w:rPr>
      </w:pPr>
      <w:r>
        <w:rPr>
          <w:rFonts w:hint="eastAsia" w:ascii="宋体" w:hAnsi="宋体" w:eastAsia="宋体" w:cs="宋体"/>
          <w:iCs w:val="0"/>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eastAsia="zh-CN"/>
        </w:rPr>
        <w:t>否</w:t>
      </w:r>
    </w:p>
    <w:p w14:paraId="29B30414">
      <w:pPr>
        <w:numPr>
          <w:ilvl w:val="-1"/>
          <w:numId w:val="0"/>
        </w:numPr>
        <w:tabs>
          <w:tab w:val="left" w:pos="740"/>
        </w:tabs>
        <w:adjustRightInd w:val="0"/>
        <w:snapToGrid w:val="0"/>
        <w:spacing w:before="0" w:beforeLines="0" w:line="400" w:lineRule="exact"/>
        <w:ind w:left="0" w:firstLine="0" w:firstLineChars="0"/>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 xml:space="preserve">    （1</w:t>
      </w:r>
      <w:r>
        <w:rPr>
          <w:rFonts w:hint="eastAsia" w:ascii="宋体" w:hAnsi="宋体" w:eastAsia="宋体" w:cs="宋体"/>
          <w:b w:val="0"/>
          <w:bCs w:val="0"/>
          <w:color w:val="auto"/>
          <w:sz w:val="21"/>
          <w:szCs w:val="21"/>
          <w:highlight w:val="none"/>
          <w:u w:val="none"/>
          <w:lang w:val="en" w:eastAsia="zh-CN"/>
        </w:rPr>
        <w:t>0</w:t>
      </w:r>
      <w:r>
        <w:rPr>
          <w:rFonts w:hint="eastAsia" w:ascii="宋体" w:hAnsi="宋体" w:eastAsia="宋体" w:cs="宋体"/>
          <w:b w:val="0"/>
          <w:bCs w:val="0"/>
          <w:color w:val="auto"/>
          <w:sz w:val="21"/>
          <w:szCs w:val="21"/>
          <w:highlight w:val="none"/>
          <w:u w:val="none"/>
          <w:lang w:val="en-US" w:eastAsia="zh-CN"/>
        </w:rPr>
        <w:t>）是否涉及节能产品：</w:t>
      </w:r>
    </w:p>
    <w:p w14:paraId="17BB281F">
      <w:pPr>
        <w:numPr>
          <w:ilvl w:val="-1"/>
          <w:numId w:val="0"/>
        </w:numPr>
        <w:tabs>
          <w:tab w:val="left" w:pos="740"/>
        </w:tabs>
        <w:adjustRightInd w:val="0"/>
        <w:snapToGrid w:val="0"/>
        <w:spacing w:before="0" w:beforeLines="0" w:line="400" w:lineRule="exact"/>
        <w:ind w:firstLine="0" w:firstLineChars="0"/>
        <w:rPr>
          <w:rFonts w:hint="eastAsia" w:ascii="宋体" w:hAnsi="宋体" w:eastAsia="宋体" w:cs="宋体"/>
          <w:iCs/>
          <w:color w:val="auto"/>
          <w:sz w:val="21"/>
          <w:szCs w:val="21"/>
          <w:highlight w:val="none"/>
          <w:lang w:val="en-US" w:eastAsia="zh-CN"/>
        </w:rPr>
      </w:pPr>
      <w:r>
        <w:rPr>
          <w:rFonts w:hint="eastAsia" w:ascii="宋体" w:hAnsi="宋体" w:eastAsia="宋体" w:cs="宋体"/>
          <w:b w:val="0"/>
          <w:bCs w:val="0"/>
          <w:color w:val="auto"/>
          <w:sz w:val="21"/>
          <w:szCs w:val="21"/>
          <w:highlight w:val="none"/>
          <w:u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rPr>
        <w:t>是</w:t>
      </w:r>
      <w:r>
        <w:rPr>
          <w:rFonts w:hint="eastAsia" w:ascii="宋体" w:hAnsi="宋体" w:eastAsia="宋体" w:cs="宋体"/>
          <w:iCs w:val="0"/>
          <w:color w:val="auto"/>
          <w:sz w:val="21"/>
          <w:szCs w:val="21"/>
          <w:highlight w:val="none"/>
          <w:lang w:eastAsia="zh-CN"/>
        </w:rPr>
        <w:t>，《节能产品政府采购品目清单》的底级品目名称：</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iCs/>
          <w:color w:val="auto"/>
          <w:sz w:val="21"/>
          <w:szCs w:val="21"/>
          <w:highlight w:val="none"/>
          <w:lang w:val="en-US" w:eastAsia="zh-CN"/>
        </w:rPr>
        <w:t xml:space="preserve">     </w:t>
      </w:r>
    </w:p>
    <w:p w14:paraId="49DC4FC8">
      <w:pPr>
        <w:numPr>
          <w:ilvl w:val="-1"/>
          <w:numId w:val="0"/>
        </w:numPr>
        <w:tabs>
          <w:tab w:val="left" w:pos="740"/>
        </w:tabs>
        <w:adjustRightInd w:val="0"/>
        <w:snapToGrid w:val="0"/>
        <w:spacing w:before="0" w:beforeLines="0" w:line="400" w:lineRule="exact"/>
        <w:ind w:firstLine="0" w:firstLineChars="0"/>
        <w:rPr>
          <w:rFonts w:hint="eastAsia" w:ascii="宋体" w:hAnsi="宋体" w:eastAsia="宋体" w:cs="宋体"/>
          <w:iCs/>
          <w:color w:val="auto"/>
          <w:sz w:val="21"/>
          <w:szCs w:val="21"/>
          <w:highlight w:val="none"/>
          <w:lang w:val="en-US" w:eastAsia="zh-CN"/>
        </w:rPr>
      </w:pPr>
      <w:r>
        <w:rPr>
          <w:rFonts w:hint="eastAsia" w:ascii="宋体" w:hAnsi="宋体" w:eastAsia="宋体" w:cs="宋体"/>
          <w:iCs/>
          <w:color w:val="auto"/>
          <w:sz w:val="21"/>
          <w:szCs w:val="21"/>
          <w:highlight w:val="none"/>
          <w:lang w:val="en-US" w:eastAsia="zh-CN"/>
        </w:rPr>
        <w:t xml:space="preserve">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lang w:eastAsia="zh-CN"/>
        </w:rPr>
        <w:t>强制采购</w:t>
      </w:r>
      <w:r>
        <w:rPr>
          <w:rFonts w:hint="eastAsia" w:ascii="宋体" w:hAnsi="宋体" w:eastAsia="宋体" w:cs="宋体"/>
          <w:iCs/>
          <w:color w:val="auto"/>
          <w:sz w:val="21"/>
          <w:szCs w:val="21"/>
          <w:highlight w:val="none"/>
          <w:lang w:val="en-US" w:eastAsia="zh-CN"/>
        </w:rPr>
        <w:t xml:space="preserve">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lang w:eastAsia="zh-CN"/>
        </w:rPr>
        <w:t>优先采购</w:t>
      </w:r>
      <w:r>
        <w:rPr>
          <w:rFonts w:hint="eastAsia" w:ascii="宋体" w:hAnsi="宋体" w:eastAsia="宋体" w:cs="宋体"/>
          <w:iCs/>
          <w:color w:val="auto"/>
          <w:sz w:val="21"/>
          <w:szCs w:val="21"/>
          <w:highlight w:val="none"/>
          <w:lang w:val="en-US" w:eastAsia="zh-CN"/>
        </w:rPr>
        <w:t xml:space="preserve">    </w:t>
      </w:r>
    </w:p>
    <w:p w14:paraId="7165AD90">
      <w:pPr>
        <w:numPr>
          <w:ilvl w:val="-1"/>
          <w:numId w:val="0"/>
        </w:numPr>
        <w:tabs>
          <w:tab w:val="left" w:pos="740"/>
        </w:tabs>
        <w:adjustRightInd w:val="0"/>
        <w:snapToGrid w:val="0"/>
        <w:spacing w:before="0" w:beforeLines="0" w:line="400" w:lineRule="exact"/>
        <w:ind w:firstLine="0" w:firstLineChars="0"/>
        <w:rPr>
          <w:rFonts w:hint="eastAsia" w:ascii="宋体" w:hAnsi="宋体" w:eastAsia="宋体" w:cs="宋体"/>
          <w:iCs w:val="0"/>
          <w:color w:val="auto"/>
          <w:sz w:val="21"/>
          <w:szCs w:val="21"/>
          <w:highlight w:val="none"/>
        </w:rPr>
      </w:pPr>
      <w:r>
        <w:rPr>
          <w:rFonts w:hint="eastAsia" w:ascii="宋体" w:hAnsi="宋体" w:eastAsia="宋体" w:cs="宋体"/>
          <w:iCs/>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rPr>
        <w:t>否</w:t>
      </w:r>
    </w:p>
    <w:p w14:paraId="614F1EF5">
      <w:pPr>
        <w:numPr>
          <w:ilvl w:val="-1"/>
          <w:numId w:val="0"/>
        </w:numPr>
        <w:tabs>
          <w:tab w:val="left" w:pos="740"/>
        </w:tabs>
        <w:adjustRightInd w:val="0"/>
        <w:snapToGrid w:val="0"/>
        <w:spacing w:before="0" w:beforeLines="0" w:line="400" w:lineRule="exact"/>
        <w:ind w:left="0" w:firstLine="0" w:firstLineChars="0"/>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 xml:space="preserve">          是否涉及环境标志产品：</w:t>
      </w:r>
    </w:p>
    <w:p w14:paraId="09E05CBA">
      <w:pPr>
        <w:numPr>
          <w:ilvl w:val="-1"/>
          <w:numId w:val="0"/>
        </w:numPr>
        <w:tabs>
          <w:tab w:val="left" w:pos="740"/>
        </w:tabs>
        <w:adjustRightInd w:val="0"/>
        <w:snapToGrid w:val="0"/>
        <w:spacing w:before="0" w:beforeLines="0" w:line="400" w:lineRule="exact"/>
        <w:ind w:firstLine="0" w:firstLineChars="0"/>
        <w:rPr>
          <w:rFonts w:hint="eastAsia" w:ascii="宋体" w:hAnsi="宋体" w:eastAsia="宋体" w:cs="宋体"/>
          <w:iCs w:val="0"/>
          <w:color w:val="auto"/>
          <w:sz w:val="21"/>
          <w:szCs w:val="21"/>
          <w:highlight w:val="none"/>
          <w:lang w:eastAsia="zh-CN"/>
        </w:rPr>
      </w:pPr>
      <w:r>
        <w:rPr>
          <w:rFonts w:hint="eastAsia" w:ascii="宋体" w:hAnsi="宋体" w:eastAsia="宋体" w:cs="宋体"/>
          <w:b w:val="0"/>
          <w:bCs w:val="0"/>
          <w:color w:val="auto"/>
          <w:sz w:val="21"/>
          <w:szCs w:val="21"/>
          <w:highlight w:val="none"/>
          <w:u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rPr>
        <w:t>是</w:t>
      </w:r>
      <w:r>
        <w:rPr>
          <w:rFonts w:hint="eastAsia" w:ascii="宋体" w:hAnsi="宋体" w:eastAsia="宋体" w:cs="宋体"/>
          <w:iCs w:val="0"/>
          <w:color w:val="auto"/>
          <w:sz w:val="21"/>
          <w:szCs w:val="21"/>
          <w:highlight w:val="none"/>
          <w:lang w:eastAsia="zh-CN"/>
        </w:rPr>
        <w:t>，《环境标志产品政府采购品目清单》的底级品目名称：</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iCs/>
          <w:color w:val="auto"/>
          <w:sz w:val="21"/>
          <w:szCs w:val="21"/>
          <w:highlight w:val="none"/>
          <w:lang w:val="en-US" w:eastAsia="zh-CN"/>
        </w:rPr>
        <w:t xml:space="preserve"> </w:t>
      </w:r>
    </w:p>
    <w:p w14:paraId="522F082F">
      <w:pPr>
        <w:numPr>
          <w:ilvl w:val="-1"/>
          <w:numId w:val="0"/>
        </w:numPr>
        <w:tabs>
          <w:tab w:val="left" w:pos="740"/>
        </w:tabs>
        <w:adjustRightInd w:val="0"/>
        <w:snapToGrid w:val="0"/>
        <w:spacing w:before="0" w:beforeLines="0" w:line="400" w:lineRule="exact"/>
        <w:ind w:firstLine="0" w:firstLineChars="0"/>
        <w:rPr>
          <w:rFonts w:hint="eastAsia" w:ascii="宋体" w:hAnsi="宋体" w:eastAsia="宋体" w:cs="宋体"/>
          <w:iCs/>
          <w:color w:val="auto"/>
          <w:sz w:val="21"/>
          <w:szCs w:val="21"/>
          <w:highlight w:val="none"/>
          <w:lang w:val="en-US" w:eastAsia="zh-CN"/>
        </w:rPr>
      </w:pPr>
      <w:r>
        <w:rPr>
          <w:rFonts w:hint="eastAsia" w:ascii="宋体" w:hAnsi="宋体" w:eastAsia="宋体" w:cs="宋体"/>
          <w:iCs/>
          <w:color w:val="auto"/>
          <w:sz w:val="21"/>
          <w:szCs w:val="21"/>
          <w:highlight w:val="none"/>
          <w:lang w:val="en-US" w:eastAsia="zh-CN"/>
        </w:rPr>
        <w:t xml:space="preserve">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lang w:eastAsia="zh-CN"/>
        </w:rPr>
        <w:t>强制采购</w:t>
      </w:r>
      <w:r>
        <w:rPr>
          <w:rFonts w:hint="eastAsia" w:ascii="宋体" w:hAnsi="宋体" w:eastAsia="宋体" w:cs="宋体"/>
          <w:iCs/>
          <w:color w:val="auto"/>
          <w:sz w:val="21"/>
          <w:szCs w:val="21"/>
          <w:highlight w:val="none"/>
          <w:lang w:val="en-US" w:eastAsia="zh-CN"/>
        </w:rPr>
        <w:t xml:space="preserve">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lang w:eastAsia="zh-CN"/>
        </w:rPr>
        <w:t>优先采购</w:t>
      </w:r>
      <w:r>
        <w:rPr>
          <w:rFonts w:hint="eastAsia" w:ascii="宋体" w:hAnsi="宋体" w:eastAsia="宋体" w:cs="宋体"/>
          <w:iCs/>
          <w:color w:val="auto"/>
          <w:sz w:val="21"/>
          <w:szCs w:val="21"/>
          <w:highlight w:val="none"/>
          <w:lang w:val="en-US" w:eastAsia="zh-CN"/>
        </w:rPr>
        <w:t xml:space="preserve">    </w:t>
      </w:r>
    </w:p>
    <w:p w14:paraId="26D9199E">
      <w:pPr>
        <w:numPr>
          <w:ilvl w:val="-1"/>
          <w:numId w:val="0"/>
        </w:numPr>
        <w:tabs>
          <w:tab w:val="left" w:pos="740"/>
        </w:tabs>
        <w:adjustRightInd w:val="0"/>
        <w:snapToGrid w:val="0"/>
        <w:spacing w:before="0" w:beforeLines="0" w:line="400" w:lineRule="exact"/>
        <w:ind w:firstLine="0" w:firstLineChars="0"/>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iCs/>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rPr>
        <w:t>否</w:t>
      </w:r>
    </w:p>
    <w:p w14:paraId="76BB6FA7">
      <w:pPr>
        <w:pStyle w:val="36"/>
        <w:numPr>
          <w:ilvl w:val="-1"/>
          <w:numId w:val="0"/>
        </w:numPr>
        <w:adjustRightInd w:val="0"/>
        <w:snapToGrid w:val="0"/>
        <w:spacing w:before="0" w:beforeLines="0" w:line="400" w:lineRule="exact"/>
        <w:ind w:firstLine="0" w:firstLineChars="0"/>
        <w:rPr>
          <w:rFonts w:hint="eastAsia" w:ascii="宋体" w:hAnsi="宋体" w:eastAsia="宋体" w:cs="宋体"/>
          <w:iCs w:val="0"/>
          <w:color w:val="auto"/>
          <w:kern w:val="2"/>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 xml:space="preserve">          </w:t>
      </w:r>
      <w:r>
        <w:rPr>
          <w:rFonts w:hint="eastAsia" w:ascii="宋体" w:hAnsi="宋体" w:eastAsia="宋体" w:cs="宋体"/>
          <w:b w:val="0"/>
          <w:bCs w:val="0"/>
          <w:color w:val="auto"/>
          <w:kern w:val="2"/>
          <w:sz w:val="21"/>
          <w:szCs w:val="21"/>
          <w:highlight w:val="none"/>
          <w:u w:val="none"/>
          <w:lang w:val="en-US" w:eastAsia="zh-CN"/>
        </w:rPr>
        <w:t>是否涉及绿色产品：</w:t>
      </w:r>
      <w:r>
        <w:rPr>
          <w:rFonts w:hint="eastAsia" w:ascii="宋体" w:hAnsi="宋体" w:eastAsia="宋体" w:cs="宋体"/>
          <w:iCs w:val="0"/>
          <w:color w:val="auto"/>
          <w:kern w:val="2"/>
          <w:sz w:val="21"/>
          <w:szCs w:val="21"/>
          <w:highlight w:val="none"/>
          <w:u w:val="none"/>
          <w:lang w:val="en-US" w:eastAsia="zh-CN"/>
        </w:rPr>
        <w:t xml:space="preserve"> </w:t>
      </w:r>
    </w:p>
    <w:p w14:paraId="1965CB32">
      <w:pPr>
        <w:pStyle w:val="36"/>
        <w:spacing w:beforeLines="0"/>
        <w:ind w:firstLine="420" w:firstLineChars="0"/>
        <w:rPr>
          <w:rFonts w:hint="eastAsia" w:ascii="宋体" w:hAnsi="宋体" w:eastAsia="宋体" w:cs="宋体"/>
          <w:color w:val="auto"/>
          <w:sz w:val="21"/>
          <w:szCs w:val="21"/>
          <w:highlight w:val="none"/>
          <w:u w:val="single"/>
          <w:lang w:val="en-US" w:eastAsia="zh-CN"/>
        </w:rPr>
      </w:pPr>
      <w:r>
        <w:rPr>
          <w:rFonts w:hint="eastAsia" w:ascii="宋体" w:hAnsi="宋体" w:eastAsia="宋体" w:cs="宋体"/>
          <w:iCs w:val="0"/>
          <w:color w:val="auto"/>
          <w:kern w:val="2"/>
          <w:sz w:val="21"/>
          <w:szCs w:val="21"/>
          <w:highlight w:val="none"/>
          <w:u w:val="none"/>
          <w:lang w:val="en-US" w:eastAsia="zh-CN"/>
        </w:rPr>
        <w:t xml:space="preserve">     </w:t>
      </w:r>
      <w:r>
        <w:rPr>
          <w:rFonts w:hint="eastAsia" w:ascii="宋体" w:hAnsi="宋体" w:eastAsia="宋体" w:cs="宋体"/>
          <w:iCs w:val="0"/>
          <w:color w:val="auto"/>
          <w:kern w:val="2"/>
          <w:sz w:val="21"/>
          <w:szCs w:val="21"/>
          <w:highlight w:val="none"/>
          <w:u w:val="none"/>
        </w:rPr>
        <w:sym w:font="Wingdings" w:char="00A8"/>
      </w:r>
      <w:r>
        <w:rPr>
          <w:rFonts w:hint="eastAsia" w:ascii="宋体" w:hAnsi="宋体" w:eastAsia="宋体" w:cs="宋体"/>
          <w:iCs w:val="0"/>
          <w:color w:val="auto"/>
          <w:kern w:val="2"/>
          <w:sz w:val="21"/>
          <w:szCs w:val="21"/>
          <w:highlight w:val="none"/>
          <w:u w:val="none"/>
        </w:rPr>
        <w:t>是</w:t>
      </w:r>
      <w:r>
        <w:rPr>
          <w:rFonts w:hint="eastAsia" w:ascii="宋体" w:hAnsi="宋体" w:eastAsia="宋体" w:cs="宋体"/>
          <w:iCs w:val="0"/>
          <w:color w:val="auto"/>
          <w:kern w:val="2"/>
          <w:sz w:val="21"/>
          <w:szCs w:val="21"/>
          <w:highlight w:val="none"/>
          <w:u w:val="none"/>
          <w:lang w:eastAsia="zh-CN"/>
        </w:rPr>
        <w:t>，绿色产品政府采购相关政策确定的底级品目名称：</w:t>
      </w:r>
      <w:r>
        <w:rPr>
          <w:rFonts w:hint="eastAsia" w:ascii="宋体" w:hAnsi="宋体" w:eastAsia="宋体" w:cs="宋体"/>
          <w:color w:val="auto"/>
          <w:sz w:val="21"/>
          <w:szCs w:val="21"/>
          <w:highlight w:val="none"/>
          <w:u w:val="single"/>
          <w:lang w:val="en-US" w:eastAsia="zh-CN"/>
        </w:rPr>
        <w:t xml:space="preserve">         </w:t>
      </w:r>
    </w:p>
    <w:p w14:paraId="01D2B2B4">
      <w:pPr>
        <w:numPr>
          <w:ilvl w:val="-1"/>
          <w:numId w:val="0"/>
        </w:numPr>
        <w:tabs>
          <w:tab w:val="left" w:pos="740"/>
        </w:tabs>
        <w:adjustRightInd w:val="0"/>
        <w:snapToGrid w:val="0"/>
        <w:spacing w:before="0" w:beforeLines="0" w:line="400" w:lineRule="exact"/>
        <w:ind w:firstLine="0" w:firstLineChars="0"/>
        <w:rPr>
          <w:rFonts w:hint="eastAsia" w:ascii="宋体" w:hAnsi="宋体" w:eastAsia="宋体" w:cs="宋体"/>
          <w:iCs/>
          <w:color w:val="auto"/>
          <w:sz w:val="21"/>
          <w:szCs w:val="21"/>
          <w:highlight w:val="none"/>
          <w:lang w:val="en-US" w:eastAsia="zh-CN"/>
        </w:rPr>
      </w:pPr>
      <w:r>
        <w:rPr>
          <w:rFonts w:hint="eastAsia" w:ascii="宋体" w:hAnsi="宋体" w:eastAsia="宋体" w:cs="宋体"/>
          <w:iCs/>
          <w:color w:val="auto"/>
          <w:sz w:val="21"/>
          <w:szCs w:val="21"/>
          <w:highlight w:val="none"/>
          <w:lang w:val="en-US" w:eastAsia="zh-CN"/>
        </w:rPr>
        <w:t xml:space="preserve">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lang w:eastAsia="zh-CN"/>
        </w:rPr>
        <w:t>强制采购</w:t>
      </w:r>
      <w:r>
        <w:rPr>
          <w:rFonts w:hint="eastAsia" w:ascii="宋体" w:hAnsi="宋体" w:eastAsia="宋体" w:cs="宋体"/>
          <w:iCs/>
          <w:color w:val="auto"/>
          <w:sz w:val="21"/>
          <w:szCs w:val="21"/>
          <w:highlight w:val="none"/>
          <w:lang w:val="en-US" w:eastAsia="zh-CN"/>
        </w:rPr>
        <w:t xml:space="preserve">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lang w:eastAsia="zh-CN"/>
        </w:rPr>
        <w:t>优先采购</w:t>
      </w:r>
      <w:r>
        <w:rPr>
          <w:rFonts w:hint="eastAsia" w:ascii="宋体" w:hAnsi="宋体" w:eastAsia="宋体" w:cs="宋体"/>
          <w:iCs/>
          <w:color w:val="auto"/>
          <w:sz w:val="21"/>
          <w:szCs w:val="21"/>
          <w:highlight w:val="none"/>
          <w:lang w:val="en-US" w:eastAsia="zh-CN"/>
        </w:rPr>
        <w:t xml:space="preserve">    </w:t>
      </w:r>
    </w:p>
    <w:p w14:paraId="57F0C3BA">
      <w:pPr>
        <w:pStyle w:val="36"/>
        <w:spacing w:beforeLines="0"/>
        <w:ind w:firstLine="420" w:firstLineChars="0"/>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iCs w:val="0"/>
          <w:color w:val="auto"/>
          <w:kern w:val="2"/>
          <w:sz w:val="21"/>
          <w:szCs w:val="21"/>
          <w:highlight w:val="none"/>
          <w:u w:val="none"/>
          <w:lang w:val="en-US" w:eastAsia="zh-CN"/>
        </w:rPr>
        <w:t xml:space="preserve">     </w:t>
      </w:r>
      <w:r>
        <w:rPr>
          <w:rFonts w:hint="eastAsia" w:ascii="宋体" w:hAnsi="宋体" w:eastAsia="宋体" w:cs="宋体"/>
          <w:iCs w:val="0"/>
          <w:color w:val="auto"/>
          <w:kern w:val="2"/>
          <w:sz w:val="21"/>
          <w:szCs w:val="21"/>
          <w:highlight w:val="none"/>
          <w:u w:val="none"/>
        </w:rPr>
        <w:sym w:font="Wingdings" w:char="00A8"/>
      </w:r>
      <w:r>
        <w:rPr>
          <w:rFonts w:hint="eastAsia" w:ascii="宋体" w:hAnsi="宋体" w:eastAsia="宋体" w:cs="宋体"/>
          <w:iCs w:val="0"/>
          <w:color w:val="auto"/>
          <w:kern w:val="2"/>
          <w:sz w:val="21"/>
          <w:szCs w:val="21"/>
          <w:highlight w:val="none"/>
          <w:u w:val="none"/>
        </w:rPr>
        <w:t>否</w:t>
      </w:r>
    </w:p>
    <w:p w14:paraId="469A8CCD">
      <w:pPr>
        <w:numPr>
          <w:ilvl w:val="-1"/>
          <w:numId w:val="0"/>
        </w:numPr>
        <w:adjustRightInd w:val="0"/>
        <w:snapToGrid w:val="0"/>
        <w:spacing w:before="0" w:beforeLines="0" w:line="400" w:lineRule="exact"/>
        <w:ind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（1</w:t>
      </w:r>
      <w:r>
        <w:rPr>
          <w:rFonts w:hint="eastAsia" w:ascii="宋体" w:hAnsi="宋体" w:eastAsia="宋体" w:cs="宋体"/>
          <w:color w:val="auto"/>
          <w:sz w:val="21"/>
          <w:szCs w:val="21"/>
          <w:highlight w:val="none"/>
          <w:lang w:val="en" w:eastAsia="zh-CN"/>
        </w:rPr>
        <w:t>1</w:t>
      </w:r>
      <w:r>
        <w:rPr>
          <w:rFonts w:hint="eastAsia" w:ascii="宋体" w:hAnsi="宋体" w:eastAsia="宋体" w:cs="宋体"/>
          <w:color w:val="auto"/>
          <w:sz w:val="21"/>
          <w:szCs w:val="21"/>
          <w:highlight w:val="none"/>
          <w:lang w:val="en-US" w:eastAsia="zh-CN"/>
        </w:rPr>
        <w:t>）涉及商品包装和快递包装的，是否参考</w:t>
      </w:r>
      <w:r>
        <w:rPr>
          <w:rFonts w:hint="eastAsia" w:ascii="宋体" w:hAnsi="宋体" w:eastAsia="宋体" w:cs="宋体"/>
          <w:color w:val="auto"/>
          <w:sz w:val="21"/>
          <w:szCs w:val="21"/>
          <w:highlight w:val="none"/>
        </w:rPr>
        <w:t>《商品包装政府采购需求标准（试行）》、《快递包装政府采购需求标准（试行）》</w:t>
      </w:r>
      <w:r>
        <w:rPr>
          <w:rFonts w:hint="eastAsia" w:ascii="宋体" w:hAnsi="宋体" w:eastAsia="宋体" w:cs="宋体"/>
          <w:color w:val="auto"/>
          <w:sz w:val="21"/>
          <w:szCs w:val="21"/>
          <w:highlight w:val="none"/>
          <w:lang w:eastAsia="zh-CN"/>
        </w:rPr>
        <w:t>明确产品及相关快递服务的具体包装要求：</w:t>
      </w:r>
    </w:p>
    <w:p w14:paraId="31637B1F">
      <w:pPr>
        <w:numPr>
          <w:ilvl w:val="-1"/>
          <w:numId w:val="0"/>
        </w:numPr>
        <w:adjustRightInd w:val="0"/>
        <w:snapToGrid w:val="0"/>
        <w:spacing w:before="0" w:beforeLines="0" w:line="400" w:lineRule="exact"/>
        <w:ind w:firstLine="1050" w:firstLineChars="500"/>
        <w:rPr>
          <w:rFonts w:hint="eastAsia" w:ascii="宋体" w:hAnsi="宋体" w:eastAsia="宋体" w:cs="宋体"/>
          <w:iCs w:val="0"/>
          <w:color w:val="auto"/>
          <w:sz w:val="21"/>
          <w:szCs w:val="21"/>
          <w:highlight w:val="none"/>
          <w:lang w:val="en-US" w:eastAsia="zh-CN"/>
        </w:rPr>
      </w:pP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rPr>
        <w:t xml:space="preserve">是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rPr>
        <w:t>否</w:t>
      </w:r>
      <w:r>
        <w:rPr>
          <w:rFonts w:hint="eastAsia" w:ascii="宋体" w:hAnsi="宋体" w:eastAsia="宋体" w:cs="宋体"/>
          <w:iCs w:val="0"/>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eastAsia="zh-CN"/>
        </w:rPr>
        <w:t>不涉及</w:t>
      </w:r>
    </w:p>
    <w:p w14:paraId="3F1BC9E3">
      <w:pPr>
        <w:numPr>
          <w:ilvl w:val="0"/>
          <w:numId w:val="12"/>
        </w:numPr>
        <w:adjustRightInd w:val="0"/>
        <w:snapToGrid w:val="0"/>
        <w:spacing w:before="0" w:beforeLines="0" w:line="40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合同金额</w:t>
      </w:r>
    </w:p>
    <w:p w14:paraId="3AE20D27">
      <w:pPr>
        <w:adjustRightInd w:val="0"/>
        <w:snapToGrid w:val="0"/>
        <w:spacing w:before="0" w:beforeLines="0"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（1）合同金额小写：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p w14:paraId="7CD6FDFA">
      <w:pPr>
        <w:adjustRightInd w:val="0"/>
        <w:snapToGrid w:val="0"/>
        <w:spacing w:before="0" w:beforeLines="0" w:line="400" w:lineRule="exact"/>
        <w:ind w:left="0" w:firstLine="0" w:firstLineChars="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p w14:paraId="7466BEAA">
      <w:pPr>
        <w:adjustRightInd w:val="0"/>
        <w:snapToGrid w:val="0"/>
        <w:spacing w:before="0" w:beforeLines="0" w:line="400" w:lineRule="exact"/>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分包金额</w:t>
      </w:r>
      <w:r>
        <w:rPr>
          <w:rFonts w:hint="eastAsia" w:ascii="宋体" w:hAnsi="宋体" w:eastAsia="宋体" w:cs="宋体"/>
          <w:color w:val="auto"/>
          <w:sz w:val="21"/>
          <w:szCs w:val="21"/>
          <w:highlight w:val="none"/>
          <w:lang w:eastAsia="zh-CN"/>
        </w:rPr>
        <w:t>（如有）</w:t>
      </w:r>
      <w:r>
        <w:rPr>
          <w:rFonts w:hint="eastAsia" w:ascii="宋体" w:hAnsi="宋体" w:eastAsia="宋体" w:cs="宋体"/>
          <w:color w:val="auto"/>
          <w:sz w:val="21"/>
          <w:szCs w:val="21"/>
          <w:highlight w:val="none"/>
        </w:rPr>
        <w:t>小写：</w:t>
      </w:r>
      <w:r>
        <w:rPr>
          <w:rFonts w:hint="eastAsia" w:ascii="宋体" w:hAnsi="宋体" w:eastAsia="宋体" w:cs="宋体"/>
          <w:color w:val="auto"/>
          <w:sz w:val="21"/>
          <w:szCs w:val="21"/>
          <w:highlight w:val="none"/>
          <w:u w:val="single"/>
        </w:rPr>
        <w:t xml:space="preserve">                   </w:t>
      </w:r>
    </w:p>
    <w:p w14:paraId="0C7CE46D">
      <w:pPr>
        <w:adjustRightInd w:val="0"/>
        <w:snapToGrid w:val="0"/>
        <w:spacing w:before="0" w:beforeLines="0" w:line="400" w:lineRule="exact"/>
        <w:ind w:firstLine="0" w:firstLineChars="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p w14:paraId="3F7459D6">
      <w:pPr>
        <w:adjustRightInd w:val="0"/>
        <w:snapToGrid w:val="0"/>
        <w:spacing w:before="0" w:beforeLines="0" w:line="400" w:lineRule="exact"/>
        <w:ind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（注：固定单价合同应填写单价和最高限价）</w:t>
      </w:r>
    </w:p>
    <w:p w14:paraId="0CD632B1">
      <w:pPr>
        <w:numPr>
          <w:ilvl w:val="-1"/>
          <w:numId w:val="0"/>
        </w:numPr>
        <w:adjustRightInd w:val="0"/>
        <w:snapToGrid w:val="0"/>
        <w:spacing w:before="0" w:beforeLines="0" w:line="400" w:lineRule="exact"/>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合同定价方式</w:t>
      </w:r>
      <w:r>
        <w:rPr>
          <w:rFonts w:hint="eastAsia" w:ascii="宋体" w:hAnsi="宋体" w:eastAsia="宋体" w:cs="宋体"/>
          <w:color w:val="auto"/>
          <w:sz w:val="21"/>
          <w:szCs w:val="21"/>
          <w:highlight w:val="none"/>
          <w:lang w:eastAsia="zh-CN"/>
        </w:rPr>
        <w:t>（采用组合定价方式的，可以勾选多项）</w:t>
      </w:r>
      <w:r>
        <w:rPr>
          <w:rFonts w:hint="eastAsia" w:ascii="宋体" w:hAnsi="宋体" w:eastAsia="宋体" w:cs="宋体"/>
          <w:color w:val="auto"/>
          <w:sz w:val="21"/>
          <w:szCs w:val="21"/>
          <w:highlight w:val="none"/>
        </w:rPr>
        <w:t>：</w:t>
      </w:r>
    </w:p>
    <w:p w14:paraId="1CCE239E">
      <w:pPr>
        <w:adjustRightInd w:val="0"/>
        <w:snapToGrid w:val="0"/>
        <w:spacing w:before="0" w:beforeLines="0" w:line="400" w:lineRule="exact"/>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iCs/>
          <w:color w:val="auto"/>
          <w:sz w:val="21"/>
          <w:szCs w:val="21"/>
          <w:highlight w:val="none"/>
          <w:lang w:val="en-US" w:eastAsia="zh-CN"/>
        </w:rPr>
        <w:t xml:space="preserve">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rPr>
        <w:t xml:space="preserve">固定总价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rPr>
        <w:t>固定单价</w:t>
      </w:r>
      <w:r>
        <w:rPr>
          <w:rFonts w:hint="eastAsia" w:ascii="宋体" w:hAnsi="宋体" w:eastAsia="宋体" w:cs="宋体"/>
          <w:iCs/>
          <w:color w:val="auto"/>
          <w:sz w:val="21"/>
          <w:szCs w:val="21"/>
          <w:highlight w:val="none"/>
          <w:lang w:val="en-US" w:eastAsia="zh-CN"/>
        </w:rPr>
        <w:t xml:space="preserve">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lang w:eastAsia="zh-CN"/>
        </w:rPr>
        <w:t>固定费率</w:t>
      </w:r>
      <w:r>
        <w:rPr>
          <w:rFonts w:hint="eastAsia" w:ascii="宋体" w:hAnsi="宋体" w:eastAsia="宋体" w:cs="宋体"/>
          <w:iCs/>
          <w:color w:val="auto"/>
          <w:sz w:val="21"/>
          <w:szCs w:val="21"/>
          <w:highlight w:val="none"/>
        </w:rPr>
        <w:t xml:space="preserve">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rPr>
        <w:t xml:space="preserve">成本补偿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rPr>
        <w:t>绩效激励</w:t>
      </w:r>
      <w:r>
        <w:rPr>
          <w:rFonts w:hint="eastAsia" w:ascii="宋体" w:hAnsi="宋体" w:eastAsia="宋体" w:cs="宋体"/>
          <w:iCs/>
          <w:color w:val="auto"/>
          <w:sz w:val="21"/>
          <w:szCs w:val="21"/>
          <w:highlight w:val="none"/>
          <w:lang w:val="en-US" w:eastAsia="zh-CN"/>
        </w:rPr>
        <w:t xml:space="preserve">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lang w:eastAsia="zh-CN"/>
        </w:rPr>
        <w:t>其他</w:t>
      </w:r>
      <w:r>
        <w:rPr>
          <w:rFonts w:hint="eastAsia" w:ascii="宋体" w:hAnsi="宋体" w:eastAsia="宋体" w:cs="宋体"/>
          <w:color w:val="auto"/>
          <w:sz w:val="21"/>
          <w:szCs w:val="21"/>
          <w:highlight w:val="none"/>
          <w:u w:val="single"/>
        </w:rPr>
        <w:t xml:space="preserve">       </w:t>
      </w:r>
    </w:p>
    <w:p w14:paraId="0F51C916">
      <w:pPr>
        <w:pStyle w:val="72"/>
        <w:spacing w:beforeLines="0"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）付款方式（按项目实际勾选填写）：</w:t>
      </w:r>
    </w:p>
    <w:p w14:paraId="684DBB0F">
      <w:pPr>
        <w:adjustRightInd w:val="0"/>
        <w:snapToGrid w:val="0"/>
        <w:spacing w:before="0" w:beforeLines="0" w:line="400" w:lineRule="exact"/>
        <w:ind w:firstLine="630" w:firstLineChars="3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sym w:font="Wingdings" w:char="00A8"/>
      </w:r>
      <w:r>
        <w:rPr>
          <w:rFonts w:hint="eastAsia" w:ascii="宋体" w:hAnsi="宋体" w:eastAsia="宋体" w:cs="宋体"/>
          <w:color w:val="auto"/>
          <w:sz w:val="21"/>
          <w:szCs w:val="21"/>
          <w:highlight w:val="none"/>
        </w:rPr>
        <w:t>全额付款：</w:t>
      </w:r>
      <w:r>
        <w:rPr>
          <w:rFonts w:hint="eastAsia" w:ascii="宋体" w:hAnsi="宋体" w:eastAsia="宋体" w:cs="宋体"/>
          <w:color w:val="auto"/>
          <w:sz w:val="21"/>
          <w:szCs w:val="21"/>
          <w:highlight w:val="none"/>
          <w:u w:val="single"/>
        </w:rPr>
        <w:t xml:space="preserve">     （应</w:t>
      </w:r>
      <w:r>
        <w:rPr>
          <w:rFonts w:hint="eastAsia" w:ascii="宋体" w:hAnsi="宋体" w:eastAsia="宋体" w:cs="宋体"/>
          <w:color w:val="auto"/>
          <w:sz w:val="21"/>
          <w:szCs w:val="21"/>
          <w:highlight w:val="none"/>
          <w:u w:val="single"/>
          <w:lang w:eastAsia="zh-CN"/>
        </w:rPr>
        <w:t>明确</w:t>
      </w:r>
      <w:r>
        <w:rPr>
          <w:rFonts w:hint="eastAsia" w:ascii="宋体" w:hAnsi="宋体" w:eastAsia="宋体" w:cs="宋体"/>
          <w:color w:val="auto"/>
          <w:sz w:val="21"/>
          <w:szCs w:val="21"/>
          <w:highlight w:val="none"/>
          <w:u w:val="single"/>
        </w:rPr>
        <w:t>一次性支付合同款项</w:t>
      </w:r>
      <w:r>
        <w:rPr>
          <w:rFonts w:hint="eastAsia" w:ascii="宋体" w:hAnsi="宋体" w:eastAsia="宋体" w:cs="宋体"/>
          <w:color w:val="auto"/>
          <w:sz w:val="21"/>
          <w:szCs w:val="21"/>
          <w:highlight w:val="none"/>
          <w:u w:val="single"/>
          <w:lang w:eastAsia="zh-CN"/>
        </w:rPr>
        <w:t>的条件</w:t>
      </w:r>
      <w:r>
        <w:rPr>
          <w:rFonts w:hint="eastAsia" w:ascii="宋体" w:hAnsi="宋体" w:eastAsia="宋体" w:cs="宋体"/>
          <w:color w:val="auto"/>
          <w:sz w:val="21"/>
          <w:szCs w:val="21"/>
          <w:highlight w:val="none"/>
          <w:u w:val="single"/>
        </w:rPr>
        <w:t xml:space="preserve">）                    </w:t>
      </w:r>
    </w:p>
    <w:p w14:paraId="07D32B87">
      <w:pPr>
        <w:snapToGrid w:val="0"/>
        <w:spacing w:beforeLines="0" w:line="400" w:lineRule="exact"/>
        <w:ind w:firstLine="630" w:firstLineChars="3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sym w:font="Wingdings" w:char="00A8"/>
      </w:r>
      <w:r>
        <w:rPr>
          <w:rFonts w:hint="eastAsia" w:ascii="宋体" w:hAnsi="宋体" w:eastAsia="宋体" w:cs="宋体"/>
          <w:color w:val="auto"/>
          <w:sz w:val="21"/>
          <w:szCs w:val="21"/>
          <w:highlight w:val="none"/>
        </w:rPr>
        <w:t>分期付款：</w:t>
      </w:r>
      <w:r>
        <w:rPr>
          <w:rFonts w:hint="eastAsia" w:ascii="宋体" w:hAnsi="宋体" w:eastAsia="宋体" w:cs="宋体"/>
          <w:color w:val="auto"/>
          <w:sz w:val="21"/>
          <w:szCs w:val="21"/>
          <w:highlight w:val="none"/>
          <w:u w:val="single"/>
        </w:rPr>
        <w:t xml:space="preserve">  （应明确分期支付合同款项的各期比例和支付条件</w:t>
      </w:r>
      <w:r>
        <w:rPr>
          <w:rFonts w:hint="eastAsia" w:ascii="宋体" w:hAnsi="宋体" w:eastAsia="宋体" w:cs="宋体"/>
          <w:color w:val="auto"/>
          <w:sz w:val="21"/>
          <w:szCs w:val="21"/>
          <w:highlight w:val="none"/>
          <w:u w:val="single"/>
          <w:lang w:eastAsia="zh-CN"/>
        </w:rPr>
        <w:t>，各期支付条件应与分期履约验收情况挂钩</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lang w:eastAsia="zh-CN"/>
        </w:rPr>
        <w:t>其中涉及预付款的</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（应明确预付款的支付比例和支付条件） </w:t>
      </w:r>
    </w:p>
    <w:p w14:paraId="0A1A7CCC">
      <w:pPr>
        <w:adjustRightInd w:val="0"/>
        <w:snapToGrid w:val="0"/>
        <w:spacing w:before="0" w:beforeLines="0" w:line="400" w:lineRule="exact"/>
        <w:ind w:firstLine="630" w:firstLineChars="3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sym w:font="Wingdings" w:char="00A8"/>
      </w:r>
      <w:r>
        <w:rPr>
          <w:rFonts w:hint="eastAsia" w:ascii="宋体" w:hAnsi="宋体" w:eastAsia="宋体" w:cs="宋体"/>
          <w:color w:val="auto"/>
          <w:sz w:val="21"/>
          <w:szCs w:val="21"/>
          <w:highlight w:val="none"/>
        </w:rPr>
        <w:t>成本补偿：</w:t>
      </w:r>
      <w:r>
        <w:rPr>
          <w:rFonts w:hint="eastAsia" w:ascii="宋体" w:hAnsi="宋体" w:eastAsia="宋体" w:cs="宋体"/>
          <w:color w:val="auto"/>
          <w:sz w:val="21"/>
          <w:szCs w:val="21"/>
          <w:highlight w:val="none"/>
          <w:u w:val="single"/>
        </w:rPr>
        <w:t xml:space="preserve">      （应明确按照成本补偿方式的支付方式和支付条件）   </w:t>
      </w:r>
    </w:p>
    <w:p w14:paraId="70461483">
      <w:pPr>
        <w:adjustRightInd w:val="0"/>
        <w:snapToGrid w:val="0"/>
        <w:spacing w:before="0" w:beforeLines="0" w:line="400" w:lineRule="exact"/>
        <w:ind w:firstLine="630" w:firstLineChars="3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sym w:font="Wingdings" w:char="00A8"/>
      </w:r>
      <w:r>
        <w:rPr>
          <w:rFonts w:hint="eastAsia" w:ascii="宋体" w:hAnsi="宋体" w:eastAsia="宋体" w:cs="宋体"/>
          <w:color w:val="auto"/>
          <w:sz w:val="21"/>
          <w:szCs w:val="21"/>
          <w:highlight w:val="none"/>
        </w:rPr>
        <w:t>绩效激励：</w:t>
      </w:r>
      <w:r>
        <w:rPr>
          <w:rFonts w:hint="eastAsia" w:ascii="宋体" w:hAnsi="宋体" w:eastAsia="宋体" w:cs="宋体"/>
          <w:color w:val="auto"/>
          <w:sz w:val="21"/>
          <w:szCs w:val="21"/>
          <w:highlight w:val="none"/>
          <w:u w:val="single"/>
        </w:rPr>
        <w:t xml:space="preserve">      （应明确按照绩效激励方式的支付方式和支付条件）   </w:t>
      </w:r>
    </w:p>
    <w:p w14:paraId="6A27CDEB">
      <w:pPr>
        <w:numPr>
          <w:ilvl w:val="0"/>
          <w:numId w:val="12"/>
        </w:numPr>
        <w:adjustRightInd w:val="0"/>
        <w:snapToGrid w:val="0"/>
        <w:spacing w:before="0" w:beforeLines="0" w:line="400" w:lineRule="exact"/>
        <w:ind w:firstLine="422" w:firstLineChars="200"/>
        <w:rPr>
          <w:rFonts w:hint="eastAsia" w:ascii="宋体" w:hAnsi="宋体" w:eastAsia="宋体" w:cs="宋体"/>
          <w:b/>
          <w:bCs w:val="0"/>
          <w:color w:val="auto"/>
          <w:sz w:val="21"/>
          <w:szCs w:val="21"/>
          <w:highlight w:val="none"/>
          <w:u w:val="single"/>
        </w:rPr>
      </w:pPr>
      <w:r>
        <w:rPr>
          <w:rFonts w:hint="eastAsia" w:ascii="宋体" w:hAnsi="宋体" w:eastAsia="宋体" w:cs="宋体"/>
          <w:b/>
          <w:bCs w:val="0"/>
          <w:color w:val="auto"/>
          <w:sz w:val="21"/>
          <w:szCs w:val="21"/>
          <w:highlight w:val="none"/>
        </w:rPr>
        <w:t>合同履行</w:t>
      </w:r>
    </w:p>
    <w:p w14:paraId="7BB86A0D">
      <w:pPr>
        <w:adjustRightInd w:val="0"/>
        <w:snapToGrid w:val="0"/>
        <w:spacing w:before="0" w:beforeLines="0"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（1）起始日期：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日，完成日期：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1E8AF94E">
      <w:pPr>
        <w:adjustRightInd w:val="0"/>
        <w:snapToGrid w:val="0"/>
        <w:spacing w:before="0" w:beforeLines="0" w:line="40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履约</w:t>
      </w:r>
      <w:r>
        <w:rPr>
          <w:rFonts w:hint="eastAsia" w:ascii="宋体" w:hAnsi="宋体" w:eastAsia="宋体" w:cs="宋体"/>
          <w:color w:val="auto"/>
          <w:sz w:val="21"/>
          <w:szCs w:val="21"/>
          <w:highlight w:val="none"/>
        </w:rPr>
        <w:t>地点</w:t>
      </w:r>
      <w:r>
        <w:rPr>
          <w:rFonts w:hint="eastAsia" w:ascii="宋体" w:hAnsi="宋体" w:eastAsia="宋体" w:cs="宋体"/>
          <w:b w:val="0"/>
          <w:bCs/>
          <w:color w:val="auto"/>
          <w:sz w:val="21"/>
          <w:szCs w:val="21"/>
          <w:highlight w:val="none"/>
        </w:rPr>
        <w:t>：</w:t>
      </w:r>
      <w:r>
        <w:rPr>
          <w:rFonts w:hint="eastAsia" w:ascii="宋体" w:hAnsi="宋体" w:eastAsia="宋体" w:cs="宋体"/>
          <w:color w:val="auto"/>
          <w:sz w:val="21"/>
          <w:szCs w:val="21"/>
          <w:highlight w:val="none"/>
          <w:u w:val="single"/>
        </w:rPr>
        <w:t xml:space="preserve">                             </w:t>
      </w:r>
    </w:p>
    <w:p w14:paraId="6037687B">
      <w:pPr>
        <w:adjustRightInd w:val="0"/>
        <w:snapToGrid w:val="0"/>
        <w:spacing w:before="0" w:beforeLines="0" w:line="400" w:lineRule="exact"/>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bCs/>
          <w:color w:val="auto"/>
          <w:sz w:val="21"/>
          <w:szCs w:val="21"/>
          <w:highlight w:val="none"/>
        </w:rPr>
        <w:t>（3）履约担保：</w:t>
      </w:r>
      <w:r>
        <w:rPr>
          <w:rFonts w:hint="eastAsia" w:ascii="宋体" w:hAnsi="宋体" w:eastAsia="宋体" w:cs="宋体"/>
          <w:color w:val="auto"/>
          <w:sz w:val="21"/>
          <w:szCs w:val="21"/>
          <w:highlight w:val="none"/>
          <w:lang w:val="en-US" w:eastAsia="zh-CN"/>
        </w:rPr>
        <w:t>是否收取履约保证金：</w:t>
      </w:r>
      <w:r>
        <w:rPr>
          <w:rFonts w:hint="eastAsia" w:ascii="宋体" w:hAnsi="宋体" w:eastAsia="宋体" w:cs="宋体"/>
          <w:color w:val="auto"/>
          <w:sz w:val="21"/>
          <w:szCs w:val="21"/>
          <w:highlight w:val="none"/>
        </w:rPr>
        <w:sym w:font="Wingdings" w:char="00A8"/>
      </w:r>
      <w:r>
        <w:rPr>
          <w:rFonts w:hint="eastAsia" w:ascii="宋体" w:hAnsi="宋体" w:eastAsia="宋体" w:cs="宋体"/>
          <w:color w:val="auto"/>
          <w:sz w:val="21"/>
          <w:szCs w:val="21"/>
          <w:highlight w:val="none"/>
          <w:lang w:eastAsia="zh-CN"/>
        </w:rPr>
        <w:t>是</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sym w:font="Wingdings" w:char="00A8"/>
      </w:r>
      <w:r>
        <w:rPr>
          <w:rFonts w:hint="eastAsia" w:ascii="宋体" w:hAnsi="宋体" w:eastAsia="宋体" w:cs="宋体"/>
          <w:color w:val="auto"/>
          <w:sz w:val="21"/>
          <w:szCs w:val="21"/>
          <w:highlight w:val="none"/>
          <w:lang w:eastAsia="zh-CN"/>
        </w:rPr>
        <w:t>否</w:t>
      </w:r>
    </w:p>
    <w:p w14:paraId="2F96A3FA">
      <w:pPr>
        <w:pStyle w:val="36"/>
        <w:spacing w:beforeLines="0"/>
        <w:rPr>
          <w:rFonts w:hint="eastAsia" w:ascii="宋体" w:hAnsi="宋体" w:eastAsia="宋体" w:cs="宋体"/>
          <w:color w:val="auto"/>
          <w:sz w:val="21"/>
          <w:szCs w:val="21"/>
          <w:highlight w:val="none"/>
          <w:lang w:val="en-US" w:eastAsia="zh-CN"/>
        </w:rPr>
      </w:pPr>
      <w:r>
        <w:rPr>
          <w:rFonts w:hint="eastAsia" w:ascii="宋体" w:hAnsi="宋体" w:eastAsia="宋体" w:cs="宋体"/>
          <w:bCs/>
          <w:color w:val="auto"/>
          <w:sz w:val="21"/>
          <w:szCs w:val="21"/>
          <w:highlight w:val="none"/>
          <w:u w:val="none"/>
          <w:lang w:val="en-US" w:eastAsia="zh-CN"/>
        </w:rPr>
        <w:t xml:space="preserve">  </w:t>
      </w:r>
      <w:r>
        <w:rPr>
          <w:rFonts w:hint="eastAsia" w:ascii="宋体" w:hAnsi="宋体" w:eastAsia="宋体" w:cs="宋体"/>
          <w:color w:val="auto"/>
          <w:sz w:val="21"/>
          <w:szCs w:val="21"/>
          <w:highlight w:val="none"/>
          <w:lang w:val="en-US" w:eastAsia="zh-CN"/>
        </w:rPr>
        <w:t xml:space="preserve">  收取履约保证金形式：</w:t>
      </w:r>
      <w:r>
        <w:rPr>
          <w:rFonts w:hint="eastAsia" w:ascii="宋体" w:hAnsi="宋体" w:eastAsia="宋体" w:cs="宋体"/>
          <w:bCs/>
          <w:color w:val="auto"/>
          <w:sz w:val="21"/>
          <w:szCs w:val="21"/>
          <w:highlight w:val="none"/>
          <w:u w:val="single"/>
        </w:rPr>
        <w:t xml:space="preserve">                            </w:t>
      </w:r>
    </w:p>
    <w:p w14:paraId="765CCFFC">
      <w:pPr>
        <w:pStyle w:val="36"/>
        <w:spacing w:beforeLine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收取履约保证金金额：</w:t>
      </w:r>
      <w:r>
        <w:rPr>
          <w:rFonts w:hint="eastAsia" w:ascii="宋体" w:hAnsi="宋体" w:eastAsia="宋体" w:cs="宋体"/>
          <w:bCs/>
          <w:color w:val="auto"/>
          <w:sz w:val="21"/>
          <w:szCs w:val="21"/>
          <w:highlight w:val="none"/>
          <w:u w:val="single"/>
        </w:rPr>
        <w:t xml:space="preserve">                            </w:t>
      </w:r>
    </w:p>
    <w:p w14:paraId="54E6FED6">
      <w:pPr>
        <w:snapToGrid w:val="0"/>
        <w:spacing w:beforeLines="0" w:line="40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bCs/>
          <w:color w:val="auto"/>
          <w:sz w:val="21"/>
          <w:szCs w:val="21"/>
          <w:highlight w:val="none"/>
          <w:u w:val="none"/>
          <w:lang w:val="en-US" w:eastAsia="zh-CN"/>
        </w:rPr>
        <w:t xml:space="preserve">    履约担保期限</w:t>
      </w:r>
      <w:r>
        <w:rPr>
          <w:rFonts w:hint="eastAsia" w:ascii="宋体" w:hAnsi="宋体" w:eastAsia="宋体" w:cs="宋体"/>
          <w:bCs/>
          <w:color w:val="auto"/>
          <w:sz w:val="21"/>
          <w:szCs w:val="21"/>
          <w:highlight w:val="none"/>
          <w:u w:val="none"/>
          <w:lang w:eastAsia="zh-CN"/>
        </w:rPr>
        <w:t>：</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u w:val="single"/>
          <w:lang w:val="en-US" w:eastAsia="zh-CN"/>
        </w:rPr>
        <w:t xml:space="preserve">                     </w:t>
      </w:r>
      <w:r>
        <w:rPr>
          <w:rFonts w:hint="eastAsia" w:ascii="宋体" w:hAnsi="宋体" w:eastAsia="宋体" w:cs="宋体"/>
          <w:bCs/>
          <w:color w:val="auto"/>
          <w:sz w:val="21"/>
          <w:szCs w:val="21"/>
          <w:highlight w:val="none"/>
          <w:u w:val="single"/>
        </w:rPr>
        <w:t xml:space="preserve">       </w:t>
      </w:r>
    </w:p>
    <w:p w14:paraId="1D28DC4A">
      <w:pPr>
        <w:adjustRightInd w:val="0"/>
        <w:snapToGrid w:val="0"/>
        <w:spacing w:before="0" w:beforeLines="0" w:line="40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（4）分期履行要求：</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u w:val="single"/>
          <w:lang w:val="en-US" w:eastAsia="zh-CN"/>
        </w:rPr>
        <w:t xml:space="preserve">    </w:t>
      </w:r>
      <w:r>
        <w:rPr>
          <w:rFonts w:hint="eastAsia" w:ascii="宋体" w:hAnsi="宋体" w:eastAsia="宋体" w:cs="宋体"/>
          <w:bCs/>
          <w:color w:val="auto"/>
          <w:sz w:val="21"/>
          <w:szCs w:val="21"/>
          <w:highlight w:val="none"/>
          <w:u w:val="single"/>
        </w:rPr>
        <w:t xml:space="preserve"> </w:t>
      </w:r>
    </w:p>
    <w:p w14:paraId="67696B2E">
      <w:pPr>
        <w:adjustRightInd w:val="0"/>
        <w:snapToGrid w:val="0"/>
        <w:spacing w:before="0" w:beforeLines="0" w:line="40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bCs/>
          <w:color w:val="auto"/>
          <w:sz w:val="21"/>
          <w:szCs w:val="21"/>
          <w:highlight w:val="none"/>
        </w:rPr>
        <w:t>（5）</w:t>
      </w:r>
      <w:r>
        <w:rPr>
          <w:rFonts w:hint="eastAsia" w:ascii="宋体" w:hAnsi="宋体" w:eastAsia="宋体" w:cs="宋体"/>
          <w:bCs/>
          <w:color w:val="auto"/>
          <w:sz w:val="21"/>
          <w:szCs w:val="21"/>
          <w:highlight w:val="none"/>
          <w:lang w:eastAsia="zh-CN"/>
        </w:rPr>
        <w:t>风险处置措施和替代方案</w:t>
      </w:r>
      <w:r>
        <w:rPr>
          <w:rFonts w:hint="eastAsia" w:ascii="宋体" w:hAnsi="宋体" w:eastAsia="宋体" w:cs="宋体"/>
          <w:bCs/>
          <w:color w:val="auto"/>
          <w:sz w:val="21"/>
          <w:szCs w:val="21"/>
          <w:highlight w:val="none"/>
        </w:rPr>
        <w:t>：</w:t>
      </w:r>
      <w:r>
        <w:rPr>
          <w:rFonts w:hint="eastAsia" w:ascii="宋体" w:hAnsi="宋体" w:eastAsia="宋体" w:cs="宋体"/>
          <w:color w:val="auto"/>
          <w:sz w:val="21"/>
          <w:szCs w:val="21"/>
          <w:highlight w:val="none"/>
          <w:u w:val="single"/>
        </w:rPr>
        <w:t xml:space="preserve">                                                               </w:t>
      </w:r>
    </w:p>
    <w:p w14:paraId="08A769C1">
      <w:pPr>
        <w:numPr>
          <w:ilvl w:val="0"/>
          <w:numId w:val="12"/>
        </w:numPr>
        <w:adjustRightInd w:val="0"/>
        <w:snapToGrid w:val="0"/>
        <w:spacing w:before="0" w:beforeLines="0" w:line="40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合同验收</w:t>
      </w:r>
    </w:p>
    <w:p w14:paraId="06898485">
      <w:pPr>
        <w:numPr>
          <w:ilvl w:val="0"/>
          <w:numId w:val="14"/>
        </w:numPr>
        <w:adjustRightInd w:val="0"/>
        <w:snapToGrid w:val="0"/>
        <w:spacing w:before="0" w:beforeLines="0" w:line="40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验收组织方式：</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 xml:space="preserve">自行组织 </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委托第三方组织</w:t>
      </w:r>
    </w:p>
    <w:p w14:paraId="12679905">
      <w:pPr>
        <w:numPr>
          <w:ilvl w:val="0"/>
          <w:numId w:val="0"/>
        </w:numPr>
        <w:adjustRightInd w:val="0"/>
        <w:snapToGrid w:val="0"/>
        <w:spacing w:before="0" w:beforeLines="0" w:line="40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 xml:space="preserve">         </w:t>
      </w:r>
      <w:r>
        <w:rPr>
          <w:rFonts w:hint="eastAsia" w:ascii="宋体" w:hAnsi="宋体" w:eastAsia="宋体" w:cs="宋体"/>
          <w:bCs/>
          <w:color w:val="auto"/>
          <w:sz w:val="21"/>
          <w:szCs w:val="21"/>
          <w:highlight w:val="none"/>
        </w:rPr>
        <w:t>验收主体：</w:t>
      </w:r>
      <w:r>
        <w:rPr>
          <w:rFonts w:hint="eastAsia" w:ascii="宋体" w:hAnsi="宋体" w:eastAsia="宋体" w:cs="宋体"/>
          <w:bCs/>
          <w:color w:val="auto"/>
          <w:sz w:val="21"/>
          <w:szCs w:val="21"/>
          <w:highlight w:val="none"/>
          <w:u w:val="single"/>
        </w:rPr>
        <w:t xml:space="preserve">                  </w:t>
      </w:r>
    </w:p>
    <w:p w14:paraId="0E278AF1">
      <w:pPr>
        <w:adjustRightInd w:val="0"/>
        <w:snapToGrid w:val="0"/>
        <w:spacing w:before="0" w:beforeLines="0" w:line="400" w:lineRule="exact"/>
        <w:ind w:firstLine="0" w:firstLineChars="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 xml:space="preserve">        </w:t>
      </w:r>
      <w:r>
        <w:rPr>
          <w:rFonts w:hint="eastAsia" w:ascii="宋体" w:hAnsi="宋体" w:eastAsia="宋体" w:cs="宋体"/>
          <w:bCs/>
          <w:color w:val="auto"/>
          <w:sz w:val="21"/>
          <w:szCs w:val="21"/>
          <w:highlight w:val="none"/>
        </w:rPr>
        <w:t>是否邀请本项目的其他供应商</w:t>
      </w:r>
      <w:r>
        <w:rPr>
          <w:rFonts w:hint="eastAsia" w:ascii="宋体" w:hAnsi="宋体" w:eastAsia="宋体" w:cs="宋体"/>
          <w:bCs/>
          <w:color w:val="auto"/>
          <w:sz w:val="21"/>
          <w:szCs w:val="21"/>
          <w:highlight w:val="none"/>
          <w:lang w:eastAsia="zh-CN"/>
        </w:rPr>
        <w:t>参加验收</w:t>
      </w:r>
      <w:r>
        <w:rPr>
          <w:rFonts w:hint="eastAsia" w:ascii="宋体" w:hAnsi="宋体" w:eastAsia="宋体" w:cs="宋体"/>
          <w:bCs/>
          <w:color w:val="auto"/>
          <w:sz w:val="21"/>
          <w:szCs w:val="21"/>
          <w:highlight w:val="none"/>
        </w:rPr>
        <w:t>：</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 xml:space="preserve">是  </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否</w:t>
      </w:r>
    </w:p>
    <w:p w14:paraId="3B8CF6DF">
      <w:pPr>
        <w:adjustRightInd w:val="0"/>
        <w:snapToGrid w:val="0"/>
        <w:spacing w:before="0" w:beforeLines="0" w:line="400" w:lineRule="exact"/>
        <w:ind w:firstLine="840" w:firstLineChars="4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是否邀请专家</w:t>
      </w:r>
      <w:r>
        <w:rPr>
          <w:rFonts w:hint="eastAsia" w:ascii="宋体" w:hAnsi="宋体" w:eastAsia="宋体" w:cs="宋体"/>
          <w:bCs/>
          <w:color w:val="auto"/>
          <w:sz w:val="21"/>
          <w:szCs w:val="21"/>
          <w:highlight w:val="none"/>
          <w:lang w:eastAsia="zh-CN"/>
        </w:rPr>
        <w:t>参加验收</w:t>
      </w:r>
      <w:r>
        <w:rPr>
          <w:rFonts w:hint="eastAsia" w:ascii="宋体" w:hAnsi="宋体" w:eastAsia="宋体" w:cs="宋体"/>
          <w:bCs/>
          <w:color w:val="auto"/>
          <w:sz w:val="21"/>
          <w:szCs w:val="21"/>
          <w:highlight w:val="none"/>
        </w:rPr>
        <w:t>：</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 xml:space="preserve">是  </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否</w:t>
      </w:r>
    </w:p>
    <w:p w14:paraId="53FE791D">
      <w:pPr>
        <w:adjustRightInd w:val="0"/>
        <w:snapToGrid w:val="0"/>
        <w:spacing w:before="0" w:beforeLines="0" w:line="400" w:lineRule="exact"/>
        <w:ind w:firstLine="840" w:firstLineChars="4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是否邀请服务对象</w:t>
      </w:r>
      <w:r>
        <w:rPr>
          <w:rFonts w:hint="eastAsia" w:ascii="宋体" w:hAnsi="宋体" w:eastAsia="宋体" w:cs="宋体"/>
          <w:bCs/>
          <w:color w:val="auto"/>
          <w:sz w:val="21"/>
          <w:szCs w:val="21"/>
          <w:highlight w:val="none"/>
          <w:lang w:eastAsia="zh-CN"/>
        </w:rPr>
        <w:t>参加验收</w:t>
      </w:r>
      <w:r>
        <w:rPr>
          <w:rFonts w:hint="eastAsia" w:ascii="宋体" w:hAnsi="宋体" w:eastAsia="宋体" w:cs="宋体"/>
          <w:bCs/>
          <w:color w:val="auto"/>
          <w:sz w:val="21"/>
          <w:szCs w:val="21"/>
          <w:highlight w:val="none"/>
        </w:rPr>
        <w:t>：</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 xml:space="preserve">是  </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否</w:t>
      </w:r>
    </w:p>
    <w:p w14:paraId="312F90D6">
      <w:pPr>
        <w:adjustRightInd w:val="0"/>
        <w:snapToGrid w:val="0"/>
        <w:spacing w:before="0" w:beforeLines="0" w:line="400" w:lineRule="exact"/>
        <w:ind w:firstLine="840" w:firstLineChars="4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是否邀请第三方检测机构</w:t>
      </w:r>
      <w:r>
        <w:rPr>
          <w:rFonts w:hint="eastAsia" w:ascii="宋体" w:hAnsi="宋体" w:eastAsia="宋体" w:cs="宋体"/>
          <w:bCs/>
          <w:color w:val="auto"/>
          <w:sz w:val="21"/>
          <w:szCs w:val="21"/>
          <w:highlight w:val="none"/>
          <w:lang w:eastAsia="zh-CN"/>
        </w:rPr>
        <w:t>参加验收</w:t>
      </w:r>
      <w:r>
        <w:rPr>
          <w:rFonts w:hint="eastAsia" w:ascii="宋体" w:hAnsi="宋体" w:eastAsia="宋体" w:cs="宋体"/>
          <w:bCs/>
          <w:color w:val="auto"/>
          <w:sz w:val="21"/>
          <w:szCs w:val="21"/>
          <w:highlight w:val="none"/>
        </w:rPr>
        <w:t>：</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 xml:space="preserve">是  </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否</w:t>
      </w:r>
    </w:p>
    <w:p w14:paraId="411CB732">
      <w:pPr>
        <w:adjustRightInd w:val="0"/>
        <w:snapToGrid w:val="0"/>
        <w:spacing w:before="0" w:beforeLines="0" w:line="400" w:lineRule="exact"/>
        <w:ind w:firstLine="840" w:firstLineChars="4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eastAsia="zh-CN"/>
        </w:rPr>
        <w:t>是否进行抽查检测：</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是</w:t>
      </w:r>
      <w:r>
        <w:rPr>
          <w:rFonts w:hint="eastAsia" w:ascii="宋体" w:hAnsi="宋体" w:eastAsia="宋体" w:cs="宋体"/>
          <w:bCs/>
          <w:color w:val="auto"/>
          <w:sz w:val="21"/>
          <w:szCs w:val="21"/>
          <w:highlight w:val="none"/>
          <w:lang w:eastAsia="zh-CN"/>
        </w:rPr>
        <w:t>，抽查比例：</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u w:val="single"/>
          <w:lang w:val="en-US" w:eastAsia="zh-CN"/>
        </w:rPr>
        <w:t xml:space="preserve">     </w:t>
      </w:r>
      <w:r>
        <w:rPr>
          <w:rFonts w:hint="eastAsia" w:ascii="宋体" w:hAnsi="宋体" w:eastAsia="宋体" w:cs="宋体"/>
          <w:bCs/>
          <w:color w:val="auto"/>
          <w:sz w:val="21"/>
          <w:szCs w:val="21"/>
          <w:highlight w:val="none"/>
        </w:rPr>
        <w:t xml:space="preserve"> </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否</w:t>
      </w:r>
    </w:p>
    <w:p w14:paraId="451EC1EF">
      <w:pPr>
        <w:adjustRightInd w:val="0"/>
        <w:snapToGrid w:val="0"/>
        <w:spacing w:before="0" w:beforeLines="0" w:line="400" w:lineRule="exact"/>
        <w:ind w:firstLine="840" w:firstLineChars="400"/>
        <w:rPr>
          <w:rFonts w:hint="eastAsia" w:ascii="宋体" w:hAnsi="宋体" w:eastAsia="宋体" w:cs="宋体"/>
          <w:bCs/>
          <w:color w:val="auto"/>
          <w:sz w:val="21"/>
          <w:szCs w:val="21"/>
          <w:highlight w:val="none"/>
          <w:u w:val="single"/>
          <w:lang w:eastAsia="zh-CN"/>
        </w:rPr>
      </w:pPr>
      <w:r>
        <w:rPr>
          <w:rFonts w:hint="eastAsia" w:ascii="宋体" w:hAnsi="宋体" w:eastAsia="宋体" w:cs="宋体"/>
          <w:bCs/>
          <w:color w:val="auto"/>
          <w:sz w:val="21"/>
          <w:szCs w:val="21"/>
          <w:highlight w:val="none"/>
          <w:lang w:val="en-US" w:eastAsia="zh-CN"/>
        </w:rPr>
        <w:t>是否存在破坏性检测：</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是</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u w:val="single"/>
          <w:lang w:eastAsia="zh-CN"/>
        </w:rPr>
        <w:t>（应明确对被破坏的检测产品的处理方式）</w:t>
      </w:r>
    </w:p>
    <w:p w14:paraId="6F575199">
      <w:pPr>
        <w:adjustRightInd w:val="0"/>
        <w:snapToGrid w:val="0"/>
        <w:spacing w:before="0" w:beforeLines="0" w:line="400" w:lineRule="exact"/>
        <w:ind w:firstLine="840" w:firstLineChars="400"/>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 xml:space="preserve">                    </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否</w:t>
      </w:r>
    </w:p>
    <w:p w14:paraId="713A6911">
      <w:pPr>
        <w:adjustRightInd w:val="0"/>
        <w:snapToGrid w:val="0"/>
        <w:spacing w:before="0" w:beforeLines="0" w:line="400" w:lineRule="exact"/>
        <w:ind w:firstLine="840" w:firstLineChars="400"/>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验收组织的其他事项：</w:t>
      </w:r>
      <w:r>
        <w:rPr>
          <w:rFonts w:hint="eastAsia" w:ascii="宋体" w:hAnsi="宋体" w:eastAsia="宋体" w:cs="宋体"/>
          <w:bCs/>
          <w:color w:val="auto"/>
          <w:sz w:val="21"/>
          <w:szCs w:val="21"/>
          <w:highlight w:val="none"/>
          <w:u w:val="single"/>
        </w:rPr>
        <w:t xml:space="preserve">                </w:t>
      </w:r>
    </w:p>
    <w:p w14:paraId="34F035FE">
      <w:pPr>
        <w:adjustRightInd w:val="0"/>
        <w:snapToGrid w:val="0"/>
        <w:spacing w:before="0" w:beforeLines="0" w:line="400" w:lineRule="exact"/>
        <w:ind w:firstLine="420" w:firstLineChars="200"/>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（2）履约验收时间：</w:t>
      </w:r>
      <w:r>
        <w:rPr>
          <w:rFonts w:hint="eastAsia" w:ascii="宋体" w:hAnsi="宋体" w:eastAsia="宋体" w:cs="宋体"/>
          <w:bCs/>
          <w:color w:val="auto"/>
          <w:sz w:val="21"/>
          <w:szCs w:val="21"/>
          <w:highlight w:val="none"/>
          <w:u w:val="single"/>
        </w:rPr>
        <w:t>（计划于何时验收/供应商提出验收申请之日起   日内组织验收）</w:t>
      </w:r>
      <w:r>
        <w:rPr>
          <w:rFonts w:hint="eastAsia" w:ascii="宋体" w:hAnsi="宋体" w:eastAsia="宋体" w:cs="宋体"/>
          <w:bCs/>
          <w:color w:val="auto"/>
          <w:sz w:val="21"/>
          <w:szCs w:val="21"/>
          <w:highlight w:val="none"/>
          <w:u w:val="single"/>
          <w:lang w:val="en-US" w:eastAsia="zh-CN"/>
        </w:rPr>
        <w:t xml:space="preserve"> </w:t>
      </w:r>
    </w:p>
    <w:p w14:paraId="7AAAB0FB">
      <w:pPr>
        <w:adjustRightInd w:val="0"/>
        <w:snapToGrid w:val="0"/>
        <w:spacing w:before="0" w:beforeLines="0" w:line="40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（3）履约验收方式：</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 xml:space="preserve">一次性验收         </w:t>
      </w:r>
    </w:p>
    <w:p w14:paraId="730E481A">
      <w:pPr>
        <w:adjustRightInd w:val="0"/>
        <w:snapToGrid w:val="0"/>
        <w:spacing w:before="0" w:beforeLines="0" w:line="400" w:lineRule="exact"/>
        <w:ind w:firstLine="0" w:firstLineChars="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 xml:space="preserve">                       </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分期/分项验收</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u w:val="single"/>
          <w:lang w:eastAsia="zh-CN"/>
        </w:rPr>
        <w:t>（应明确分期</w:t>
      </w:r>
      <w:r>
        <w:rPr>
          <w:rFonts w:hint="eastAsia" w:ascii="宋体" w:hAnsi="宋体" w:eastAsia="宋体" w:cs="宋体"/>
          <w:bCs/>
          <w:color w:val="auto"/>
          <w:sz w:val="21"/>
          <w:szCs w:val="21"/>
          <w:highlight w:val="none"/>
          <w:u w:val="single"/>
          <w:lang w:val="en" w:eastAsia="zh-CN"/>
        </w:rPr>
        <w:t>/分项验收的工作安排</w:t>
      </w:r>
      <w:r>
        <w:rPr>
          <w:rFonts w:hint="eastAsia" w:ascii="宋体" w:hAnsi="宋体" w:eastAsia="宋体" w:cs="宋体"/>
          <w:bCs/>
          <w:color w:val="auto"/>
          <w:sz w:val="21"/>
          <w:szCs w:val="21"/>
          <w:highlight w:val="none"/>
          <w:u w:val="single"/>
          <w:lang w:eastAsia="zh-CN"/>
        </w:rPr>
        <w:t>）</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u w:val="single"/>
          <w:lang w:val="en-US" w:eastAsia="zh-CN"/>
        </w:rPr>
        <w:t xml:space="preserve"> </w:t>
      </w:r>
    </w:p>
    <w:p w14:paraId="5FED00E5">
      <w:pPr>
        <w:adjustRightInd w:val="0"/>
        <w:snapToGrid w:val="0"/>
        <w:spacing w:before="0" w:beforeLines="0" w:line="40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（4）履约验收程序：</w:t>
      </w:r>
      <w:r>
        <w:rPr>
          <w:rFonts w:hint="eastAsia" w:ascii="宋体" w:hAnsi="宋体" w:eastAsia="宋体" w:cs="宋体"/>
          <w:bCs/>
          <w:color w:val="auto"/>
          <w:sz w:val="21"/>
          <w:szCs w:val="21"/>
          <w:highlight w:val="none"/>
          <w:u w:val="single"/>
        </w:rPr>
        <w:t xml:space="preserve">                                         </w:t>
      </w:r>
    </w:p>
    <w:p w14:paraId="1036A9B1">
      <w:pPr>
        <w:adjustRightInd w:val="0"/>
        <w:snapToGrid w:val="0"/>
        <w:spacing w:before="0" w:beforeLines="0" w:line="400" w:lineRule="exact"/>
        <w:ind w:firstLine="420" w:firstLineChars="200"/>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（5）履约验收的内容：</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u w:val="single"/>
          <w:lang w:eastAsia="zh-CN"/>
        </w:rPr>
        <w:t>（应当包括每一项技术和商务要求的履约情况，特别是落实政府采购扶持中小企业，支持绿色发展和乡村振兴等政策情况）</w:t>
      </w:r>
      <w:r>
        <w:rPr>
          <w:rFonts w:hint="eastAsia" w:ascii="宋体" w:hAnsi="宋体" w:eastAsia="宋体" w:cs="宋体"/>
          <w:bCs/>
          <w:color w:val="auto"/>
          <w:sz w:val="21"/>
          <w:szCs w:val="21"/>
          <w:highlight w:val="none"/>
          <w:u w:val="single"/>
        </w:rPr>
        <w:t xml:space="preserve">                                      </w:t>
      </w:r>
    </w:p>
    <w:p w14:paraId="004A39AB">
      <w:pPr>
        <w:adjustRightInd w:val="0"/>
        <w:snapToGrid w:val="0"/>
        <w:spacing w:before="0" w:beforeLines="0" w:line="400" w:lineRule="exact"/>
        <w:ind w:firstLine="420" w:firstLineChars="200"/>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（6）履约验收标准：</w:t>
      </w:r>
      <w:r>
        <w:rPr>
          <w:rFonts w:hint="eastAsia" w:ascii="宋体" w:hAnsi="宋体" w:eastAsia="宋体" w:cs="宋体"/>
          <w:bCs/>
          <w:color w:val="auto"/>
          <w:sz w:val="21"/>
          <w:szCs w:val="21"/>
          <w:highlight w:val="none"/>
          <w:u w:val="single"/>
        </w:rPr>
        <w:t xml:space="preserve">                                         </w:t>
      </w:r>
    </w:p>
    <w:p w14:paraId="09FF201C">
      <w:pPr>
        <w:pStyle w:val="36"/>
        <w:spacing w:beforeLines="0"/>
        <w:rPr>
          <w:rFonts w:hint="eastAsia" w:ascii="宋体" w:hAnsi="宋体" w:eastAsia="宋体" w:cs="宋体"/>
          <w:color w:val="auto"/>
          <w:sz w:val="21"/>
          <w:szCs w:val="21"/>
          <w:highlight w:val="none"/>
          <w:lang w:eastAsia="zh-CN"/>
        </w:rPr>
      </w:pPr>
      <w:r>
        <w:rPr>
          <w:rFonts w:hint="eastAsia" w:ascii="宋体" w:hAnsi="宋体" w:eastAsia="宋体" w:cs="宋体"/>
          <w:bCs/>
          <w:color w:val="auto"/>
          <w:sz w:val="21"/>
          <w:szCs w:val="21"/>
          <w:highlight w:val="none"/>
          <w:u w:val="none"/>
          <w:lang w:eastAsia="zh-CN"/>
        </w:rPr>
        <w:t>（</w:t>
      </w:r>
      <w:r>
        <w:rPr>
          <w:rFonts w:hint="eastAsia" w:ascii="宋体" w:hAnsi="宋体" w:eastAsia="宋体" w:cs="宋体"/>
          <w:bCs/>
          <w:color w:val="auto"/>
          <w:sz w:val="21"/>
          <w:szCs w:val="21"/>
          <w:highlight w:val="none"/>
          <w:u w:val="none"/>
          <w:lang w:val="en-US" w:eastAsia="zh-CN"/>
        </w:rPr>
        <w:t>7</w:t>
      </w:r>
      <w:r>
        <w:rPr>
          <w:rFonts w:hint="eastAsia" w:ascii="宋体" w:hAnsi="宋体" w:eastAsia="宋体" w:cs="宋体"/>
          <w:bCs/>
          <w:color w:val="auto"/>
          <w:sz w:val="21"/>
          <w:szCs w:val="21"/>
          <w:highlight w:val="none"/>
          <w:u w:val="none"/>
          <w:lang w:eastAsia="zh-CN"/>
        </w:rPr>
        <w:t>）是否以采购活动中供应商提供的样品作为参考：</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 xml:space="preserve">是  </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否</w:t>
      </w:r>
    </w:p>
    <w:p w14:paraId="6B31070E">
      <w:pPr>
        <w:adjustRightInd w:val="0"/>
        <w:snapToGrid w:val="0"/>
        <w:spacing w:before="0" w:beforeLines="0" w:line="400" w:lineRule="exact"/>
        <w:ind w:firstLine="420" w:firstLineChars="200"/>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（8）履约验收其他事项：</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i w:val="0"/>
          <w:iCs w:val="0"/>
          <w:color w:val="auto"/>
          <w:sz w:val="21"/>
          <w:szCs w:val="21"/>
          <w:highlight w:val="none"/>
          <w:u w:val="single"/>
        </w:rPr>
        <w:t>（产权过户登记等）</w:t>
      </w:r>
      <w:r>
        <w:rPr>
          <w:rFonts w:hint="eastAsia" w:ascii="宋体" w:hAnsi="宋体" w:eastAsia="宋体" w:cs="宋体"/>
          <w:bCs/>
          <w:color w:val="auto"/>
          <w:sz w:val="21"/>
          <w:szCs w:val="21"/>
          <w:highlight w:val="none"/>
          <w:u w:val="single"/>
        </w:rPr>
        <w:t xml:space="preserve">          </w:t>
      </w:r>
    </w:p>
    <w:p w14:paraId="12D12B78">
      <w:pPr>
        <w:numPr>
          <w:ilvl w:val="0"/>
          <w:numId w:val="12"/>
        </w:numPr>
        <w:adjustRightInd w:val="0"/>
        <w:snapToGrid w:val="0"/>
        <w:spacing w:before="0" w:beforeLines="0" w:line="40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组成合同的文件</w:t>
      </w:r>
    </w:p>
    <w:p w14:paraId="64351A2D">
      <w:pPr>
        <w:adjustRightInd w:val="0"/>
        <w:snapToGrid w:val="0"/>
        <w:spacing w:before="0" w:beforeLines="0"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本协议书与下列文件一起构成合同文件，如下述文件之间有任何抵触、矛盾或歧义，应按以下顺序解释：</w:t>
      </w:r>
    </w:p>
    <w:p w14:paraId="68D4877D">
      <w:pPr>
        <w:adjustRightInd w:val="0"/>
        <w:snapToGrid w:val="0"/>
        <w:spacing w:before="0" w:beforeLines="0" w:line="400" w:lineRule="exact"/>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政府采购</w:t>
      </w:r>
      <w:r>
        <w:rPr>
          <w:rFonts w:hint="eastAsia" w:ascii="宋体" w:hAnsi="宋体" w:eastAsia="宋体" w:cs="宋体"/>
          <w:color w:val="auto"/>
          <w:sz w:val="21"/>
          <w:szCs w:val="21"/>
          <w:highlight w:val="none"/>
        </w:rPr>
        <w:t>合同协议书及其变更、补充</w:t>
      </w:r>
      <w:r>
        <w:rPr>
          <w:rFonts w:hint="eastAsia" w:ascii="宋体" w:hAnsi="宋体" w:eastAsia="宋体" w:cs="宋体"/>
          <w:color w:val="auto"/>
          <w:sz w:val="21"/>
          <w:szCs w:val="21"/>
          <w:highlight w:val="none"/>
          <w:lang w:eastAsia="zh-CN"/>
        </w:rPr>
        <w:t>协议</w:t>
      </w:r>
    </w:p>
    <w:p w14:paraId="44E38EF1">
      <w:pPr>
        <w:adjustRightInd w:val="0"/>
        <w:snapToGrid w:val="0"/>
        <w:spacing w:before="0" w:beforeLines="0"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）政府采购合同专用条款</w:t>
      </w:r>
    </w:p>
    <w:p w14:paraId="7E1D83EA">
      <w:pPr>
        <w:adjustRightInd w:val="0"/>
        <w:snapToGrid w:val="0"/>
        <w:spacing w:before="0" w:beforeLines="0"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）政府采购合同通用条款</w:t>
      </w:r>
    </w:p>
    <w:p w14:paraId="7FF12C16">
      <w:pPr>
        <w:adjustRightInd w:val="0"/>
        <w:snapToGrid w:val="0"/>
        <w:spacing w:before="0" w:beforeLines="0"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）中标</w:t>
      </w:r>
      <w:r>
        <w:rPr>
          <w:rFonts w:hint="eastAsia" w:ascii="宋体" w:hAnsi="宋体" w:eastAsia="宋体" w:cs="宋体"/>
          <w:color w:val="auto"/>
          <w:sz w:val="21"/>
          <w:szCs w:val="21"/>
          <w:highlight w:val="none"/>
          <w:lang w:eastAsia="zh-CN"/>
        </w:rPr>
        <w:t>（成交）</w:t>
      </w:r>
      <w:r>
        <w:rPr>
          <w:rFonts w:hint="eastAsia" w:ascii="宋体" w:hAnsi="宋体" w:eastAsia="宋体" w:cs="宋体"/>
          <w:color w:val="auto"/>
          <w:sz w:val="21"/>
          <w:szCs w:val="21"/>
          <w:highlight w:val="none"/>
        </w:rPr>
        <w:t>通知书</w:t>
      </w:r>
    </w:p>
    <w:p w14:paraId="7A560505">
      <w:pPr>
        <w:adjustRightInd w:val="0"/>
        <w:snapToGrid w:val="0"/>
        <w:spacing w:before="0" w:beforeLines="0"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）投标（响应）文件</w:t>
      </w:r>
    </w:p>
    <w:p w14:paraId="04975BDA">
      <w:pPr>
        <w:adjustRightInd w:val="0"/>
        <w:snapToGrid w:val="0"/>
        <w:spacing w:before="0" w:beforeLines="0"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（6）采购文件</w:t>
      </w:r>
    </w:p>
    <w:p w14:paraId="7372A09D">
      <w:pPr>
        <w:adjustRightInd w:val="0"/>
        <w:snapToGrid w:val="0"/>
        <w:spacing w:before="0" w:beforeLines="0"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（7）有关技术文件，图纸</w:t>
      </w:r>
    </w:p>
    <w:p w14:paraId="6712BEBD">
      <w:pPr>
        <w:pStyle w:val="36"/>
        <w:spacing w:beforeLines="0"/>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lang w:eastAsia="zh-CN"/>
        </w:rPr>
        <w:t>）</w:t>
      </w:r>
      <w:r>
        <w:rPr>
          <w:rFonts w:hint="eastAsia" w:ascii="宋体" w:hAnsi="宋体" w:eastAsia="宋体" w:cs="宋体"/>
          <w:bCs w:val="0"/>
          <w:color w:val="auto"/>
          <w:kern w:val="2"/>
          <w:sz w:val="21"/>
          <w:szCs w:val="21"/>
          <w:highlight w:val="none"/>
          <w:lang w:eastAsia="zh-CN"/>
        </w:rPr>
        <w:t>国家法律、行政法规和规章制度规定或合同约定的作为合同组成部分的其他文件</w:t>
      </w:r>
    </w:p>
    <w:p w14:paraId="26F77EB9">
      <w:pPr>
        <w:numPr>
          <w:ilvl w:val="0"/>
          <w:numId w:val="12"/>
        </w:numPr>
        <w:adjustRightInd w:val="0"/>
        <w:snapToGrid w:val="0"/>
        <w:spacing w:before="0" w:beforeLines="0" w:line="40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合同生效</w:t>
      </w:r>
    </w:p>
    <w:p w14:paraId="488CA610">
      <w:pPr>
        <w:adjustRightInd w:val="0"/>
        <w:snapToGrid w:val="0"/>
        <w:spacing w:before="0" w:beforeLines="0"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本合同自</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生效。</w:t>
      </w:r>
    </w:p>
    <w:p w14:paraId="15F85FF4">
      <w:pPr>
        <w:numPr>
          <w:ilvl w:val="0"/>
          <w:numId w:val="12"/>
        </w:numPr>
        <w:adjustRightInd w:val="0"/>
        <w:snapToGrid w:val="0"/>
        <w:spacing w:before="0" w:beforeLines="0" w:line="40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合同份数</w:t>
      </w:r>
    </w:p>
    <w:p w14:paraId="18997E31">
      <w:pPr>
        <w:adjustRightInd w:val="0"/>
        <w:snapToGrid w:val="0"/>
        <w:spacing w:before="0" w:beforeLines="0"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本合同一式</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执</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执</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份，均具有同等法律效力。</w:t>
      </w:r>
    </w:p>
    <w:p w14:paraId="0629D407">
      <w:pPr>
        <w:adjustRightInd w:val="0"/>
        <w:snapToGrid w:val="0"/>
        <w:spacing w:before="0" w:beforeLines="0"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合同订立时间：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2DF0FD02">
      <w:pPr>
        <w:adjustRightInd w:val="0"/>
        <w:snapToGrid w:val="0"/>
        <w:spacing w:before="0" w:beforeLines="0"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合同订立地点：</w:t>
      </w:r>
      <w:r>
        <w:rPr>
          <w:rFonts w:hint="eastAsia" w:ascii="宋体" w:hAnsi="宋体" w:eastAsia="宋体" w:cs="宋体"/>
          <w:color w:val="auto"/>
          <w:sz w:val="21"/>
          <w:szCs w:val="21"/>
          <w:highlight w:val="none"/>
          <w:u w:val="single"/>
        </w:rPr>
        <w:t xml:space="preserve">                           </w:t>
      </w:r>
    </w:p>
    <w:p w14:paraId="7CA56739">
      <w:pPr>
        <w:adjustRightInd w:val="0"/>
        <w:snapToGrid w:val="0"/>
        <w:spacing w:before="0" w:beforeLines="0"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附件：具体标</w:t>
      </w:r>
      <w:r>
        <w:rPr>
          <w:rFonts w:hint="eastAsia" w:ascii="宋体" w:hAnsi="宋体" w:eastAsia="宋体" w:cs="宋体"/>
          <w:color w:val="auto"/>
          <w:sz w:val="21"/>
          <w:szCs w:val="21"/>
          <w:highlight w:val="none"/>
          <w:lang w:eastAsia="zh-CN"/>
        </w:rPr>
        <w:t>的及其</w:t>
      </w:r>
      <w:r>
        <w:rPr>
          <w:rFonts w:hint="eastAsia" w:ascii="宋体" w:hAnsi="宋体" w:eastAsia="宋体" w:cs="宋体"/>
          <w:color w:val="auto"/>
          <w:sz w:val="21"/>
          <w:szCs w:val="21"/>
          <w:highlight w:val="none"/>
          <w:u w:val="none"/>
          <w:lang w:val="en-US" w:eastAsia="zh-CN"/>
        </w:rPr>
        <w:t>技术要求和商务要求</w:t>
      </w:r>
      <w:r>
        <w:rPr>
          <w:rFonts w:hint="eastAsia" w:ascii="宋体" w:hAnsi="宋体" w:eastAsia="宋体" w:cs="宋体"/>
          <w:color w:val="auto"/>
          <w:sz w:val="21"/>
          <w:szCs w:val="21"/>
          <w:highlight w:val="none"/>
        </w:rPr>
        <w:t>、联合</w:t>
      </w:r>
      <w:r>
        <w:rPr>
          <w:rFonts w:hint="eastAsia" w:cs="宋体"/>
          <w:color w:val="auto"/>
          <w:sz w:val="21"/>
          <w:szCs w:val="21"/>
          <w:highlight w:val="none"/>
          <w:lang w:val="en-US" w:eastAsia="zh-CN"/>
        </w:rPr>
        <w:t>体</w:t>
      </w:r>
      <w:r>
        <w:rPr>
          <w:rFonts w:hint="eastAsia" w:ascii="宋体" w:hAnsi="宋体" w:eastAsia="宋体" w:cs="宋体"/>
          <w:color w:val="auto"/>
          <w:sz w:val="21"/>
          <w:szCs w:val="21"/>
          <w:highlight w:val="none"/>
        </w:rPr>
        <w:t>协议</w:t>
      </w:r>
      <w:r>
        <w:rPr>
          <w:rFonts w:hint="eastAsia" w:cs="宋体"/>
          <w:color w:val="auto"/>
          <w:sz w:val="21"/>
          <w:szCs w:val="21"/>
          <w:highlight w:val="none"/>
          <w:lang w:val="en-US" w:eastAsia="zh-CN"/>
        </w:rPr>
        <w:t>书</w:t>
      </w:r>
      <w:r>
        <w:rPr>
          <w:rFonts w:hint="eastAsia" w:ascii="宋体" w:hAnsi="宋体" w:eastAsia="宋体" w:cs="宋体"/>
          <w:color w:val="auto"/>
          <w:sz w:val="21"/>
          <w:szCs w:val="21"/>
          <w:highlight w:val="none"/>
        </w:rPr>
        <w:t>、分包</w:t>
      </w:r>
      <w:r>
        <w:rPr>
          <w:rFonts w:hint="eastAsia" w:ascii="宋体" w:hAnsi="宋体" w:eastAsia="宋体" w:cs="宋体"/>
          <w:color w:val="auto"/>
          <w:sz w:val="21"/>
          <w:szCs w:val="21"/>
          <w:highlight w:val="none"/>
          <w:lang w:eastAsia="zh-CN"/>
        </w:rPr>
        <w:t>意向</w:t>
      </w:r>
      <w:r>
        <w:rPr>
          <w:rFonts w:hint="eastAsia" w:ascii="宋体" w:hAnsi="宋体" w:eastAsia="宋体" w:cs="宋体"/>
          <w:color w:val="auto"/>
          <w:sz w:val="21"/>
          <w:szCs w:val="21"/>
          <w:highlight w:val="none"/>
        </w:rPr>
        <w:t>协议</w:t>
      </w:r>
      <w:r>
        <w:rPr>
          <w:rFonts w:hint="eastAsia" w:cs="宋体"/>
          <w:color w:val="auto"/>
          <w:sz w:val="21"/>
          <w:szCs w:val="21"/>
          <w:highlight w:val="none"/>
          <w:lang w:val="en-US" w:eastAsia="zh-CN"/>
        </w:rPr>
        <w:t>书</w:t>
      </w:r>
      <w:r>
        <w:rPr>
          <w:rFonts w:hint="eastAsia" w:ascii="宋体" w:hAnsi="宋体" w:eastAsia="宋体" w:cs="宋体"/>
          <w:color w:val="auto"/>
          <w:sz w:val="21"/>
          <w:szCs w:val="21"/>
          <w:highlight w:val="none"/>
        </w:rPr>
        <w:t>等。</w:t>
      </w:r>
    </w:p>
    <w:p w14:paraId="0D129071">
      <w:pPr>
        <w:pStyle w:val="72"/>
        <w:rPr>
          <w:rFonts w:hint="eastAsia" w:ascii="宋体" w:hAnsi="宋体" w:eastAsia="宋体" w:cs="宋体"/>
          <w:color w:val="auto"/>
          <w:sz w:val="21"/>
          <w:szCs w:val="21"/>
          <w:highlight w:val="none"/>
        </w:rPr>
      </w:pPr>
    </w:p>
    <w:p w14:paraId="5CEC79C0">
      <w:pPr>
        <w:pStyle w:val="72"/>
        <w:rPr>
          <w:rFonts w:hint="eastAsia" w:ascii="宋体" w:hAnsi="宋体" w:eastAsia="宋体" w:cs="宋体"/>
          <w:color w:val="auto"/>
          <w:sz w:val="21"/>
          <w:szCs w:val="21"/>
          <w:highlight w:val="none"/>
        </w:rPr>
      </w:pPr>
    </w:p>
    <w:p w14:paraId="4FAD25FD">
      <w:pPr>
        <w:pStyle w:val="72"/>
        <w:rPr>
          <w:rFonts w:hint="eastAsia" w:ascii="宋体" w:hAnsi="宋体" w:eastAsia="宋体" w:cs="宋体"/>
          <w:color w:val="auto"/>
          <w:sz w:val="21"/>
          <w:szCs w:val="21"/>
          <w:highlight w:val="none"/>
        </w:rPr>
      </w:pPr>
    </w:p>
    <w:p w14:paraId="10A85BCA">
      <w:pPr>
        <w:pStyle w:val="72"/>
        <w:rPr>
          <w:rFonts w:hint="eastAsia" w:ascii="宋体" w:hAnsi="宋体" w:eastAsia="宋体" w:cs="宋体"/>
          <w:color w:val="auto"/>
          <w:sz w:val="21"/>
          <w:szCs w:val="21"/>
          <w:highlight w:val="none"/>
        </w:rPr>
      </w:pPr>
    </w:p>
    <w:p w14:paraId="75233267">
      <w:pPr>
        <w:pStyle w:val="72"/>
        <w:rPr>
          <w:rFonts w:hint="eastAsia" w:ascii="宋体" w:hAnsi="宋体" w:eastAsia="宋体" w:cs="宋体"/>
          <w:color w:val="auto"/>
          <w:sz w:val="21"/>
          <w:szCs w:val="21"/>
          <w:highlight w:val="none"/>
        </w:rPr>
      </w:pPr>
    </w:p>
    <w:p w14:paraId="5409D989">
      <w:pPr>
        <w:pStyle w:val="72"/>
        <w:rPr>
          <w:rFonts w:hint="eastAsia" w:ascii="宋体" w:hAnsi="宋体" w:eastAsia="宋体" w:cs="宋体"/>
          <w:color w:val="auto"/>
          <w:sz w:val="21"/>
          <w:szCs w:val="21"/>
          <w:highlight w:val="none"/>
        </w:rPr>
      </w:pPr>
    </w:p>
    <w:p w14:paraId="15B355E6">
      <w:pPr>
        <w:pStyle w:val="72"/>
        <w:rPr>
          <w:rFonts w:hint="eastAsia" w:ascii="宋体" w:hAnsi="宋体" w:eastAsia="宋体" w:cs="宋体"/>
          <w:color w:val="auto"/>
          <w:sz w:val="21"/>
          <w:szCs w:val="21"/>
          <w:highlight w:val="none"/>
        </w:rPr>
      </w:pPr>
    </w:p>
    <w:p w14:paraId="1BDFDC59">
      <w:pPr>
        <w:pStyle w:val="72"/>
        <w:rPr>
          <w:rFonts w:hint="eastAsia" w:ascii="宋体" w:hAnsi="宋体" w:eastAsia="宋体" w:cs="宋体"/>
          <w:color w:val="auto"/>
          <w:sz w:val="21"/>
          <w:szCs w:val="21"/>
          <w:highlight w:val="none"/>
        </w:rPr>
      </w:pPr>
    </w:p>
    <w:tbl>
      <w:tblPr>
        <w:tblStyle w:val="30"/>
        <w:tblW w:w="4868" w:type="pct"/>
        <w:tblInd w:w="10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145"/>
        <w:gridCol w:w="2053"/>
        <w:gridCol w:w="1978"/>
        <w:gridCol w:w="2121"/>
      </w:tblGrid>
      <w:tr w14:paraId="30EEA23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30" w:type="pct"/>
            <w:gridSpan w:val="2"/>
            <w:tcBorders>
              <w:bottom w:val="single" w:color="auto" w:sz="2" w:space="0"/>
              <w:right w:val="single" w:color="auto" w:sz="2" w:space="0"/>
            </w:tcBorders>
            <w:vAlign w:val="center"/>
          </w:tcPr>
          <w:p w14:paraId="122EEEC5">
            <w:pPr>
              <w:adjustRightInd w:val="0"/>
              <w:snapToGrid w:val="0"/>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甲方（采购人</w:t>
            </w:r>
            <w:r>
              <w:rPr>
                <w:rFonts w:hint="eastAsia" w:ascii="宋体" w:hAnsi="宋体" w:eastAsia="宋体" w:cs="宋体"/>
                <w:color w:val="auto"/>
                <w:sz w:val="21"/>
                <w:szCs w:val="21"/>
                <w:highlight w:val="none"/>
                <w:lang w:eastAsia="zh-CN"/>
              </w:rPr>
              <w:t>、受采购人委托签订合同的单位</w:t>
            </w:r>
            <w:r>
              <w:rPr>
                <w:rFonts w:hint="eastAsia" w:ascii="宋体" w:hAnsi="宋体" w:eastAsia="宋体" w:cs="宋体"/>
                <w:color w:val="auto"/>
                <w:sz w:val="21"/>
                <w:szCs w:val="21"/>
                <w:highlight w:val="none"/>
              </w:rPr>
              <w:t>或采购文件约定的合同甲方）</w:t>
            </w:r>
          </w:p>
        </w:tc>
        <w:tc>
          <w:tcPr>
            <w:tcW w:w="2469" w:type="pct"/>
            <w:gridSpan w:val="2"/>
            <w:tcBorders>
              <w:left w:val="single" w:color="auto" w:sz="2" w:space="0"/>
              <w:bottom w:val="single" w:color="auto" w:sz="2" w:space="0"/>
            </w:tcBorders>
            <w:vAlign w:val="center"/>
          </w:tcPr>
          <w:p w14:paraId="1ADB6644">
            <w:pPr>
              <w:adjustRightInd w:val="0"/>
              <w:snapToGrid w:val="0"/>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乙方（供应商）</w:t>
            </w:r>
          </w:p>
        </w:tc>
      </w:tr>
      <w:tr w14:paraId="73D34EF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293" w:type="pct"/>
            <w:tcBorders>
              <w:top w:val="single" w:color="auto" w:sz="2" w:space="0"/>
              <w:bottom w:val="single" w:color="auto" w:sz="2" w:space="0"/>
              <w:right w:val="single" w:color="auto" w:sz="2" w:space="0"/>
            </w:tcBorders>
            <w:vAlign w:val="center"/>
          </w:tcPr>
          <w:p w14:paraId="2893D5B0">
            <w:pPr>
              <w:adjustRightInd w:val="0"/>
              <w:snapToGrid w:val="0"/>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单位名称（公章</w:t>
            </w:r>
            <w:r>
              <w:rPr>
                <w:rFonts w:hint="eastAsia" w:ascii="宋体" w:hAnsi="宋体" w:eastAsia="宋体" w:cs="宋体"/>
                <w:color w:val="auto"/>
                <w:sz w:val="21"/>
                <w:szCs w:val="21"/>
                <w:highlight w:val="none"/>
                <w:lang w:eastAsia="zh-CN"/>
              </w:rPr>
              <w:t>或合同章</w:t>
            </w:r>
            <w:r>
              <w:rPr>
                <w:rFonts w:hint="eastAsia" w:ascii="宋体" w:hAnsi="宋体" w:eastAsia="宋体" w:cs="宋体"/>
                <w:color w:val="auto"/>
                <w:sz w:val="21"/>
                <w:szCs w:val="21"/>
                <w:highlight w:val="none"/>
              </w:rPr>
              <w:t>）</w:t>
            </w:r>
          </w:p>
        </w:tc>
        <w:tc>
          <w:tcPr>
            <w:tcW w:w="1236" w:type="pct"/>
            <w:tcBorders>
              <w:top w:val="single" w:color="auto" w:sz="2" w:space="0"/>
              <w:left w:val="single" w:color="auto" w:sz="2" w:space="0"/>
              <w:bottom w:val="single" w:color="auto" w:sz="2" w:space="0"/>
              <w:right w:val="single" w:color="auto" w:sz="2" w:space="0"/>
            </w:tcBorders>
            <w:vAlign w:val="center"/>
          </w:tcPr>
          <w:p w14:paraId="55E33E36">
            <w:pPr>
              <w:adjustRightInd w:val="0"/>
              <w:snapToGrid w:val="0"/>
              <w:spacing w:line="300" w:lineRule="exact"/>
              <w:jc w:val="center"/>
              <w:rPr>
                <w:rFonts w:hint="eastAsia" w:ascii="宋体" w:hAnsi="宋体" w:eastAsia="宋体" w:cs="宋体"/>
                <w:color w:val="auto"/>
                <w:sz w:val="21"/>
                <w:szCs w:val="21"/>
                <w:highlight w:val="none"/>
              </w:rPr>
            </w:pPr>
          </w:p>
        </w:tc>
        <w:tc>
          <w:tcPr>
            <w:tcW w:w="1192" w:type="pct"/>
            <w:tcBorders>
              <w:top w:val="single" w:color="auto" w:sz="2" w:space="0"/>
              <w:left w:val="single" w:color="auto" w:sz="2" w:space="0"/>
              <w:bottom w:val="single" w:color="auto" w:sz="2" w:space="0"/>
              <w:right w:val="single" w:color="auto" w:sz="2" w:space="0"/>
            </w:tcBorders>
            <w:vAlign w:val="center"/>
          </w:tcPr>
          <w:p w14:paraId="0CD156FD">
            <w:pPr>
              <w:adjustRightInd w:val="0"/>
              <w:snapToGrid w:val="0"/>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单位名称（公章</w:t>
            </w:r>
            <w:r>
              <w:rPr>
                <w:rFonts w:hint="eastAsia" w:ascii="宋体" w:hAnsi="宋体" w:eastAsia="宋体" w:cs="宋体"/>
                <w:color w:val="auto"/>
                <w:sz w:val="21"/>
                <w:szCs w:val="21"/>
                <w:highlight w:val="none"/>
                <w:lang w:eastAsia="zh-CN"/>
              </w:rPr>
              <w:t>或合同章</w:t>
            </w:r>
            <w:r>
              <w:rPr>
                <w:rFonts w:hint="eastAsia" w:ascii="宋体" w:hAnsi="宋体" w:eastAsia="宋体" w:cs="宋体"/>
                <w:color w:val="auto"/>
                <w:sz w:val="21"/>
                <w:szCs w:val="21"/>
                <w:highlight w:val="none"/>
              </w:rPr>
              <w:t>）</w:t>
            </w:r>
          </w:p>
        </w:tc>
        <w:tc>
          <w:tcPr>
            <w:tcW w:w="1277" w:type="pct"/>
            <w:tcBorders>
              <w:top w:val="single" w:color="auto" w:sz="2" w:space="0"/>
              <w:left w:val="single" w:color="auto" w:sz="2" w:space="0"/>
              <w:bottom w:val="single" w:color="auto" w:sz="2" w:space="0"/>
            </w:tcBorders>
            <w:vAlign w:val="center"/>
          </w:tcPr>
          <w:p w14:paraId="33BA3691">
            <w:pPr>
              <w:adjustRightInd w:val="0"/>
              <w:snapToGrid w:val="0"/>
              <w:spacing w:line="300" w:lineRule="exact"/>
              <w:jc w:val="center"/>
              <w:rPr>
                <w:rFonts w:hint="eastAsia" w:ascii="宋体" w:hAnsi="宋体" w:eastAsia="宋体" w:cs="宋体"/>
                <w:color w:val="auto"/>
                <w:spacing w:val="20"/>
                <w:sz w:val="21"/>
                <w:szCs w:val="21"/>
                <w:highlight w:val="none"/>
              </w:rPr>
            </w:pPr>
          </w:p>
        </w:tc>
      </w:tr>
      <w:tr w14:paraId="1AF345D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293" w:type="pct"/>
            <w:vMerge w:val="restart"/>
            <w:tcBorders>
              <w:top w:val="single" w:color="auto" w:sz="2" w:space="0"/>
              <w:right w:val="single" w:color="auto" w:sz="2" w:space="0"/>
            </w:tcBorders>
            <w:vAlign w:val="center"/>
          </w:tcPr>
          <w:p w14:paraId="36476D95">
            <w:pPr>
              <w:adjustRightInd w:val="0"/>
              <w:snapToGrid w:val="0"/>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p>
          <w:p w14:paraId="13B8614E">
            <w:pPr>
              <w:adjustRightInd w:val="0"/>
              <w:snapToGrid w:val="0"/>
              <w:spacing w:line="300" w:lineRule="exact"/>
              <w:ind w:firstLine="100" w:firstLineChars="4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或其委托代理人（签章）</w:t>
            </w:r>
          </w:p>
        </w:tc>
        <w:tc>
          <w:tcPr>
            <w:tcW w:w="1236" w:type="pct"/>
            <w:vMerge w:val="restart"/>
            <w:tcBorders>
              <w:top w:val="single" w:color="auto" w:sz="2" w:space="0"/>
              <w:left w:val="single" w:color="auto" w:sz="2" w:space="0"/>
              <w:right w:val="single" w:color="auto" w:sz="2" w:space="0"/>
            </w:tcBorders>
            <w:vAlign w:val="center"/>
          </w:tcPr>
          <w:p w14:paraId="1898CF89">
            <w:pPr>
              <w:adjustRightInd w:val="0"/>
              <w:snapToGrid w:val="0"/>
              <w:spacing w:line="300" w:lineRule="exact"/>
              <w:jc w:val="center"/>
              <w:rPr>
                <w:rFonts w:hint="eastAsia" w:ascii="宋体" w:hAnsi="宋体" w:eastAsia="宋体" w:cs="宋体"/>
                <w:color w:val="auto"/>
                <w:sz w:val="21"/>
                <w:szCs w:val="21"/>
                <w:highlight w:val="none"/>
              </w:rPr>
            </w:pPr>
          </w:p>
        </w:tc>
        <w:tc>
          <w:tcPr>
            <w:tcW w:w="1192" w:type="pct"/>
            <w:tcBorders>
              <w:top w:val="single" w:color="auto" w:sz="2" w:space="0"/>
              <w:left w:val="single" w:color="auto" w:sz="2" w:space="0"/>
              <w:right w:val="single" w:color="auto" w:sz="2" w:space="0"/>
            </w:tcBorders>
            <w:vAlign w:val="center"/>
          </w:tcPr>
          <w:p w14:paraId="5838F6CE">
            <w:pPr>
              <w:adjustRightInd w:val="0"/>
              <w:snapToGrid w:val="0"/>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p>
          <w:p w14:paraId="7DCF0669">
            <w:pPr>
              <w:adjustRightInd w:val="0"/>
              <w:snapToGrid w:val="0"/>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或其委托代理人（签章）</w:t>
            </w:r>
          </w:p>
        </w:tc>
        <w:tc>
          <w:tcPr>
            <w:tcW w:w="1277" w:type="pct"/>
            <w:tcBorders>
              <w:top w:val="single" w:color="auto" w:sz="2" w:space="0"/>
              <w:left w:val="single" w:color="auto" w:sz="2" w:space="0"/>
              <w:bottom w:val="single" w:color="auto" w:sz="2" w:space="0"/>
            </w:tcBorders>
            <w:vAlign w:val="center"/>
          </w:tcPr>
          <w:p w14:paraId="28DBBD99">
            <w:pPr>
              <w:adjustRightInd w:val="0"/>
              <w:snapToGrid w:val="0"/>
              <w:spacing w:line="300" w:lineRule="exact"/>
              <w:jc w:val="center"/>
              <w:rPr>
                <w:rFonts w:hint="eastAsia" w:ascii="宋体" w:hAnsi="宋体" w:eastAsia="宋体" w:cs="宋体"/>
                <w:color w:val="auto"/>
                <w:sz w:val="21"/>
                <w:szCs w:val="21"/>
                <w:highlight w:val="none"/>
              </w:rPr>
            </w:pPr>
          </w:p>
        </w:tc>
      </w:tr>
      <w:tr w14:paraId="73DF280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293" w:type="pct"/>
            <w:vMerge w:val="continue"/>
            <w:tcBorders>
              <w:bottom w:val="single" w:color="auto" w:sz="2" w:space="0"/>
              <w:right w:val="single" w:color="auto" w:sz="2" w:space="0"/>
            </w:tcBorders>
            <w:vAlign w:val="center"/>
          </w:tcPr>
          <w:p w14:paraId="79741DED">
            <w:pPr>
              <w:adjustRightInd w:val="0"/>
              <w:snapToGrid w:val="0"/>
              <w:spacing w:line="300" w:lineRule="exact"/>
              <w:jc w:val="center"/>
              <w:rPr>
                <w:rFonts w:hint="eastAsia" w:ascii="宋体" w:hAnsi="宋体" w:eastAsia="宋体" w:cs="宋体"/>
                <w:color w:val="auto"/>
                <w:sz w:val="21"/>
                <w:szCs w:val="21"/>
                <w:highlight w:val="none"/>
              </w:rPr>
            </w:pPr>
          </w:p>
        </w:tc>
        <w:tc>
          <w:tcPr>
            <w:tcW w:w="1236" w:type="pct"/>
            <w:vMerge w:val="continue"/>
            <w:tcBorders>
              <w:left w:val="single" w:color="auto" w:sz="2" w:space="0"/>
              <w:bottom w:val="single" w:color="auto" w:sz="2" w:space="0"/>
              <w:right w:val="single" w:color="auto" w:sz="2" w:space="0"/>
            </w:tcBorders>
            <w:vAlign w:val="center"/>
          </w:tcPr>
          <w:p w14:paraId="109C2527">
            <w:pPr>
              <w:adjustRightInd w:val="0"/>
              <w:snapToGrid w:val="0"/>
              <w:spacing w:line="300" w:lineRule="exact"/>
              <w:jc w:val="center"/>
              <w:rPr>
                <w:rFonts w:hint="eastAsia" w:ascii="宋体" w:hAnsi="宋体" w:eastAsia="宋体" w:cs="宋体"/>
                <w:color w:val="auto"/>
                <w:sz w:val="21"/>
                <w:szCs w:val="21"/>
                <w:highlight w:val="none"/>
              </w:rPr>
            </w:pPr>
          </w:p>
        </w:tc>
        <w:tc>
          <w:tcPr>
            <w:tcW w:w="1192" w:type="pct"/>
            <w:tcBorders>
              <w:top w:val="single" w:color="auto" w:sz="2" w:space="0"/>
              <w:left w:val="single" w:color="auto" w:sz="2" w:space="0"/>
              <w:bottom w:val="single" w:color="auto" w:sz="2" w:space="0"/>
              <w:right w:val="single" w:color="auto" w:sz="2" w:space="0"/>
            </w:tcBorders>
            <w:vAlign w:val="center"/>
          </w:tcPr>
          <w:p w14:paraId="5999D7D6">
            <w:pPr>
              <w:adjustRightInd w:val="0"/>
              <w:snapToGrid w:val="0"/>
              <w:spacing w:line="30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拥有者性别</w:t>
            </w:r>
          </w:p>
        </w:tc>
        <w:tc>
          <w:tcPr>
            <w:tcW w:w="1277" w:type="pct"/>
            <w:tcBorders>
              <w:top w:val="single" w:color="auto" w:sz="2" w:space="0"/>
              <w:left w:val="single" w:color="auto" w:sz="2" w:space="0"/>
              <w:bottom w:val="single" w:color="auto" w:sz="2" w:space="0"/>
            </w:tcBorders>
            <w:vAlign w:val="center"/>
          </w:tcPr>
          <w:p w14:paraId="4D49D8D4">
            <w:pPr>
              <w:adjustRightInd w:val="0"/>
              <w:snapToGrid w:val="0"/>
              <w:spacing w:line="300" w:lineRule="exact"/>
              <w:jc w:val="center"/>
              <w:rPr>
                <w:rFonts w:hint="eastAsia" w:ascii="宋体" w:hAnsi="宋体" w:eastAsia="宋体" w:cs="宋体"/>
                <w:color w:val="auto"/>
                <w:spacing w:val="20"/>
                <w:sz w:val="21"/>
                <w:szCs w:val="21"/>
                <w:highlight w:val="none"/>
              </w:rPr>
            </w:pPr>
          </w:p>
        </w:tc>
      </w:tr>
      <w:tr w14:paraId="06DB702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293" w:type="pct"/>
            <w:tcBorders>
              <w:top w:val="single" w:color="auto" w:sz="2" w:space="0"/>
              <w:bottom w:val="single" w:color="auto" w:sz="2" w:space="0"/>
              <w:right w:val="single" w:color="auto" w:sz="2" w:space="0"/>
            </w:tcBorders>
            <w:vAlign w:val="center"/>
          </w:tcPr>
          <w:p w14:paraId="4C781B48">
            <w:pPr>
              <w:adjustRightInd w:val="0"/>
              <w:snapToGrid w:val="0"/>
              <w:spacing w:line="30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住</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所</w:t>
            </w:r>
          </w:p>
        </w:tc>
        <w:tc>
          <w:tcPr>
            <w:tcW w:w="1236" w:type="pct"/>
            <w:tcBorders>
              <w:top w:val="single" w:color="auto" w:sz="2" w:space="0"/>
              <w:left w:val="single" w:color="auto" w:sz="2" w:space="0"/>
              <w:bottom w:val="single" w:color="auto" w:sz="2" w:space="0"/>
              <w:right w:val="single" w:color="auto" w:sz="2" w:space="0"/>
            </w:tcBorders>
            <w:vAlign w:val="center"/>
          </w:tcPr>
          <w:p w14:paraId="2944E6ED">
            <w:pPr>
              <w:adjustRightInd w:val="0"/>
              <w:snapToGrid w:val="0"/>
              <w:spacing w:line="300" w:lineRule="exact"/>
              <w:jc w:val="center"/>
              <w:rPr>
                <w:rFonts w:hint="eastAsia" w:ascii="宋体" w:hAnsi="宋体" w:eastAsia="宋体" w:cs="宋体"/>
                <w:color w:val="auto"/>
                <w:sz w:val="21"/>
                <w:szCs w:val="21"/>
                <w:highlight w:val="none"/>
              </w:rPr>
            </w:pPr>
          </w:p>
        </w:tc>
        <w:tc>
          <w:tcPr>
            <w:tcW w:w="1192" w:type="pct"/>
            <w:tcBorders>
              <w:top w:val="single" w:color="auto" w:sz="2" w:space="0"/>
              <w:left w:val="single" w:color="auto" w:sz="2" w:space="0"/>
              <w:bottom w:val="single" w:color="auto" w:sz="2" w:space="0"/>
              <w:right w:val="single" w:color="auto" w:sz="2" w:space="0"/>
            </w:tcBorders>
            <w:vAlign w:val="center"/>
          </w:tcPr>
          <w:p w14:paraId="7286588E">
            <w:pPr>
              <w:adjustRightInd w:val="0"/>
              <w:snapToGrid w:val="0"/>
              <w:spacing w:line="30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住</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所</w:t>
            </w:r>
          </w:p>
        </w:tc>
        <w:tc>
          <w:tcPr>
            <w:tcW w:w="1277" w:type="pct"/>
            <w:tcBorders>
              <w:top w:val="single" w:color="auto" w:sz="2" w:space="0"/>
              <w:left w:val="single" w:color="auto" w:sz="2" w:space="0"/>
              <w:bottom w:val="single" w:color="auto" w:sz="2" w:space="0"/>
            </w:tcBorders>
            <w:vAlign w:val="center"/>
          </w:tcPr>
          <w:p w14:paraId="099028D8">
            <w:pPr>
              <w:adjustRightInd w:val="0"/>
              <w:snapToGrid w:val="0"/>
              <w:spacing w:line="300" w:lineRule="exact"/>
              <w:jc w:val="center"/>
              <w:rPr>
                <w:rFonts w:hint="eastAsia" w:ascii="宋体" w:hAnsi="宋体" w:eastAsia="宋体" w:cs="宋体"/>
                <w:color w:val="auto"/>
                <w:spacing w:val="20"/>
                <w:sz w:val="21"/>
                <w:szCs w:val="21"/>
                <w:highlight w:val="none"/>
              </w:rPr>
            </w:pPr>
          </w:p>
        </w:tc>
      </w:tr>
      <w:tr w14:paraId="64298F7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293" w:type="pct"/>
            <w:tcBorders>
              <w:top w:val="single" w:color="auto" w:sz="2" w:space="0"/>
              <w:bottom w:val="single" w:color="auto" w:sz="2" w:space="0"/>
              <w:right w:val="single" w:color="auto" w:sz="2" w:space="0"/>
            </w:tcBorders>
            <w:vAlign w:val="center"/>
          </w:tcPr>
          <w:p w14:paraId="3BF37A91">
            <w:pPr>
              <w:adjustRightInd w:val="0"/>
              <w:snapToGrid w:val="0"/>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 系 人</w:t>
            </w:r>
          </w:p>
        </w:tc>
        <w:tc>
          <w:tcPr>
            <w:tcW w:w="1236" w:type="pct"/>
            <w:tcBorders>
              <w:top w:val="single" w:color="auto" w:sz="2" w:space="0"/>
              <w:left w:val="single" w:color="auto" w:sz="2" w:space="0"/>
              <w:bottom w:val="single" w:color="auto" w:sz="2" w:space="0"/>
              <w:right w:val="single" w:color="auto" w:sz="2" w:space="0"/>
            </w:tcBorders>
            <w:vAlign w:val="center"/>
          </w:tcPr>
          <w:p w14:paraId="21E566CF">
            <w:pPr>
              <w:adjustRightInd w:val="0"/>
              <w:snapToGrid w:val="0"/>
              <w:spacing w:line="300" w:lineRule="exact"/>
              <w:jc w:val="center"/>
              <w:rPr>
                <w:rFonts w:hint="eastAsia" w:ascii="宋体" w:hAnsi="宋体" w:eastAsia="宋体" w:cs="宋体"/>
                <w:color w:val="auto"/>
                <w:sz w:val="21"/>
                <w:szCs w:val="21"/>
                <w:highlight w:val="none"/>
              </w:rPr>
            </w:pPr>
          </w:p>
        </w:tc>
        <w:tc>
          <w:tcPr>
            <w:tcW w:w="1192" w:type="pct"/>
            <w:tcBorders>
              <w:top w:val="single" w:color="auto" w:sz="2" w:space="0"/>
              <w:left w:val="single" w:color="auto" w:sz="2" w:space="0"/>
              <w:bottom w:val="single" w:color="auto" w:sz="2" w:space="0"/>
              <w:right w:val="single" w:color="auto" w:sz="2" w:space="0"/>
            </w:tcBorders>
            <w:vAlign w:val="center"/>
          </w:tcPr>
          <w:p w14:paraId="1D2D0DC3">
            <w:pPr>
              <w:adjustRightInd w:val="0"/>
              <w:snapToGrid w:val="0"/>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 系 人</w:t>
            </w:r>
          </w:p>
        </w:tc>
        <w:tc>
          <w:tcPr>
            <w:tcW w:w="1277" w:type="pct"/>
            <w:tcBorders>
              <w:top w:val="single" w:color="auto" w:sz="2" w:space="0"/>
              <w:left w:val="single" w:color="auto" w:sz="2" w:space="0"/>
              <w:bottom w:val="single" w:color="auto" w:sz="2" w:space="0"/>
            </w:tcBorders>
            <w:vAlign w:val="center"/>
          </w:tcPr>
          <w:p w14:paraId="1D856A85">
            <w:pPr>
              <w:adjustRightInd w:val="0"/>
              <w:snapToGrid w:val="0"/>
              <w:spacing w:line="300" w:lineRule="exact"/>
              <w:jc w:val="center"/>
              <w:rPr>
                <w:rFonts w:hint="eastAsia" w:ascii="宋体" w:hAnsi="宋体" w:eastAsia="宋体" w:cs="宋体"/>
                <w:color w:val="auto"/>
                <w:spacing w:val="20"/>
                <w:sz w:val="21"/>
                <w:szCs w:val="21"/>
                <w:highlight w:val="none"/>
              </w:rPr>
            </w:pPr>
          </w:p>
        </w:tc>
      </w:tr>
      <w:tr w14:paraId="77E0987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293" w:type="pct"/>
            <w:tcBorders>
              <w:top w:val="single" w:color="auto" w:sz="2" w:space="0"/>
              <w:bottom w:val="single" w:color="auto" w:sz="2" w:space="0"/>
              <w:right w:val="single" w:color="auto" w:sz="2" w:space="0"/>
            </w:tcBorders>
            <w:vAlign w:val="center"/>
          </w:tcPr>
          <w:p w14:paraId="024CB895">
            <w:pPr>
              <w:adjustRightInd w:val="0"/>
              <w:snapToGrid w:val="0"/>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p>
        </w:tc>
        <w:tc>
          <w:tcPr>
            <w:tcW w:w="1236" w:type="pct"/>
            <w:tcBorders>
              <w:top w:val="single" w:color="auto" w:sz="2" w:space="0"/>
              <w:left w:val="single" w:color="auto" w:sz="2" w:space="0"/>
              <w:bottom w:val="single" w:color="auto" w:sz="2" w:space="0"/>
              <w:right w:val="single" w:color="auto" w:sz="2" w:space="0"/>
            </w:tcBorders>
            <w:vAlign w:val="center"/>
          </w:tcPr>
          <w:p w14:paraId="4C498000">
            <w:pPr>
              <w:adjustRightInd w:val="0"/>
              <w:snapToGrid w:val="0"/>
              <w:spacing w:line="300" w:lineRule="exact"/>
              <w:jc w:val="center"/>
              <w:rPr>
                <w:rFonts w:hint="eastAsia" w:ascii="宋体" w:hAnsi="宋体" w:eastAsia="宋体" w:cs="宋体"/>
                <w:color w:val="auto"/>
                <w:sz w:val="21"/>
                <w:szCs w:val="21"/>
                <w:highlight w:val="none"/>
              </w:rPr>
            </w:pPr>
          </w:p>
        </w:tc>
        <w:tc>
          <w:tcPr>
            <w:tcW w:w="1192" w:type="pct"/>
            <w:tcBorders>
              <w:top w:val="single" w:color="auto" w:sz="2" w:space="0"/>
              <w:left w:val="single" w:color="auto" w:sz="2" w:space="0"/>
              <w:bottom w:val="single" w:color="auto" w:sz="2" w:space="0"/>
              <w:right w:val="single" w:color="auto" w:sz="2" w:space="0"/>
            </w:tcBorders>
            <w:vAlign w:val="center"/>
          </w:tcPr>
          <w:p w14:paraId="7B4134DE">
            <w:pPr>
              <w:adjustRightInd w:val="0"/>
              <w:snapToGrid w:val="0"/>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p>
        </w:tc>
        <w:tc>
          <w:tcPr>
            <w:tcW w:w="1277" w:type="pct"/>
            <w:tcBorders>
              <w:top w:val="single" w:color="auto" w:sz="2" w:space="0"/>
              <w:left w:val="single" w:color="auto" w:sz="2" w:space="0"/>
              <w:bottom w:val="single" w:color="auto" w:sz="2" w:space="0"/>
            </w:tcBorders>
            <w:vAlign w:val="center"/>
          </w:tcPr>
          <w:p w14:paraId="701C890C">
            <w:pPr>
              <w:adjustRightInd w:val="0"/>
              <w:snapToGrid w:val="0"/>
              <w:spacing w:line="300" w:lineRule="exact"/>
              <w:jc w:val="center"/>
              <w:rPr>
                <w:rFonts w:hint="eastAsia" w:ascii="宋体" w:hAnsi="宋体" w:eastAsia="宋体" w:cs="宋体"/>
                <w:color w:val="auto"/>
                <w:spacing w:val="20"/>
                <w:sz w:val="21"/>
                <w:szCs w:val="21"/>
                <w:highlight w:val="none"/>
              </w:rPr>
            </w:pPr>
          </w:p>
        </w:tc>
      </w:tr>
      <w:tr w14:paraId="1179D0A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293" w:type="pct"/>
            <w:tcBorders>
              <w:top w:val="single" w:color="auto" w:sz="2" w:space="0"/>
              <w:bottom w:val="single" w:color="auto" w:sz="2" w:space="0"/>
              <w:right w:val="single" w:color="auto" w:sz="2" w:space="0"/>
            </w:tcBorders>
            <w:vAlign w:val="center"/>
          </w:tcPr>
          <w:p w14:paraId="6410AC1E">
            <w:pPr>
              <w:adjustRightInd w:val="0"/>
              <w:snapToGrid w:val="0"/>
              <w:spacing w:line="30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通信地址</w:t>
            </w:r>
          </w:p>
        </w:tc>
        <w:tc>
          <w:tcPr>
            <w:tcW w:w="1236" w:type="pct"/>
            <w:tcBorders>
              <w:top w:val="single" w:color="auto" w:sz="2" w:space="0"/>
              <w:left w:val="single" w:color="auto" w:sz="2" w:space="0"/>
              <w:bottom w:val="single" w:color="auto" w:sz="2" w:space="0"/>
              <w:right w:val="single" w:color="auto" w:sz="2" w:space="0"/>
            </w:tcBorders>
            <w:vAlign w:val="center"/>
          </w:tcPr>
          <w:p w14:paraId="4A52DBDF">
            <w:pPr>
              <w:adjustRightInd w:val="0"/>
              <w:snapToGrid w:val="0"/>
              <w:spacing w:line="300" w:lineRule="exact"/>
              <w:jc w:val="center"/>
              <w:rPr>
                <w:rFonts w:hint="eastAsia" w:ascii="宋体" w:hAnsi="宋体" w:eastAsia="宋体" w:cs="宋体"/>
                <w:color w:val="auto"/>
                <w:sz w:val="21"/>
                <w:szCs w:val="21"/>
                <w:highlight w:val="none"/>
              </w:rPr>
            </w:pPr>
          </w:p>
        </w:tc>
        <w:tc>
          <w:tcPr>
            <w:tcW w:w="1192" w:type="pct"/>
            <w:tcBorders>
              <w:top w:val="single" w:color="auto" w:sz="2" w:space="0"/>
              <w:left w:val="single" w:color="auto" w:sz="2" w:space="0"/>
              <w:bottom w:val="single" w:color="auto" w:sz="2" w:space="0"/>
              <w:right w:val="single" w:color="auto" w:sz="2" w:space="0"/>
            </w:tcBorders>
            <w:vAlign w:val="center"/>
          </w:tcPr>
          <w:p w14:paraId="161E99B8">
            <w:pPr>
              <w:adjustRightInd w:val="0"/>
              <w:snapToGrid w:val="0"/>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通信地址</w:t>
            </w:r>
          </w:p>
        </w:tc>
        <w:tc>
          <w:tcPr>
            <w:tcW w:w="1277" w:type="pct"/>
            <w:tcBorders>
              <w:top w:val="single" w:color="auto" w:sz="2" w:space="0"/>
              <w:left w:val="single" w:color="auto" w:sz="2" w:space="0"/>
              <w:bottom w:val="single" w:color="auto" w:sz="2" w:space="0"/>
            </w:tcBorders>
            <w:vAlign w:val="center"/>
          </w:tcPr>
          <w:p w14:paraId="7733D880">
            <w:pPr>
              <w:adjustRightInd w:val="0"/>
              <w:snapToGrid w:val="0"/>
              <w:spacing w:line="300" w:lineRule="exact"/>
              <w:jc w:val="center"/>
              <w:rPr>
                <w:rFonts w:hint="eastAsia" w:ascii="宋体" w:hAnsi="宋体" w:eastAsia="宋体" w:cs="宋体"/>
                <w:color w:val="auto"/>
                <w:spacing w:val="20"/>
                <w:sz w:val="21"/>
                <w:szCs w:val="21"/>
                <w:highlight w:val="none"/>
              </w:rPr>
            </w:pPr>
          </w:p>
        </w:tc>
      </w:tr>
      <w:tr w14:paraId="18397F8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293" w:type="pct"/>
            <w:tcBorders>
              <w:top w:val="single" w:color="auto" w:sz="2" w:space="0"/>
              <w:bottom w:val="single" w:color="auto" w:sz="2" w:space="0"/>
              <w:right w:val="single" w:color="auto" w:sz="2" w:space="0"/>
            </w:tcBorders>
            <w:vAlign w:val="center"/>
          </w:tcPr>
          <w:p w14:paraId="359FB791">
            <w:pPr>
              <w:adjustRightInd w:val="0"/>
              <w:snapToGrid w:val="0"/>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邮政编码</w:t>
            </w:r>
          </w:p>
        </w:tc>
        <w:tc>
          <w:tcPr>
            <w:tcW w:w="1236" w:type="pct"/>
            <w:tcBorders>
              <w:top w:val="single" w:color="auto" w:sz="2" w:space="0"/>
              <w:left w:val="single" w:color="auto" w:sz="2" w:space="0"/>
              <w:bottom w:val="single" w:color="auto" w:sz="2" w:space="0"/>
              <w:right w:val="single" w:color="auto" w:sz="2" w:space="0"/>
            </w:tcBorders>
            <w:vAlign w:val="center"/>
          </w:tcPr>
          <w:p w14:paraId="694C6AF3">
            <w:pPr>
              <w:adjustRightInd w:val="0"/>
              <w:snapToGrid w:val="0"/>
              <w:spacing w:line="300" w:lineRule="exact"/>
              <w:jc w:val="center"/>
              <w:rPr>
                <w:rFonts w:hint="eastAsia" w:ascii="宋体" w:hAnsi="宋体" w:eastAsia="宋体" w:cs="宋体"/>
                <w:color w:val="auto"/>
                <w:sz w:val="21"/>
                <w:szCs w:val="21"/>
                <w:highlight w:val="none"/>
              </w:rPr>
            </w:pPr>
          </w:p>
        </w:tc>
        <w:tc>
          <w:tcPr>
            <w:tcW w:w="1192" w:type="pct"/>
            <w:tcBorders>
              <w:top w:val="single" w:color="auto" w:sz="2" w:space="0"/>
              <w:left w:val="single" w:color="auto" w:sz="2" w:space="0"/>
              <w:bottom w:val="single" w:color="auto" w:sz="2" w:space="0"/>
              <w:right w:val="single" w:color="auto" w:sz="2" w:space="0"/>
            </w:tcBorders>
            <w:vAlign w:val="center"/>
          </w:tcPr>
          <w:p w14:paraId="00FEBFA1">
            <w:pPr>
              <w:adjustRightInd w:val="0"/>
              <w:snapToGrid w:val="0"/>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邮政编码</w:t>
            </w:r>
          </w:p>
        </w:tc>
        <w:tc>
          <w:tcPr>
            <w:tcW w:w="1277" w:type="pct"/>
            <w:tcBorders>
              <w:top w:val="single" w:color="auto" w:sz="2" w:space="0"/>
              <w:left w:val="single" w:color="auto" w:sz="2" w:space="0"/>
              <w:bottom w:val="single" w:color="auto" w:sz="2" w:space="0"/>
            </w:tcBorders>
            <w:vAlign w:val="center"/>
          </w:tcPr>
          <w:p w14:paraId="70981218">
            <w:pPr>
              <w:adjustRightInd w:val="0"/>
              <w:snapToGrid w:val="0"/>
              <w:spacing w:line="300" w:lineRule="exact"/>
              <w:jc w:val="center"/>
              <w:rPr>
                <w:rFonts w:hint="eastAsia" w:ascii="宋体" w:hAnsi="宋体" w:eastAsia="宋体" w:cs="宋体"/>
                <w:color w:val="auto"/>
                <w:spacing w:val="20"/>
                <w:sz w:val="21"/>
                <w:szCs w:val="21"/>
                <w:highlight w:val="none"/>
              </w:rPr>
            </w:pPr>
          </w:p>
        </w:tc>
      </w:tr>
      <w:tr w14:paraId="550E399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293" w:type="pct"/>
            <w:tcBorders>
              <w:top w:val="single" w:color="auto" w:sz="2" w:space="0"/>
              <w:bottom w:val="single" w:color="auto" w:sz="2" w:space="0"/>
              <w:right w:val="single" w:color="auto" w:sz="2" w:space="0"/>
            </w:tcBorders>
            <w:vAlign w:val="center"/>
          </w:tcPr>
          <w:p w14:paraId="437B108A">
            <w:pPr>
              <w:adjustRightInd w:val="0"/>
              <w:snapToGrid w:val="0"/>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电子邮箱</w:t>
            </w:r>
          </w:p>
        </w:tc>
        <w:tc>
          <w:tcPr>
            <w:tcW w:w="1236" w:type="pct"/>
            <w:tcBorders>
              <w:top w:val="single" w:color="auto" w:sz="2" w:space="0"/>
              <w:left w:val="single" w:color="auto" w:sz="2" w:space="0"/>
              <w:bottom w:val="single" w:color="auto" w:sz="2" w:space="0"/>
              <w:right w:val="single" w:color="auto" w:sz="2" w:space="0"/>
            </w:tcBorders>
            <w:vAlign w:val="center"/>
          </w:tcPr>
          <w:p w14:paraId="1C96C6AF">
            <w:pPr>
              <w:adjustRightInd w:val="0"/>
              <w:snapToGrid w:val="0"/>
              <w:spacing w:line="300" w:lineRule="exact"/>
              <w:jc w:val="center"/>
              <w:rPr>
                <w:rFonts w:hint="eastAsia" w:ascii="宋体" w:hAnsi="宋体" w:eastAsia="宋体" w:cs="宋体"/>
                <w:color w:val="auto"/>
                <w:sz w:val="21"/>
                <w:szCs w:val="21"/>
                <w:highlight w:val="none"/>
              </w:rPr>
            </w:pPr>
          </w:p>
        </w:tc>
        <w:tc>
          <w:tcPr>
            <w:tcW w:w="1192" w:type="pct"/>
            <w:tcBorders>
              <w:top w:val="single" w:color="auto" w:sz="2" w:space="0"/>
              <w:left w:val="single" w:color="auto" w:sz="2" w:space="0"/>
              <w:bottom w:val="single" w:color="auto" w:sz="2" w:space="0"/>
              <w:right w:val="single" w:color="auto" w:sz="2" w:space="0"/>
            </w:tcBorders>
            <w:vAlign w:val="center"/>
          </w:tcPr>
          <w:p w14:paraId="55B991CE">
            <w:pPr>
              <w:adjustRightInd w:val="0"/>
              <w:snapToGrid w:val="0"/>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电子邮箱</w:t>
            </w:r>
          </w:p>
        </w:tc>
        <w:tc>
          <w:tcPr>
            <w:tcW w:w="1277" w:type="pct"/>
            <w:tcBorders>
              <w:top w:val="single" w:color="auto" w:sz="2" w:space="0"/>
              <w:left w:val="single" w:color="auto" w:sz="2" w:space="0"/>
              <w:bottom w:val="single" w:color="auto" w:sz="2" w:space="0"/>
            </w:tcBorders>
            <w:vAlign w:val="center"/>
          </w:tcPr>
          <w:p w14:paraId="0DC85DC3">
            <w:pPr>
              <w:adjustRightInd w:val="0"/>
              <w:snapToGrid w:val="0"/>
              <w:spacing w:line="300" w:lineRule="exact"/>
              <w:jc w:val="center"/>
              <w:rPr>
                <w:rFonts w:hint="eastAsia" w:ascii="宋体" w:hAnsi="宋体" w:eastAsia="宋体" w:cs="宋体"/>
                <w:color w:val="auto"/>
                <w:spacing w:val="20"/>
                <w:sz w:val="21"/>
                <w:szCs w:val="21"/>
                <w:highlight w:val="none"/>
              </w:rPr>
            </w:pPr>
          </w:p>
        </w:tc>
      </w:tr>
      <w:tr w14:paraId="0271A5A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293" w:type="pct"/>
            <w:tcBorders>
              <w:top w:val="single" w:color="auto" w:sz="2" w:space="0"/>
              <w:bottom w:val="single" w:color="auto" w:sz="2" w:space="0"/>
              <w:right w:val="single" w:color="auto" w:sz="2" w:space="0"/>
            </w:tcBorders>
            <w:vAlign w:val="center"/>
          </w:tcPr>
          <w:p w14:paraId="2F3AE2AD">
            <w:pPr>
              <w:adjustRightInd w:val="0"/>
              <w:snapToGrid w:val="0"/>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统一社会信用代码</w:t>
            </w:r>
          </w:p>
        </w:tc>
        <w:tc>
          <w:tcPr>
            <w:tcW w:w="1236" w:type="pct"/>
            <w:tcBorders>
              <w:top w:val="single" w:color="auto" w:sz="2" w:space="0"/>
              <w:left w:val="single" w:color="auto" w:sz="2" w:space="0"/>
              <w:bottom w:val="single" w:color="auto" w:sz="2" w:space="0"/>
              <w:right w:val="single" w:color="auto" w:sz="2" w:space="0"/>
            </w:tcBorders>
            <w:vAlign w:val="center"/>
          </w:tcPr>
          <w:p w14:paraId="179974F2">
            <w:pPr>
              <w:adjustRightInd w:val="0"/>
              <w:snapToGrid w:val="0"/>
              <w:spacing w:line="300" w:lineRule="exact"/>
              <w:jc w:val="center"/>
              <w:rPr>
                <w:rFonts w:hint="eastAsia" w:ascii="宋体" w:hAnsi="宋体" w:eastAsia="宋体" w:cs="宋体"/>
                <w:color w:val="auto"/>
                <w:sz w:val="21"/>
                <w:szCs w:val="21"/>
                <w:highlight w:val="none"/>
              </w:rPr>
            </w:pPr>
          </w:p>
        </w:tc>
        <w:tc>
          <w:tcPr>
            <w:tcW w:w="1192" w:type="pct"/>
            <w:tcBorders>
              <w:top w:val="single" w:color="auto" w:sz="2" w:space="0"/>
              <w:left w:val="single" w:color="auto" w:sz="2" w:space="0"/>
              <w:bottom w:val="single" w:color="auto" w:sz="2" w:space="0"/>
              <w:right w:val="single" w:color="auto" w:sz="2" w:space="0"/>
            </w:tcBorders>
            <w:vAlign w:val="center"/>
          </w:tcPr>
          <w:p w14:paraId="0EBD6FBE">
            <w:pPr>
              <w:adjustRightInd w:val="0"/>
              <w:snapToGrid w:val="0"/>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统一社会信用代码</w:t>
            </w:r>
          </w:p>
        </w:tc>
        <w:tc>
          <w:tcPr>
            <w:tcW w:w="1277" w:type="pct"/>
            <w:tcBorders>
              <w:top w:val="single" w:color="auto" w:sz="2" w:space="0"/>
              <w:left w:val="single" w:color="auto" w:sz="2" w:space="0"/>
              <w:bottom w:val="single" w:color="auto" w:sz="2" w:space="0"/>
            </w:tcBorders>
            <w:vAlign w:val="center"/>
          </w:tcPr>
          <w:p w14:paraId="3663A1A2">
            <w:pPr>
              <w:adjustRightInd w:val="0"/>
              <w:snapToGrid w:val="0"/>
              <w:spacing w:line="300" w:lineRule="exact"/>
              <w:jc w:val="center"/>
              <w:rPr>
                <w:rFonts w:hint="eastAsia" w:ascii="宋体" w:hAnsi="宋体" w:eastAsia="宋体" w:cs="宋体"/>
                <w:color w:val="auto"/>
                <w:spacing w:val="20"/>
                <w:sz w:val="21"/>
                <w:szCs w:val="21"/>
                <w:highlight w:val="none"/>
              </w:rPr>
            </w:pPr>
          </w:p>
        </w:tc>
      </w:tr>
      <w:tr w14:paraId="61E3156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293" w:type="pct"/>
            <w:tcBorders>
              <w:top w:val="single" w:color="auto" w:sz="2" w:space="0"/>
              <w:bottom w:val="single" w:color="auto" w:sz="2" w:space="0"/>
              <w:right w:val="single" w:color="auto" w:sz="2" w:space="0"/>
            </w:tcBorders>
            <w:vAlign w:val="center"/>
          </w:tcPr>
          <w:p w14:paraId="33AB1682">
            <w:pPr>
              <w:adjustRightInd w:val="0"/>
              <w:snapToGrid w:val="0"/>
              <w:spacing w:line="300" w:lineRule="exact"/>
              <w:jc w:val="center"/>
              <w:rPr>
                <w:rFonts w:hint="eastAsia" w:ascii="宋体" w:hAnsi="宋体" w:eastAsia="宋体" w:cs="宋体"/>
                <w:color w:val="auto"/>
                <w:sz w:val="21"/>
                <w:szCs w:val="21"/>
                <w:highlight w:val="none"/>
              </w:rPr>
            </w:pPr>
          </w:p>
        </w:tc>
        <w:tc>
          <w:tcPr>
            <w:tcW w:w="1236" w:type="pct"/>
            <w:tcBorders>
              <w:top w:val="single" w:color="auto" w:sz="2" w:space="0"/>
              <w:left w:val="single" w:color="auto" w:sz="2" w:space="0"/>
              <w:bottom w:val="single" w:color="auto" w:sz="2" w:space="0"/>
              <w:right w:val="single" w:color="auto" w:sz="2" w:space="0"/>
            </w:tcBorders>
            <w:vAlign w:val="center"/>
          </w:tcPr>
          <w:p w14:paraId="704563A5">
            <w:pPr>
              <w:adjustRightInd w:val="0"/>
              <w:snapToGrid w:val="0"/>
              <w:spacing w:line="300" w:lineRule="exact"/>
              <w:jc w:val="center"/>
              <w:rPr>
                <w:rFonts w:hint="eastAsia" w:ascii="宋体" w:hAnsi="宋体" w:eastAsia="宋体" w:cs="宋体"/>
                <w:color w:val="auto"/>
                <w:sz w:val="21"/>
                <w:szCs w:val="21"/>
                <w:highlight w:val="none"/>
              </w:rPr>
            </w:pPr>
          </w:p>
        </w:tc>
        <w:tc>
          <w:tcPr>
            <w:tcW w:w="1192" w:type="pct"/>
            <w:tcBorders>
              <w:top w:val="single" w:color="auto" w:sz="2" w:space="0"/>
              <w:left w:val="single" w:color="auto" w:sz="2" w:space="0"/>
              <w:bottom w:val="single" w:color="auto" w:sz="2" w:space="0"/>
              <w:right w:val="single" w:color="auto" w:sz="2" w:space="0"/>
            </w:tcBorders>
            <w:vAlign w:val="center"/>
          </w:tcPr>
          <w:p w14:paraId="3E23BC3A">
            <w:pPr>
              <w:adjustRightInd w:val="0"/>
              <w:snapToGrid w:val="0"/>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开户名称</w:t>
            </w:r>
          </w:p>
        </w:tc>
        <w:tc>
          <w:tcPr>
            <w:tcW w:w="1277" w:type="pct"/>
            <w:tcBorders>
              <w:top w:val="single" w:color="auto" w:sz="2" w:space="0"/>
              <w:left w:val="single" w:color="auto" w:sz="2" w:space="0"/>
              <w:bottom w:val="single" w:color="auto" w:sz="2" w:space="0"/>
            </w:tcBorders>
            <w:vAlign w:val="center"/>
          </w:tcPr>
          <w:p w14:paraId="6E184549">
            <w:pPr>
              <w:adjustRightInd w:val="0"/>
              <w:snapToGrid w:val="0"/>
              <w:spacing w:line="300" w:lineRule="exact"/>
              <w:jc w:val="center"/>
              <w:rPr>
                <w:rFonts w:hint="eastAsia" w:ascii="宋体" w:hAnsi="宋体" w:eastAsia="宋体" w:cs="宋体"/>
                <w:color w:val="auto"/>
                <w:spacing w:val="20"/>
                <w:sz w:val="21"/>
                <w:szCs w:val="21"/>
                <w:highlight w:val="none"/>
              </w:rPr>
            </w:pPr>
          </w:p>
        </w:tc>
      </w:tr>
      <w:tr w14:paraId="3F5912B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293" w:type="pct"/>
            <w:tcBorders>
              <w:top w:val="single" w:color="auto" w:sz="2" w:space="0"/>
              <w:bottom w:val="single" w:color="auto" w:sz="2" w:space="0"/>
              <w:right w:val="single" w:color="auto" w:sz="2" w:space="0"/>
            </w:tcBorders>
            <w:vAlign w:val="center"/>
          </w:tcPr>
          <w:p w14:paraId="7EDA1AFE">
            <w:pPr>
              <w:adjustRightInd w:val="0"/>
              <w:snapToGrid w:val="0"/>
              <w:spacing w:line="300" w:lineRule="exact"/>
              <w:jc w:val="center"/>
              <w:rPr>
                <w:rFonts w:hint="eastAsia" w:ascii="宋体" w:hAnsi="宋体" w:eastAsia="宋体" w:cs="宋体"/>
                <w:color w:val="auto"/>
                <w:sz w:val="21"/>
                <w:szCs w:val="21"/>
                <w:highlight w:val="none"/>
              </w:rPr>
            </w:pPr>
          </w:p>
        </w:tc>
        <w:tc>
          <w:tcPr>
            <w:tcW w:w="1236" w:type="pct"/>
            <w:tcBorders>
              <w:top w:val="single" w:color="auto" w:sz="2" w:space="0"/>
              <w:left w:val="single" w:color="auto" w:sz="2" w:space="0"/>
              <w:bottom w:val="single" w:color="auto" w:sz="2" w:space="0"/>
              <w:right w:val="single" w:color="auto" w:sz="2" w:space="0"/>
            </w:tcBorders>
            <w:vAlign w:val="center"/>
          </w:tcPr>
          <w:p w14:paraId="7ABB2AC7">
            <w:pPr>
              <w:adjustRightInd w:val="0"/>
              <w:snapToGrid w:val="0"/>
              <w:spacing w:line="300" w:lineRule="exact"/>
              <w:jc w:val="center"/>
              <w:rPr>
                <w:rFonts w:hint="eastAsia" w:ascii="宋体" w:hAnsi="宋体" w:eastAsia="宋体" w:cs="宋体"/>
                <w:color w:val="auto"/>
                <w:sz w:val="21"/>
                <w:szCs w:val="21"/>
                <w:highlight w:val="none"/>
              </w:rPr>
            </w:pPr>
          </w:p>
        </w:tc>
        <w:tc>
          <w:tcPr>
            <w:tcW w:w="1192" w:type="pct"/>
            <w:tcBorders>
              <w:top w:val="single" w:color="auto" w:sz="2" w:space="0"/>
              <w:left w:val="single" w:color="auto" w:sz="2" w:space="0"/>
              <w:bottom w:val="single" w:color="auto" w:sz="2" w:space="0"/>
              <w:right w:val="single" w:color="auto" w:sz="2" w:space="0"/>
            </w:tcBorders>
            <w:vAlign w:val="center"/>
          </w:tcPr>
          <w:p w14:paraId="35806D87">
            <w:pPr>
              <w:adjustRightInd w:val="0"/>
              <w:snapToGrid w:val="0"/>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w:t>
            </w:r>
          </w:p>
        </w:tc>
        <w:tc>
          <w:tcPr>
            <w:tcW w:w="1277" w:type="pct"/>
            <w:tcBorders>
              <w:top w:val="single" w:color="auto" w:sz="2" w:space="0"/>
              <w:left w:val="single" w:color="auto" w:sz="2" w:space="0"/>
              <w:bottom w:val="single" w:color="auto" w:sz="2" w:space="0"/>
            </w:tcBorders>
            <w:vAlign w:val="center"/>
          </w:tcPr>
          <w:p w14:paraId="740EC35E">
            <w:pPr>
              <w:adjustRightInd w:val="0"/>
              <w:snapToGrid w:val="0"/>
              <w:spacing w:line="300" w:lineRule="exact"/>
              <w:jc w:val="center"/>
              <w:rPr>
                <w:rFonts w:hint="eastAsia" w:ascii="宋体" w:hAnsi="宋体" w:eastAsia="宋体" w:cs="宋体"/>
                <w:color w:val="auto"/>
                <w:spacing w:val="20"/>
                <w:sz w:val="21"/>
                <w:szCs w:val="21"/>
                <w:highlight w:val="none"/>
              </w:rPr>
            </w:pPr>
          </w:p>
        </w:tc>
      </w:tr>
      <w:tr w14:paraId="77429C4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293" w:type="pct"/>
            <w:tcBorders>
              <w:top w:val="single" w:color="auto" w:sz="2" w:space="0"/>
              <w:bottom w:val="single" w:color="auto" w:sz="2" w:space="0"/>
              <w:right w:val="single" w:color="auto" w:sz="2" w:space="0"/>
            </w:tcBorders>
            <w:vAlign w:val="center"/>
          </w:tcPr>
          <w:p w14:paraId="68178CC3">
            <w:pPr>
              <w:adjustRightInd w:val="0"/>
              <w:snapToGrid w:val="0"/>
              <w:spacing w:line="300" w:lineRule="exact"/>
              <w:jc w:val="center"/>
              <w:rPr>
                <w:rFonts w:hint="eastAsia" w:ascii="宋体" w:hAnsi="宋体" w:eastAsia="宋体" w:cs="宋体"/>
                <w:color w:val="auto"/>
                <w:sz w:val="21"/>
                <w:szCs w:val="21"/>
                <w:highlight w:val="none"/>
              </w:rPr>
            </w:pPr>
          </w:p>
        </w:tc>
        <w:tc>
          <w:tcPr>
            <w:tcW w:w="1236" w:type="pct"/>
            <w:tcBorders>
              <w:top w:val="single" w:color="auto" w:sz="2" w:space="0"/>
              <w:left w:val="single" w:color="auto" w:sz="2" w:space="0"/>
              <w:bottom w:val="single" w:color="auto" w:sz="2" w:space="0"/>
              <w:right w:val="single" w:color="auto" w:sz="2" w:space="0"/>
            </w:tcBorders>
            <w:vAlign w:val="center"/>
          </w:tcPr>
          <w:p w14:paraId="5607259C">
            <w:pPr>
              <w:adjustRightInd w:val="0"/>
              <w:snapToGrid w:val="0"/>
              <w:spacing w:line="300" w:lineRule="exact"/>
              <w:jc w:val="center"/>
              <w:rPr>
                <w:rFonts w:hint="eastAsia" w:ascii="宋体" w:hAnsi="宋体" w:eastAsia="宋体" w:cs="宋体"/>
                <w:color w:val="auto"/>
                <w:sz w:val="21"/>
                <w:szCs w:val="21"/>
                <w:highlight w:val="none"/>
              </w:rPr>
            </w:pPr>
          </w:p>
        </w:tc>
        <w:tc>
          <w:tcPr>
            <w:tcW w:w="1192" w:type="pct"/>
            <w:tcBorders>
              <w:top w:val="single" w:color="auto" w:sz="2" w:space="0"/>
              <w:left w:val="single" w:color="auto" w:sz="2" w:space="0"/>
              <w:bottom w:val="single" w:color="auto" w:sz="2" w:space="0"/>
              <w:right w:val="single" w:color="auto" w:sz="2" w:space="0"/>
            </w:tcBorders>
            <w:vAlign w:val="center"/>
          </w:tcPr>
          <w:p w14:paraId="68B30708">
            <w:pPr>
              <w:adjustRightInd w:val="0"/>
              <w:snapToGrid w:val="0"/>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银行账号</w:t>
            </w:r>
          </w:p>
        </w:tc>
        <w:tc>
          <w:tcPr>
            <w:tcW w:w="1277" w:type="pct"/>
            <w:tcBorders>
              <w:top w:val="single" w:color="auto" w:sz="2" w:space="0"/>
              <w:left w:val="single" w:color="auto" w:sz="2" w:space="0"/>
              <w:bottom w:val="single" w:color="auto" w:sz="2" w:space="0"/>
            </w:tcBorders>
            <w:vAlign w:val="center"/>
          </w:tcPr>
          <w:p w14:paraId="48E686BC">
            <w:pPr>
              <w:adjustRightInd w:val="0"/>
              <w:snapToGrid w:val="0"/>
              <w:spacing w:line="300" w:lineRule="exact"/>
              <w:jc w:val="center"/>
              <w:rPr>
                <w:rFonts w:hint="eastAsia" w:ascii="宋体" w:hAnsi="宋体" w:eastAsia="宋体" w:cs="宋体"/>
                <w:color w:val="auto"/>
                <w:spacing w:val="20"/>
                <w:sz w:val="21"/>
                <w:szCs w:val="21"/>
                <w:highlight w:val="none"/>
              </w:rPr>
            </w:pPr>
          </w:p>
        </w:tc>
      </w:tr>
      <w:tr w14:paraId="694FCC6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vAlign w:val="center"/>
          </w:tcPr>
          <w:p w14:paraId="63BA60FE">
            <w:pPr>
              <w:pStyle w:val="14"/>
              <w:adjustRightInd w:val="0"/>
              <w:snapToGrid w:val="0"/>
              <w:spacing w:before="156" w:beforeLines="50" w:after="0" w:line="360" w:lineRule="auto"/>
              <w:ind w:left="0" w:leftChars="0"/>
              <w:jc w:val="left"/>
              <w:rPr>
                <w:rFonts w:hint="eastAsia" w:ascii="宋体" w:hAnsi="宋体" w:eastAsia="宋体" w:cs="宋体"/>
                <w:color w:val="auto"/>
                <w:spacing w:val="20"/>
                <w:sz w:val="21"/>
                <w:szCs w:val="21"/>
                <w:highlight w:val="none"/>
              </w:rPr>
            </w:pPr>
            <w:r>
              <w:rPr>
                <w:rFonts w:hint="eastAsia" w:ascii="宋体" w:hAnsi="宋体" w:eastAsia="宋体" w:cs="宋体"/>
                <w:color w:val="auto"/>
                <w:sz w:val="21"/>
                <w:szCs w:val="21"/>
                <w:highlight w:val="none"/>
              </w:rPr>
              <w:t>注：涉及联合体或其他合同主体的信息应按上表格式加列。</w:t>
            </w:r>
          </w:p>
        </w:tc>
      </w:tr>
    </w:tbl>
    <w:p w14:paraId="4938941A">
      <w:pPr>
        <w:pStyle w:val="3"/>
        <w:keepNext/>
        <w:keepLines/>
        <w:pageBreakBefore w:val="0"/>
        <w:widowControl w:val="0"/>
        <w:kinsoku/>
        <w:wordWrap/>
        <w:overflowPunct/>
        <w:topLinePunct w:val="0"/>
        <w:autoSpaceDE/>
        <w:autoSpaceDN/>
        <w:bidi w:val="0"/>
        <w:adjustRightInd w:val="0"/>
        <w:snapToGrid w:val="0"/>
        <w:spacing w:before="156" w:beforeLines="50" w:after="157" w:afterLines="50" w:line="240" w:lineRule="auto"/>
        <w:jc w:val="center"/>
        <w:textAlignment w:val="auto"/>
        <w:rPr>
          <w:rFonts w:hint="eastAsia" w:ascii="宋体" w:hAnsi="宋体" w:eastAsia="宋体" w:cs="宋体"/>
          <w:b/>
          <w:bCs/>
          <w:color w:val="auto"/>
          <w:sz w:val="36"/>
          <w:szCs w:val="36"/>
          <w:highlight w:val="none"/>
        </w:rPr>
      </w:pPr>
      <w:r>
        <w:rPr>
          <w:rFonts w:hint="eastAsia" w:ascii="宋体" w:hAnsi="宋体" w:eastAsia="宋体" w:cs="宋体"/>
          <w:color w:val="auto"/>
          <w:sz w:val="21"/>
          <w:szCs w:val="21"/>
          <w:highlight w:val="none"/>
          <w:u w:val="single"/>
        </w:rPr>
        <w:br w:type="page"/>
      </w:r>
      <w:bookmarkStart w:id="324" w:name="_Toc2429"/>
      <w:bookmarkStart w:id="325" w:name="_Toc26868"/>
      <w:bookmarkStart w:id="326" w:name="_Toc27624"/>
      <w:r>
        <w:rPr>
          <w:rFonts w:hint="eastAsia" w:ascii="宋体" w:hAnsi="宋体" w:eastAsia="宋体" w:cs="宋体"/>
          <w:b/>
          <w:bCs/>
          <w:color w:val="auto"/>
          <w:sz w:val="36"/>
          <w:szCs w:val="36"/>
          <w:highlight w:val="none"/>
        </w:rPr>
        <w:t>第二节 政府采购合同通用条款</w:t>
      </w:r>
      <w:bookmarkEnd w:id="324"/>
      <w:bookmarkEnd w:id="325"/>
      <w:bookmarkEnd w:id="326"/>
    </w:p>
    <w:p w14:paraId="04059302">
      <w:pPr>
        <w:tabs>
          <w:tab w:val="left" w:pos="8820"/>
          <w:tab w:val="left" w:pos="9345"/>
          <w:tab w:val="left" w:pos="9765"/>
        </w:tabs>
        <w:adjustRightInd w:val="0"/>
        <w:snapToGrid w:val="0"/>
        <w:spacing w:before="0" w:line="400" w:lineRule="exact"/>
        <w:jc w:val="left"/>
        <w:rPr>
          <w:rFonts w:hint="eastAsia" w:ascii="宋体" w:hAnsi="宋体" w:eastAsia="宋体" w:cs="宋体"/>
          <w:b/>
          <w:bCs/>
          <w:color w:val="auto"/>
          <w:sz w:val="21"/>
          <w:szCs w:val="21"/>
          <w:highlight w:val="none"/>
        </w:rPr>
      </w:pPr>
      <w:r>
        <w:rPr>
          <w:rFonts w:hint="eastAsia" w:ascii="宋体" w:hAnsi="宋体" w:eastAsia="宋体" w:cs="宋体"/>
          <w:b/>
          <w:color w:val="auto"/>
          <w:sz w:val="21"/>
          <w:szCs w:val="21"/>
          <w:highlight w:val="none"/>
        </w:rPr>
        <w:t>1.</w:t>
      </w:r>
      <w:r>
        <w:rPr>
          <w:rFonts w:hint="eastAsia" w:ascii="宋体" w:hAnsi="宋体" w:eastAsia="宋体" w:cs="宋体"/>
          <w:b/>
          <w:color w:val="auto"/>
          <w:sz w:val="21"/>
          <w:szCs w:val="21"/>
          <w:highlight w:val="none"/>
          <w:lang w:val="en-US" w:eastAsia="zh-CN"/>
        </w:rPr>
        <w:t xml:space="preserve"> </w:t>
      </w:r>
      <w:r>
        <w:rPr>
          <w:rFonts w:hint="eastAsia" w:ascii="宋体" w:hAnsi="宋体" w:eastAsia="宋体" w:cs="宋体"/>
          <w:b/>
          <w:bCs/>
          <w:color w:val="auto"/>
          <w:sz w:val="21"/>
          <w:szCs w:val="21"/>
          <w:highlight w:val="none"/>
        </w:rPr>
        <w:t>定义</w:t>
      </w:r>
    </w:p>
    <w:p w14:paraId="1EA126DD">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1.1合同当事人</w:t>
      </w:r>
    </w:p>
    <w:p w14:paraId="1B278EF8">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（1）采购人（以下称甲方）是指使用财政性资金，通过政府采购方式向供应商购买货物</w:t>
      </w:r>
      <w:r>
        <w:rPr>
          <w:rFonts w:hint="eastAsia" w:ascii="宋体" w:hAnsi="宋体" w:eastAsia="宋体" w:cs="宋体"/>
          <w:color w:val="auto"/>
          <w:sz w:val="21"/>
          <w:szCs w:val="21"/>
          <w:highlight w:val="none"/>
          <w:lang w:val="en-US" w:eastAsia="zh-CN"/>
        </w:rPr>
        <w:t>及其相关服务的</w:t>
      </w:r>
      <w:r>
        <w:rPr>
          <w:rFonts w:hint="eastAsia" w:ascii="宋体" w:hAnsi="宋体" w:eastAsia="宋体" w:cs="宋体"/>
          <w:color w:val="auto"/>
          <w:sz w:val="21"/>
          <w:szCs w:val="21"/>
          <w:highlight w:val="none"/>
        </w:rPr>
        <w:t>国家机关、事业单位、团体组织。</w:t>
      </w:r>
    </w:p>
    <w:p w14:paraId="4A104EEB">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（2）供应商（以下称</w:t>
      </w:r>
      <w:r>
        <w:rPr>
          <w:rFonts w:hint="eastAsia" w:ascii="宋体" w:hAnsi="宋体" w:eastAsia="宋体" w:cs="宋体"/>
          <w:color w:val="auto"/>
          <w:sz w:val="21"/>
          <w:szCs w:val="21"/>
          <w:highlight w:val="none"/>
          <w:lang w:eastAsia="zh-CN"/>
        </w:rPr>
        <w:t>乙</w:t>
      </w:r>
      <w:r>
        <w:rPr>
          <w:rFonts w:hint="eastAsia" w:ascii="宋体" w:hAnsi="宋体" w:eastAsia="宋体" w:cs="宋体"/>
          <w:color w:val="auto"/>
          <w:sz w:val="21"/>
          <w:szCs w:val="21"/>
          <w:highlight w:val="none"/>
        </w:rPr>
        <w:t>方）是指参加政府采购活动并且中标（成交），向采购人提供</w:t>
      </w:r>
      <w:r>
        <w:rPr>
          <w:rFonts w:hint="eastAsia" w:ascii="宋体" w:hAnsi="宋体" w:eastAsia="宋体" w:cs="宋体"/>
          <w:color w:val="auto"/>
          <w:sz w:val="21"/>
          <w:szCs w:val="21"/>
          <w:highlight w:val="none"/>
          <w:lang w:val="en-US" w:eastAsia="zh-CN"/>
        </w:rPr>
        <w:t>合同约定的货物及其相关服务的法人、非法人组织或者自然人</w:t>
      </w:r>
      <w:r>
        <w:rPr>
          <w:rFonts w:hint="eastAsia" w:ascii="宋体" w:hAnsi="宋体" w:eastAsia="宋体" w:cs="宋体"/>
          <w:color w:val="auto"/>
          <w:sz w:val="21"/>
          <w:szCs w:val="21"/>
          <w:highlight w:val="none"/>
        </w:rPr>
        <w:t>。</w:t>
      </w:r>
    </w:p>
    <w:p w14:paraId="4087E705">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（3）其他合同主体是指除采购人和供应商以外，</w:t>
      </w:r>
      <w:r>
        <w:rPr>
          <w:rFonts w:hint="eastAsia" w:ascii="宋体" w:hAnsi="宋体" w:eastAsia="宋体" w:cs="宋体"/>
          <w:bCs/>
          <w:color w:val="auto"/>
          <w:sz w:val="21"/>
          <w:szCs w:val="21"/>
          <w:highlight w:val="none"/>
        </w:rPr>
        <w:t>依法参与合同缔结或履行，享有权利、承担义务的合同当事人</w:t>
      </w:r>
      <w:r>
        <w:rPr>
          <w:rFonts w:hint="eastAsia" w:ascii="宋体" w:hAnsi="宋体" w:eastAsia="宋体" w:cs="宋体"/>
          <w:color w:val="auto"/>
          <w:sz w:val="21"/>
          <w:szCs w:val="21"/>
          <w:highlight w:val="none"/>
        </w:rPr>
        <w:t>。</w:t>
      </w:r>
    </w:p>
    <w:p w14:paraId="0DBF17DC">
      <w:pPr>
        <w:tabs>
          <w:tab w:val="left" w:pos="570"/>
          <w:tab w:val="left" w:pos="9240"/>
          <w:tab w:val="left" w:pos="9555"/>
        </w:tabs>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1.2本合同下列术语应解释为：</w:t>
      </w:r>
    </w:p>
    <w:p w14:paraId="7A7C9AB5">
      <w:pPr>
        <w:adjustRightInd w:val="0"/>
        <w:snapToGrid w:val="0"/>
        <w:spacing w:before="0" w:beforeLines="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（1）“合同”系指</w:t>
      </w:r>
      <w:r>
        <w:rPr>
          <w:rFonts w:hint="eastAsia" w:ascii="宋体" w:hAnsi="宋体" w:eastAsia="宋体" w:cs="宋体"/>
          <w:bCs/>
          <w:color w:val="auto"/>
          <w:sz w:val="21"/>
          <w:szCs w:val="21"/>
          <w:highlight w:val="none"/>
        </w:rPr>
        <w:t>合同当事人意思表示达成一致的任何协议，包括签署的</w:t>
      </w:r>
      <w:r>
        <w:rPr>
          <w:rFonts w:hint="eastAsia" w:ascii="宋体" w:hAnsi="宋体" w:eastAsia="宋体" w:cs="宋体"/>
          <w:color w:val="auto"/>
          <w:sz w:val="21"/>
          <w:szCs w:val="21"/>
          <w:highlight w:val="none"/>
          <w:lang w:eastAsia="zh-CN"/>
        </w:rPr>
        <w:t>政府采购</w:t>
      </w:r>
      <w:r>
        <w:rPr>
          <w:rFonts w:hint="eastAsia" w:ascii="宋体" w:hAnsi="宋体" w:eastAsia="宋体" w:cs="宋体"/>
          <w:color w:val="auto"/>
          <w:sz w:val="21"/>
          <w:szCs w:val="21"/>
          <w:highlight w:val="none"/>
        </w:rPr>
        <w:t>合同协议书及其变更、补充</w:t>
      </w:r>
      <w:r>
        <w:rPr>
          <w:rFonts w:hint="eastAsia" w:ascii="宋体" w:hAnsi="宋体" w:eastAsia="宋体" w:cs="宋体"/>
          <w:color w:val="auto"/>
          <w:sz w:val="21"/>
          <w:szCs w:val="21"/>
          <w:highlight w:val="none"/>
          <w:lang w:eastAsia="zh-CN"/>
        </w:rPr>
        <w:t>协议，</w:t>
      </w:r>
      <w:r>
        <w:rPr>
          <w:rFonts w:hint="eastAsia" w:ascii="宋体" w:hAnsi="宋体" w:eastAsia="宋体" w:cs="宋体"/>
          <w:color w:val="auto"/>
          <w:sz w:val="21"/>
          <w:szCs w:val="21"/>
          <w:highlight w:val="none"/>
        </w:rPr>
        <w:t>政府采购合同专用条款</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政府采购合同通用条款</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中标</w:t>
      </w:r>
      <w:r>
        <w:rPr>
          <w:rFonts w:hint="eastAsia" w:ascii="宋体" w:hAnsi="宋体" w:eastAsia="宋体" w:cs="宋体"/>
          <w:color w:val="auto"/>
          <w:sz w:val="21"/>
          <w:szCs w:val="21"/>
          <w:highlight w:val="none"/>
          <w:lang w:eastAsia="zh-CN"/>
        </w:rPr>
        <w:t>（成交）</w:t>
      </w:r>
      <w:r>
        <w:rPr>
          <w:rFonts w:hint="eastAsia" w:ascii="宋体" w:hAnsi="宋体" w:eastAsia="宋体" w:cs="宋体"/>
          <w:color w:val="auto"/>
          <w:sz w:val="21"/>
          <w:szCs w:val="21"/>
          <w:highlight w:val="none"/>
        </w:rPr>
        <w:t>通知书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投标（响应）文件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采购文件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有关技术文件</w:t>
      </w:r>
      <w:r>
        <w:rPr>
          <w:rFonts w:hint="eastAsia" w:ascii="宋体" w:hAnsi="宋体" w:eastAsia="宋体" w:cs="宋体"/>
          <w:color w:val="auto"/>
          <w:sz w:val="21"/>
          <w:szCs w:val="21"/>
          <w:highlight w:val="none"/>
          <w:lang w:eastAsia="zh-CN"/>
        </w:rPr>
        <w:t>和</w:t>
      </w:r>
      <w:r>
        <w:rPr>
          <w:rFonts w:hint="eastAsia" w:ascii="宋体" w:hAnsi="宋体" w:eastAsia="宋体" w:cs="宋体"/>
          <w:color w:val="auto"/>
          <w:sz w:val="21"/>
          <w:szCs w:val="21"/>
          <w:highlight w:val="none"/>
        </w:rPr>
        <w:t>图纸</w:t>
      </w:r>
      <w:r>
        <w:rPr>
          <w:rFonts w:hint="eastAsia" w:ascii="宋体" w:hAnsi="宋体" w:eastAsia="宋体" w:cs="宋体"/>
          <w:color w:val="auto"/>
          <w:sz w:val="21"/>
          <w:szCs w:val="21"/>
          <w:highlight w:val="none"/>
          <w:lang w:eastAsia="zh-CN"/>
        </w:rPr>
        <w:t>，以及国家法律、行政法规和规章制度规定或合同约定的作为合同组成部分的其他文件</w:t>
      </w:r>
      <w:r>
        <w:rPr>
          <w:rFonts w:hint="eastAsia" w:ascii="宋体" w:hAnsi="宋体" w:eastAsia="宋体" w:cs="宋体"/>
          <w:color w:val="auto"/>
          <w:sz w:val="21"/>
          <w:szCs w:val="21"/>
          <w:highlight w:val="none"/>
        </w:rPr>
        <w:t>。</w:t>
      </w:r>
    </w:p>
    <w:p w14:paraId="6E703C0F">
      <w:pPr>
        <w:tabs>
          <w:tab w:val="left" w:pos="570"/>
          <w:tab w:val="left" w:pos="9240"/>
          <w:tab w:val="left" w:pos="9555"/>
        </w:tabs>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）“合同价</w:t>
      </w:r>
      <w:r>
        <w:rPr>
          <w:rFonts w:hint="eastAsia" w:ascii="宋体" w:hAnsi="宋体" w:eastAsia="宋体" w:cs="宋体"/>
          <w:color w:val="auto"/>
          <w:sz w:val="21"/>
          <w:szCs w:val="21"/>
          <w:highlight w:val="none"/>
          <w:lang w:val="en-US" w:eastAsia="zh-CN"/>
        </w:rPr>
        <w:t>款</w:t>
      </w:r>
      <w:r>
        <w:rPr>
          <w:rFonts w:hint="eastAsia" w:ascii="宋体" w:hAnsi="宋体" w:eastAsia="宋体" w:cs="宋体"/>
          <w:color w:val="auto"/>
          <w:sz w:val="21"/>
          <w:szCs w:val="21"/>
          <w:highlight w:val="none"/>
        </w:rPr>
        <w:t>”系指根据本合同规定乙方在全面履行合同义务后甲方应支付给乙方的价款。</w:t>
      </w:r>
    </w:p>
    <w:p w14:paraId="09C60E06">
      <w:pPr>
        <w:tabs>
          <w:tab w:val="left" w:pos="570"/>
          <w:tab w:val="left" w:pos="9240"/>
          <w:tab w:val="left" w:pos="9555"/>
        </w:tabs>
        <w:adjustRightInd w:val="0"/>
        <w:snapToGrid w:val="0"/>
        <w:spacing w:before="0" w:line="400" w:lineRule="exact"/>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）“货物”系指乙方根据本合同规定须向甲方提供的各种形态和种类的物品，包括原材料、设备、产品（包括软件）及相关的其备品备件、工具、手册及</w:t>
      </w:r>
      <w:r>
        <w:rPr>
          <w:rFonts w:hint="eastAsia" w:ascii="宋体" w:hAnsi="宋体" w:eastAsia="宋体" w:cs="宋体"/>
          <w:color w:val="auto"/>
          <w:sz w:val="21"/>
          <w:szCs w:val="21"/>
          <w:highlight w:val="none"/>
          <w:lang w:val="en"/>
        </w:rPr>
        <w:t>其他</w:t>
      </w:r>
      <w:r>
        <w:rPr>
          <w:rFonts w:hint="eastAsia" w:ascii="宋体" w:hAnsi="宋体" w:eastAsia="宋体" w:cs="宋体"/>
          <w:color w:val="auto"/>
          <w:sz w:val="21"/>
          <w:szCs w:val="21"/>
          <w:highlight w:val="none"/>
        </w:rPr>
        <w:t>技术资料和材料</w:t>
      </w:r>
      <w:r>
        <w:rPr>
          <w:rFonts w:hint="eastAsia" w:ascii="宋体" w:hAnsi="宋体" w:eastAsia="宋体" w:cs="宋体"/>
          <w:color w:val="auto"/>
          <w:sz w:val="21"/>
          <w:szCs w:val="21"/>
          <w:highlight w:val="none"/>
          <w:lang w:eastAsia="zh-CN"/>
        </w:rPr>
        <w:t>等</w:t>
      </w:r>
      <w:r>
        <w:rPr>
          <w:rFonts w:hint="eastAsia" w:ascii="宋体" w:hAnsi="宋体" w:eastAsia="宋体" w:cs="宋体"/>
          <w:color w:val="auto"/>
          <w:sz w:val="21"/>
          <w:szCs w:val="21"/>
          <w:highlight w:val="none"/>
        </w:rPr>
        <w:t>。</w:t>
      </w:r>
    </w:p>
    <w:p w14:paraId="18749100">
      <w:pPr>
        <w:adjustRightInd w:val="0"/>
        <w:snapToGrid w:val="0"/>
        <w:spacing w:before="0" w:line="400" w:lineRule="exact"/>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相关</w:t>
      </w:r>
      <w:r>
        <w:rPr>
          <w:rFonts w:hint="eastAsia" w:ascii="宋体" w:hAnsi="宋体" w:eastAsia="宋体" w:cs="宋体"/>
          <w:color w:val="auto"/>
          <w:sz w:val="21"/>
          <w:szCs w:val="21"/>
          <w:highlight w:val="none"/>
        </w:rPr>
        <w:t>服务”系指根据合同规定，乙方应提供的</w:t>
      </w:r>
      <w:r>
        <w:rPr>
          <w:rFonts w:hint="eastAsia" w:ascii="宋体" w:hAnsi="宋体" w:eastAsia="宋体" w:cs="宋体"/>
          <w:color w:val="auto"/>
          <w:sz w:val="21"/>
          <w:szCs w:val="21"/>
          <w:highlight w:val="none"/>
          <w:lang w:val="en-US" w:eastAsia="zh-CN"/>
        </w:rPr>
        <w:t>与货物有关的</w:t>
      </w:r>
      <w:r>
        <w:rPr>
          <w:rFonts w:hint="eastAsia" w:ascii="宋体" w:hAnsi="宋体" w:eastAsia="宋体" w:cs="宋体"/>
          <w:color w:val="auto"/>
          <w:sz w:val="21"/>
          <w:szCs w:val="21"/>
          <w:highlight w:val="none"/>
        </w:rPr>
        <w:t>技术、管理和</w:t>
      </w:r>
      <w:r>
        <w:rPr>
          <w:rFonts w:hint="eastAsia" w:ascii="宋体" w:hAnsi="宋体" w:eastAsia="宋体" w:cs="宋体"/>
          <w:color w:val="auto"/>
          <w:sz w:val="21"/>
          <w:szCs w:val="21"/>
          <w:highlight w:val="none"/>
          <w:lang w:val="en"/>
        </w:rPr>
        <w:t>其他</w:t>
      </w:r>
      <w:r>
        <w:rPr>
          <w:rFonts w:hint="eastAsia" w:ascii="宋体" w:hAnsi="宋体" w:eastAsia="宋体" w:cs="宋体"/>
          <w:color w:val="auto"/>
          <w:sz w:val="21"/>
          <w:szCs w:val="21"/>
          <w:highlight w:val="none"/>
        </w:rPr>
        <w:t>服务，包括但不限于：管理和质量保证、运输、保险、检验、现场准备、安装、集成、调试、培训、维修、</w:t>
      </w:r>
      <w:r>
        <w:rPr>
          <w:rFonts w:hint="eastAsia" w:ascii="宋体" w:hAnsi="宋体" w:eastAsia="宋体" w:cs="宋体"/>
          <w:color w:val="auto"/>
          <w:sz w:val="21"/>
          <w:szCs w:val="21"/>
          <w:highlight w:val="none"/>
          <w:lang w:eastAsia="zh-CN"/>
        </w:rPr>
        <w:t>废弃处置、</w:t>
      </w:r>
      <w:r>
        <w:rPr>
          <w:rFonts w:hint="eastAsia" w:ascii="宋体" w:hAnsi="宋体" w:eastAsia="宋体" w:cs="宋体"/>
          <w:color w:val="auto"/>
          <w:sz w:val="21"/>
          <w:szCs w:val="21"/>
          <w:highlight w:val="none"/>
        </w:rPr>
        <w:t>技术支持等以及合同中规定乙方应承担的</w:t>
      </w:r>
      <w:r>
        <w:rPr>
          <w:rFonts w:hint="eastAsia" w:ascii="宋体" w:hAnsi="宋体" w:eastAsia="宋体" w:cs="宋体"/>
          <w:color w:val="auto"/>
          <w:sz w:val="21"/>
          <w:szCs w:val="21"/>
          <w:highlight w:val="none"/>
          <w:lang w:val="en"/>
        </w:rPr>
        <w:t>其他</w:t>
      </w:r>
      <w:r>
        <w:rPr>
          <w:rFonts w:hint="eastAsia" w:ascii="宋体" w:hAnsi="宋体" w:eastAsia="宋体" w:cs="宋体"/>
          <w:color w:val="auto"/>
          <w:sz w:val="21"/>
          <w:szCs w:val="21"/>
          <w:highlight w:val="none"/>
        </w:rPr>
        <w:t>义务。</w:t>
      </w:r>
    </w:p>
    <w:p w14:paraId="60403AB0">
      <w:pPr>
        <w:adjustRightInd w:val="0"/>
        <w:snapToGrid w:val="0"/>
        <w:spacing w:before="0" w:line="400" w:lineRule="exact"/>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）“分包”系指中标</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成交</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供应商按采购文件、投标（响应）文件的规定，根据分包意向协议</w:t>
      </w:r>
      <w:r>
        <w:rPr>
          <w:rFonts w:hint="eastAsia" w:cs="宋体"/>
          <w:color w:val="auto"/>
          <w:sz w:val="21"/>
          <w:szCs w:val="21"/>
          <w:highlight w:val="none"/>
          <w:lang w:val="en-US" w:eastAsia="zh-CN"/>
        </w:rPr>
        <w:t>书</w:t>
      </w:r>
      <w:r>
        <w:rPr>
          <w:rFonts w:hint="eastAsia" w:ascii="宋体" w:hAnsi="宋体" w:eastAsia="宋体" w:cs="宋体"/>
          <w:color w:val="auto"/>
          <w:sz w:val="21"/>
          <w:szCs w:val="21"/>
          <w:highlight w:val="none"/>
        </w:rPr>
        <w:t>，将中标</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成交</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项目中的部分履约内容，分给具有相应资质条件的供应商履行合同的行为。</w:t>
      </w:r>
    </w:p>
    <w:p w14:paraId="4287798A">
      <w:pPr>
        <w:tabs>
          <w:tab w:val="left" w:pos="570"/>
          <w:tab w:val="left" w:pos="9240"/>
          <w:tab w:val="left" w:pos="9555"/>
        </w:tabs>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）“联合体”系指</w:t>
      </w:r>
      <w:r>
        <w:rPr>
          <w:rFonts w:hint="eastAsia" w:ascii="宋体" w:hAnsi="宋体" w:eastAsia="宋体" w:cs="宋体"/>
          <w:color w:val="auto"/>
          <w:sz w:val="21"/>
          <w:szCs w:val="21"/>
          <w:highlight w:val="none"/>
          <w:lang w:eastAsia="zh-CN"/>
        </w:rPr>
        <w:t>由</w:t>
      </w:r>
      <w:r>
        <w:rPr>
          <w:rFonts w:hint="eastAsia" w:ascii="宋体" w:hAnsi="宋体" w:eastAsia="宋体" w:cs="宋体"/>
          <w:color w:val="auto"/>
          <w:sz w:val="21"/>
          <w:szCs w:val="21"/>
          <w:highlight w:val="none"/>
        </w:rPr>
        <w:t>两个以上的自然人、法人或者</w:t>
      </w:r>
      <w:r>
        <w:rPr>
          <w:rFonts w:hint="eastAsia" w:ascii="宋体" w:hAnsi="宋体" w:eastAsia="宋体" w:cs="宋体"/>
          <w:color w:val="auto"/>
          <w:sz w:val="21"/>
          <w:szCs w:val="21"/>
          <w:highlight w:val="none"/>
          <w:lang w:val="en-US" w:eastAsia="zh-CN"/>
        </w:rPr>
        <w:t>非法人</w:t>
      </w:r>
      <w:r>
        <w:rPr>
          <w:rFonts w:hint="eastAsia" w:ascii="宋体" w:hAnsi="宋体" w:eastAsia="宋体" w:cs="宋体"/>
          <w:color w:val="auto"/>
          <w:sz w:val="21"/>
          <w:szCs w:val="21"/>
          <w:highlight w:val="none"/>
        </w:rPr>
        <w:t>组织组成，</w:t>
      </w:r>
      <w:r>
        <w:rPr>
          <w:rFonts w:hint="eastAsia" w:ascii="宋体" w:hAnsi="宋体" w:eastAsia="宋体" w:cs="宋体"/>
          <w:color w:val="auto"/>
          <w:sz w:val="21"/>
          <w:szCs w:val="21"/>
          <w:highlight w:val="none"/>
          <w:lang w:eastAsia="zh-CN"/>
        </w:rPr>
        <w:t>以一个供应商的身份共同参加政府采购的主体。</w:t>
      </w:r>
      <w:r>
        <w:rPr>
          <w:rFonts w:hint="eastAsia" w:ascii="宋体" w:hAnsi="宋体" w:eastAsia="宋体" w:cs="宋体"/>
          <w:color w:val="auto"/>
          <w:sz w:val="21"/>
          <w:szCs w:val="21"/>
          <w:highlight w:val="none"/>
        </w:rPr>
        <w:t>联合体各方应在签订合同协议书前向甲方提交联合</w:t>
      </w:r>
      <w:r>
        <w:rPr>
          <w:rFonts w:hint="eastAsia" w:cs="宋体"/>
          <w:color w:val="auto"/>
          <w:sz w:val="21"/>
          <w:szCs w:val="21"/>
          <w:highlight w:val="none"/>
          <w:lang w:val="en-US" w:eastAsia="zh-CN"/>
        </w:rPr>
        <w:t>体</w:t>
      </w:r>
      <w:r>
        <w:rPr>
          <w:rFonts w:hint="eastAsia" w:ascii="宋体" w:hAnsi="宋体" w:eastAsia="宋体" w:cs="宋体"/>
          <w:color w:val="auto"/>
          <w:sz w:val="21"/>
          <w:szCs w:val="21"/>
          <w:highlight w:val="none"/>
        </w:rPr>
        <w:t>协议</w:t>
      </w:r>
      <w:r>
        <w:rPr>
          <w:rFonts w:hint="eastAsia" w:cs="宋体"/>
          <w:color w:val="auto"/>
          <w:sz w:val="21"/>
          <w:szCs w:val="21"/>
          <w:highlight w:val="none"/>
          <w:lang w:val="en-US" w:eastAsia="zh-CN"/>
        </w:rPr>
        <w:t>书</w:t>
      </w:r>
      <w:r>
        <w:rPr>
          <w:rFonts w:hint="eastAsia" w:ascii="宋体" w:hAnsi="宋体" w:eastAsia="宋体" w:cs="宋体"/>
          <w:color w:val="auto"/>
          <w:sz w:val="21"/>
          <w:szCs w:val="21"/>
          <w:highlight w:val="none"/>
        </w:rPr>
        <w:t>，且明确牵头人及各成员单位的工作分工、权利、义务、责任，联合体各方应共同与甲方签订合同，就合同约定的事项对</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承担连带责任。联合体具体要求见【</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color w:val="auto"/>
          <w:sz w:val="21"/>
          <w:szCs w:val="21"/>
          <w:highlight w:val="none"/>
        </w:rPr>
        <w:t>】。</w:t>
      </w:r>
    </w:p>
    <w:p w14:paraId="100463ED">
      <w:pPr>
        <w:tabs>
          <w:tab w:val="left" w:pos="570"/>
          <w:tab w:val="left" w:pos="9240"/>
          <w:tab w:val="left" w:pos="9555"/>
        </w:tabs>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）其他术语解释，见【</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color w:val="auto"/>
          <w:sz w:val="21"/>
          <w:szCs w:val="21"/>
          <w:highlight w:val="none"/>
        </w:rPr>
        <w:t>】。</w:t>
      </w:r>
    </w:p>
    <w:p w14:paraId="2671A925">
      <w:pPr>
        <w:numPr>
          <w:ilvl w:val="0"/>
          <w:numId w:val="15"/>
        </w:numPr>
        <w:autoSpaceDE w:val="0"/>
        <w:autoSpaceDN w:val="0"/>
        <w:adjustRightInd w:val="0"/>
        <w:snapToGrid w:val="0"/>
        <w:spacing w:before="0" w:line="400" w:lineRule="exact"/>
        <w:jc w:val="left"/>
        <w:rPr>
          <w:rFonts w:hint="eastAsia" w:ascii="宋体" w:hAnsi="宋体" w:eastAsia="宋体" w:cs="宋体"/>
          <w:b/>
          <w:bCs/>
          <w:color w:val="auto"/>
          <w:sz w:val="21"/>
          <w:szCs w:val="21"/>
          <w:highlight w:val="none"/>
        </w:rPr>
      </w:pPr>
      <w:r>
        <w:rPr>
          <w:rFonts w:hint="eastAsia" w:ascii="宋体" w:hAnsi="宋体" w:eastAsia="宋体" w:cs="宋体"/>
          <w:b/>
          <w:color w:val="auto"/>
          <w:sz w:val="21"/>
          <w:szCs w:val="21"/>
          <w:highlight w:val="none"/>
        </w:rPr>
        <w:t>合同标的及金额</w:t>
      </w:r>
    </w:p>
    <w:p w14:paraId="518EE407">
      <w:pPr>
        <w:autoSpaceDE w:val="0"/>
        <w:autoSpaceDN w:val="0"/>
        <w:adjustRightInd w:val="0"/>
        <w:snapToGrid w:val="0"/>
        <w:spacing w:before="0" w:line="400" w:lineRule="exact"/>
        <w:ind w:firstLine="420" w:firstLineChars="200"/>
        <w:jc w:val="left"/>
        <w:rPr>
          <w:rFonts w:hint="eastAsia" w:ascii="宋体" w:hAnsi="宋体" w:eastAsia="宋体" w:cs="宋体"/>
          <w:b/>
          <w:bCs/>
          <w:i/>
          <w:iCs/>
          <w:color w:val="auto"/>
          <w:sz w:val="21"/>
          <w:szCs w:val="21"/>
          <w:highlight w:val="none"/>
        </w:rPr>
      </w:pPr>
      <w:r>
        <w:rPr>
          <w:rFonts w:hint="eastAsia" w:ascii="宋体" w:hAnsi="宋体" w:eastAsia="宋体" w:cs="宋体"/>
          <w:color w:val="auto"/>
          <w:sz w:val="21"/>
          <w:szCs w:val="21"/>
          <w:highlight w:val="none"/>
          <w:lang w:eastAsia="zh-CN"/>
        </w:rPr>
        <w:t>2</w:t>
      </w:r>
      <w:r>
        <w:rPr>
          <w:rFonts w:hint="eastAsia" w:ascii="宋体" w:hAnsi="宋体" w:eastAsia="宋体" w:cs="宋体"/>
          <w:color w:val="auto"/>
          <w:sz w:val="21"/>
          <w:szCs w:val="21"/>
          <w:highlight w:val="none"/>
        </w:rPr>
        <w:t>.1 合同标的及金额应与中标（成交）结果一致。乙方为履行本合同而发生的所有费用均应包含在合同</w:t>
      </w:r>
      <w:r>
        <w:rPr>
          <w:rFonts w:hint="eastAsia" w:ascii="宋体" w:hAnsi="宋体" w:eastAsia="宋体" w:cs="宋体"/>
          <w:color w:val="auto"/>
          <w:sz w:val="21"/>
          <w:szCs w:val="21"/>
          <w:highlight w:val="none"/>
          <w:lang w:eastAsia="zh-CN"/>
        </w:rPr>
        <w:t>价款</w:t>
      </w:r>
      <w:r>
        <w:rPr>
          <w:rFonts w:hint="eastAsia" w:ascii="宋体" w:hAnsi="宋体" w:eastAsia="宋体" w:cs="宋体"/>
          <w:color w:val="auto"/>
          <w:sz w:val="21"/>
          <w:szCs w:val="21"/>
          <w:highlight w:val="none"/>
        </w:rPr>
        <w:t>中，甲方不再另行支付</w:t>
      </w:r>
      <w:r>
        <w:rPr>
          <w:rFonts w:hint="eastAsia" w:ascii="宋体" w:hAnsi="宋体" w:eastAsia="宋体" w:cs="宋体"/>
          <w:color w:val="auto"/>
          <w:sz w:val="21"/>
          <w:szCs w:val="21"/>
          <w:highlight w:val="none"/>
          <w:lang w:val="en"/>
        </w:rPr>
        <w:t>其他</w:t>
      </w:r>
      <w:r>
        <w:rPr>
          <w:rFonts w:hint="eastAsia" w:ascii="宋体" w:hAnsi="宋体" w:eastAsia="宋体" w:cs="宋体"/>
          <w:color w:val="auto"/>
          <w:sz w:val="21"/>
          <w:szCs w:val="21"/>
          <w:highlight w:val="none"/>
        </w:rPr>
        <w:t>任何费用。</w:t>
      </w:r>
    </w:p>
    <w:p w14:paraId="49B81678">
      <w:pPr>
        <w:adjustRightInd w:val="0"/>
        <w:snapToGrid w:val="0"/>
        <w:spacing w:before="0" w:line="400" w:lineRule="exact"/>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eastAsia="zh-CN"/>
        </w:rPr>
        <w:t>3</w:t>
      </w:r>
      <w:r>
        <w:rPr>
          <w:rFonts w:hint="eastAsia" w:ascii="宋体" w:hAnsi="宋体" w:eastAsia="宋体" w:cs="宋体"/>
          <w:b/>
          <w:color w:val="auto"/>
          <w:sz w:val="21"/>
          <w:szCs w:val="21"/>
          <w:highlight w:val="none"/>
          <w:lang w:val="en-US" w:eastAsia="zh-CN"/>
        </w:rPr>
        <w:t xml:space="preserve">. </w:t>
      </w:r>
      <w:r>
        <w:rPr>
          <w:rFonts w:hint="eastAsia" w:ascii="宋体" w:hAnsi="宋体" w:eastAsia="宋体" w:cs="宋体"/>
          <w:b/>
          <w:color w:val="auto"/>
          <w:sz w:val="21"/>
          <w:szCs w:val="21"/>
          <w:highlight w:val="none"/>
        </w:rPr>
        <w:t>履行合同的时间、地点和方式</w:t>
      </w:r>
    </w:p>
    <w:p w14:paraId="41F3C043">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3</w:t>
      </w:r>
      <w:r>
        <w:rPr>
          <w:rFonts w:hint="eastAsia" w:ascii="宋体" w:hAnsi="宋体" w:eastAsia="宋体" w:cs="宋体"/>
          <w:color w:val="auto"/>
          <w:sz w:val="21"/>
          <w:szCs w:val="21"/>
          <w:highlight w:val="none"/>
        </w:rPr>
        <w:t>.1 乙方应当在约定的时间、地点</w:t>
      </w:r>
      <w:r>
        <w:rPr>
          <w:rFonts w:hint="eastAsia" w:ascii="宋体" w:hAnsi="宋体" w:eastAsia="宋体" w:cs="宋体"/>
          <w:color w:val="auto"/>
          <w:sz w:val="21"/>
          <w:szCs w:val="21"/>
          <w:highlight w:val="none"/>
          <w:lang w:eastAsia="zh-CN"/>
        </w:rPr>
        <w:t>，按照约定</w:t>
      </w:r>
      <w:r>
        <w:rPr>
          <w:rFonts w:hint="eastAsia" w:ascii="宋体" w:hAnsi="宋体" w:eastAsia="宋体" w:cs="宋体"/>
          <w:color w:val="auto"/>
          <w:sz w:val="21"/>
          <w:szCs w:val="21"/>
          <w:highlight w:val="none"/>
        </w:rPr>
        <w:t>方式履行合同。</w:t>
      </w:r>
    </w:p>
    <w:p w14:paraId="2BA5AAC4">
      <w:pPr>
        <w:autoSpaceDE w:val="0"/>
        <w:autoSpaceDN w:val="0"/>
        <w:adjustRightInd w:val="0"/>
        <w:snapToGrid w:val="0"/>
        <w:spacing w:before="0" w:line="400" w:lineRule="exact"/>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4</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甲方的权利和义务</w:t>
      </w:r>
    </w:p>
    <w:p w14:paraId="5036A581">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4</w:t>
      </w:r>
      <w:r>
        <w:rPr>
          <w:rFonts w:hint="eastAsia" w:ascii="宋体" w:hAnsi="宋体" w:eastAsia="宋体" w:cs="宋体"/>
          <w:color w:val="auto"/>
          <w:sz w:val="21"/>
          <w:szCs w:val="21"/>
          <w:highlight w:val="none"/>
        </w:rPr>
        <w:t>.1 签署合同后，甲方</w:t>
      </w:r>
      <w:r>
        <w:rPr>
          <w:rFonts w:hint="eastAsia" w:ascii="宋体" w:hAnsi="宋体" w:eastAsia="宋体" w:cs="宋体"/>
          <w:color w:val="auto"/>
          <w:sz w:val="21"/>
          <w:szCs w:val="21"/>
          <w:highlight w:val="none"/>
          <w:lang w:eastAsia="zh-CN"/>
        </w:rPr>
        <w:t>应</w:t>
      </w:r>
      <w:r>
        <w:rPr>
          <w:rFonts w:hint="eastAsia" w:ascii="宋体" w:hAnsi="宋体" w:eastAsia="宋体" w:cs="宋体"/>
          <w:color w:val="auto"/>
          <w:sz w:val="21"/>
          <w:szCs w:val="21"/>
          <w:highlight w:val="none"/>
        </w:rPr>
        <w:t>确定</w:t>
      </w:r>
      <w:r>
        <w:rPr>
          <w:rFonts w:hint="eastAsia" w:ascii="宋体" w:hAnsi="宋体" w:eastAsia="宋体" w:cs="宋体"/>
          <w:color w:val="auto"/>
          <w:sz w:val="21"/>
          <w:szCs w:val="21"/>
          <w:highlight w:val="none"/>
          <w:lang w:val="en-US" w:eastAsia="zh-CN"/>
        </w:rPr>
        <w:t>项目负责人（或项目联系人）</w:t>
      </w:r>
      <w:r>
        <w:rPr>
          <w:rFonts w:hint="eastAsia" w:ascii="宋体" w:hAnsi="宋体" w:eastAsia="宋体" w:cs="宋体"/>
          <w:color w:val="auto"/>
          <w:sz w:val="21"/>
          <w:szCs w:val="21"/>
          <w:highlight w:val="none"/>
        </w:rPr>
        <w:t>，负责与本合同有关的事务。甲方有权对乙方的履约行为进行检查，并及时确认乙方提交的事项。甲方应当配合乙方完成相关项目实施工作。</w:t>
      </w:r>
    </w:p>
    <w:p w14:paraId="27256267">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4</w:t>
      </w:r>
      <w:r>
        <w:rPr>
          <w:rFonts w:hint="eastAsia" w:ascii="宋体" w:hAnsi="宋体" w:eastAsia="宋体" w:cs="宋体"/>
          <w:color w:val="auto"/>
          <w:sz w:val="21"/>
          <w:szCs w:val="21"/>
          <w:highlight w:val="none"/>
        </w:rPr>
        <w:t>.2 甲方有权要求乙方按时提交各阶段有关安排计划，并有权定期核对乙方提供货物数量、规格、质量等内容。甲方有权督促乙方工作并要求乙方更换不符合要求的货物。</w:t>
      </w:r>
    </w:p>
    <w:p w14:paraId="0A7B80A7">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4</w:t>
      </w:r>
      <w:r>
        <w:rPr>
          <w:rFonts w:hint="eastAsia" w:ascii="宋体" w:hAnsi="宋体" w:eastAsia="宋体" w:cs="宋体"/>
          <w:color w:val="auto"/>
          <w:sz w:val="21"/>
          <w:szCs w:val="21"/>
          <w:highlight w:val="none"/>
        </w:rPr>
        <w:t>.3 甲方有权要求乙方对缺陷部分予以修复，并按合同约定享有货物保修及其他合同约定的权利。</w:t>
      </w:r>
    </w:p>
    <w:p w14:paraId="1436C60C">
      <w:pPr>
        <w:snapToGrid w:val="0"/>
        <w:spacing w:line="40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4.4 甲方应当按照合同约定及时对交付的货物进行验收，</w:t>
      </w:r>
      <w:r>
        <w:rPr>
          <w:rFonts w:hint="eastAsia" w:ascii="宋体" w:hAnsi="宋体" w:eastAsia="宋体" w:cs="宋体"/>
          <w:b w:val="0"/>
          <w:bCs w:val="0"/>
          <w:color w:val="auto"/>
          <w:sz w:val="21"/>
          <w:szCs w:val="21"/>
          <w:highlight w:val="none"/>
          <w:lang w:eastAsia="zh-CN"/>
        </w:rPr>
        <w:t>未</w:t>
      </w:r>
      <w:r>
        <w:rPr>
          <w:rFonts w:hint="eastAsia" w:ascii="宋体" w:hAnsi="宋体" w:eastAsia="宋体" w:cs="宋体"/>
          <w:color w:val="auto"/>
          <w:sz w:val="21"/>
          <w:szCs w:val="21"/>
          <w:highlight w:val="none"/>
          <w:lang w:val="en-US" w:eastAsia="zh-CN"/>
        </w:rPr>
        <w:t>在</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b w:val="0"/>
          <w:bCs w:val="0"/>
          <w:color w:val="auto"/>
          <w:sz w:val="21"/>
          <w:szCs w:val="21"/>
          <w:highlight w:val="none"/>
          <w:lang w:eastAsia="zh-CN"/>
        </w:rPr>
        <w:t>约定的期限内对乙方履约提出任何异议或者向乙方作出任何说明的，</w:t>
      </w:r>
      <w:r>
        <w:rPr>
          <w:rFonts w:hint="eastAsia" w:ascii="宋体" w:hAnsi="宋体" w:eastAsia="宋体" w:cs="宋体"/>
          <w:color w:val="auto"/>
          <w:sz w:val="21"/>
          <w:szCs w:val="21"/>
          <w:highlight w:val="none"/>
          <w:lang w:val="en-US" w:eastAsia="zh-CN"/>
        </w:rPr>
        <w:t>视为验收通过。</w:t>
      </w:r>
    </w:p>
    <w:p w14:paraId="5BD30BF8">
      <w:pPr>
        <w:autoSpaceDE w:val="0"/>
        <w:autoSpaceDN w:val="0"/>
        <w:adjustRightInd w:val="0"/>
        <w:snapToGrid w:val="0"/>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4</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 xml:space="preserve"> 甲方应当根据合同约定</w:t>
      </w:r>
      <w:r>
        <w:rPr>
          <w:rFonts w:hint="eastAsia" w:ascii="宋体" w:hAnsi="宋体" w:eastAsia="宋体" w:cs="宋体"/>
          <w:color w:val="auto"/>
          <w:sz w:val="21"/>
          <w:szCs w:val="21"/>
          <w:highlight w:val="none"/>
          <w:lang w:eastAsia="zh-CN"/>
        </w:rPr>
        <w:t>及</w:t>
      </w:r>
      <w:r>
        <w:rPr>
          <w:rFonts w:hint="eastAsia" w:ascii="宋体" w:hAnsi="宋体" w:eastAsia="宋体" w:cs="宋体"/>
          <w:color w:val="auto"/>
          <w:sz w:val="21"/>
          <w:szCs w:val="21"/>
          <w:highlight w:val="none"/>
        </w:rPr>
        <w:t>时向乙方支付</w:t>
      </w:r>
      <w:r>
        <w:rPr>
          <w:rFonts w:hint="eastAsia" w:ascii="宋体" w:hAnsi="宋体" w:eastAsia="宋体" w:cs="宋体"/>
          <w:color w:val="auto"/>
          <w:sz w:val="21"/>
          <w:szCs w:val="21"/>
          <w:highlight w:val="none"/>
          <w:lang w:eastAsia="zh-CN"/>
        </w:rPr>
        <w:t>合同价款，不得以内部人员变更、履行内部付款流程等为由，拒绝或迟延支付。</w:t>
      </w:r>
    </w:p>
    <w:p w14:paraId="00EFC633">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4</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 xml:space="preserve"> 国家法律法规规定</w:t>
      </w:r>
      <w:r>
        <w:rPr>
          <w:rFonts w:hint="eastAsia" w:ascii="宋体" w:hAnsi="宋体" w:eastAsia="宋体" w:cs="宋体"/>
          <w:color w:val="auto"/>
          <w:sz w:val="21"/>
          <w:szCs w:val="21"/>
          <w:highlight w:val="none"/>
          <w:lang w:eastAsia="zh-CN"/>
        </w:rPr>
        <w:t>及</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color w:val="auto"/>
          <w:sz w:val="21"/>
          <w:szCs w:val="21"/>
          <w:highlight w:val="none"/>
          <w:lang w:eastAsia="zh-CN"/>
        </w:rPr>
        <w:t>约定应</w:t>
      </w:r>
      <w:r>
        <w:rPr>
          <w:rFonts w:hint="eastAsia" w:ascii="宋体" w:hAnsi="宋体" w:eastAsia="宋体" w:cs="宋体"/>
          <w:color w:val="auto"/>
          <w:sz w:val="21"/>
          <w:szCs w:val="21"/>
          <w:highlight w:val="none"/>
        </w:rPr>
        <w:t>由甲方承担的其他义务和责任。</w:t>
      </w:r>
    </w:p>
    <w:p w14:paraId="5FF83E7D">
      <w:pPr>
        <w:autoSpaceDE w:val="0"/>
        <w:autoSpaceDN w:val="0"/>
        <w:adjustRightInd w:val="0"/>
        <w:snapToGrid w:val="0"/>
        <w:spacing w:before="0" w:line="400" w:lineRule="exact"/>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5</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乙方的权利和义务</w:t>
      </w:r>
    </w:p>
    <w:p w14:paraId="40807E9C">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5</w:t>
      </w:r>
      <w:r>
        <w:rPr>
          <w:rFonts w:hint="eastAsia" w:ascii="宋体" w:hAnsi="宋体" w:eastAsia="宋体" w:cs="宋体"/>
          <w:color w:val="auto"/>
          <w:sz w:val="21"/>
          <w:szCs w:val="21"/>
          <w:highlight w:val="none"/>
        </w:rPr>
        <w:t>.1 签署合同后，乙方</w:t>
      </w:r>
      <w:r>
        <w:rPr>
          <w:rFonts w:hint="eastAsia" w:ascii="宋体" w:hAnsi="宋体" w:eastAsia="宋体" w:cs="宋体"/>
          <w:color w:val="auto"/>
          <w:sz w:val="21"/>
          <w:szCs w:val="21"/>
          <w:highlight w:val="none"/>
          <w:lang w:eastAsia="zh-CN"/>
        </w:rPr>
        <w:t>应</w:t>
      </w:r>
      <w:r>
        <w:rPr>
          <w:rFonts w:hint="eastAsia" w:ascii="宋体" w:hAnsi="宋体" w:eastAsia="宋体" w:cs="宋体"/>
          <w:color w:val="auto"/>
          <w:sz w:val="21"/>
          <w:szCs w:val="21"/>
          <w:highlight w:val="none"/>
        </w:rPr>
        <w:t>确定</w:t>
      </w:r>
      <w:r>
        <w:rPr>
          <w:rFonts w:hint="eastAsia" w:ascii="宋体" w:hAnsi="宋体" w:eastAsia="宋体" w:cs="宋体"/>
          <w:color w:val="auto"/>
          <w:sz w:val="21"/>
          <w:szCs w:val="21"/>
          <w:highlight w:val="none"/>
          <w:lang w:val="en-US" w:eastAsia="zh-CN"/>
        </w:rPr>
        <w:t>项目负责人（或项目联系人）</w:t>
      </w:r>
      <w:r>
        <w:rPr>
          <w:rFonts w:hint="eastAsia" w:ascii="宋体" w:hAnsi="宋体" w:eastAsia="宋体" w:cs="宋体"/>
          <w:color w:val="auto"/>
          <w:sz w:val="21"/>
          <w:szCs w:val="21"/>
          <w:highlight w:val="none"/>
        </w:rPr>
        <w:t>，负责与本合同有关的事务。</w:t>
      </w:r>
    </w:p>
    <w:p w14:paraId="5994D8F8">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5</w:t>
      </w:r>
      <w:r>
        <w:rPr>
          <w:rFonts w:hint="eastAsia" w:ascii="宋体" w:hAnsi="宋体" w:eastAsia="宋体" w:cs="宋体"/>
          <w:color w:val="auto"/>
          <w:sz w:val="21"/>
          <w:szCs w:val="21"/>
          <w:highlight w:val="none"/>
        </w:rPr>
        <w:t>.2 乙方应按照合同要求履约，充分合理安排，确保提供的货物</w:t>
      </w:r>
      <w:r>
        <w:rPr>
          <w:rFonts w:hint="eastAsia" w:ascii="宋体" w:hAnsi="宋体" w:eastAsia="宋体" w:cs="宋体"/>
          <w:color w:val="auto"/>
          <w:sz w:val="21"/>
          <w:szCs w:val="21"/>
          <w:highlight w:val="none"/>
          <w:lang w:eastAsia="zh-CN"/>
        </w:rPr>
        <w:t>及相关</w:t>
      </w:r>
      <w:r>
        <w:rPr>
          <w:rFonts w:hint="eastAsia" w:ascii="宋体" w:hAnsi="宋体" w:eastAsia="宋体" w:cs="宋体"/>
          <w:color w:val="auto"/>
          <w:sz w:val="21"/>
          <w:szCs w:val="21"/>
          <w:highlight w:val="none"/>
        </w:rPr>
        <w:t>服务符合合同</w:t>
      </w:r>
      <w:r>
        <w:rPr>
          <w:rFonts w:hint="eastAsia" w:ascii="宋体" w:hAnsi="宋体" w:eastAsia="宋体" w:cs="宋体"/>
          <w:color w:val="auto"/>
          <w:sz w:val="21"/>
          <w:szCs w:val="21"/>
          <w:highlight w:val="none"/>
          <w:lang w:eastAsia="zh-CN"/>
        </w:rPr>
        <w:t>有关</w:t>
      </w:r>
      <w:r>
        <w:rPr>
          <w:rFonts w:hint="eastAsia" w:ascii="宋体" w:hAnsi="宋体" w:eastAsia="宋体" w:cs="宋体"/>
          <w:color w:val="auto"/>
          <w:sz w:val="21"/>
          <w:szCs w:val="21"/>
          <w:highlight w:val="none"/>
        </w:rPr>
        <w:t>要求。接受项目行业管理部门及政府有关部门的指导，配合甲方的履约检查</w:t>
      </w:r>
      <w:r>
        <w:rPr>
          <w:rFonts w:hint="eastAsia" w:ascii="宋体" w:hAnsi="宋体" w:eastAsia="宋体" w:cs="宋体"/>
          <w:color w:val="auto"/>
          <w:sz w:val="21"/>
          <w:szCs w:val="21"/>
          <w:highlight w:val="none"/>
          <w:lang w:eastAsia="zh-CN"/>
        </w:rPr>
        <w:t>及验收</w:t>
      </w:r>
      <w:r>
        <w:rPr>
          <w:rFonts w:hint="eastAsia" w:ascii="宋体" w:hAnsi="宋体" w:eastAsia="宋体" w:cs="宋体"/>
          <w:color w:val="auto"/>
          <w:sz w:val="21"/>
          <w:szCs w:val="21"/>
          <w:highlight w:val="none"/>
        </w:rPr>
        <w:t>，并负责项目实施过程中的所有协调工作。</w:t>
      </w:r>
    </w:p>
    <w:p w14:paraId="5DEB8004">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5.3乙方有权根据合同约定向甲方收取合同价款。</w:t>
      </w:r>
    </w:p>
    <w:p w14:paraId="508BC066">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5.4国家法律法规规定及</w:t>
      </w:r>
      <w:r>
        <w:rPr>
          <w:rFonts w:hint="eastAsia" w:ascii="宋体" w:hAnsi="宋体" w:eastAsia="宋体" w:cs="宋体"/>
          <w:b/>
          <w:bCs/>
          <w:color w:val="auto"/>
          <w:sz w:val="21"/>
          <w:szCs w:val="21"/>
          <w:highlight w:val="none"/>
          <w:lang w:eastAsia="zh-CN"/>
        </w:rPr>
        <w:t>【政府采购合同专用条款】</w:t>
      </w:r>
      <w:r>
        <w:rPr>
          <w:rFonts w:hint="eastAsia" w:ascii="宋体" w:hAnsi="宋体" w:eastAsia="宋体" w:cs="宋体"/>
          <w:color w:val="auto"/>
          <w:sz w:val="21"/>
          <w:szCs w:val="21"/>
          <w:highlight w:val="none"/>
          <w:lang w:eastAsia="zh-CN"/>
        </w:rPr>
        <w:t>约定应由乙方承担的其他义务和责任。</w:t>
      </w:r>
    </w:p>
    <w:p w14:paraId="2D4D98A1">
      <w:pPr>
        <w:numPr>
          <w:ilvl w:val="0"/>
          <w:numId w:val="16"/>
        </w:numPr>
        <w:autoSpaceDE w:val="0"/>
        <w:autoSpaceDN w:val="0"/>
        <w:adjustRightInd w:val="0"/>
        <w:snapToGrid w:val="0"/>
        <w:spacing w:before="0" w:line="400" w:lineRule="exact"/>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合同履</w:t>
      </w:r>
      <w:r>
        <w:rPr>
          <w:rFonts w:hint="eastAsia" w:ascii="宋体" w:hAnsi="宋体" w:eastAsia="宋体" w:cs="宋体"/>
          <w:b/>
          <w:bCs/>
          <w:color w:val="auto"/>
          <w:sz w:val="21"/>
          <w:szCs w:val="21"/>
          <w:highlight w:val="none"/>
          <w:lang w:val="en-US" w:eastAsia="zh-CN"/>
        </w:rPr>
        <w:t>行</w:t>
      </w:r>
    </w:p>
    <w:p w14:paraId="23888F12">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6</w:t>
      </w:r>
      <w:r>
        <w:rPr>
          <w:rFonts w:hint="eastAsia" w:ascii="宋体" w:hAnsi="宋体" w:eastAsia="宋体" w:cs="宋体"/>
          <w:color w:val="auto"/>
          <w:sz w:val="21"/>
          <w:szCs w:val="21"/>
          <w:highlight w:val="none"/>
        </w:rPr>
        <w:t>.1 甲乙双方应当按照</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color w:val="auto"/>
          <w:sz w:val="21"/>
          <w:szCs w:val="21"/>
          <w:highlight w:val="none"/>
        </w:rPr>
        <w:t>约定顺序履行合同义务；如果没有先后顺序的，应当同时履行。</w:t>
      </w:r>
    </w:p>
    <w:p w14:paraId="3443A7A6">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6</w:t>
      </w:r>
      <w:r>
        <w:rPr>
          <w:rFonts w:hint="eastAsia" w:ascii="宋体" w:hAnsi="宋体" w:eastAsia="宋体" w:cs="宋体"/>
          <w:color w:val="auto"/>
          <w:sz w:val="21"/>
          <w:szCs w:val="21"/>
          <w:highlight w:val="none"/>
        </w:rPr>
        <w:t>.2 甲乙双方按照合同约定顺序履行合同义务时，应当先履行一方未履行的，后履行一方有权拒绝其履行请求。先履行一方履行不符合约定的，后履行一方有权拒绝其相应的履行请求。</w:t>
      </w:r>
    </w:p>
    <w:p w14:paraId="6FDCDA6B">
      <w:pPr>
        <w:adjustRightInd w:val="0"/>
        <w:snapToGrid w:val="0"/>
        <w:spacing w:before="0" w:line="400" w:lineRule="exact"/>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7</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货物包装、运输</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保险</w:t>
      </w:r>
      <w:r>
        <w:rPr>
          <w:rFonts w:hint="eastAsia" w:ascii="宋体" w:hAnsi="宋体" w:eastAsia="宋体" w:cs="宋体"/>
          <w:b/>
          <w:bCs/>
          <w:color w:val="auto"/>
          <w:sz w:val="21"/>
          <w:szCs w:val="21"/>
          <w:highlight w:val="none"/>
          <w:lang w:eastAsia="zh-CN"/>
        </w:rPr>
        <w:t>和交付</w:t>
      </w:r>
      <w:r>
        <w:rPr>
          <w:rFonts w:hint="eastAsia" w:ascii="宋体" w:hAnsi="宋体" w:eastAsia="宋体" w:cs="宋体"/>
          <w:b/>
          <w:bCs/>
          <w:color w:val="auto"/>
          <w:sz w:val="21"/>
          <w:szCs w:val="21"/>
          <w:highlight w:val="none"/>
        </w:rPr>
        <w:t>要求</w:t>
      </w:r>
    </w:p>
    <w:p w14:paraId="64BDD4AC">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.1 本合同</w:t>
      </w:r>
      <w:r>
        <w:rPr>
          <w:rFonts w:hint="eastAsia" w:ascii="宋体" w:hAnsi="宋体" w:eastAsia="宋体" w:cs="宋体"/>
          <w:bCs/>
          <w:color w:val="auto"/>
          <w:sz w:val="21"/>
          <w:szCs w:val="21"/>
          <w:highlight w:val="none"/>
        </w:rPr>
        <w:t>涉及商品包装</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快递包装的，</w:t>
      </w:r>
      <w:r>
        <w:rPr>
          <w:rFonts w:hint="eastAsia" w:ascii="宋体" w:hAnsi="宋体" w:eastAsia="宋体" w:cs="宋体"/>
          <w:color w:val="auto"/>
          <w:sz w:val="21"/>
          <w:szCs w:val="21"/>
          <w:highlight w:val="none"/>
        </w:rPr>
        <w:t>除</w:t>
      </w:r>
      <w:r>
        <w:rPr>
          <w:rFonts w:hint="eastAsia" w:ascii="宋体" w:hAnsi="宋体" w:eastAsia="宋体" w:cs="宋体"/>
          <w:b/>
          <w:color w:val="auto"/>
          <w:sz w:val="21"/>
          <w:szCs w:val="21"/>
          <w:highlight w:val="none"/>
        </w:rPr>
        <w:t>【政府采购合同专用条款】</w:t>
      </w:r>
      <w:r>
        <w:rPr>
          <w:rFonts w:hint="eastAsia" w:ascii="宋体" w:hAnsi="宋体" w:eastAsia="宋体" w:cs="宋体"/>
          <w:bCs/>
          <w:color w:val="auto"/>
          <w:sz w:val="21"/>
          <w:szCs w:val="21"/>
          <w:highlight w:val="none"/>
        </w:rPr>
        <w:t>另有</w:t>
      </w:r>
      <w:r>
        <w:rPr>
          <w:rFonts w:hint="eastAsia" w:ascii="宋体" w:hAnsi="宋体" w:eastAsia="宋体" w:cs="宋体"/>
          <w:bCs/>
          <w:color w:val="auto"/>
          <w:sz w:val="21"/>
          <w:szCs w:val="21"/>
          <w:highlight w:val="none"/>
          <w:lang w:eastAsia="zh-CN"/>
        </w:rPr>
        <w:t>约</w:t>
      </w:r>
      <w:r>
        <w:rPr>
          <w:rFonts w:hint="eastAsia" w:ascii="宋体" w:hAnsi="宋体" w:eastAsia="宋体" w:cs="宋体"/>
          <w:bCs/>
          <w:color w:val="auto"/>
          <w:sz w:val="21"/>
          <w:szCs w:val="21"/>
          <w:highlight w:val="none"/>
        </w:rPr>
        <w:t>定</w:t>
      </w:r>
      <w:r>
        <w:rPr>
          <w:rFonts w:hint="eastAsia" w:ascii="宋体" w:hAnsi="宋体" w:eastAsia="宋体" w:cs="宋体"/>
          <w:bCs/>
          <w:color w:val="auto"/>
          <w:sz w:val="21"/>
          <w:szCs w:val="21"/>
          <w:highlight w:val="none"/>
          <w:lang w:eastAsia="zh-CN"/>
        </w:rPr>
        <w:t>外</w:t>
      </w:r>
      <w:r>
        <w:rPr>
          <w:rFonts w:hint="eastAsia" w:ascii="宋体" w:hAnsi="宋体" w:eastAsia="宋体" w:cs="宋体"/>
          <w:bCs/>
          <w:color w:val="auto"/>
          <w:sz w:val="21"/>
          <w:szCs w:val="21"/>
          <w:highlight w:val="none"/>
        </w:rPr>
        <w:t>，</w:t>
      </w:r>
      <w:r>
        <w:rPr>
          <w:rFonts w:hint="eastAsia" w:ascii="宋体" w:hAnsi="宋体" w:eastAsia="宋体" w:cs="宋体"/>
          <w:color w:val="auto"/>
          <w:sz w:val="21"/>
          <w:szCs w:val="21"/>
          <w:highlight w:val="none"/>
        </w:rPr>
        <w:t>包装应适应远距离运输、防潮、防震、防锈和防野蛮装卸等要求，确保货物安全无损地运抵</w:t>
      </w:r>
      <w:r>
        <w:rPr>
          <w:rFonts w:hint="eastAsia" w:ascii="宋体" w:hAnsi="宋体" w:eastAsia="宋体" w:cs="宋体"/>
          <w:b/>
          <w:color w:val="auto"/>
          <w:sz w:val="21"/>
          <w:szCs w:val="21"/>
          <w:highlight w:val="none"/>
        </w:rPr>
        <w:t>【政府采购合同专用条款】</w:t>
      </w:r>
      <w:r>
        <w:rPr>
          <w:rFonts w:hint="eastAsia" w:ascii="宋体" w:hAnsi="宋体" w:eastAsia="宋体" w:cs="宋体"/>
          <w:b w:val="0"/>
          <w:bCs/>
          <w:color w:val="auto"/>
          <w:sz w:val="21"/>
          <w:szCs w:val="21"/>
          <w:highlight w:val="none"/>
          <w:lang w:eastAsia="zh-CN"/>
        </w:rPr>
        <w:t>约定的</w:t>
      </w:r>
      <w:r>
        <w:rPr>
          <w:rFonts w:hint="eastAsia" w:ascii="宋体" w:hAnsi="宋体" w:eastAsia="宋体" w:cs="宋体"/>
          <w:color w:val="auto"/>
          <w:sz w:val="21"/>
          <w:szCs w:val="21"/>
          <w:highlight w:val="none"/>
        </w:rPr>
        <w:t>指定现场。</w:t>
      </w:r>
    </w:p>
    <w:p w14:paraId="00DED015">
      <w:pPr>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.2 除</w:t>
      </w:r>
      <w:r>
        <w:rPr>
          <w:rFonts w:hint="eastAsia" w:ascii="宋体" w:hAnsi="宋体" w:eastAsia="宋体" w:cs="宋体"/>
          <w:b/>
          <w:color w:val="auto"/>
          <w:sz w:val="21"/>
          <w:szCs w:val="21"/>
          <w:highlight w:val="none"/>
        </w:rPr>
        <w:t>【政府采购合同专用条款】</w:t>
      </w:r>
      <w:r>
        <w:rPr>
          <w:rFonts w:hint="eastAsia" w:ascii="宋体" w:hAnsi="宋体" w:eastAsia="宋体" w:cs="宋体"/>
          <w:bCs/>
          <w:color w:val="auto"/>
          <w:sz w:val="21"/>
          <w:szCs w:val="21"/>
          <w:highlight w:val="none"/>
        </w:rPr>
        <w:t>另有</w:t>
      </w:r>
      <w:r>
        <w:rPr>
          <w:rFonts w:hint="eastAsia" w:ascii="宋体" w:hAnsi="宋体" w:eastAsia="宋体" w:cs="宋体"/>
          <w:bCs/>
          <w:color w:val="auto"/>
          <w:sz w:val="21"/>
          <w:szCs w:val="21"/>
          <w:highlight w:val="none"/>
          <w:lang w:eastAsia="zh-CN"/>
        </w:rPr>
        <w:t>约</w:t>
      </w:r>
      <w:r>
        <w:rPr>
          <w:rFonts w:hint="eastAsia" w:ascii="宋体" w:hAnsi="宋体" w:eastAsia="宋体" w:cs="宋体"/>
          <w:bCs/>
          <w:color w:val="auto"/>
          <w:sz w:val="21"/>
          <w:szCs w:val="21"/>
          <w:highlight w:val="none"/>
        </w:rPr>
        <w:t>定</w:t>
      </w:r>
      <w:r>
        <w:rPr>
          <w:rFonts w:hint="eastAsia" w:ascii="宋体" w:hAnsi="宋体" w:eastAsia="宋体" w:cs="宋体"/>
          <w:bCs/>
          <w:color w:val="auto"/>
          <w:sz w:val="21"/>
          <w:szCs w:val="21"/>
          <w:highlight w:val="none"/>
          <w:lang w:eastAsia="zh-CN"/>
        </w:rPr>
        <w:t>外</w:t>
      </w:r>
      <w:r>
        <w:rPr>
          <w:rFonts w:hint="eastAsia" w:ascii="宋体" w:hAnsi="宋体" w:eastAsia="宋体" w:cs="宋体"/>
          <w:bCs/>
          <w:color w:val="auto"/>
          <w:sz w:val="21"/>
          <w:szCs w:val="21"/>
          <w:highlight w:val="none"/>
        </w:rPr>
        <w:t>，</w:t>
      </w:r>
      <w:r>
        <w:rPr>
          <w:rFonts w:hint="eastAsia" w:ascii="宋体" w:hAnsi="宋体" w:eastAsia="宋体" w:cs="宋体"/>
          <w:color w:val="auto"/>
          <w:sz w:val="21"/>
          <w:szCs w:val="21"/>
          <w:highlight w:val="none"/>
        </w:rPr>
        <w:t>乙方负责办理将货物运抵本合同规定的交货地点</w:t>
      </w:r>
      <w:r>
        <w:rPr>
          <w:rFonts w:hint="eastAsia" w:ascii="宋体" w:hAnsi="宋体" w:eastAsia="宋体" w:cs="宋体"/>
          <w:color w:val="auto"/>
          <w:sz w:val="21"/>
          <w:szCs w:val="21"/>
          <w:highlight w:val="none"/>
          <w:lang w:eastAsia="zh-CN"/>
        </w:rPr>
        <w:t>，并装卸、交付至甲方</w:t>
      </w:r>
      <w:r>
        <w:rPr>
          <w:rFonts w:hint="eastAsia" w:ascii="宋体" w:hAnsi="宋体" w:eastAsia="宋体" w:cs="宋体"/>
          <w:color w:val="auto"/>
          <w:sz w:val="21"/>
          <w:szCs w:val="21"/>
          <w:highlight w:val="none"/>
        </w:rPr>
        <w:t>的一切运输事项，相关费用应</w:t>
      </w:r>
      <w:r>
        <w:rPr>
          <w:rFonts w:hint="eastAsia" w:ascii="宋体" w:hAnsi="宋体" w:eastAsia="宋体" w:cs="宋体"/>
          <w:color w:val="auto"/>
          <w:sz w:val="21"/>
          <w:szCs w:val="21"/>
          <w:highlight w:val="none"/>
          <w:lang w:eastAsia="zh-CN"/>
        </w:rPr>
        <w:t>包含</w:t>
      </w:r>
      <w:r>
        <w:rPr>
          <w:rFonts w:hint="eastAsia" w:ascii="宋体" w:hAnsi="宋体" w:eastAsia="宋体" w:cs="宋体"/>
          <w:color w:val="auto"/>
          <w:sz w:val="21"/>
          <w:szCs w:val="21"/>
          <w:highlight w:val="none"/>
        </w:rPr>
        <w:t>在合同</w:t>
      </w:r>
      <w:r>
        <w:rPr>
          <w:rFonts w:hint="eastAsia" w:ascii="宋体" w:hAnsi="宋体" w:eastAsia="宋体" w:cs="宋体"/>
          <w:color w:val="auto"/>
          <w:sz w:val="21"/>
          <w:szCs w:val="21"/>
          <w:highlight w:val="none"/>
          <w:lang w:eastAsia="zh-CN"/>
        </w:rPr>
        <w:t>价款</w:t>
      </w:r>
      <w:r>
        <w:rPr>
          <w:rFonts w:hint="eastAsia" w:ascii="宋体" w:hAnsi="宋体" w:eastAsia="宋体" w:cs="宋体"/>
          <w:color w:val="auto"/>
          <w:sz w:val="21"/>
          <w:szCs w:val="21"/>
          <w:highlight w:val="none"/>
        </w:rPr>
        <w:t>中。</w:t>
      </w:r>
    </w:p>
    <w:p w14:paraId="6EA7B5BC">
      <w:pPr>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.3 货物保险要求按</w:t>
      </w:r>
      <w:r>
        <w:rPr>
          <w:rFonts w:hint="eastAsia" w:ascii="宋体" w:hAnsi="宋体" w:eastAsia="宋体" w:cs="宋体"/>
          <w:b/>
          <w:color w:val="auto"/>
          <w:sz w:val="21"/>
          <w:szCs w:val="21"/>
          <w:highlight w:val="none"/>
        </w:rPr>
        <w:t>【政府采购合同专用条款】</w:t>
      </w:r>
      <w:r>
        <w:rPr>
          <w:rFonts w:hint="eastAsia" w:ascii="宋体" w:hAnsi="宋体" w:eastAsia="宋体" w:cs="宋体"/>
          <w:bCs/>
          <w:color w:val="auto"/>
          <w:sz w:val="21"/>
          <w:szCs w:val="21"/>
          <w:highlight w:val="none"/>
        </w:rPr>
        <w:t>规定执行</w:t>
      </w:r>
      <w:r>
        <w:rPr>
          <w:rFonts w:hint="eastAsia" w:ascii="宋体" w:hAnsi="宋体" w:eastAsia="宋体" w:cs="宋体"/>
          <w:color w:val="auto"/>
          <w:sz w:val="21"/>
          <w:szCs w:val="21"/>
          <w:highlight w:val="none"/>
        </w:rPr>
        <w:t>。</w:t>
      </w:r>
    </w:p>
    <w:p w14:paraId="648BE1CE">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 xml:space="preserve">.4 </w:t>
      </w:r>
      <w:r>
        <w:rPr>
          <w:rFonts w:hint="eastAsia" w:ascii="宋体" w:hAnsi="宋体" w:eastAsia="宋体" w:cs="宋体"/>
          <w:color w:val="auto"/>
          <w:sz w:val="21"/>
          <w:szCs w:val="21"/>
          <w:highlight w:val="none"/>
          <w:lang w:val="en-US" w:eastAsia="zh-CN"/>
        </w:rPr>
        <w:t>除采购活动</w:t>
      </w:r>
      <w:r>
        <w:rPr>
          <w:rFonts w:hint="eastAsia" w:ascii="宋体" w:hAnsi="宋体" w:eastAsia="宋体" w:cs="宋体"/>
          <w:color w:val="auto"/>
          <w:sz w:val="21"/>
          <w:szCs w:val="21"/>
          <w:highlight w:val="none"/>
        </w:rPr>
        <w:t>对商品包装</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快递包装</w:t>
      </w:r>
      <w:r>
        <w:rPr>
          <w:rFonts w:hint="eastAsia" w:ascii="宋体" w:hAnsi="宋体" w:eastAsia="宋体" w:cs="宋体"/>
          <w:color w:val="auto"/>
          <w:sz w:val="21"/>
          <w:szCs w:val="21"/>
          <w:highlight w:val="none"/>
          <w:lang w:val="en-US" w:eastAsia="zh-CN"/>
        </w:rPr>
        <w:t>达成具体约定外</w:t>
      </w:r>
      <w:r>
        <w:rPr>
          <w:rFonts w:hint="eastAsia" w:ascii="宋体" w:hAnsi="宋体" w:eastAsia="宋体" w:cs="宋体"/>
          <w:color w:val="auto"/>
          <w:sz w:val="21"/>
          <w:szCs w:val="21"/>
          <w:highlight w:val="none"/>
        </w:rPr>
        <w:t>，乙方提供产品及相关快递服务</w:t>
      </w:r>
      <w:r>
        <w:rPr>
          <w:rFonts w:hint="eastAsia" w:ascii="宋体" w:hAnsi="宋体" w:eastAsia="宋体" w:cs="宋体"/>
          <w:color w:val="auto"/>
          <w:sz w:val="21"/>
          <w:szCs w:val="21"/>
          <w:highlight w:val="none"/>
          <w:lang w:val="en-US" w:eastAsia="zh-CN"/>
        </w:rPr>
        <w:t>涉及到</w:t>
      </w:r>
      <w:r>
        <w:rPr>
          <w:rFonts w:hint="eastAsia" w:ascii="宋体" w:hAnsi="宋体" w:eastAsia="宋体" w:cs="宋体"/>
          <w:color w:val="auto"/>
          <w:sz w:val="21"/>
          <w:szCs w:val="21"/>
          <w:highlight w:val="none"/>
        </w:rPr>
        <w:t>具体包装要求</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应</w:t>
      </w:r>
      <w:r>
        <w:rPr>
          <w:rFonts w:hint="eastAsia" w:ascii="宋体" w:hAnsi="宋体" w:eastAsia="宋体" w:cs="宋体"/>
          <w:color w:val="auto"/>
          <w:sz w:val="21"/>
          <w:szCs w:val="21"/>
          <w:highlight w:val="none"/>
          <w:lang w:val="en-US" w:eastAsia="zh-CN"/>
        </w:rPr>
        <w:t>不低于</w:t>
      </w:r>
      <w:r>
        <w:rPr>
          <w:rFonts w:hint="eastAsia" w:ascii="宋体" w:hAnsi="宋体" w:eastAsia="宋体" w:cs="宋体"/>
          <w:color w:val="auto"/>
          <w:sz w:val="21"/>
          <w:szCs w:val="21"/>
          <w:highlight w:val="none"/>
        </w:rPr>
        <w:t>《商品包装政府采购需求标准（试行）</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快递包装政府采购需求标准（试行）》</w:t>
      </w:r>
      <w:r>
        <w:rPr>
          <w:rFonts w:hint="eastAsia" w:ascii="宋体" w:hAnsi="宋体" w:eastAsia="宋体" w:cs="宋体"/>
          <w:color w:val="auto"/>
          <w:sz w:val="21"/>
          <w:szCs w:val="21"/>
          <w:highlight w:val="none"/>
          <w:lang w:val="en-US" w:eastAsia="zh-CN"/>
        </w:rPr>
        <w:t>标准</w:t>
      </w:r>
      <w:r>
        <w:rPr>
          <w:rFonts w:hint="eastAsia" w:ascii="宋体" w:hAnsi="宋体" w:eastAsia="宋体" w:cs="宋体"/>
          <w:color w:val="auto"/>
          <w:sz w:val="21"/>
          <w:szCs w:val="21"/>
          <w:highlight w:val="none"/>
        </w:rPr>
        <w:t>，并作为履约验收的内容，必要时甲方可以要求乙方在履约验收环节出具检测报告。</w:t>
      </w:r>
    </w:p>
    <w:p w14:paraId="45153740">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7.5 </w:t>
      </w:r>
      <w:r>
        <w:rPr>
          <w:rFonts w:hint="eastAsia" w:ascii="宋体" w:hAnsi="宋体" w:eastAsia="宋体" w:cs="宋体"/>
          <w:color w:val="auto"/>
          <w:sz w:val="21"/>
          <w:szCs w:val="21"/>
          <w:highlight w:val="none"/>
        </w:rPr>
        <w:t>乙方在运输到达之前</w:t>
      </w:r>
      <w:r>
        <w:rPr>
          <w:rFonts w:hint="eastAsia" w:ascii="宋体" w:hAnsi="宋体" w:eastAsia="宋体" w:cs="宋体"/>
          <w:color w:val="auto"/>
          <w:sz w:val="21"/>
          <w:szCs w:val="21"/>
          <w:highlight w:val="none"/>
          <w:lang w:eastAsia="zh-CN"/>
        </w:rPr>
        <w:t>应</w:t>
      </w:r>
      <w:r>
        <w:rPr>
          <w:rFonts w:hint="eastAsia" w:ascii="宋体" w:hAnsi="宋体" w:eastAsia="宋体" w:cs="宋体"/>
          <w:color w:val="auto"/>
          <w:sz w:val="21"/>
          <w:szCs w:val="21"/>
          <w:highlight w:val="none"/>
        </w:rPr>
        <w:t>提前通知</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，并提示货物运输装卸的注意事项</w:t>
      </w:r>
      <w:r>
        <w:rPr>
          <w:rFonts w:hint="eastAsia" w:ascii="宋体" w:hAnsi="宋体" w:eastAsia="宋体" w:cs="宋体"/>
          <w:color w:val="auto"/>
          <w:sz w:val="21"/>
          <w:szCs w:val="21"/>
          <w:highlight w:val="none"/>
          <w:lang w:eastAsia="zh-CN"/>
        </w:rPr>
        <w:t>，甲方配合乙方做好货物的接收工作。</w:t>
      </w:r>
    </w:p>
    <w:p w14:paraId="0444A18D">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7.6 如因包装、运输问题导致货物损毁、丢失或者品质下降，甲方有权要求降价、换货、拒收部分或整批货物，由此产生的费用和损失，均由乙方承担。</w:t>
      </w:r>
    </w:p>
    <w:p w14:paraId="34E309DD">
      <w:pPr>
        <w:adjustRightInd w:val="0"/>
        <w:snapToGrid w:val="0"/>
        <w:spacing w:before="0" w:line="400" w:lineRule="exact"/>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eastAsia="zh-CN"/>
        </w:rPr>
        <w:t>8</w:t>
      </w:r>
      <w:r>
        <w:rPr>
          <w:rFonts w:hint="eastAsia" w:ascii="宋体" w:hAnsi="宋体" w:eastAsia="宋体" w:cs="宋体"/>
          <w:b/>
          <w:color w:val="auto"/>
          <w:sz w:val="21"/>
          <w:szCs w:val="21"/>
          <w:highlight w:val="none"/>
          <w:lang w:val="en-US" w:eastAsia="zh-CN"/>
        </w:rPr>
        <w:t xml:space="preserve">. </w:t>
      </w:r>
      <w:r>
        <w:rPr>
          <w:rFonts w:hint="eastAsia" w:ascii="宋体" w:hAnsi="宋体" w:eastAsia="宋体" w:cs="宋体"/>
          <w:b/>
          <w:color w:val="auto"/>
          <w:sz w:val="21"/>
          <w:szCs w:val="21"/>
          <w:highlight w:val="none"/>
        </w:rPr>
        <w:t>质量标准和保证</w:t>
      </w:r>
    </w:p>
    <w:p w14:paraId="7B1679E1">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8.1 质量标准</w:t>
      </w:r>
    </w:p>
    <w:p w14:paraId="67385228">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（1）本合同下</w:t>
      </w:r>
      <w:r>
        <w:rPr>
          <w:rFonts w:hint="eastAsia" w:ascii="宋体" w:hAnsi="宋体" w:eastAsia="宋体" w:cs="宋体"/>
          <w:color w:val="auto"/>
          <w:sz w:val="21"/>
          <w:szCs w:val="21"/>
          <w:highlight w:val="none"/>
          <w:lang w:eastAsia="zh-CN"/>
        </w:rPr>
        <w:t>提供</w:t>
      </w:r>
      <w:r>
        <w:rPr>
          <w:rFonts w:hint="eastAsia" w:ascii="宋体" w:hAnsi="宋体" w:eastAsia="宋体" w:cs="宋体"/>
          <w:color w:val="auto"/>
          <w:sz w:val="21"/>
          <w:szCs w:val="21"/>
          <w:highlight w:val="none"/>
        </w:rPr>
        <w:t>的货物应符合</w:t>
      </w:r>
      <w:r>
        <w:rPr>
          <w:rFonts w:hint="eastAsia" w:ascii="宋体" w:hAnsi="宋体" w:eastAsia="宋体" w:cs="宋体"/>
          <w:color w:val="auto"/>
          <w:sz w:val="21"/>
          <w:szCs w:val="21"/>
          <w:highlight w:val="none"/>
          <w:lang w:eastAsia="zh-CN"/>
        </w:rPr>
        <w:t>合同约</w:t>
      </w:r>
      <w:r>
        <w:rPr>
          <w:rFonts w:hint="eastAsia" w:ascii="宋体" w:hAnsi="宋体" w:eastAsia="宋体" w:cs="宋体"/>
          <w:color w:val="auto"/>
          <w:sz w:val="21"/>
          <w:szCs w:val="21"/>
          <w:highlight w:val="none"/>
        </w:rPr>
        <w:t>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宋体" w:hAnsi="宋体" w:eastAsia="宋体" w:cs="宋体"/>
          <w:color w:val="auto"/>
          <w:sz w:val="21"/>
          <w:szCs w:val="21"/>
          <w:highlight w:val="none"/>
          <w:lang w:eastAsia="zh-CN"/>
        </w:rPr>
        <w:t>。</w:t>
      </w:r>
    </w:p>
    <w:p w14:paraId="08D66C60">
      <w:pPr>
        <w:pStyle w:val="17"/>
        <w:adjustRightInd w:val="0"/>
        <w:snapToGrid w:val="0"/>
        <w:spacing w:before="0" w:line="400" w:lineRule="exact"/>
        <w:ind w:firstLine="420" w:firstLineChars="20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（2）采用中华人民共和国法定计量单位。</w:t>
      </w:r>
    </w:p>
    <w:p w14:paraId="2960FA61">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（3）乙方所</w:t>
      </w:r>
      <w:r>
        <w:rPr>
          <w:rFonts w:hint="eastAsia" w:ascii="宋体" w:hAnsi="宋体" w:eastAsia="宋体" w:cs="宋体"/>
          <w:color w:val="auto"/>
          <w:sz w:val="21"/>
          <w:szCs w:val="21"/>
          <w:highlight w:val="none"/>
          <w:lang w:eastAsia="zh-CN"/>
        </w:rPr>
        <w:t>提供</w:t>
      </w:r>
      <w:r>
        <w:rPr>
          <w:rFonts w:hint="eastAsia" w:ascii="宋体" w:hAnsi="宋体" w:eastAsia="宋体" w:cs="宋体"/>
          <w:color w:val="auto"/>
          <w:sz w:val="21"/>
          <w:szCs w:val="21"/>
          <w:highlight w:val="none"/>
        </w:rPr>
        <w:t>的货物应符合国家有关安全、环保、卫生</w:t>
      </w:r>
      <w:r>
        <w:rPr>
          <w:rFonts w:hint="eastAsia" w:ascii="宋体" w:hAnsi="宋体" w:eastAsia="宋体" w:cs="宋体"/>
          <w:color w:val="auto"/>
          <w:sz w:val="21"/>
          <w:szCs w:val="21"/>
          <w:highlight w:val="none"/>
          <w:lang w:eastAsia="zh-CN"/>
        </w:rPr>
        <w:t>的</w:t>
      </w:r>
      <w:r>
        <w:rPr>
          <w:rFonts w:hint="eastAsia" w:ascii="宋体" w:hAnsi="宋体" w:eastAsia="宋体" w:cs="宋体"/>
          <w:color w:val="auto"/>
          <w:sz w:val="21"/>
          <w:szCs w:val="21"/>
          <w:highlight w:val="none"/>
        </w:rPr>
        <w:t>规定。</w:t>
      </w:r>
    </w:p>
    <w:p w14:paraId="7D7DFC4C">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（4）乙方应向甲方提交所</w:t>
      </w:r>
      <w:r>
        <w:rPr>
          <w:rFonts w:hint="eastAsia" w:ascii="宋体" w:hAnsi="宋体" w:eastAsia="宋体" w:cs="宋体"/>
          <w:color w:val="auto"/>
          <w:sz w:val="21"/>
          <w:szCs w:val="21"/>
          <w:highlight w:val="none"/>
          <w:lang w:eastAsia="zh-CN"/>
        </w:rPr>
        <w:t>提供</w:t>
      </w:r>
      <w:r>
        <w:rPr>
          <w:rFonts w:hint="eastAsia" w:ascii="宋体" w:hAnsi="宋体" w:eastAsia="宋体" w:cs="宋体"/>
          <w:color w:val="auto"/>
          <w:sz w:val="21"/>
          <w:szCs w:val="21"/>
          <w:highlight w:val="none"/>
        </w:rPr>
        <w:t>货物的技术文件，包括相应的中文技术文件，如：产品目录、图纸、操作手册、使用说明、维护手册或服务指南</w:t>
      </w:r>
      <w:r>
        <w:rPr>
          <w:rFonts w:hint="eastAsia" w:ascii="宋体" w:hAnsi="宋体" w:eastAsia="宋体" w:cs="宋体"/>
          <w:color w:val="auto"/>
          <w:sz w:val="21"/>
          <w:szCs w:val="21"/>
          <w:highlight w:val="none"/>
          <w:lang w:eastAsia="zh-CN"/>
        </w:rPr>
        <w:t>等</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上述</w:t>
      </w:r>
      <w:r>
        <w:rPr>
          <w:rFonts w:hint="eastAsia" w:ascii="宋体" w:hAnsi="宋体" w:eastAsia="宋体" w:cs="宋体"/>
          <w:color w:val="auto"/>
          <w:sz w:val="21"/>
          <w:szCs w:val="21"/>
          <w:highlight w:val="none"/>
        </w:rPr>
        <w:t>文件应包装好随货物一同发运。</w:t>
      </w:r>
    </w:p>
    <w:p w14:paraId="7CE2FA54">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8</w:t>
      </w:r>
      <w:r>
        <w:rPr>
          <w:rFonts w:hint="eastAsia" w:ascii="宋体" w:hAnsi="宋体" w:eastAsia="宋体" w:cs="宋体"/>
          <w:color w:val="auto"/>
          <w:sz w:val="21"/>
          <w:szCs w:val="21"/>
          <w:highlight w:val="none"/>
        </w:rPr>
        <w:t>.2 保证</w:t>
      </w:r>
    </w:p>
    <w:p w14:paraId="38428A1F">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（1）乙方应保证</w:t>
      </w:r>
      <w:r>
        <w:rPr>
          <w:rFonts w:hint="eastAsia" w:ascii="宋体" w:hAnsi="宋体" w:eastAsia="宋体" w:cs="宋体"/>
          <w:color w:val="auto"/>
          <w:sz w:val="21"/>
          <w:szCs w:val="21"/>
          <w:highlight w:val="none"/>
          <w:lang w:eastAsia="zh-CN"/>
        </w:rPr>
        <w:t>提供的货物</w:t>
      </w:r>
      <w:r>
        <w:rPr>
          <w:rFonts w:hint="eastAsia" w:ascii="宋体" w:hAnsi="宋体" w:eastAsia="宋体" w:cs="宋体"/>
          <w:color w:val="auto"/>
          <w:sz w:val="21"/>
          <w:szCs w:val="21"/>
          <w:highlight w:val="none"/>
        </w:rPr>
        <w:t>完全符合合同规定的质量、规格和性能要求。乙方应保证货物在正确安装、正常使用和保养条件下，在其使用寿命期内具</w:t>
      </w:r>
      <w:r>
        <w:rPr>
          <w:rFonts w:hint="eastAsia" w:ascii="宋体" w:hAnsi="宋体" w:eastAsia="宋体" w:cs="宋体"/>
          <w:color w:val="auto"/>
          <w:sz w:val="21"/>
          <w:szCs w:val="21"/>
          <w:highlight w:val="none"/>
          <w:lang w:eastAsia="zh-CN"/>
        </w:rPr>
        <w:t>备合同约定</w:t>
      </w:r>
      <w:r>
        <w:rPr>
          <w:rFonts w:hint="eastAsia" w:ascii="宋体" w:hAnsi="宋体" w:eastAsia="宋体" w:cs="宋体"/>
          <w:color w:val="auto"/>
          <w:sz w:val="21"/>
          <w:szCs w:val="21"/>
          <w:highlight w:val="none"/>
        </w:rPr>
        <w:t>的性能。</w:t>
      </w:r>
      <w:r>
        <w:rPr>
          <w:rFonts w:hint="eastAsia" w:ascii="宋体" w:hAnsi="宋体" w:eastAsia="宋体" w:cs="宋体"/>
          <w:color w:val="auto"/>
          <w:sz w:val="21"/>
          <w:szCs w:val="21"/>
          <w:highlight w:val="none"/>
          <w:lang w:eastAsia="zh-CN"/>
        </w:rPr>
        <w:t>存在</w:t>
      </w:r>
      <w:r>
        <w:rPr>
          <w:rFonts w:hint="eastAsia" w:ascii="宋体" w:hAnsi="宋体" w:eastAsia="宋体" w:cs="宋体"/>
          <w:color w:val="auto"/>
          <w:sz w:val="21"/>
          <w:szCs w:val="21"/>
          <w:highlight w:val="none"/>
        </w:rPr>
        <w:t>质量保证期的，货物最终交付验收</w:t>
      </w:r>
      <w:r>
        <w:rPr>
          <w:rFonts w:hint="eastAsia" w:ascii="宋体" w:hAnsi="宋体" w:eastAsia="宋体" w:cs="宋体"/>
          <w:color w:val="auto"/>
          <w:sz w:val="21"/>
          <w:szCs w:val="21"/>
          <w:highlight w:val="none"/>
          <w:lang w:eastAsia="zh-CN"/>
        </w:rPr>
        <w:t>合格</w:t>
      </w:r>
      <w:r>
        <w:rPr>
          <w:rFonts w:hint="eastAsia" w:ascii="宋体" w:hAnsi="宋体" w:eastAsia="宋体" w:cs="宋体"/>
          <w:color w:val="auto"/>
          <w:sz w:val="21"/>
          <w:szCs w:val="21"/>
          <w:highlight w:val="none"/>
        </w:rPr>
        <w:t>后</w:t>
      </w:r>
      <w:r>
        <w:rPr>
          <w:rFonts w:hint="eastAsia" w:ascii="宋体" w:hAnsi="宋体" w:eastAsia="宋体" w:cs="宋体"/>
          <w:color w:val="auto"/>
          <w:sz w:val="21"/>
          <w:szCs w:val="21"/>
          <w:highlight w:val="none"/>
          <w:lang w:eastAsia="zh-CN"/>
        </w:rPr>
        <w:t>在</w:t>
      </w:r>
      <w:r>
        <w:rPr>
          <w:rFonts w:hint="eastAsia" w:ascii="宋体" w:hAnsi="宋体" w:eastAsia="宋体" w:cs="宋体"/>
          <w:b/>
          <w:color w:val="auto"/>
          <w:sz w:val="21"/>
          <w:szCs w:val="21"/>
          <w:highlight w:val="none"/>
        </w:rPr>
        <w:t>【政府采购合同专用条款】</w:t>
      </w:r>
      <w:r>
        <w:rPr>
          <w:rFonts w:hint="eastAsia" w:ascii="宋体" w:hAnsi="宋体" w:eastAsia="宋体" w:cs="宋体"/>
          <w:color w:val="auto"/>
          <w:sz w:val="21"/>
          <w:szCs w:val="21"/>
          <w:highlight w:val="none"/>
        </w:rPr>
        <w:t>规定或乙方</w:t>
      </w:r>
      <w:r>
        <w:rPr>
          <w:rFonts w:hint="eastAsia" w:ascii="宋体" w:hAnsi="宋体" w:eastAsia="宋体" w:cs="宋体"/>
          <w:color w:val="auto"/>
          <w:sz w:val="21"/>
          <w:szCs w:val="21"/>
          <w:highlight w:val="none"/>
          <w:lang w:eastAsia="zh-CN"/>
        </w:rPr>
        <w:t>书面</w:t>
      </w:r>
      <w:r>
        <w:rPr>
          <w:rFonts w:hint="eastAsia" w:ascii="宋体" w:hAnsi="宋体" w:eastAsia="宋体" w:cs="宋体"/>
          <w:color w:val="auto"/>
          <w:sz w:val="21"/>
          <w:szCs w:val="21"/>
          <w:highlight w:val="none"/>
        </w:rPr>
        <w:t>承诺（两者以较长的为准）的质量保证期内，本保证保持有效。</w:t>
      </w:r>
    </w:p>
    <w:p w14:paraId="1C3269A8">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（2）在质量保证期内所发现的缺陷，甲方应尽快以书面形式通知乙方。</w:t>
      </w:r>
    </w:p>
    <w:p w14:paraId="70034831">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（3）乙方收到通知后</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应在</w:t>
      </w:r>
      <w:r>
        <w:rPr>
          <w:rFonts w:hint="eastAsia" w:ascii="宋体" w:hAnsi="宋体" w:eastAsia="宋体" w:cs="宋体"/>
          <w:b/>
          <w:color w:val="auto"/>
          <w:sz w:val="21"/>
          <w:szCs w:val="21"/>
          <w:highlight w:val="none"/>
        </w:rPr>
        <w:t>【政府采购合同专用条款】</w:t>
      </w:r>
      <w:r>
        <w:rPr>
          <w:rFonts w:hint="eastAsia" w:ascii="宋体" w:hAnsi="宋体" w:eastAsia="宋体" w:cs="宋体"/>
          <w:color w:val="auto"/>
          <w:sz w:val="21"/>
          <w:szCs w:val="21"/>
          <w:highlight w:val="none"/>
        </w:rPr>
        <w:t>规定的响应时间内以合理的速度免费维修或更换有缺陷的货物或部件。</w:t>
      </w:r>
    </w:p>
    <w:p w14:paraId="70925781">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（4）在质量保证期内，如果货物的质量或规格与合同不符，或证实货物是有缺陷的，包括潜在的缺陷或使用不符合要求的材料等，甲方可以根据本合同第1</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.1条规定以书面形式</w:t>
      </w:r>
      <w:r>
        <w:rPr>
          <w:rFonts w:hint="eastAsia" w:ascii="宋体" w:hAnsi="宋体" w:eastAsia="宋体" w:cs="宋体"/>
          <w:color w:val="auto"/>
          <w:sz w:val="21"/>
          <w:szCs w:val="21"/>
          <w:highlight w:val="none"/>
          <w:lang w:eastAsia="zh-CN"/>
        </w:rPr>
        <w:t>追究</w:t>
      </w:r>
      <w:r>
        <w:rPr>
          <w:rFonts w:hint="eastAsia" w:ascii="宋体" w:hAnsi="宋体" w:eastAsia="宋体" w:cs="宋体"/>
          <w:color w:val="auto"/>
          <w:sz w:val="21"/>
          <w:szCs w:val="21"/>
          <w:highlight w:val="none"/>
        </w:rPr>
        <w:t>乙方</w:t>
      </w:r>
      <w:r>
        <w:rPr>
          <w:rFonts w:hint="eastAsia" w:ascii="宋体" w:hAnsi="宋体" w:eastAsia="宋体" w:cs="宋体"/>
          <w:color w:val="auto"/>
          <w:sz w:val="21"/>
          <w:szCs w:val="21"/>
          <w:highlight w:val="none"/>
          <w:lang w:eastAsia="zh-CN"/>
        </w:rPr>
        <w:t>的违约责任</w:t>
      </w:r>
      <w:r>
        <w:rPr>
          <w:rFonts w:hint="eastAsia" w:ascii="宋体" w:hAnsi="宋体" w:eastAsia="宋体" w:cs="宋体"/>
          <w:color w:val="auto"/>
          <w:sz w:val="21"/>
          <w:szCs w:val="21"/>
          <w:highlight w:val="none"/>
        </w:rPr>
        <w:t>。</w:t>
      </w:r>
    </w:p>
    <w:p w14:paraId="47BD646C">
      <w:pPr>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（5）乙方在约定的时间内未能弥补缺陷，甲方可采取必要的补救措施，但其风险和费用将由乙方承担，甲方根据合同</w:t>
      </w:r>
      <w:r>
        <w:rPr>
          <w:rFonts w:hint="eastAsia" w:ascii="宋体" w:hAnsi="宋体" w:eastAsia="宋体" w:cs="宋体"/>
          <w:color w:val="auto"/>
          <w:sz w:val="21"/>
          <w:szCs w:val="21"/>
          <w:highlight w:val="none"/>
          <w:lang w:eastAsia="zh-CN"/>
        </w:rPr>
        <w:t>约定</w:t>
      </w:r>
      <w:r>
        <w:rPr>
          <w:rFonts w:hint="eastAsia" w:ascii="宋体" w:hAnsi="宋体" w:eastAsia="宋体" w:cs="宋体"/>
          <w:color w:val="auto"/>
          <w:sz w:val="21"/>
          <w:szCs w:val="21"/>
          <w:highlight w:val="none"/>
        </w:rPr>
        <w:t>对乙方行使的其他权利不受影响。</w:t>
      </w:r>
    </w:p>
    <w:p w14:paraId="3ABE3F30">
      <w:pPr>
        <w:adjustRightInd w:val="0"/>
        <w:snapToGrid w:val="0"/>
        <w:spacing w:before="0" w:line="400" w:lineRule="exact"/>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9</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权利瑕疵担保</w:t>
      </w:r>
    </w:p>
    <w:p w14:paraId="3AF250E0">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9</w:t>
      </w:r>
      <w:r>
        <w:rPr>
          <w:rFonts w:hint="eastAsia" w:ascii="宋体" w:hAnsi="宋体" w:eastAsia="宋体" w:cs="宋体"/>
          <w:color w:val="auto"/>
          <w:sz w:val="21"/>
          <w:szCs w:val="21"/>
          <w:highlight w:val="none"/>
        </w:rPr>
        <w:t>.1 乙方保证对其出售的货物享有合法的权利。</w:t>
      </w:r>
    </w:p>
    <w:p w14:paraId="3EF70828">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9</w:t>
      </w:r>
      <w:r>
        <w:rPr>
          <w:rFonts w:hint="eastAsia" w:ascii="宋体" w:hAnsi="宋体" w:eastAsia="宋体" w:cs="宋体"/>
          <w:color w:val="auto"/>
          <w:sz w:val="21"/>
          <w:szCs w:val="21"/>
          <w:highlight w:val="none"/>
        </w:rPr>
        <w:t>.2 乙方保证在交付的货物上不存在抵押权等担保物权。</w:t>
      </w:r>
    </w:p>
    <w:p w14:paraId="523ED870">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9</w:t>
      </w:r>
      <w:r>
        <w:rPr>
          <w:rFonts w:hint="eastAsia" w:ascii="宋体" w:hAnsi="宋体" w:eastAsia="宋体" w:cs="宋体"/>
          <w:color w:val="auto"/>
          <w:sz w:val="21"/>
          <w:szCs w:val="21"/>
          <w:highlight w:val="none"/>
        </w:rPr>
        <w:t>.3 如甲方使用</w:t>
      </w:r>
      <w:r>
        <w:rPr>
          <w:rFonts w:hint="eastAsia" w:ascii="宋体" w:hAnsi="宋体" w:eastAsia="宋体" w:cs="宋体"/>
          <w:color w:val="auto"/>
          <w:sz w:val="21"/>
          <w:szCs w:val="21"/>
          <w:highlight w:val="none"/>
          <w:lang w:val="en-US" w:eastAsia="zh-CN"/>
        </w:rPr>
        <w:t>上述</w:t>
      </w:r>
      <w:r>
        <w:rPr>
          <w:rFonts w:hint="eastAsia" w:ascii="宋体" w:hAnsi="宋体" w:eastAsia="宋体" w:cs="宋体"/>
          <w:color w:val="auto"/>
          <w:sz w:val="21"/>
          <w:szCs w:val="21"/>
          <w:highlight w:val="none"/>
        </w:rPr>
        <w:t>货物构成</w:t>
      </w:r>
      <w:r>
        <w:rPr>
          <w:rFonts w:hint="eastAsia" w:ascii="宋体" w:hAnsi="宋体" w:eastAsia="宋体" w:cs="宋体"/>
          <w:color w:val="auto"/>
          <w:sz w:val="21"/>
          <w:szCs w:val="21"/>
          <w:highlight w:val="none"/>
          <w:lang w:val="en-US" w:eastAsia="zh-CN"/>
        </w:rPr>
        <w:t>对第三人</w:t>
      </w:r>
      <w:r>
        <w:rPr>
          <w:rFonts w:hint="eastAsia" w:ascii="宋体" w:hAnsi="宋体" w:eastAsia="宋体" w:cs="宋体"/>
          <w:color w:val="auto"/>
          <w:sz w:val="21"/>
          <w:szCs w:val="21"/>
          <w:highlight w:val="none"/>
        </w:rPr>
        <w:t>侵权的，则由乙方承担全部责任。</w:t>
      </w:r>
    </w:p>
    <w:p w14:paraId="0B2C947F">
      <w:pPr>
        <w:autoSpaceDE w:val="0"/>
        <w:autoSpaceDN w:val="0"/>
        <w:adjustRightInd w:val="0"/>
        <w:snapToGrid w:val="0"/>
        <w:spacing w:before="0" w:line="400" w:lineRule="exact"/>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w:t>
      </w:r>
      <w:r>
        <w:rPr>
          <w:rFonts w:hint="eastAsia" w:ascii="宋体" w:hAnsi="宋体" w:eastAsia="宋体" w:cs="宋体"/>
          <w:b/>
          <w:bCs/>
          <w:color w:val="auto"/>
          <w:sz w:val="21"/>
          <w:szCs w:val="21"/>
          <w:highlight w:val="none"/>
          <w:lang w:eastAsia="zh-CN"/>
        </w:rPr>
        <w:t>0</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知识产权保护</w:t>
      </w:r>
    </w:p>
    <w:p w14:paraId="6BEBA90A">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0</w:t>
      </w:r>
      <w:r>
        <w:rPr>
          <w:rFonts w:hint="eastAsia" w:ascii="宋体" w:hAnsi="宋体" w:eastAsia="宋体" w:cs="宋体"/>
          <w:color w:val="auto"/>
          <w:sz w:val="21"/>
          <w:szCs w:val="21"/>
          <w:highlight w:val="none"/>
        </w:rPr>
        <w:t>.1 乙方对其所销售的货物应当享有知识产权或经权利人合法授权，保证没有侵犯任何第三人的知识产权等权利。</w:t>
      </w:r>
      <w:bookmarkStart w:id="327" w:name="_Hlk163047038"/>
      <w:r>
        <w:rPr>
          <w:rFonts w:hint="eastAsia" w:ascii="宋体" w:hAnsi="宋体" w:eastAsia="宋体" w:cs="宋体"/>
          <w:color w:val="auto"/>
          <w:sz w:val="21"/>
          <w:szCs w:val="21"/>
          <w:highlight w:val="none"/>
        </w:rPr>
        <w:t>因违反前述约定对第三人构成侵权的，应当由乙方向第三人承担法律责任；甲方依法向第三人赔偿后，有权向乙方追偿。甲方有其他损失的，乙方应当赔偿</w:t>
      </w:r>
      <w:bookmarkEnd w:id="327"/>
      <w:r>
        <w:rPr>
          <w:rFonts w:hint="eastAsia" w:ascii="宋体" w:hAnsi="宋体" w:eastAsia="宋体" w:cs="宋体"/>
          <w:color w:val="auto"/>
          <w:sz w:val="21"/>
          <w:szCs w:val="21"/>
          <w:highlight w:val="none"/>
        </w:rPr>
        <w:t>。</w:t>
      </w:r>
    </w:p>
    <w:p w14:paraId="285A4656">
      <w:pPr>
        <w:autoSpaceDE w:val="0"/>
        <w:autoSpaceDN w:val="0"/>
        <w:adjustRightInd w:val="0"/>
        <w:snapToGrid w:val="0"/>
        <w:spacing w:before="0" w:line="400" w:lineRule="exact"/>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w:t>
      </w:r>
      <w:r>
        <w:rPr>
          <w:rFonts w:hint="eastAsia" w:ascii="宋体" w:hAnsi="宋体" w:eastAsia="宋体" w:cs="宋体"/>
          <w:b/>
          <w:bCs/>
          <w:color w:val="auto"/>
          <w:sz w:val="21"/>
          <w:szCs w:val="21"/>
          <w:highlight w:val="none"/>
          <w:lang w:eastAsia="zh-CN"/>
        </w:rPr>
        <w:t>1</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保密义务</w:t>
      </w:r>
    </w:p>
    <w:p w14:paraId="14983EC6">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11.1 </w:t>
      </w:r>
      <w:r>
        <w:rPr>
          <w:rFonts w:hint="eastAsia" w:ascii="宋体" w:hAnsi="宋体" w:eastAsia="宋体" w:cs="宋体"/>
          <w:color w:val="auto"/>
          <w:sz w:val="21"/>
          <w:szCs w:val="21"/>
          <w:highlight w:val="none"/>
        </w:rPr>
        <w:t>甲、乙双方</w:t>
      </w:r>
      <w:r>
        <w:rPr>
          <w:rFonts w:hint="eastAsia" w:ascii="宋体" w:hAnsi="宋体" w:eastAsia="宋体" w:cs="宋体"/>
          <w:color w:val="auto"/>
          <w:sz w:val="21"/>
          <w:szCs w:val="21"/>
          <w:highlight w:val="none"/>
          <w:lang w:eastAsia="zh-CN"/>
        </w:rPr>
        <w:t>对</w:t>
      </w:r>
      <w:r>
        <w:rPr>
          <w:rFonts w:hint="eastAsia" w:ascii="宋体" w:hAnsi="宋体" w:eastAsia="宋体" w:cs="宋体"/>
          <w:color w:val="auto"/>
          <w:sz w:val="21"/>
          <w:szCs w:val="21"/>
          <w:highlight w:val="none"/>
        </w:rPr>
        <w:t>采购和合同履行过程中所获悉的</w:t>
      </w:r>
      <w:r>
        <w:rPr>
          <w:rFonts w:hint="eastAsia" w:ascii="宋体" w:hAnsi="宋体" w:eastAsia="宋体" w:cs="宋体"/>
          <w:color w:val="auto"/>
          <w:sz w:val="21"/>
          <w:szCs w:val="21"/>
          <w:highlight w:val="none"/>
          <w:lang w:eastAsia="zh-CN"/>
        </w:rPr>
        <w:t>国家秘密、工作秘密、</w:t>
      </w:r>
      <w:r>
        <w:rPr>
          <w:rFonts w:hint="eastAsia" w:ascii="宋体" w:hAnsi="宋体" w:eastAsia="宋体" w:cs="宋体"/>
          <w:color w:val="auto"/>
          <w:sz w:val="21"/>
          <w:szCs w:val="21"/>
          <w:highlight w:val="none"/>
        </w:rPr>
        <w:t>商业秘密或者其他应当保密的信息，均有保密义务</w:t>
      </w:r>
      <w:r>
        <w:rPr>
          <w:rFonts w:hint="eastAsia" w:ascii="宋体" w:hAnsi="宋体" w:eastAsia="宋体" w:cs="宋体"/>
          <w:color w:val="auto"/>
          <w:sz w:val="21"/>
          <w:szCs w:val="21"/>
          <w:highlight w:val="none"/>
          <w:lang w:eastAsia="zh-CN"/>
        </w:rPr>
        <w:t>且不受合同有效期所限，直至该信息成为公开信息</w:t>
      </w:r>
      <w:r>
        <w:rPr>
          <w:rFonts w:hint="eastAsia" w:ascii="宋体" w:hAnsi="宋体" w:eastAsia="宋体" w:cs="宋体"/>
          <w:color w:val="auto"/>
          <w:sz w:val="21"/>
          <w:szCs w:val="21"/>
          <w:highlight w:val="none"/>
        </w:rPr>
        <w:t>。泄露、不正当地使用</w:t>
      </w:r>
      <w:r>
        <w:rPr>
          <w:rFonts w:hint="eastAsia" w:ascii="宋体" w:hAnsi="宋体" w:eastAsia="宋体" w:cs="宋体"/>
          <w:color w:val="auto"/>
          <w:sz w:val="21"/>
          <w:szCs w:val="21"/>
          <w:highlight w:val="none"/>
          <w:lang w:eastAsia="zh-CN"/>
        </w:rPr>
        <w:t>国家秘密、工作秘密、</w:t>
      </w:r>
      <w:r>
        <w:rPr>
          <w:rFonts w:hint="eastAsia" w:ascii="宋体" w:hAnsi="宋体" w:eastAsia="宋体" w:cs="宋体"/>
          <w:color w:val="auto"/>
          <w:sz w:val="21"/>
          <w:szCs w:val="21"/>
          <w:highlight w:val="none"/>
        </w:rPr>
        <w:t>商业秘密或者</w:t>
      </w:r>
      <w:r>
        <w:rPr>
          <w:rFonts w:hint="eastAsia" w:ascii="宋体" w:hAnsi="宋体" w:eastAsia="宋体" w:cs="宋体"/>
          <w:color w:val="auto"/>
          <w:sz w:val="21"/>
          <w:szCs w:val="21"/>
          <w:highlight w:val="none"/>
          <w:lang w:eastAsia="zh-CN"/>
        </w:rPr>
        <w:t>其他应当保密的</w:t>
      </w:r>
      <w:r>
        <w:rPr>
          <w:rFonts w:hint="eastAsia" w:ascii="宋体" w:hAnsi="宋体" w:eastAsia="宋体" w:cs="宋体"/>
          <w:color w:val="auto"/>
          <w:sz w:val="21"/>
          <w:szCs w:val="21"/>
          <w:highlight w:val="none"/>
        </w:rPr>
        <w:t>信息，应当承担</w:t>
      </w:r>
      <w:r>
        <w:rPr>
          <w:rFonts w:hint="eastAsia" w:ascii="宋体" w:hAnsi="宋体" w:eastAsia="宋体" w:cs="宋体"/>
          <w:color w:val="auto"/>
          <w:sz w:val="21"/>
          <w:szCs w:val="21"/>
          <w:highlight w:val="none"/>
          <w:lang w:eastAsia="zh-CN"/>
        </w:rPr>
        <w:t>相应</w:t>
      </w:r>
      <w:r>
        <w:rPr>
          <w:rFonts w:hint="eastAsia" w:ascii="宋体" w:hAnsi="宋体" w:eastAsia="宋体" w:cs="宋体"/>
          <w:color w:val="auto"/>
          <w:sz w:val="21"/>
          <w:szCs w:val="21"/>
          <w:highlight w:val="none"/>
        </w:rPr>
        <w:t>责任。其他应当保密的信息由双方在</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color w:val="auto"/>
          <w:sz w:val="21"/>
          <w:szCs w:val="21"/>
          <w:highlight w:val="none"/>
        </w:rPr>
        <w:t>中约定。</w:t>
      </w:r>
    </w:p>
    <w:p w14:paraId="4357F417">
      <w:pPr>
        <w:autoSpaceDE w:val="0"/>
        <w:autoSpaceDN w:val="0"/>
        <w:adjustRightInd w:val="0"/>
        <w:snapToGrid w:val="0"/>
        <w:spacing w:before="0" w:line="400" w:lineRule="exact"/>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w:t>
      </w:r>
      <w:r>
        <w:rPr>
          <w:rFonts w:hint="eastAsia" w:ascii="宋体" w:hAnsi="宋体" w:eastAsia="宋体" w:cs="宋体"/>
          <w:b/>
          <w:bCs/>
          <w:color w:val="auto"/>
          <w:sz w:val="21"/>
          <w:szCs w:val="21"/>
          <w:highlight w:val="none"/>
          <w:lang w:eastAsia="zh-CN"/>
        </w:rPr>
        <w:t>2</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合同价款支付</w:t>
      </w:r>
    </w:p>
    <w:p w14:paraId="5F0D06E6">
      <w:pPr>
        <w:autoSpaceDE/>
        <w:autoSpaceDN/>
        <w:adjustRightInd w:val="0"/>
        <w:snapToGrid w:val="0"/>
        <w:spacing w:before="0" w:line="400" w:lineRule="exact"/>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2</w:t>
      </w:r>
      <w:r>
        <w:rPr>
          <w:rFonts w:hint="eastAsia" w:ascii="宋体" w:hAnsi="宋体" w:eastAsia="宋体" w:cs="宋体"/>
          <w:color w:val="auto"/>
          <w:sz w:val="21"/>
          <w:szCs w:val="21"/>
          <w:highlight w:val="none"/>
        </w:rPr>
        <w:t xml:space="preserve">.1 </w:t>
      </w:r>
      <w:r>
        <w:rPr>
          <w:rFonts w:hint="eastAsia" w:ascii="宋体" w:hAnsi="宋体" w:eastAsia="宋体" w:cs="宋体"/>
          <w:color w:val="auto"/>
          <w:sz w:val="21"/>
          <w:szCs w:val="21"/>
          <w:highlight w:val="none"/>
          <w:lang w:eastAsia="zh-CN"/>
        </w:rPr>
        <w:t>合同价款支付</w:t>
      </w:r>
      <w:r>
        <w:rPr>
          <w:rFonts w:hint="eastAsia" w:ascii="宋体" w:hAnsi="宋体" w:eastAsia="宋体" w:cs="宋体"/>
          <w:color w:val="auto"/>
          <w:sz w:val="21"/>
          <w:szCs w:val="21"/>
          <w:highlight w:val="none"/>
        </w:rPr>
        <w:t>按照国库集中支付</w:t>
      </w:r>
      <w:r>
        <w:rPr>
          <w:rFonts w:hint="eastAsia" w:ascii="宋体" w:hAnsi="宋体" w:eastAsia="宋体" w:cs="宋体"/>
          <w:color w:val="auto"/>
          <w:sz w:val="21"/>
          <w:szCs w:val="21"/>
          <w:highlight w:val="none"/>
          <w:lang w:eastAsia="zh-CN"/>
        </w:rPr>
        <w:t>制度及财政管理相关</w:t>
      </w:r>
      <w:r>
        <w:rPr>
          <w:rFonts w:hint="eastAsia" w:ascii="宋体" w:hAnsi="宋体" w:eastAsia="宋体" w:cs="宋体"/>
          <w:color w:val="auto"/>
          <w:sz w:val="21"/>
          <w:szCs w:val="21"/>
          <w:highlight w:val="none"/>
        </w:rPr>
        <w:t>规定执行。</w:t>
      </w:r>
    </w:p>
    <w:p w14:paraId="10A930D1">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12.2 对于满足合同约定支付条件的，甲方原则上应当自收到发票后10个工作日内将资</w:t>
      </w:r>
      <w:r>
        <w:rPr>
          <w:rFonts w:hint="eastAsia" w:ascii="宋体" w:hAnsi="宋体" w:eastAsia="宋体" w:cs="宋体"/>
          <w:color w:val="auto"/>
          <w:sz w:val="21"/>
          <w:szCs w:val="21"/>
          <w:highlight w:val="none"/>
        </w:rPr>
        <w:t>金支付到合同约定的</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账户，不得以机构变动、人员更替、政策调整等为由迟延付款，不得将采购文件和合同中未规定的义务作为向</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付款的条件。具体合同价款支付时间在</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color w:val="auto"/>
          <w:sz w:val="21"/>
          <w:szCs w:val="21"/>
          <w:highlight w:val="none"/>
        </w:rPr>
        <w:t>中</w:t>
      </w:r>
      <w:r>
        <w:rPr>
          <w:rFonts w:hint="eastAsia" w:ascii="宋体" w:hAnsi="宋体" w:eastAsia="宋体" w:cs="宋体"/>
          <w:color w:val="auto"/>
          <w:sz w:val="21"/>
          <w:szCs w:val="21"/>
          <w:highlight w:val="none"/>
          <w:lang w:eastAsia="zh-CN"/>
        </w:rPr>
        <w:t>约</w:t>
      </w:r>
      <w:r>
        <w:rPr>
          <w:rFonts w:hint="eastAsia" w:ascii="宋体" w:hAnsi="宋体" w:eastAsia="宋体" w:cs="宋体"/>
          <w:color w:val="auto"/>
          <w:sz w:val="21"/>
          <w:szCs w:val="21"/>
          <w:highlight w:val="none"/>
        </w:rPr>
        <w:t>定。</w:t>
      </w:r>
    </w:p>
    <w:p w14:paraId="75F87D91">
      <w:pPr>
        <w:pStyle w:val="13"/>
        <w:spacing w:after="0" w:line="400" w:lineRule="exac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w:t>
      </w:r>
      <w:r>
        <w:rPr>
          <w:rFonts w:hint="eastAsia" w:ascii="宋体" w:hAnsi="宋体" w:eastAsia="宋体" w:cs="宋体"/>
          <w:b/>
          <w:bCs/>
          <w:color w:val="auto"/>
          <w:sz w:val="21"/>
          <w:szCs w:val="21"/>
          <w:highlight w:val="none"/>
          <w:lang w:eastAsia="zh-CN"/>
        </w:rPr>
        <w:t>3</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履约保证金</w:t>
      </w:r>
    </w:p>
    <w:p w14:paraId="7A856DB3">
      <w:pPr>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3</w:t>
      </w:r>
      <w:r>
        <w:rPr>
          <w:rFonts w:hint="eastAsia" w:ascii="宋体" w:hAnsi="宋体" w:eastAsia="宋体" w:cs="宋体"/>
          <w:color w:val="auto"/>
          <w:sz w:val="21"/>
          <w:szCs w:val="21"/>
          <w:highlight w:val="none"/>
        </w:rPr>
        <w:t>.1 乙方应当以支票、汇票、本票或者金融机构、担保机构出具的保函等非现金形式提交。</w:t>
      </w:r>
    </w:p>
    <w:p w14:paraId="0AC21C23">
      <w:pPr>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3</w:t>
      </w:r>
      <w:r>
        <w:rPr>
          <w:rFonts w:hint="eastAsia" w:ascii="宋体" w:hAnsi="宋体" w:eastAsia="宋体" w:cs="宋体"/>
          <w:color w:val="auto"/>
          <w:sz w:val="21"/>
          <w:szCs w:val="21"/>
          <w:highlight w:val="none"/>
        </w:rPr>
        <w:t>.2 如果乙方</w:t>
      </w:r>
      <w:r>
        <w:rPr>
          <w:rFonts w:hint="eastAsia" w:ascii="宋体" w:hAnsi="宋体" w:eastAsia="宋体" w:cs="宋体"/>
          <w:color w:val="auto"/>
          <w:sz w:val="21"/>
          <w:szCs w:val="21"/>
          <w:highlight w:val="none"/>
          <w:lang w:eastAsia="zh-CN"/>
        </w:rPr>
        <w:t>出现</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b w:val="0"/>
          <w:bCs w:val="0"/>
          <w:color w:val="auto"/>
          <w:sz w:val="21"/>
          <w:szCs w:val="21"/>
          <w:highlight w:val="none"/>
          <w:lang w:eastAsia="zh-CN"/>
        </w:rPr>
        <w:t>约定情形的</w:t>
      </w:r>
      <w:r>
        <w:rPr>
          <w:rFonts w:hint="eastAsia" w:ascii="宋体" w:hAnsi="宋体" w:eastAsia="宋体" w:cs="宋体"/>
          <w:color w:val="auto"/>
          <w:sz w:val="21"/>
          <w:szCs w:val="21"/>
          <w:highlight w:val="none"/>
        </w:rPr>
        <w:t>，履约保证金不予退还；如果乙方未能按合同约定全面履行义务，甲方有权从履约保证金中取得补偿或赔偿，</w:t>
      </w:r>
      <w:r>
        <w:rPr>
          <w:rFonts w:hint="eastAsia" w:ascii="宋体" w:hAnsi="宋体" w:eastAsia="宋体" w:cs="宋体"/>
          <w:color w:val="auto"/>
          <w:sz w:val="21"/>
          <w:szCs w:val="21"/>
          <w:highlight w:val="none"/>
          <w:lang w:eastAsia="zh-CN"/>
        </w:rPr>
        <w:t>且</w:t>
      </w:r>
      <w:r>
        <w:rPr>
          <w:rFonts w:hint="eastAsia" w:ascii="宋体" w:hAnsi="宋体" w:eastAsia="宋体" w:cs="宋体"/>
          <w:color w:val="auto"/>
          <w:sz w:val="21"/>
          <w:szCs w:val="21"/>
          <w:highlight w:val="none"/>
        </w:rPr>
        <w:t>不影响甲方要求乙方承担合同约定的超过履约保证金的违约责任的权利。</w:t>
      </w:r>
    </w:p>
    <w:p w14:paraId="3E3A5073">
      <w:pPr>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3</w:t>
      </w:r>
      <w:r>
        <w:rPr>
          <w:rFonts w:hint="eastAsia" w:ascii="宋体" w:hAnsi="宋体" w:eastAsia="宋体" w:cs="宋体"/>
          <w:color w:val="auto"/>
          <w:sz w:val="21"/>
          <w:szCs w:val="21"/>
          <w:highlight w:val="none"/>
        </w:rPr>
        <w:t>.3 甲方在项目通过验收后按照</w:t>
      </w:r>
      <w:r>
        <w:rPr>
          <w:rFonts w:hint="eastAsia" w:ascii="宋体" w:hAnsi="宋体" w:eastAsia="宋体" w:cs="宋体"/>
          <w:b/>
          <w:color w:val="auto"/>
          <w:sz w:val="21"/>
          <w:szCs w:val="21"/>
          <w:highlight w:val="none"/>
        </w:rPr>
        <w:t>【政府采购合同专用条款】</w:t>
      </w:r>
      <w:r>
        <w:rPr>
          <w:rFonts w:hint="eastAsia" w:ascii="宋体" w:hAnsi="宋体" w:eastAsia="宋体" w:cs="宋体"/>
          <w:color w:val="auto"/>
          <w:sz w:val="21"/>
          <w:szCs w:val="21"/>
          <w:highlight w:val="none"/>
        </w:rPr>
        <w:t>规定的时间内将履约保证金退还乙方；逾期退还的，乙方可要求甲方支付违约金，违约金按照</w:t>
      </w:r>
      <w:r>
        <w:rPr>
          <w:rFonts w:hint="eastAsia" w:ascii="宋体" w:hAnsi="宋体" w:eastAsia="宋体" w:cs="宋体"/>
          <w:b/>
          <w:color w:val="auto"/>
          <w:sz w:val="21"/>
          <w:szCs w:val="21"/>
          <w:highlight w:val="none"/>
        </w:rPr>
        <w:t>【政府采购合同专用条款】</w:t>
      </w:r>
      <w:r>
        <w:rPr>
          <w:rFonts w:hint="eastAsia" w:ascii="宋体" w:hAnsi="宋体" w:eastAsia="宋体" w:cs="宋体"/>
          <w:color w:val="auto"/>
          <w:sz w:val="21"/>
          <w:szCs w:val="21"/>
          <w:highlight w:val="none"/>
        </w:rPr>
        <w:t>规定支付。</w:t>
      </w:r>
    </w:p>
    <w:p w14:paraId="5C52840D">
      <w:pPr>
        <w:autoSpaceDE w:val="0"/>
        <w:autoSpaceDN w:val="0"/>
        <w:adjustRightInd w:val="0"/>
        <w:snapToGrid w:val="0"/>
        <w:spacing w:before="0" w:line="400" w:lineRule="exact"/>
        <w:jc w:val="left"/>
        <w:rPr>
          <w:rFonts w:hint="eastAsia" w:ascii="宋体" w:hAnsi="宋体" w:eastAsia="宋体" w:cs="宋体"/>
          <w:b/>
          <w:color w:val="auto"/>
          <w:sz w:val="21"/>
          <w:szCs w:val="21"/>
          <w:highlight w:val="none"/>
        </w:rPr>
      </w:pPr>
      <w:r>
        <w:rPr>
          <w:rFonts w:hint="eastAsia" w:ascii="宋体" w:hAnsi="宋体" w:eastAsia="宋体" w:cs="宋体"/>
          <w:b/>
          <w:bCs/>
          <w:color w:val="auto"/>
          <w:sz w:val="21"/>
          <w:szCs w:val="21"/>
          <w:highlight w:val="none"/>
        </w:rPr>
        <w:t>1</w:t>
      </w:r>
      <w:r>
        <w:rPr>
          <w:rFonts w:hint="eastAsia" w:ascii="宋体" w:hAnsi="宋体" w:eastAsia="宋体" w:cs="宋体"/>
          <w:b/>
          <w:bCs/>
          <w:color w:val="auto"/>
          <w:sz w:val="21"/>
          <w:szCs w:val="21"/>
          <w:highlight w:val="none"/>
          <w:lang w:eastAsia="zh-CN"/>
        </w:rPr>
        <w:t>4</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color w:val="auto"/>
          <w:sz w:val="21"/>
          <w:szCs w:val="21"/>
          <w:highlight w:val="none"/>
        </w:rPr>
        <w:t>售后服务</w:t>
      </w:r>
    </w:p>
    <w:p w14:paraId="0DBFA9B3">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4</w:t>
      </w:r>
      <w:r>
        <w:rPr>
          <w:rFonts w:hint="eastAsia" w:ascii="宋体" w:hAnsi="宋体" w:eastAsia="宋体" w:cs="宋体"/>
          <w:color w:val="auto"/>
          <w:sz w:val="21"/>
          <w:szCs w:val="21"/>
          <w:highlight w:val="none"/>
        </w:rPr>
        <w:t>.1 除项目不涉及或采购活动中明确约定无须承担外，乙方还应提供下列服务：</w:t>
      </w:r>
    </w:p>
    <w:p w14:paraId="32A34A35">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（1）货物的现场移动、安装、调试、启动监督及技术支持；</w:t>
      </w:r>
    </w:p>
    <w:p w14:paraId="4D1AC4AE">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（2）提供货物组装和维修所需的专用工具和辅助材料；</w:t>
      </w:r>
    </w:p>
    <w:p w14:paraId="7F66AE27">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（3）在</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color w:val="auto"/>
          <w:sz w:val="21"/>
          <w:szCs w:val="21"/>
          <w:highlight w:val="none"/>
          <w:lang w:eastAsia="zh-CN"/>
        </w:rPr>
        <w:t>约定</w:t>
      </w:r>
      <w:r>
        <w:rPr>
          <w:rFonts w:hint="eastAsia" w:ascii="宋体" w:hAnsi="宋体" w:eastAsia="宋体" w:cs="宋体"/>
          <w:color w:val="auto"/>
          <w:sz w:val="21"/>
          <w:szCs w:val="21"/>
          <w:highlight w:val="none"/>
        </w:rPr>
        <w:t>的期限内对所有的货物实施运行监督、维修，但前提条件是该服务并不能免除乙方在质量保证期内所承担的义务；</w:t>
      </w:r>
    </w:p>
    <w:p w14:paraId="3C583C4C">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（4）在制造商</w:t>
      </w:r>
      <w:r>
        <w:rPr>
          <w:rFonts w:hint="eastAsia" w:ascii="宋体" w:hAnsi="宋体" w:eastAsia="宋体" w:cs="宋体"/>
          <w:color w:val="auto"/>
          <w:sz w:val="21"/>
          <w:szCs w:val="21"/>
          <w:highlight w:val="none"/>
          <w:lang w:eastAsia="zh-CN"/>
        </w:rPr>
        <w:t>所在地</w:t>
      </w:r>
      <w:r>
        <w:rPr>
          <w:rFonts w:hint="eastAsia" w:ascii="宋体" w:hAnsi="宋体" w:eastAsia="宋体" w:cs="宋体"/>
          <w:color w:val="auto"/>
          <w:sz w:val="21"/>
          <w:szCs w:val="21"/>
          <w:highlight w:val="none"/>
        </w:rPr>
        <w:t>或</w:t>
      </w:r>
      <w:r>
        <w:rPr>
          <w:rFonts w:hint="eastAsia" w:ascii="宋体" w:hAnsi="宋体" w:eastAsia="宋体" w:cs="宋体"/>
          <w:color w:val="auto"/>
          <w:sz w:val="21"/>
          <w:szCs w:val="21"/>
          <w:highlight w:val="none"/>
          <w:lang w:eastAsia="zh-CN"/>
        </w:rPr>
        <w:t>指定</w:t>
      </w:r>
      <w:r>
        <w:rPr>
          <w:rFonts w:hint="eastAsia" w:ascii="宋体" w:hAnsi="宋体" w:eastAsia="宋体" w:cs="宋体"/>
          <w:color w:val="auto"/>
          <w:sz w:val="21"/>
          <w:szCs w:val="21"/>
          <w:highlight w:val="none"/>
        </w:rPr>
        <w:t>现场就货物的安装、启动、运营、维护</w:t>
      </w:r>
      <w:r>
        <w:rPr>
          <w:rFonts w:hint="eastAsia" w:ascii="宋体" w:hAnsi="宋体" w:eastAsia="宋体" w:cs="宋体"/>
          <w:color w:val="auto"/>
          <w:sz w:val="21"/>
          <w:szCs w:val="21"/>
          <w:highlight w:val="none"/>
          <w:lang w:eastAsia="zh-CN"/>
        </w:rPr>
        <w:t>、废弃处置等</w:t>
      </w:r>
      <w:r>
        <w:rPr>
          <w:rFonts w:hint="eastAsia" w:ascii="宋体" w:hAnsi="宋体" w:eastAsia="宋体" w:cs="宋体"/>
          <w:color w:val="auto"/>
          <w:sz w:val="21"/>
          <w:szCs w:val="21"/>
          <w:highlight w:val="none"/>
        </w:rPr>
        <w:t>对甲方操作人员进行培训</w:t>
      </w:r>
      <w:r>
        <w:rPr>
          <w:rFonts w:hint="eastAsia" w:ascii="宋体" w:hAnsi="宋体" w:eastAsia="宋体" w:cs="宋体"/>
          <w:color w:val="auto"/>
          <w:sz w:val="21"/>
          <w:szCs w:val="21"/>
          <w:highlight w:val="none"/>
          <w:lang w:eastAsia="zh-CN"/>
        </w:rPr>
        <w:t>；</w:t>
      </w:r>
    </w:p>
    <w:p w14:paraId="3C45C3CF">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（5）依照法律、行政法规的规定或者按照</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color w:val="auto"/>
          <w:sz w:val="21"/>
          <w:szCs w:val="21"/>
          <w:highlight w:val="none"/>
        </w:rPr>
        <w:t>约定，货物在有效使用年限届满后应予回收的，乙方负有自行或者委托第三人对货物予以回收的义务；</w:t>
      </w:r>
    </w:p>
    <w:p w14:paraId="2B45129B">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w:t>
      </w:r>
      <w:r>
        <w:rPr>
          <w:rFonts w:hint="eastAsia" w:ascii="宋体" w:hAnsi="宋体" w:eastAsia="宋体" w:cs="宋体"/>
          <w:b/>
          <w:color w:val="auto"/>
          <w:sz w:val="21"/>
          <w:szCs w:val="21"/>
          <w:highlight w:val="none"/>
        </w:rPr>
        <w:t>【政府采购合同专用条款】</w:t>
      </w:r>
      <w:r>
        <w:rPr>
          <w:rFonts w:hint="eastAsia" w:ascii="宋体" w:hAnsi="宋体" w:eastAsia="宋体" w:cs="宋体"/>
          <w:color w:val="auto"/>
          <w:sz w:val="21"/>
          <w:szCs w:val="21"/>
          <w:highlight w:val="none"/>
        </w:rPr>
        <w:t>规定由乙方提供的其他服务。</w:t>
      </w:r>
    </w:p>
    <w:p w14:paraId="5E62DA26">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.2 乙方提供的</w:t>
      </w:r>
      <w:r>
        <w:rPr>
          <w:rFonts w:hint="eastAsia" w:ascii="宋体" w:hAnsi="宋体" w:eastAsia="宋体" w:cs="宋体"/>
          <w:color w:val="auto"/>
          <w:sz w:val="21"/>
          <w:szCs w:val="21"/>
          <w:highlight w:val="none"/>
          <w:lang w:eastAsia="zh-CN"/>
        </w:rPr>
        <w:t>售后</w:t>
      </w:r>
      <w:r>
        <w:rPr>
          <w:rFonts w:hint="eastAsia" w:ascii="宋体" w:hAnsi="宋体" w:eastAsia="宋体" w:cs="宋体"/>
          <w:color w:val="auto"/>
          <w:sz w:val="21"/>
          <w:szCs w:val="21"/>
          <w:highlight w:val="none"/>
        </w:rPr>
        <w:t>服务的费用</w:t>
      </w:r>
      <w:r>
        <w:rPr>
          <w:rFonts w:hint="eastAsia" w:ascii="宋体" w:hAnsi="宋体" w:eastAsia="宋体" w:cs="宋体"/>
          <w:color w:val="auto"/>
          <w:sz w:val="21"/>
          <w:szCs w:val="21"/>
          <w:highlight w:val="none"/>
          <w:lang w:val="en-US" w:eastAsia="zh-CN"/>
        </w:rPr>
        <w:t>已</w:t>
      </w:r>
      <w:r>
        <w:rPr>
          <w:rFonts w:hint="eastAsia" w:ascii="宋体" w:hAnsi="宋体" w:eastAsia="宋体" w:cs="宋体"/>
          <w:color w:val="auto"/>
          <w:sz w:val="21"/>
          <w:szCs w:val="21"/>
          <w:highlight w:val="none"/>
        </w:rPr>
        <w:t>包含在合同价款中，甲方不再另行支付。</w:t>
      </w:r>
    </w:p>
    <w:p w14:paraId="49E78840">
      <w:pPr>
        <w:adjustRightInd w:val="0"/>
        <w:snapToGrid w:val="0"/>
        <w:spacing w:before="0" w:line="400" w:lineRule="exact"/>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w:t>
      </w:r>
      <w:r>
        <w:rPr>
          <w:rFonts w:hint="eastAsia" w:ascii="宋体" w:hAnsi="宋体" w:eastAsia="宋体" w:cs="宋体"/>
          <w:b/>
          <w:bCs/>
          <w:color w:val="auto"/>
          <w:sz w:val="21"/>
          <w:szCs w:val="21"/>
          <w:highlight w:val="none"/>
          <w:lang w:eastAsia="zh-CN"/>
        </w:rPr>
        <w:t>5</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违约责任</w:t>
      </w:r>
    </w:p>
    <w:p w14:paraId="1BB91689">
      <w:pPr>
        <w:adjustRightInd w:val="0"/>
        <w:snapToGrid w:val="0"/>
        <w:spacing w:before="0" w:line="400" w:lineRule="exact"/>
        <w:ind w:firstLine="420" w:firstLineChars="20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w:t>
      </w:r>
      <w:r>
        <w:rPr>
          <w:rFonts w:hint="eastAsia" w:ascii="宋体" w:hAnsi="宋体" w:eastAsia="宋体" w:cs="宋体"/>
          <w:bCs/>
          <w:color w:val="auto"/>
          <w:sz w:val="21"/>
          <w:szCs w:val="21"/>
          <w:highlight w:val="none"/>
          <w:lang w:eastAsia="zh-CN"/>
        </w:rPr>
        <w:t>5</w:t>
      </w:r>
      <w:r>
        <w:rPr>
          <w:rFonts w:hint="eastAsia" w:ascii="宋体" w:hAnsi="宋体" w:eastAsia="宋体" w:cs="宋体"/>
          <w:bCs/>
          <w:color w:val="auto"/>
          <w:sz w:val="21"/>
          <w:szCs w:val="21"/>
          <w:highlight w:val="none"/>
        </w:rPr>
        <w:t>.1质量瑕疵的</w:t>
      </w:r>
      <w:r>
        <w:rPr>
          <w:rFonts w:hint="eastAsia" w:ascii="宋体" w:hAnsi="宋体" w:eastAsia="宋体" w:cs="宋体"/>
          <w:bCs/>
          <w:color w:val="auto"/>
          <w:sz w:val="21"/>
          <w:szCs w:val="21"/>
          <w:highlight w:val="none"/>
          <w:lang w:eastAsia="zh-CN"/>
        </w:rPr>
        <w:t>违约责任</w:t>
      </w:r>
    </w:p>
    <w:p w14:paraId="45E147DB">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w:t>
      </w:r>
      <w:r>
        <w:rPr>
          <w:rFonts w:hint="eastAsia" w:ascii="宋体" w:hAnsi="宋体" w:eastAsia="宋体" w:cs="宋体"/>
          <w:color w:val="auto"/>
          <w:sz w:val="21"/>
          <w:szCs w:val="21"/>
          <w:highlight w:val="none"/>
          <w:lang w:eastAsia="zh-CN"/>
        </w:rPr>
        <w:t>提供</w:t>
      </w:r>
      <w:r>
        <w:rPr>
          <w:rFonts w:hint="eastAsia" w:ascii="宋体" w:hAnsi="宋体" w:eastAsia="宋体" w:cs="宋体"/>
          <w:color w:val="auto"/>
          <w:sz w:val="21"/>
          <w:szCs w:val="21"/>
          <w:highlight w:val="none"/>
        </w:rPr>
        <w:t>的产品不符合</w:t>
      </w:r>
      <w:r>
        <w:rPr>
          <w:rFonts w:hint="eastAsia" w:ascii="宋体" w:hAnsi="宋体" w:eastAsia="宋体" w:cs="宋体"/>
          <w:color w:val="auto"/>
          <w:sz w:val="21"/>
          <w:szCs w:val="21"/>
          <w:highlight w:val="none"/>
          <w:lang w:eastAsia="zh-CN"/>
        </w:rPr>
        <w:t>合同约定的</w:t>
      </w:r>
      <w:r>
        <w:rPr>
          <w:rFonts w:hint="eastAsia" w:ascii="宋体" w:hAnsi="宋体" w:eastAsia="宋体" w:cs="宋体"/>
          <w:color w:val="auto"/>
          <w:sz w:val="21"/>
          <w:szCs w:val="21"/>
          <w:highlight w:val="none"/>
        </w:rPr>
        <w:t>质量标准或存在产品质量缺陷，</w:t>
      </w:r>
      <w:r>
        <w:rPr>
          <w:rFonts w:hint="eastAsia" w:ascii="宋体" w:hAnsi="宋体" w:eastAsia="宋体" w:cs="宋体"/>
          <w:color w:val="auto"/>
          <w:sz w:val="21"/>
          <w:szCs w:val="21"/>
          <w:highlight w:val="none"/>
          <w:lang w:eastAsia="zh-CN"/>
        </w:rPr>
        <w:t>甲方有权要求乙方根据</w:t>
      </w:r>
      <w:r>
        <w:rPr>
          <w:rFonts w:hint="eastAsia" w:ascii="宋体" w:hAnsi="宋体" w:eastAsia="宋体" w:cs="宋体"/>
          <w:b/>
          <w:color w:val="auto"/>
          <w:sz w:val="21"/>
          <w:szCs w:val="21"/>
          <w:highlight w:val="none"/>
        </w:rPr>
        <w:t>【政府采购合同专用条款】</w:t>
      </w:r>
      <w:r>
        <w:rPr>
          <w:rFonts w:hint="eastAsia" w:ascii="宋体" w:hAnsi="宋体" w:eastAsia="宋体" w:cs="宋体"/>
          <w:b w:val="0"/>
          <w:bCs/>
          <w:color w:val="auto"/>
          <w:sz w:val="21"/>
          <w:szCs w:val="21"/>
          <w:highlight w:val="none"/>
          <w:lang w:eastAsia="zh-CN"/>
        </w:rPr>
        <w:t>要求</w:t>
      </w:r>
      <w:r>
        <w:rPr>
          <w:rFonts w:hint="eastAsia" w:ascii="宋体" w:hAnsi="宋体" w:eastAsia="宋体" w:cs="宋体"/>
          <w:color w:val="auto"/>
          <w:sz w:val="21"/>
          <w:szCs w:val="21"/>
          <w:highlight w:val="none"/>
          <w:lang w:eastAsia="zh-CN"/>
        </w:rPr>
        <w:t>及时修理、重作、更换，并承担由此给甲</w:t>
      </w:r>
      <w:r>
        <w:rPr>
          <w:rFonts w:hint="eastAsia" w:ascii="宋体" w:hAnsi="宋体" w:eastAsia="宋体" w:cs="宋体"/>
          <w:color w:val="auto"/>
          <w:sz w:val="21"/>
          <w:szCs w:val="21"/>
          <w:highlight w:val="none"/>
        </w:rPr>
        <w:t>方</w:t>
      </w:r>
      <w:r>
        <w:rPr>
          <w:rFonts w:hint="eastAsia" w:ascii="宋体" w:hAnsi="宋体" w:eastAsia="宋体" w:cs="宋体"/>
          <w:color w:val="auto"/>
          <w:sz w:val="21"/>
          <w:szCs w:val="21"/>
          <w:highlight w:val="none"/>
          <w:lang w:eastAsia="zh-CN"/>
        </w:rPr>
        <w:t>造成的损失</w:t>
      </w:r>
      <w:r>
        <w:rPr>
          <w:rFonts w:hint="eastAsia" w:ascii="宋体" w:hAnsi="宋体" w:eastAsia="宋体" w:cs="宋体"/>
          <w:color w:val="auto"/>
          <w:sz w:val="21"/>
          <w:szCs w:val="21"/>
          <w:highlight w:val="none"/>
        </w:rPr>
        <w:t>。</w:t>
      </w:r>
    </w:p>
    <w:p w14:paraId="3B3A2F81">
      <w:pPr>
        <w:autoSpaceDE w:val="0"/>
        <w:autoSpaceDN w:val="0"/>
        <w:adjustRightInd w:val="0"/>
        <w:snapToGrid w:val="0"/>
        <w:spacing w:before="0" w:line="400" w:lineRule="exact"/>
        <w:ind w:firstLine="420" w:firstLineChars="20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w:t>
      </w:r>
      <w:r>
        <w:rPr>
          <w:rFonts w:hint="eastAsia" w:ascii="宋体" w:hAnsi="宋体" w:eastAsia="宋体" w:cs="宋体"/>
          <w:bCs/>
          <w:color w:val="auto"/>
          <w:sz w:val="21"/>
          <w:szCs w:val="21"/>
          <w:highlight w:val="none"/>
          <w:lang w:eastAsia="zh-CN"/>
        </w:rPr>
        <w:t>5</w:t>
      </w:r>
      <w:r>
        <w:rPr>
          <w:rFonts w:hint="eastAsia" w:ascii="宋体" w:hAnsi="宋体" w:eastAsia="宋体" w:cs="宋体"/>
          <w:bCs/>
          <w:color w:val="auto"/>
          <w:sz w:val="21"/>
          <w:szCs w:val="21"/>
          <w:highlight w:val="none"/>
        </w:rPr>
        <w:t>.2 迟延交货的违约责任</w:t>
      </w:r>
    </w:p>
    <w:p w14:paraId="4D6C3035">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（1）乙方应按照本合同规定的时间、地点交货和提供</w:t>
      </w:r>
      <w:r>
        <w:rPr>
          <w:rFonts w:hint="eastAsia" w:ascii="宋体" w:hAnsi="宋体" w:eastAsia="宋体" w:cs="宋体"/>
          <w:color w:val="auto"/>
          <w:sz w:val="21"/>
          <w:szCs w:val="21"/>
          <w:highlight w:val="none"/>
          <w:lang w:eastAsia="zh-CN"/>
        </w:rPr>
        <w:t>相关</w:t>
      </w:r>
      <w:r>
        <w:rPr>
          <w:rFonts w:hint="eastAsia" w:ascii="宋体" w:hAnsi="宋体" w:eastAsia="宋体" w:cs="宋体"/>
          <w:color w:val="auto"/>
          <w:sz w:val="21"/>
          <w:szCs w:val="21"/>
          <w:highlight w:val="none"/>
        </w:rPr>
        <w:t>服务。在履行合同过程中，如果乙方遇到可能</w:t>
      </w:r>
      <w:r>
        <w:rPr>
          <w:rFonts w:hint="eastAsia" w:ascii="宋体" w:hAnsi="宋体" w:eastAsia="宋体" w:cs="宋体"/>
          <w:color w:val="auto"/>
          <w:sz w:val="21"/>
          <w:szCs w:val="21"/>
          <w:highlight w:val="none"/>
          <w:lang w:eastAsia="zh-CN"/>
        </w:rPr>
        <w:t>影响</w:t>
      </w:r>
      <w:r>
        <w:rPr>
          <w:rFonts w:hint="eastAsia" w:ascii="宋体" w:hAnsi="宋体" w:eastAsia="宋体" w:cs="宋体"/>
          <w:color w:val="auto"/>
          <w:sz w:val="21"/>
          <w:szCs w:val="21"/>
          <w:highlight w:val="none"/>
        </w:rPr>
        <w:t>按时交货和提供服务的情形时，应及时以书面形式将迟延的事实、可能迟延的期限和理由通知甲方。甲方在收到乙方通知后，应尽快对情况进行评价，并确定是否同意延</w:t>
      </w:r>
      <w:r>
        <w:rPr>
          <w:rFonts w:hint="eastAsia" w:ascii="宋体" w:hAnsi="宋体" w:eastAsia="宋体" w:cs="宋体"/>
          <w:color w:val="auto"/>
          <w:sz w:val="21"/>
          <w:szCs w:val="21"/>
          <w:highlight w:val="none"/>
          <w:lang w:eastAsia="zh-CN"/>
        </w:rPr>
        <w:t>长</w:t>
      </w:r>
      <w:r>
        <w:rPr>
          <w:rFonts w:hint="eastAsia" w:ascii="宋体" w:hAnsi="宋体" w:eastAsia="宋体" w:cs="宋体"/>
          <w:color w:val="auto"/>
          <w:sz w:val="21"/>
          <w:szCs w:val="21"/>
          <w:highlight w:val="none"/>
        </w:rPr>
        <w:t>交货时间或延期提供服务。</w:t>
      </w:r>
    </w:p>
    <w:p w14:paraId="590DD4EF">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（2）如果乙方没有按照合同规定的时间交货和提供</w:t>
      </w:r>
      <w:r>
        <w:rPr>
          <w:rFonts w:hint="eastAsia" w:ascii="宋体" w:hAnsi="宋体" w:eastAsia="宋体" w:cs="宋体"/>
          <w:color w:val="auto"/>
          <w:sz w:val="21"/>
          <w:szCs w:val="21"/>
          <w:highlight w:val="none"/>
          <w:lang w:eastAsia="zh-CN"/>
        </w:rPr>
        <w:t>相关</w:t>
      </w:r>
      <w:r>
        <w:rPr>
          <w:rFonts w:hint="eastAsia" w:ascii="宋体" w:hAnsi="宋体" w:eastAsia="宋体" w:cs="宋体"/>
          <w:color w:val="auto"/>
          <w:sz w:val="21"/>
          <w:szCs w:val="21"/>
          <w:highlight w:val="none"/>
        </w:rPr>
        <w:t>服务，甲方有权从货款中扣除误期赔偿费而不影响合同项下的其他补救方法，赔偿费按</w:t>
      </w:r>
      <w:r>
        <w:rPr>
          <w:rFonts w:hint="eastAsia" w:ascii="宋体" w:hAnsi="宋体" w:eastAsia="宋体" w:cs="宋体"/>
          <w:b/>
          <w:color w:val="auto"/>
          <w:sz w:val="21"/>
          <w:szCs w:val="21"/>
          <w:highlight w:val="none"/>
        </w:rPr>
        <w:t>【政府采购合同专用条款】</w:t>
      </w:r>
      <w:r>
        <w:rPr>
          <w:rFonts w:hint="eastAsia" w:ascii="宋体" w:hAnsi="宋体" w:eastAsia="宋体" w:cs="宋体"/>
          <w:color w:val="auto"/>
          <w:sz w:val="21"/>
          <w:szCs w:val="21"/>
          <w:highlight w:val="none"/>
        </w:rPr>
        <w:t>规定执行。如果涉及公共利益，且赔偿金额无法弥补公共利益损失，</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可要求继续履行或者</w:t>
      </w:r>
      <w:r>
        <w:rPr>
          <w:rFonts w:hint="eastAsia" w:ascii="宋体" w:hAnsi="宋体" w:eastAsia="宋体" w:cs="宋体"/>
          <w:color w:val="auto"/>
          <w:sz w:val="21"/>
          <w:szCs w:val="21"/>
          <w:highlight w:val="none"/>
          <w:lang w:eastAsia="zh-CN"/>
        </w:rPr>
        <w:t>采取其他补救措施</w:t>
      </w:r>
      <w:r>
        <w:rPr>
          <w:rFonts w:hint="eastAsia" w:ascii="宋体" w:hAnsi="宋体" w:eastAsia="宋体" w:cs="宋体"/>
          <w:color w:val="auto"/>
          <w:sz w:val="21"/>
          <w:szCs w:val="21"/>
          <w:highlight w:val="none"/>
        </w:rPr>
        <w:t>。</w:t>
      </w:r>
    </w:p>
    <w:p w14:paraId="3E573CC1">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5</w:t>
      </w:r>
      <w:r>
        <w:rPr>
          <w:rFonts w:hint="eastAsia" w:ascii="宋体" w:hAnsi="宋体" w:eastAsia="宋体" w:cs="宋体"/>
          <w:color w:val="auto"/>
          <w:sz w:val="21"/>
          <w:szCs w:val="21"/>
          <w:highlight w:val="none"/>
        </w:rPr>
        <w:t>.3 迟延支付的违约责任</w:t>
      </w:r>
    </w:p>
    <w:p w14:paraId="3ED807CB">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甲方存在迟延支付乙方合同款项的，应当承担</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color w:val="auto"/>
          <w:sz w:val="21"/>
          <w:szCs w:val="21"/>
          <w:highlight w:val="none"/>
        </w:rPr>
        <w:t>规定的逾期付款利息。</w:t>
      </w:r>
    </w:p>
    <w:p w14:paraId="7371855D">
      <w:pPr>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1</w:t>
      </w:r>
      <w:r>
        <w:rPr>
          <w:rFonts w:hint="eastAsia" w:ascii="宋体" w:hAnsi="宋体" w:eastAsia="宋体" w:cs="宋体"/>
          <w:bCs/>
          <w:color w:val="auto"/>
          <w:sz w:val="21"/>
          <w:szCs w:val="21"/>
          <w:highlight w:val="none"/>
          <w:lang w:eastAsia="zh-CN"/>
        </w:rPr>
        <w:t>5</w:t>
      </w:r>
      <w:r>
        <w:rPr>
          <w:rFonts w:hint="eastAsia" w:ascii="宋体" w:hAnsi="宋体" w:eastAsia="宋体" w:cs="宋体"/>
          <w:bCs/>
          <w:color w:val="auto"/>
          <w:sz w:val="21"/>
          <w:szCs w:val="21"/>
          <w:highlight w:val="none"/>
        </w:rPr>
        <w:t>.4其他违约责任根据项目实际需要按</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color w:val="auto"/>
          <w:sz w:val="21"/>
          <w:szCs w:val="21"/>
          <w:highlight w:val="none"/>
        </w:rPr>
        <w:t>规定执行。</w:t>
      </w:r>
    </w:p>
    <w:p w14:paraId="152936FF">
      <w:pPr>
        <w:numPr>
          <w:ilvl w:val="0"/>
          <w:numId w:val="17"/>
        </w:numPr>
        <w:autoSpaceDE w:val="0"/>
        <w:autoSpaceDN w:val="0"/>
        <w:adjustRightInd w:val="0"/>
        <w:snapToGrid w:val="0"/>
        <w:spacing w:before="0" w:line="400" w:lineRule="exact"/>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合同变更</w:t>
      </w:r>
      <w:r>
        <w:rPr>
          <w:rFonts w:hint="eastAsia" w:ascii="宋体" w:hAnsi="宋体" w:eastAsia="宋体" w:cs="宋体"/>
          <w:b/>
          <w:color w:val="auto"/>
          <w:sz w:val="21"/>
          <w:szCs w:val="21"/>
          <w:highlight w:val="none"/>
          <w:lang w:eastAsia="zh-CN"/>
        </w:rPr>
        <w:t>、中止与终止</w:t>
      </w:r>
    </w:p>
    <w:p w14:paraId="28C474DB">
      <w:pPr>
        <w:autoSpaceDE/>
        <w:autoSpaceDN/>
        <w:adjustRightInd w:val="0"/>
        <w:snapToGrid w:val="0"/>
        <w:spacing w:before="0" w:line="400" w:lineRule="exact"/>
        <w:ind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.1合同的</w:t>
      </w:r>
      <w:r>
        <w:rPr>
          <w:rFonts w:hint="eastAsia" w:ascii="宋体" w:hAnsi="宋体" w:eastAsia="宋体" w:cs="宋体"/>
          <w:color w:val="auto"/>
          <w:sz w:val="21"/>
          <w:szCs w:val="21"/>
          <w:highlight w:val="none"/>
          <w:lang w:eastAsia="zh-CN"/>
        </w:rPr>
        <w:t>变更</w:t>
      </w:r>
    </w:p>
    <w:p w14:paraId="019E6119">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政府采购合同履行中，</w:t>
      </w:r>
      <w:r>
        <w:rPr>
          <w:rFonts w:hint="eastAsia" w:ascii="宋体" w:hAnsi="宋体" w:eastAsia="宋体" w:cs="宋体"/>
          <w:color w:val="auto"/>
          <w:sz w:val="21"/>
          <w:szCs w:val="21"/>
          <w:highlight w:val="none"/>
        </w:rPr>
        <w:t>在不改变合同其他条款的前提下，甲方可以在合同价款10%的范围内追加与合同标的相同的货物，并就此与乙方协商</w:t>
      </w:r>
      <w:r>
        <w:rPr>
          <w:rFonts w:hint="eastAsia" w:ascii="宋体" w:hAnsi="宋体" w:eastAsia="宋体" w:cs="宋体"/>
          <w:color w:val="auto"/>
          <w:sz w:val="21"/>
          <w:szCs w:val="21"/>
          <w:highlight w:val="none"/>
          <w:lang w:eastAsia="zh-CN"/>
        </w:rPr>
        <w:t>一致后</w:t>
      </w:r>
      <w:r>
        <w:rPr>
          <w:rFonts w:hint="eastAsia" w:ascii="宋体" w:hAnsi="宋体" w:eastAsia="宋体" w:cs="宋体"/>
          <w:color w:val="auto"/>
          <w:sz w:val="21"/>
          <w:szCs w:val="21"/>
          <w:highlight w:val="none"/>
        </w:rPr>
        <w:t>签订补充协议。</w:t>
      </w:r>
    </w:p>
    <w:p w14:paraId="23532E82">
      <w:pPr>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合同的中止</w:t>
      </w:r>
    </w:p>
    <w:p w14:paraId="6730C3F0">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（1）合同履行过程中因供应商就采购文件、采购过程或结果提起投诉的，甲方认为有必要的，</w:t>
      </w:r>
      <w:r>
        <w:rPr>
          <w:rFonts w:hint="eastAsia" w:ascii="宋体" w:hAnsi="宋体" w:eastAsia="宋体" w:cs="宋体"/>
          <w:color w:val="auto"/>
          <w:sz w:val="21"/>
          <w:szCs w:val="21"/>
          <w:highlight w:val="none"/>
          <w:lang w:eastAsia="zh-CN"/>
        </w:rPr>
        <w:t>可以</w:t>
      </w:r>
      <w:r>
        <w:rPr>
          <w:rFonts w:hint="eastAsia" w:ascii="宋体" w:hAnsi="宋体" w:eastAsia="宋体" w:cs="宋体"/>
          <w:color w:val="auto"/>
          <w:sz w:val="21"/>
          <w:szCs w:val="21"/>
          <w:highlight w:val="none"/>
        </w:rPr>
        <w:t>中止合同的履行。</w:t>
      </w:r>
    </w:p>
    <w:p w14:paraId="706E4651">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合同履行过程中，</w:t>
      </w:r>
      <w:r>
        <w:rPr>
          <w:rFonts w:hint="eastAsia" w:ascii="宋体" w:hAnsi="宋体" w:eastAsia="宋体" w:cs="宋体"/>
          <w:color w:val="auto"/>
          <w:sz w:val="21"/>
          <w:szCs w:val="21"/>
          <w:highlight w:val="none"/>
        </w:rPr>
        <w:t>如果乙方出现以下情形之一的：1．经营状况严重恶化；2．转移财产、抽逃资金，以逃避债务；3．丧失商业信誉；4．有丧失或者可能丧失履约能力的其他情形</w:t>
      </w:r>
      <w:r>
        <w:rPr>
          <w:rFonts w:hint="eastAsia" w:ascii="宋体" w:hAnsi="宋体" w:eastAsia="宋体" w:cs="宋体"/>
          <w:color w:val="auto"/>
          <w:sz w:val="21"/>
          <w:szCs w:val="21"/>
          <w:highlight w:val="none"/>
          <w:lang w:eastAsia="zh-CN"/>
        </w:rPr>
        <w:t>，乙方有义务及时告知甲方</w:t>
      </w:r>
      <w:r>
        <w:rPr>
          <w:rFonts w:hint="eastAsia" w:ascii="宋体" w:hAnsi="宋体" w:eastAsia="宋体" w:cs="宋体"/>
          <w:color w:val="auto"/>
          <w:sz w:val="21"/>
          <w:szCs w:val="21"/>
          <w:highlight w:val="none"/>
        </w:rPr>
        <w:t>。甲方</w:t>
      </w:r>
      <w:r>
        <w:rPr>
          <w:rFonts w:hint="eastAsia" w:ascii="宋体" w:hAnsi="宋体" w:eastAsia="宋体" w:cs="宋体"/>
          <w:color w:val="auto"/>
          <w:sz w:val="21"/>
          <w:szCs w:val="21"/>
          <w:highlight w:val="none"/>
          <w:lang w:eastAsia="zh-CN"/>
        </w:rPr>
        <w:t>有权</w:t>
      </w:r>
      <w:r>
        <w:rPr>
          <w:rFonts w:hint="eastAsia" w:ascii="宋体" w:hAnsi="宋体" w:eastAsia="宋体" w:cs="宋体"/>
          <w:color w:val="auto"/>
          <w:sz w:val="21"/>
          <w:szCs w:val="21"/>
          <w:highlight w:val="none"/>
        </w:rPr>
        <w:t>以书面形式通知乙方中止合同</w:t>
      </w:r>
      <w:r>
        <w:rPr>
          <w:rFonts w:hint="eastAsia" w:ascii="宋体" w:hAnsi="宋体" w:eastAsia="宋体" w:cs="宋体"/>
          <w:color w:val="auto"/>
          <w:sz w:val="21"/>
          <w:szCs w:val="21"/>
          <w:highlight w:val="none"/>
          <w:lang w:eastAsia="zh-CN"/>
        </w:rPr>
        <w:t>并要求乙方在合理期限内消除相关情形或者提供适当担保。</w:t>
      </w:r>
      <w:r>
        <w:rPr>
          <w:rFonts w:hint="eastAsia" w:ascii="宋体" w:hAnsi="宋体" w:eastAsia="宋体" w:cs="宋体"/>
          <w:color w:val="auto"/>
          <w:sz w:val="21"/>
          <w:szCs w:val="21"/>
          <w:highlight w:val="none"/>
        </w:rPr>
        <w:t>乙方提供适当担保的，</w:t>
      </w:r>
      <w:r>
        <w:rPr>
          <w:rFonts w:hint="eastAsia" w:ascii="宋体" w:hAnsi="宋体" w:eastAsia="宋体" w:cs="宋体"/>
          <w:color w:val="auto"/>
          <w:sz w:val="21"/>
          <w:szCs w:val="21"/>
          <w:highlight w:val="none"/>
          <w:lang w:eastAsia="zh-CN"/>
        </w:rPr>
        <w:t>合同继续</w:t>
      </w:r>
      <w:r>
        <w:rPr>
          <w:rFonts w:hint="eastAsia" w:ascii="宋体" w:hAnsi="宋体" w:eastAsia="宋体" w:cs="宋体"/>
          <w:color w:val="auto"/>
          <w:sz w:val="21"/>
          <w:szCs w:val="21"/>
          <w:highlight w:val="none"/>
        </w:rPr>
        <w:t>履行</w:t>
      </w:r>
      <w:r>
        <w:rPr>
          <w:rFonts w:hint="eastAsia" w:ascii="宋体" w:hAnsi="宋体" w:eastAsia="宋体" w:cs="宋体"/>
          <w:color w:val="auto"/>
          <w:sz w:val="21"/>
          <w:szCs w:val="21"/>
          <w:highlight w:val="none"/>
          <w:lang w:eastAsia="zh-CN"/>
        </w:rPr>
        <w:t>；乙</w:t>
      </w:r>
      <w:r>
        <w:rPr>
          <w:rFonts w:hint="eastAsia" w:ascii="宋体" w:hAnsi="宋体" w:eastAsia="宋体" w:cs="宋体"/>
          <w:color w:val="auto"/>
          <w:sz w:val="21"/>
          <w:szCs w:val="21"/>
          <w:highlight w:val="none"/>
        </w:rPr>
        <w:t>方在合理期限内未恢复履约能力且未提供适当担保的，视为拒绝</w:t>
      </w:r>
      <w:r>
        <w:rPr>
          <w:rFonts w:hint="eastAsia" w:ascii="宋体" w:hAnsi="宋体" w:eastAsia="宋体" w:cs="宋体"/>
          <w:color w:val="auto"/>
          <w:sz w:val="21"/>
          <w:szCs w:val="21"/>
          <w:highlight w:val="none"/>
          <w:lang w:eastAsia="zh-CN"/>
        </w:rPr>
        <w:t>继续</w:t>
      </w:r>
      <w:r>
        <w:rPr>
          <w:rFonts w:hint="eastAsia" w:ascii="宋体" w:hAnsi="宋体" w:eastAsia="宋体" w:cs="宋体"/>
          <w:color w:val="auto"/>
          <w:sz w:val="21"/>
          <w:szCs w:val="21"/>
          <w:highlight w:val="none"/>
        </w:rPr>
        <w:t>履约，甲方</w:t>
      </w:r>
      <w:r>
        <w:rPr>
          <w:rFonts w:hint="eastAsia" w:ascii="宋体" w:hAnsi="宋体" w:eastAsia="宋体" w:cs="宋体"/>
          <w:color w:val="auto"/>
          <w:sz w:val="21"/>
          <w:szCs w:val="21"/>
          <w:highlight w:val="none"/>
          <w:lang w:eastAsia="zh-CN"/>
        </w:rPr>
        <w:t>有权</w:t>
      </w:r>
      <w:r>
        <w:rPr>
          <w:rFonts w:hint="eastAsia" w:ascii="宋体" w:hAnsi="宋体" w:eastAsia="宋体" w:cs="宋体"/>
          <w:color w:val="auto"/>
          <w:sz w:val="21"/>
          <w:szCs w:val="21"/>
          <w:highlight w:val="none"/>
        </w:rPr>
        <w:t>解除合同并要求乙方承担</w:t>
      </w:r>
      <w:r>
        <w:rPr>
          <w:rFonts w:hint="eastAsia" w:ascii="宋体" w:hAnsi="宋体" w:eastAsia="宋体" w:cs="宋体"/>
          <w:color w:val="auto"/>
          <w:sz w:val="21"/>
          <w:szCs w:val="21"/>
          <w:highlight w:val="none"/>
          <w:lang w:eastAsia="zh-CN"/>
        </w:rPr>
        <w:t>由此给甲方造成的损失</w:t>
      </w:r>
      <w:r>
        <w:rPr>
          <w:rFonts w:hint="eastAsia" w:ascii="宋体" w:hAnsi="宋体" w:eastAsia="宋体" w:cs="宋体"/>
          <w:color w:val="auto"/>
          <w:sz w:val="21"/>
          <w:szCs w:val="21"/>
          <w:highlight w:val="none"/>
        </w:rPr>
        <w:t>。</w:t>
      </w:r>
    </w:p>
    <w:p w14:paraId="5CD80FD9">
      <w:pPr>
        <w:pStyle w:val="36"/>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（3）乙方分立、合并或者变更住所的，应当及时以书面形式告知甲方。乙方没有及时告知甲方，致使合同履行发生困难的，甲方可以中止合同履行并要求乙方承担由此给甲方造成的损失。</w:t>
      </w:r>
    </w:p>
    <w:p w14:paraId="3BCAED40">
      <w:pPr>
        <w:snapToGrid w:val="0"/>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）甲方不得以行政区划调整、政府换届、机构或者职能调整以及相关责任人更替为由中止合同。</w:t>
      </w:r>
    </w:p>
    <w:p w14:paraId="56F1AC42">
      <w:pPr>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合同的终止</w:t>
      </w:r>
    </w:p>
    <w:p w14:paraId="3848BADB">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（1）合同因有效期限届满而终止；</w:t>
      </w:r>
    </w:p>
    <w:p w14:paraId="2AF06312">
      <w:pPr>
        <w:snapToGrid w:val="0"/>
        <w:spacing w:line="400" w:lineRule="exact"/>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（2）乙方未</w:t>
      </w:r>
      <w:r>
        <w:rPr>
          <w:rFonts w:hint="eastAsia" w:ascii="宋体" w:hAnsi="宋体" w:eastAsia="宋体" w:cs="宋体"/>
          <w:color w:val="auto"/>
          <w:sz w:val="21"/>
          <w:szCs w:val="21"/>
          <w:highlight w:val="none"/>
          <w:lang w:eastAsia="zh-CN"/>
        </w:rPr>
        <w:t>按</w:t>
      </w:r>
      <w:r>
        <w:rPr>
          <w:rFonts w:hint="eastAsia" w:ascii="宋体" w:hAnsi="宋体" w:eastAsia="宋体" w:cs="宋体"/>
          <w:color w:val="auto"/>
          <w:sz w:val="21"/>
          <w:szCs w:val="21"/>
          <w:highlight w:val="none"/>
        </w:rPr>
        <w:t>合同约定履行，构成根本性违约的，甲方有权终止合同</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并追究乙方的违约责</w:t>
      </w:r>
      <w:r>
        <w:rPr>
          <w:rFonts w:hint="eastAsia" w:ascii="宋体" w:hAnsi="宋体" w:eastAsia="宋体" w:cs="宋体"/>
          <w:color w:val="auto"/>
          <w:sz w:val="21"/>
          <w:szCs w:val="21"/>
          <w:highlight w:val="none"/>
          <w:lang w:val="en-US" w:eastAsia="zh-CN"/>
        </w:rPr>
        <w:t>任</w:t>
      </w:r>
      <w:r>
        <w:rPr>
          <w:rFonts w:hint="eastAsia" w:ascii="宋体" w:hAnsi="宋体" w:eastAsia="宋体" w:cs="宋体"/>
          <w:color w:val="auto"/>
          <w:sz w:val="21"/>
          <w:szCs w:val="21"/>
          <w:highlight w:val="none"/>
        </w:rPr>
        <w:t>。</w:t>
      </w:r>
    </w:p>
    <w:p w14:paraId="3F0ADFC8">
      <w:pPr>
        <w:pStyle w:val="36"/>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16.4 涉及国家利益、社会公共利益的情形</w:t>
      </w:r>
    </w:p>
    <w:p w14:paraId="15580053">
      <w:pPr>
        <w:pStyle w:val="36"/>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政府采购合同继续履行将损害国家利益和社会公共利益的，双方当事人应当变更、中止或者终止合同。有过错的一方应当承担赔偿责任，双方都有过错的，各自承担相应的责任。</w:t>
      </w:r>
    </w:p>
    <w:p w14:paraId="5C2AA675">
      <w:pPr>
        <w:autoSpaceDE w:val="0"/>
        <w:autoSpaceDN w:val="0"/>
        <w:adjustRightInd w:val="0"/>
        <w:snapToGrid w:val="0"/>
        <w:spacing w:before="0" w:line="400" w:lineRule="exact"/>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w:t>
      </w:r>
      <w:r>
        <w:rPr>
          <w:rFonts w:hint="eastAsia" w:ascii="宋体" w:hAnsi="宋体" w:eastAsia="宋体" w:cs="宋体"/>
          <w:b/>
          <w:bCs/>
          <w:color w:val="auto"/>
          <w:sz w:val="21"/>
          <w:szCs w:val="21"/>
          <w:highlight w:val="none"/>
          <w:lang w:val="en-US" w:eastAsia="zh-CN"/>
        </w:rPr>
        <w:t>7</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合同分包</w:t>
      </w:r>
    </w:p>
    <w:p w14:paraId="4EF84233">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.1 乙方不得</w:t>
      </w:r>
      <w:r>
        <w:rPr>
          <w:rFonts w:hint="eastAsia" w:ascii="宋体" w:hAnsi="宋体" w:eastAsia="宋体" w:cs="宋体"/>
          <w:color w:val="auto"/>
          <w:sz w:val="21"/>
          <w:szCs w:val="21"/>
          <w:highlight w:val="none"/>
          <w:lang w:eastAsia="zh-CN"/>
        </w:rPr>
        <w:t>将合同转包给其他供应商。涉及合同分包的，乙方</w:t>
      </w:r>
      <w:r>
        <w:rPr>
          <w:rFonts w:hint="eastAsia" w:ascii="宋体" w:hAnsi="宋体" w:eastAsia="宋体" w:cs="宋体"/>
          <w:color w:val="auto"/>
          <w:sz w:val="21"/>
          <w:szCs w:val="21"/>
          <w:highlight w:val="none"/>
          <w:lang w:val="en-US" w:eastAsia="zh-CN"/>
        </w:rPr>
        <w:t>应</w:t>
      </w:r>
      <w:r>
        <w:rPr>
          <w:rFonts w:hint="eastAsia" w:ascii="宋体" w:hAnsi="宋体" w:eastAsia="宋体" w:cs="宋体"/>
          <w:color w:val="auto"/>
          <w:sz w:val="21"/>
          <w:szCs w:val="21"/>
          <w:highlight w:val="none"/>
          <w:lang w:eastAsia="zh-CN"/>
        </w:rPr>
        <w:t>根据采购文件和投标（响应）文件规定进行</w:t>
      </w:r>
      <w:r>
        <w:rPr>
          <w:rFonts w:hint="eastAsia" w:ascii="宋体" w:hAnsi="宋体" w:eastAsia="宋体" w:cs="宋体"/>
          <w:color w:val="auto"/>
          <w:sz w:val="21"/>
          <w:szCs w:val="21"/>
          <w:highlight w:val="none"/>
        </w:rPr>
        <w:t>合同分包。</w:t>
      </w:r>
    </w:p>
    <w:p w14:paraId="19F98564">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.2 乙方执行政府采购政策向中小企业依法分包的</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乙方应当按采购文件</w:t>
      </w:r>
      <w:r>
        <w:rPr>
          <w:rFonts w:hint="eastAsia" w:ascii="宋体" w:hAnsi="宋体" w:eastAsia="宋体" w:cs="宋体"/>
          <w:color w:val="auto"/>
          <w:sz w:val="21"/>
          <w:szCs w:val="21"/>
          <w:highlight w:val="none"/>
          <w:lang w:eastAsia="zh-CN"/>
        </w:rPr>
        <w:t>和</w:t>
      </w:r>
      <w:r>
        <w:rPr>
          <w:rFonts w:hint="eastAsia" w:ascii="宋体" w:hAnsi="宋体" w:eastAsia="宋体" w:cs="宋体"/>
          <w:color w:val="auto"/>
          <w:sz w:val="21"/>
          <w:szCs w:val="21"/>
          <w:highlight w:val="none"/>
        </w:rPr>
        <w:t>投标（响应）文件签订分包</w:t>
      </w:r>
      <w:r>
        <w:rPr>
          <w:rFonts w:hint="eastAsia" w:ascii="宋体" w:hAnsi="宋体" w:eastAsia="宋体" w:cs="宋体"/>
          <w:color w:val="auto"/>
          <w:sz w:val="21"/>
          <w:szCs w:val="21"/>
          <w:highlight w:val="none"/>
          <w:lang w:eastAsia="zh-CN"/>
        </w:rPr>
        <w:t>意向</w:t>
      </w:r>
      <w:r>
        <w:rPr>
          <w:rFonts w:hint="eastAsia" w:ascii="宋体" w:hAnsi="宋体" w:eastAsia="宋体" w:cs="宋体"/>
          <w:color w:val="auto"/>
          <w:sz w:val="21"/>
          <w:szCs w:val="21"/>
          <w:highlight w:val="none"/>
        </w:rPr>
        <w:t>协议</w:t>
      </w:r>
      <w:r>
        <w:rPr>
          <w:rFonts w:hint="eastAsia" w:cs="宋体"/>
          <w:color w:val="auto"/>
          <w:sz w:val="21"/>
          <w:szCs w:val="21"/>
          <w:highlight w:val="none"/>
          <w:lang w:val="en-US" w:eastAsia="zh-CN"/>
        </w:rPr>
        <w:t>书</w:t>
      </w:r>
      <w:r>
        <w:rPr>
          <w:rFonts w:hint="eastAsia" w:ascii="宋体" w:hAnsi="宋体" w:eastAsia="宋体" w:cs="宋体"/>
          <w:color w:val="auto"/>
          <w:sz w:val="21"/>
          <w:szCs w:val="21"/>
          <w:highlight w:val="none"/>
        </w:rPr>
        <w:t>，分包</w:t>
      </w:r>
      <w:r>
        <w:rPr>
          <w:rFonts w:hint="eastAsia" w:ascii="宋体" w:hAnsi="宋体" w:eastAsia="宋体" w:cs="宋体"/>
          <w:color w:val="auto"/>
          <w:sz w:val="21"/>
          <w:szCs w:val="21"/>
          <w:highlight w:val="none"/>
          <w:lang w:eastAsia="zh-CN"/>
        </w:rPr>
        <w:t>意向</w:t>
      </w:r>
      <w:r>
        <w:rPr>
          <w:rFonts w:hint="eastAsia" w:ascii="宋体" w:hAnsi="宋体" w:eastAsia="宋体" w:cs="宋体"/>
          <w:color w:val="auto"/>
          <w:sz w:val="21"/>
          <w:szCs w:val="21"/>
          <w:highlight w:val="none"/>
        </w:rPr>
        <w:t>协议</w:t>
      </w:r>
      <w:r>
        <w:rPr>
          <w:rFonts w:hint="eastAsia" w:cs="宋体"/>
          <w:color w:val="auto"/>
          <w:sz w:val="21"/>
          <w:szCs w:val="21"/>
          <w:highlight w:val="none"/>
          <w:lang w:val="en-US" w:eastAsia="zh-CN"/>
        </w:rPr>
        <w:t>书</w:t>
      </w:r>
      <w:r>
        <w:rPr>
          <w:rFonts w:hint="eastAsia" w:ascii="宋体" w:hAnsi="宋体" w:eastAsia="宋体" w:cs="宋体"/>
          <w:color w:val="auto"/>
          <w:sz w:val="21"/>
          <w:szCs w:val="21"/>
          <w:highlight w:val="none"/>
        </w:rPr>
        <w:t>属于本合同组成部分。</w:t>
      </w:r>
    </w:p>
    <w:p w14:paraId="6E9E40FB">
      <w:pPr>
        <w:autoSpaceDE w:val="0"/>
        <w:autoSpaceDN w:val="0"/>
        <w:adjustRightInd w:val="0"/>
        <w:snapToGrid w:val="0"/>
        <w:spacing w:before="0" w:line="400" w:lineRule="exact"/>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1</w:t>
      </w:r>
      <w:r>
        <w:rPr>
          <w:rFonts w:hint="eastAsia" w:ascii="宋体" w:hAnsi="宋体" w:eastAsia="宋体" w:cs="宋体"/>
          <w:b/>
          <w:bCs/>
          <w:color w:val="auto"/>
          <w:sz w:val="21"/>
          <w:szCs w:val="21"/>
          <w:highlight w:val="none"/>
          <w:lang w:val="en-US" w:eastAsia="zh-CN"/>
        </w:rPr>
        <w:t>8</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不可抗力</w:t>
      </w:r>
    </w:p>
    <w:p w14:paraId="3A0D10E3">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1</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.1 不可抗力是指合同双方不能预见、不能避免且不能克服的客观情况。</w:t>
      </w:r>
    </w:p>
    <w:p w14:paraId="7334AEE7">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1</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.2 任何一方对由于不可抗力造成的部分或全部不能履行合同不承担违约责任。但迟延履行后发生不可抗力的，不能免除责任。</w:t>
      </w:r>
    </w:p>
    <w:p w14:paraId="5B43D4C1">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1</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.3 遇有不可抗力的一方，应及时将事件情况以书面形式</w:t>
      </w:r>
      <w:r>
        <w:rPr>
          <w:rFonts w:hint="eastAsia" w:ascii="宋体" w:hAnsi="宋体" w:eastAsia="宋体" w:cs="宋体"/>
          <w:color w:val="auto"/>
          <w:sz w:val="21"/>
          <w:szCs w:val="21"/>
          <w:highlight w:val="none"/>
          <w:lang w:eastAsia="zh-CN"/>
        </w:rPr>
        <w:t>告</w:t>
      </w:r>
      <w:r>
        <w:rPr>
          <w:rFonts w:hint="eastAsia" w:ascii="宋体" w:hAnsi="宋体" w:eastAsia="宋体" w:cs="宋体"/>
          <w:color w:val="auto"/>
          <w:sz w:val="21"/>
          <w:szCs w:val="21"/>
          <w:highlight w:val="none"/>
        </w:rPr>
        <w:t>知另一方，并在事件发生后及时向另一方提交合同不能履行或部分不能履行或需要延期履行</w:t>
      </w:r>
      <w:r>
        <w:rPr>
          <w:rFonts w:hint="eastAsia" w:ascii="宋体" w:hAnsi="宋体" w:eastAsia="宋体" w:cs="宋体"/>
          <w:color w:val="auto"/>
          <w:sz w:val="21"/>
          <w:szCs w:val="21"/>
          <w:highlight w:val="none"/>
          <w:lang w:eastAsia="zh-CN"/>
        </w:rPr>
        <w:t>的详细</w:t>
      </w:r>
      <w:r>
        <w:rPr>
          <w:rFonts w:hint="eastAsia" w:ascii="宋体" w:hAnsi="宋体" w:eastAsia="宋体" w:cs="宋体"/>
          <w:color w:val="auto"/>
          <w:sz w:val="21"/>
          <w:szCs w:val="21"/>
          <w:highlight w:val="none"/>
        </w:rPr>
        <w:t>报告</w:t>
      </w:r>
      <w:r>
        <w:rPr>
          <w:rFonts w:hint="eastAsia" w:ascii="宋体" w:hAnsi="宋体" w:eastAsia="宋体" w:cs="宋体"/>
          <w:color w:val="auto"/>
          <w:sz w:val="21"/>
          <w:szCs w:val="21"/>
          <w:highlight w:val="none"/>
          <w:lang w:eastAsia="zh-CN"/>
        </w:rPr>
        <w:t>，以</w:t>
      </w:r>
      <w:r>
        <w:rPr>
          <w:rFonts w:hint="eastAsia" w:ascii="宋体" w:hAnsi="宋体" w:eastAsia="宋体" w:cs="宋体"/>
          <w:color w:val="auto"/>
          <w:sz w:val="21"/>
          <w:szCs w:val="21"/>
          <w:highlight w:val="none"/>
          <w:lang w:val="en-US" w:eastAsia="zh-CN"/>
        </w:rPr>
        <w:t>及证明不可抗力发生及其持续时间的证据</w:t>
      </w:r>
      <w:r>
        <w:rPr>
          <w:rFonts w:hint="eastAsia" w:ascii="宋体" w:hAnsi="宋体" w:eastAsia="宋体" w:cs="宋体"/>
          <w:color w:val="auto"/>
          <w:sz w:val="21"/>
          <w:szCs w:val="21"/>
          <w:highlight w:val="none"/>
        </w:rPr>
        <w:t>。</w:t>
      </w:r>
    </w:p>
    <w:p w14:paraId="1ACB0169">
      <w:pPr>
        <w:autoSpaceDE w:val="0"/>
        <w:autoSpaceDN w:val="0"/>
        <w:adjustRightInd w:val="0"/>
        <w:snapToGrid w:val="0"/>
        <w:spacing w:before="0" w:line="400" w:lineRule="exact"/>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19</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解决争议的方法</w:t>
      </w:r>
    </w:p>
    <w:p w14:paraId="4268DE97">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19</w:t>
      </w:r>
      <w:r>
        <w:rPr>
          <w:rFonts w:hint="eastAsia" w:ascii="宋体" w:hAnsi="宋体" w:eastAsia="宋体" w:cs="宋体"/>
          <w:color w:val="auto"/>
          <w:sz w:val="21"/>
          <w:szCs w:val="21"/>
          <w:highlight w:val="none"/>
          <w:lang w:eastAsia="zh-CN"/>
        </w:rPr>
        <w:t>.1 因本合同及合同有关事项发生的争议，由甲乙双方友好协商解决。协商不成时，可以向有关组织申请调解。合同一方或双方不愿调解或调解不成的，可以通过仲裁或诉讼的方式解决争议。</w:t>
      </w:r>
    </w:p>
    <w:p w14:paraId="414115B8">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19.2 选择仲裁的，应在</w:t>
      </w:r>
      <w:r>
        <w:rPr>
          <w:rFonts w:hint="eastAsia" w:ascii="宋体" w:hAnsi="宋体" w:eastAsia="宋体" w:cs="宋体"/>
          <w:b/>
          <w:bCs/>
          <w:color w:val="auto"/>
          <w:sz w:val="21"/>
          <w:szCs w:val="21"/>
          <w:highlight w:val="none"/>
          <w:lang w:val="en-US" w:eastAsia="zh-CN"/>
        </w:rPr>
        <w:t>【政府采购合同专用条款】</w:t>
      </w:r>
      <w:r>
        <w:rPr>
          <w:rFonts w:hint="eastAsia" w:ascii="宋体" w:hAnsi="宋体" w:eastAsia="宋体" w:cs="宋体"/>
          <w:color w:val="auto"/>
          <w:sz w:val="21"/>
          <w:szCs w:val="21"/>
          <w:highlight w:val="none"/>
          <w:lang w:val="en-US" w:eastAsia="zh-CN"/>
        </w:rPr>
        <w:t>中明确仲裁机构及仲裁地；通过诉讼方式解决的，可以在</w:t>
      </w:r>
      <w:r>
        <w:rPr>
          <w:rFonts w:hint="eastAsia" w:ascii="宋体" w:hAnsi="宋体" w:eastAsia="宋体" w:cs="宋体"/>
          <w:b/>
          <w:bCs/>
          <w:color w:val="auto"/>
          <w:sz w:val="21"/>
          <w:szCs w:val="21"/>
          <w:highlight w:val="none"/>
          <w:lang w:val="en-US" w:eastAsia="zh-CN"/>
        </w:rPr>
        <w:t>【政府采购合同专用条款】</w:t>
      </w:r>
      <w:r>
        <w:rPr>
          <w:rFonts w:hint="eastAsia" w:ascii="宋体" w:hAnsi="宋体" w:eastAsia="宋体" w:cs="宋体"/>
          <w:color w:val="auto"/>
          <w:sz w:val="21"/>
          <w:szCs w:val="21"/>
          <w:highlight w:val="none"/>
          <w:lang w:val="en-US" w:eastAsia="zh-CN"/>
        </w:rPr>
        <w:t>中进一步约定选择与争议有实际联系的地点的人民法院管辖，但管辖法院的约定不得违反级别管辖和专属管辖的规定。</w:t>
      </w:r>
    </w:p>
    <w:p w14:paraId="404A2EBD">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19.3 如甲乙双方有争议的事项不影响合同其他部分的履行，在争议解决期间，合同其他部分应当继续履行。</w:t>
      </w:r>
    </w:p>
    <w:p w14:paraId="1EE4C3A5">
      <w:pPr>
        <w:autoSpaceDE w:val="0"/>
        <w:autoSpaceDN w:val="0"/>
        <w:adjustRightInd w:val="0"/>
        <w:snapToGrid w:val="0"/>
        <w:spacing w:before="0" w:line="400" w:lineRule="exact"/>
        <w:jc w:val="left"/>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lang w:val="en-US" w:eastAsia="zh-CN"/>
        </w:rPr>
        <w:t>20</w:t>
      </w: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val="en-US" w:eastAsia="zh-CN"/>
        </w:rPr>
        <w:t xml:space="preserve"> </w:t>
      </w:r>
      <w:r>
        <w:rPr>
          <w:rFonts w:hint="eastAsia" w:ascii="宋体" w:hAnsi="宋体" w:eastAsia="宋体" w:cs="宋体"/>
          <w:b/>
          <w:color w:val="auto"/>
          <w:sz w:val="21"/>
          <w:szCs w:val="21"/>
          <w:highlight w:val="none"/>
        </w:rPr>
        <w:t>政府采购政策</w:t>
      </w:r>
    </w:p>
    <w:p w14:paraId="5E7E62BF">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20.1 </w:t>
      </w:r>
      <w:r>
        <w:rPr>
          <w:rFonts w:hint="eastAsia" w:ascii="宋体" w:hAnsi="宋体" w:eastAsia="宋体" w:cs="宋体"/>
          <w:color w:val="auto"/>
          <w:sz w:val="21"/>
          <w:szCs w:val="21"/>
          <w:highlight w:val="none"/>
          <w:lang w:val="en-GB"/>
        </w:rPr>
        <w:t>本合同应当按照规定执行政府采购政策。</w:t>
      </w:r>
    </w:p>
    <w:p w14:paraId="078691A2">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 xml:space="preserve"> 本合同依法执行政府采购政策的方式和内容，属于合同履约验收的范围。</w:t>
      </w:r>
      <w:r>
        <w:rPr>
          <w:rFonts w:hint="eastAsia" w:ascii="宋体" w:hAnsi="宋体" w:eastAsia="宋体" w:cs="宋体"/>
          <w:color w:val="auto"/>
          <w:sz w:val="21"/>
          <w:szCs w:val="21"/>
          <w:highlight w:val="none"/>
          <w:lang w:eastAsia="zh-CN"/>
        </w:rPr>
        <w:t>甲乙双方</w:t>
      </w:r>
      <w:r>
        <w:rPr>
          <w:rFonts w:hint="eastAsia" w:ascii="宋体" w:hAnsi="宋体" w:eastAsia="宋体" w:cs="宋体"/>
          <w:color w:val="auto"/>
          <w:sz w:val="21"/>
          <w:szCs w:val="21"/>
          <w:highlight w:val="none"/>
          <w:lang w:val="en-GB"/>
        </w:rPr>
        <w:t>未按规定要求执行政府采购政策造成损失的</w:t>
      </w:r>
      <w:r>
        <w:rPr>
          <w:rFonts w:hint="eastAsia" w:ascii="宋体" w:hAnsi="宋体" w:eastAsia="宋体" w:cs="宋体"/>
          <w:color w:val="auto"/>
          <w:sz w:val="21"/>
          <w:szCs w:val="21"/>
          <w:highlight w:val="none"/>
        </w:rPr>
        <w:t>，有过错的一方应当承</w:t>
      </w:r>
      <w:r>
        <w:rPr>
          <w:rFonts w:hint="eastAsia" w:ascii="宋体" w:hAnsi="宋体" w:eastAsia="宋体" w:cs="宋体"/>
          <w:color w:val="auto"/>
          <w:sz w:val="21"/>
          <w:szCs w:val="21"/>
          <w:highlight w:val="none"/>
          <w:lang w:val="en-US" w:eastAsia="zh-CN"/>
        </w:rPr>
        <w:t>担赔偿责任，双方都有过错的，各自承担相应的责任。</w:t>
      </w:r>
    </w:p>
    <w:p w14:paraId="15F6DED7">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w:t>
      </w:r>
      <w:r>
        <w:rPr>
          <w:rFonts w:hint="eastAsia" w:cs="宋体"/>
          <w:color w:val="auto"/>
          <w:sz w:val="21"/>
          <w:szCs w:val="21"/>
          <w:highlight w:val="none"/>
          <w:lang w:val="en-US" w:eastAsia="zh-CN"/>
        </w:rPr>
        <w:t>体</w:t>
      </w:r>
      <w:r>
        <w:rPr>
          <w:rFonts w:hint="eastAsia" w:ascii="宋体" w:hAnsi="宋体" w:eastAsia="宋体" w:cs="宋体"/>
          <w:color w:val="auto"/>
          <w:sz w:val="21"/>
          <w:szCs w:val="21"/>
          <w:highlight w:val="none"/>
          <w:lang w:val="en-US" w:eastAsia="zh-CN"/>
        </w:rPr>
        <w:t>协议</w:t>
      </w:r>
      <w:r>
        <w:rPr>
          <w:rFonts w:hint="eastAsia" w:cs="宋体"/>
          <w:color w:val="auto"/>
          <w:sz w:val="21"/>
          <w:szCs w:val="21"/>
          <w:highlight w:val="none"/>
          <w:lang w:val="en-US" w:eastAsia="zh-CN"/>
        </w:rPr>
        <w:t>书</w:t>
      </w:r>
      <w:r>
        <w:rPr>
          <w:rFonts w:hint="eastAsia" w:ascii="宋体" w:hAnsi="宋体" w:eastAsia="宋体" w:cs="宋体"/>
          <w:color w:val="auto"/>
          <w:sz w:val="21"/>
          <w:szCs w:val="21"/>
          <w:highlight w:val="none"/>
          <w:lang w:val="en-US" w:eastAsia="zh-CN"/>
        </w:rPr>
        <w:t>或者分包意向协议</w:t>
      </w:r>
      <w:r>
        <w:rPr>
          <w:rFonts w:hint="eastAsia" w:cs="宋体"/>
          <w:color w:val="auto"/>
          <w:sz w:val="21"/>
          <w:szCs w:val="21"/>
          <w:highlight w:val="none"/>
          <w:lang w:val="en-US" w:eastAsia="zh-CN"/>
        </w:rPr>
        <w:t>书</w:t>
      </w:r>
      <w:r>
        <w:rPr>
          <w:rFonts w:hint="eastAsia" w:ascii="宋体" w:hAnsi="宋体" w:eastAsia="宋体" w:cs="宋体"/>
          <w:color w:val="auto"/>
          <w:sz w:val="21"/>
          <w:szCs w:val="21"/>
          <w:highlight w:val="none"/>
          <w:lang w:val="en-US" w:eastAsia="zh-CN"/>
        </w:rPr>
        <w:t>作为采购合同的组成部分。</w:t>
      </w:r>
    </w:p>
    <w:p w14:paraId="4DDDC0EC">
      <w:pPr>
        <w:autoSpaceDE w:val="0"/>
        <w:autoSpaceDN w:val="0"/>
        <w:adjustRightInd w:val="0"/>
        <w:snapToGrid w:val="0"/>
        <w:spacing w:before="0" w:line="400" w:lineRule="exact"/>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w:t>
      </w:r>
      <w:r>
        <w:rPr>
          <w:rFonts w:hint="eastAsia" w:ascii="宋体" w:hAnsi="宋体" w:eastAsia="宋体" w:cs="宋体"/>
          <w:b/>
          <w:color w:val="auto"/>
          <w:sz w:val="21"/>
          <w:szCs w:val="21"/>
          <w:highlight w:val="none"/>
          <w:lang w:val="en-US" w:eastAsia="zh-CN"/>
        </w:rPr>
        <w:t>1</w:t>
      </w: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val="en-US" w:eastAsia="zh-CN"/>
        </w:rPr>
        <w:t xml:space="preserve"> </w:t>
      </w:r>
      <w:r>
        <w:rPr>
          <w:rFonts w:hint="eastAsia" w:ascii="宋体" w:hAnsi="宋体" w:eastAsia="宋体" w:cs="宋体"/>
          <w:b/>
          <w:color w:val="auto"/>
          <w:sz w:val="21"/>
          <w:szCs w:val="21"/>
          <w:highlight w:val="none"/>
        </w:rPr>
        <w:t>法律适用</w:t>
      </w:r>
    </w:p>
    <w:p w14:paraId="77D8A65D">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21.1 本合同的订立、生效、解释、履行及与本合同有关的争议解决，均适用法律、行政法规。</w:t>
      </w:r>
    </w:p>
    <w:p w14:paraId="0781C6DB">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21.2 本合同条款与法律、行政法规的强制性规定不一致的，双方当事人应按照法律、行政法规的强制性规定修改本合同的相关条款。</w:t>
      </w:r>
    </w:p>
    <w:p w14:paraId="4D96B473">
      <w:pPr>
        <w:numPr>
          <w:ilvl w:val="-1"/>
          <w:numId w:val="0"/>
        </w:numPr>
        <w:autoSpaceDE w:val="0"/>
        <w:autoSpaceDN w:val="0"/>
        <w:adjustRightInd w:val="0"/>
        <w:snapToGrid w:val="0"/>
        <w:spacing w:before="0" w:line="400" w:lineRule="exact"/>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 xml:space="preserve">22. </w:t>
      </w:r>
      <w:r>
        <w:rPr>
          <w:rFonts w:hint="eastAsia" w:ascii="宋体" w:hAnsi="宋体" w:eastAsia="宋体" w:cs="宋体"/>
          <w:b/>
          <w:color w:val="auto"/>
          <w:sz w:val="21"/>
          <w:szCs w:val="21"/>
          <w:highlight w:val="none"/>
        </w:rPr>
        <w:t>通知</w:t>
      </w:r>
    </w:p>
    <w:p w14:paraId="02B583B6">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22.1 本合同任何一方向对方发出的通知、信件、数据电文等，应当发送至本合同第一部分《政府采购合同协议书》所约定的通讯地址、联系人、联系电话或电子邮箱。</w:t>
      </w:r>
    </w:p>
    <w:p w14:paraId="62217161">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22.2 一方当事人变更名称、住所、联系人、联系电话或电子邮箱等信息的，应当在变更后3日内及时书面通知对方，对方实际收到变更通知前的送达仍为有效送达。</w:t>
      </w:r>
    </w:p>
    <w:p w14:paraId="6F20297A">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22.3本合同一方给另一方的通知均应采用书面形式，传真或快递送到本合</w:t>
      </w:r>
      <w:r>
        <w:rPr>
          <w:rFonts w:hint="eastAsia" w:ascii="宋体" w:hAnsi="宋体" w:eastAsia="宋体" w:cs="宋体"/>
          <w:color w:val="auto"/>
          <w:sz w:val="21"/>
          <w:szCs w:val="21"/>
          <w:highlight w:val="none"/>
        </w:rPr>
        <w:t>同中规定的对方的地址和办理签收手续。</w:t>
      </w:r>
    </w:p>
    <w:p w14:paraId="4579FC6E">
      <w:pPr>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通知以送达之日或通知书中规定的生效之日起生效，两者中以较迟之日为准。</w:t>
      </w:r>
    </w:p>
    <w:p w14:paraId="4A5EC7F9">
      <w:pPr>
        <w:numPr>
          <w:ilvl w:val="0"/>
          <w:numId w:val="18"/>
        </w:numPr>
        <w:adjustRightInd w:val="0"/>
        <w:snapToGrid w:val="0"/>
        <w:spacing w:before="0" w:line="400" w:lineRule="exact"/>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合同未尽事项</w:t>
      </w:r>
    </w:p>
    <w:p w14:paraId="1776E49F">
      <w:pPr>
        <w:adjustRightInd w:val="0"/>
        <w:snapToGrid w:val="0"/>
        <w:spacing w:before="0" w:line="400" w:lineRule="exact"/>
        <w:ind w:firstLine="420" w:firstLineChars="20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w:t>
      </w:r>
      <w:r>
        <w:rPr>
          <w:rFonts w:hint="eastAsia" w:ascii="宋体" w:hAnsi="宋体" w:eastAsia="宋体" w:cs="宋体"/>
          <w:bCs/>
          <w:color w:val="auto"/>
          <w:sz w:val="21"/>
          <w:szCs w:val="21"/>
          <w:highlight w:val="none"/>
          <w:lang w:val="en-US" w:eastAsia="zh-CN"/>
        </w:rPr>
        <w:t>3</w:t>
      </w:r>
      <w:r>
        <w:rPr>
          <w:rFonts w:hint="eastAsia" w:ascii="宋体" w:hAnsi="宋体" w:eastAsia="宋体" w:cs="宋体"/>
          <w:bCs/>
          <w:color w:val="auto"/>
          <w:sz w:val="21"/>
          <w:szCs w:val="21"/>
          <w:highlight w:val="none"/>
        </w:rPr>
        <w:t>.1合同未尽事项见</w:t>
      </w:r>
      <w:r>
        <w:rPr>
          <w:rFonts w:hint="eastAsia" w:ascii="宋体" w:hAnsi="宋体" w:eastAsia="宋体" w:cs="宋体"/>
          <w:b/>
          <w:color w:val="auto"/>
          <w:sz w:val="21"/>
          <w:szCs w:val="21"/>
          <w:highlight w:val="none"/>
        </w:rPr>
        <w:t>【政府采购合同专用条款】</w:t>
      </w:r>
      <w:r>
        <w:rPr>
          <w:rFonts w:hint="eastAsia" w:ascii="宋体" w:hAnsi="宋体" w:eastAsia="宋体" w:cs="宋体"/>
          <w:bCs/>
          <w:color w:val="auto"/>
          <w:sz w:val="21"/>
          <w:szCs w:val="21"/>
          <w:highlight w:val="none"/>
        </w:rPr>
        <w:t>。</w:t>
      </w:r>
    </w:p>
    <w:p w14:paraId="332543E9">
      <w:pPr>
        <w:adjustRightInd w:val="0"/>
        <w:snapToGrid w:val="0"/>
        <w:spacing w:line="400" w:lineRule="exact"/>
        <w:ind w:firstLine="0" w:firstLineChars="0"/>
        <w:jc w:val="left"/>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lang w:val="en-US" w:eastAsia="zh-CN"/>
        </w:rPr>
        <w:t xml:space="preserve">    23.2 合同附件与合同正文具有同等的法律效力。</w:t>
      </w:r>
      <w:bookmarkStart w:id="328" w:name="_Toc20313"/>
    </w:p>
    <w:p w14:paraId="7C5346BC">
      <w:pPr>
        <w:adjustRightInd w:val="0"/>
        <w:snapToGrid w:val="0"/>
        <w:jc w:val="center"/>
        <w:rPr>
          <w:rFonts w:hint="eastAsia" w:ascii="黑体" w:hAnsi="华文中宋" w:eastAsia="黑体"/>
          <w:b w:val="0"/>
          <w:bCs w:val="0"/>
          <w:color w:val="auto"/>
          <w:sz w:val="28"/>
          <w:szCs w:val="28"/>
          <w:highlight w:val="none"/>
        </w:rPr>
      </w:pPr>
      <w:r>
        <w:rPr>
          <w:rFonts w:hint="eastAsia" w:ascii="黑体" w:hAnsi="华文中宋" w:eastAsia="黑体"/>
          <w:b w:val="0"/>
          <w:bCs w:val="0"/>
          <w:color w:val="auto"/>
          <w:sz w:val="28"/>
          <w:szCs w:val="28"/>
          <w:highlight w:val="none"/>
        </w:rPr>
        <w:br w:type="page"/>
      </w:r>
    </w:p>
    <w:p w14:paraId="3F5074B6">
      <w:pPr>
        <w:pStyle w:val="3"/>
        <w:keepNext/>
        <w:keepLines/>
        <w:pageBreakBefore w:val="0"/>
        <w:widowControl w:val="0"/>
        <w:kinsoku/>
        <w:wordWrap/>
        <w:overflowPunct/>
        <w:topLinePunct w:val="0"/>
        <w:autoSpaceDE/>
        <w:autoSpaceDN/>
        <w:bidi w:val="0"/>
        <w:adjustRightInd w:val="0"/>
        <w:snapToGrid w:val="0"/>
        <w:spacing w:before="156" w:beforeLines="50" w:after="157" w:afterLines="50" w:line="240" w:lineRule="auto"/>
        <w:jc w:val="center"/>
        <w:textAlignment w:val="auto"/>
        <w:rPr>
          <w:rFonts w:hint="eastAsia" w:ascii="宋体" w:hAnsi="宋体" w:eastAsia="宋体" w:cs="宋体"/>
          <w:b/>
          <w:bCs/>
          <w:color w:val="auto"/>
          <w:sz w:val="36"/>
          <w:szCs w:val="36"/>
          <w:highlight w:val="none"/>
        </w:rPr>
      </w:pPr>
      <w:bookmarkStart w:id="329" w:name="_Toc6508"/>
      <w:bookmarkStart w:id="330" w:name="_Toc15974"/>
      <w:r>
        <w:rPr>
          <w:rFonts w:hint="eastAsia" w:ascii="宋体" w:hAnsi="宋体" w:eastAsia="宋体" w:cs="宋体"/>
          <w:b/>
          <w:bCs/>
          <w:color w:val="auto"/>
          <w:sz w:val="36"/>
          <w:szCs w:val="36"/>
          <w:highlight w:val="none"/>
        </w:rPr>
        <w:t>第三节 政府采购合同专用条款</w:t>
      </w:r>
      <w:bookmarkEnd w:id="328"/>
      <w:bookmarkEnd w:id="329"/>
      <w:bookmarkEnd w:id="330"/>
    </w:p>
    <w:tbl>
      <w:tblPr>
        <w:tblStyle w:val="30"/>
        <w:tblW w:w="8256" w:type="dxa"/>
        <w:tblInd w:w="272"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707"/>
        <w:gridCol w:w="2233"/>
        <w:gridCol w:w="4316"/>
      </w:tblGrid>
      <w:tr w14:paraId="2675072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707" w:type="dxa"/>
            <w:vAlign w:val="center"/>
          </w:tcPr>
          <w:p w14:paraId="2DB7081F">
            <w:pPr>
              <w:keepNext w:val="0"/>
              <w:keepLines w:val="0"/>
              <w:pageBreakBefore w:val="0"/>
              <w:kinsoku/>
              <w:wordWrap/>
              <w:overflowPunct/>
              <w:topLinePunct w:val="0"/>
              <w:bidi w:val="0"/>
              <w:adjustRightInd w:val="0"/>
              <w:snapToGrid w:val="0"/>
              <w:spacing w:line="240" w:lineRule="auto"/>
              <w:jc w:val="center"/>
              <w:textAlignment w:val="auto"/>
              <w:rPr>
                <w:rFonts w:ascii="宋体" w:hAnsi="宋体"/>
                <w:color w:val="auto"/>
                <w:szCs w:val="21"/>
                <w:highlight w:val="none"/>
              </w:rPr>
            </w:pPr>
            <w:r>
              <w:rPr>
                <w:rFonts w:hint="eastAsia" w:ascii="宋体" w:hAnsi="宋体"/>
                <w:color w:val="auto"/>
                <w:szCs w:val="21"/>
                <w:highlight w:val="none"/>
              </w:rPr>
              <w:t>第二节</w:t>
            </w:r>
          </w:p>
          <w:p w14:paraId="0EADDA0F">
            <w:pPr>
              <w:keepNext w:val="0"/>
              <w:keepLines w:val="0"/>
              <w:pageBreakBefore w:val="0"/>
              <w:kinsoku/>
              <w:wordWrap/>
              <w:overflowPunct/>
              <w:topLinePunct w:val="0"/>
              <w:bidi w:val="0"/>
              <w:adjustRightInd w:val="0"/>
              <w:snapToGrid w:val="0"/>
              <w:spacing w:line="240" w:lineRule="auto"/>
              <w:jc w:val="center"/>
              <w:textAlignment w:val="auto"/>
              <w:rPr>
                <w:rFonts w:ascii="宋体" w:hAnsi="宋体"/>
                <w:color w:val="auto"/>
                <w:szCs w:val="21"/>
                <w:highlight w:val="none"/>
              </w:rPr>
            </w:pPr>
            <w:r>
              <w:rPr>
                <w:rFonts w:hint="eastAsia" w:ascii="宋体" w:hAnsi="宋体"/>
                <w:color w:val="auto"/>
                <w:szCs w:val="21"/>
                <w:highlight w:val="none"/>
              </w:rPr>
              <w:t>第1.2（</w:t>
            </w:r>
            <w:r>
              <w:rPr>
                <w:rFonts w:hint="eastAsia" w:ascii="宋体" w:hAnsi="宋体"/>
                <w:color w:val="auto"/>
                <w:szCs w:val="21"/>
                <w:highlight w:val="none"/>
                <w:lang w:val="en-US" w:eastAsia="zh-CN"/>
              </w:rPr>
              <w:t>6</w:t>
            </w:r>
            <w:r>
              <w:rPr>
                <w:rFonts w:hint="eastAsia" w:ascii="宋体" w:hAnsi="宋体"/>
                <w:color w:val="auto"/>
                <w:szCs w:val="21"/>
                <w:highlight w:val="none"/>
              </w:rPr>
              <w:t>）项</w:t>
            </w:r>
          </w:p>
        </w:tc>
        <w:tc>
          <w:tcPr>
            <w:tcW w:w="2233" w:type="dxa"/>
            <w:vAlign w:val="center"/>
          </w:tcPr>
          <w:p w14:paraId="5FE396F1">
            <w:pPr>
              <w:keepNext w:val="0"/>
              <w:keepLines w:val="0"/>
              <w:pageBreakBefore w:val="0"/>
              <w:kinsoku/>
              <w:wordWrap/>
              <w:overflowPunct/>
              <w:topLinePunct w:val="0"/>
              <w:bidi w:val="0"/>
              <w:adjustRightInd w:val="0"/>
              <w:snapToGrid w:val="0"/>
              <w:spacing w:line="240" w:lineRule="auto"/>
              <w:jc w:val="left"/>
              <w:textAlignment w:val="auto"/>
              <w:rPr>
                <w:rFonts w:ascii="宋体" w:hAnsi="宋体"/>
                <w:color w:val="auto"/>
                <w:szCs w:val="21"/>
                <w:highlight w:val="none"/>
              </w:rPr>
            </w:pPr>
            <w:r>
              <w:rPr>
                <w:rFonts w:hint="eastAsia" w:ascii="宋体" w:hAnsi="宋体"/>
                <w:color w:val="auto"/>
                <w:szCs w:val="21"/>
                <w:highlight w:val="none"/>
                <w:lang w:eastAsia="zh-CN"/>
              </w:rPr>
              <w:t>联合体具体要求</w:t>
            </w:r>
          </w:p>
        </w:tc>
        <w:tc>
          <w:tcPr>
            <w:tcW w:w="4316" w:type="dxa"/>
            <w:vAlign w:val="center"/>
          </w:tcPr>
          <w:p w14:paraId="0CAEE7E4">
            <w:pPr>
              <w:adjustRightInd w:val="0"/>
              <w:snapToGrid w:val="0"/>
              <w:jc w:val="left"/>
              <w:rPr>
                <w:rFonts w:ascii="宋体" w:hAnsi="宋体"/>
                <w:color w:val="auto"/>
                <w:szCs w:val="21"/>
                <w:highlight w:val="none"/>
              </w:rPr>
            </w:pPr>
          </w:p>
        </w:tc>
      </w:tr>
      <w:tr w14:paraId="02A6B47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707" w:type="dxa"/>
            <w:vAlign w:val="center"/>
          </w:tcPr>
          <w:p w14:paraId="173F44F4">
            <w:pPr>
              <w:keepNext w:val="0"/>
              <w:keepLines w:val="0"/>
              <w:pageBreakBefore w:val="0"/>
              <w:kinsoku/>
              <w:wordWrap/>
              <w:overflowPunct/>
              <w:topLinePunct w:val="0"/>
              <w:bidi w:val="0"/>
              <w:adjustRightInd w:val="0"/>
              <w:snapToGrid w:val="0"/>
              <w:spacing w:line="240" w:lineRule="auto"/>
              <w:jc w:val="center"/>
              <w:textAlignment w:val="auto"/>
              <w:rPr>
                <w:rFonts w:ascii="宋体" w:hAnsi="宋体"/>
                <w:color w:val="auto"/>
                <w:szCs w:val="21"/>
                <w:highlight w:val="none"/>
              </w:rPr>
            </w:pPr>
            <w:r>
              <w:rPr>
                <w:rFonts w:hint="eastAsia" w:ascii="宋体" w:hAnsi="宋体"/>
                <w:color w:val="auto"/>
                <w:szCs w:val="21"/>
                <w:highlight w:val="none"/>
              </w:rPr>
              <w:t>第二节</w:t>
            </w:r>
          </w:p>
          <w:p w14:paraId="4098608A">
            <w:pPr>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第1.2（</w:t>
            </w:r>
            <w:r>
              <w:rPr>
                <w:rFonts w:hint="eastAsia" w:ascii="宋体" w:hAnsi="宋体"/>
                <w:color w:val="auto"/>
                <w:szCs w:val="21"/>
                <w:highlight w:val="none"/>
                <w:lang w:val="en-US" w:eastAsia="zh-CN"/>
              </w:rPr>
              <w:t>7</w:t>
            </w:r>
            <w:r>
              <w:rPr>
                <w:rFonts w:hint="eastAsia" w:ascii="宋体" w:hAnsi="宋体"/>
                <w:color w:val="auto"/>
                <w:szCs w:val="21"/>
                <w:highlight w:val="none"/>
              </w:rPr>
              <w:t>）项</w:t>
            </w:r>
          </w:p>
        </w:tc>
        <w:tc>
          <w:tcPr>
            <w:tcW w:w="2233" w:type="dxa"/>
            <w:vAlign w:val="center"/>
          </w:tcPr>
          <w:p w14:paraId="2ECD481F">
            <w:pPr>
              <w:keepNext w:val="0"/>
              <w:keepLines w:val="0"/>
              <w:pageBreakBefore w:val="0"/>
              <w:kinsoku/>
              <w:wordWrap/>
              <w:overflowPunct/>
              <w:topLinePunct w:val="0"/>
              <w:bidi w:val="0"/>
              <w:adjustRightInd w:val="0"/>
              <w:snapToGrid w:val="0"/>
              <w:spacing w:line="240" w:lineRule="auto"/>
              <w:jc w:val="left"/>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其他术语解释</w:t>
            </w:r>
          </w:p>
        </w:tc>
        <w:tc>
          <w:tcPr>
            <w:tcW w:w="4316" w:type="dxa"/>
            <w:vAlign w:val="center"/>
          </w:tcPr>
          <w:p w14:paraId="0BD8D8FD">
            <w:pPr>
              <w:adjustRightInd w:val="0"/>
              <w:snapToGrid w:val="0"/>
              <w:jc w:val="left"/>
              <w:rPr>
                <w:rFonts w:ascii="宋体" w:hAnsi="宋体" w:eastAsia="宋体" w:cs="Times New Roman"/>
                <w:color w:val="auto"/>
                <w:kern w:val="2"/>
                <w:sz w:val="21"/>
                <w:szCs w:val="21"/>
                <w:highlight w:val="none"/>
                <w:lang w:val="en-US" w:eastAsia="zh-CN" w:bidi="ar-SA"/>
              </w:rPr>
            </w:pPr>
          </w:p>
        </w:tc>
      </w:tr>
      <w:tr w14:paraId="2FFA10A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707" w:type="dxa"/>
            <w:vAlign w:val="center"/>
          </w:tcPr>
          <w:p w14:paraId="53AB415E">
            <w:pPr>
              <w:keepNext w:val="0"/>
              <w:keepLines w:val="0"/>
              <w:pageBreakBefore w:val="0"/>
              <w:kinsoku/>
              <w:wordWrap/>
              <w:overflowPunct/>
              <w:topLinePunct w:val="0"/>
              <w:bidi w:val="0"/>
              <w:adjustRightInd w:val="0"/>
              <w:snapToGrid w:val="0"/>
              <w:spacing w:line="240" w:lineRule="auto"/>
              <w:jc w:val="center"/>
              <w:textAlignment w:val="auto"/>
              <w:rPr>
                <w:rFonts w:ascii="宋体" w:hAnsi="宋体"/>
                <w:color w:val="auto"/>
                <w:szCs w:val="21"/>
                <w:highlight w:val="none"/>
              </w:rPr>
            </w:pPr>
            <w:r>
              <w:rPr>
                <w:rFonts w:hint="eastAsia" w:ascii="宋体" w:hAnsi="宋体"/>
                <w:color w:val="auto"/>
                <w:szCs w:val="21"/>
                <w:highlight w:val="none"/>
              </w:rPr>
              <w:t>第二节</w:t>
            </w:r>
          </w:p>
          <w:p w14:paraId="1E31FC3E">
            <w:pPr>
              <w:keepNext w:val="0"/>
              <w:keepLines w:val="0"/>
              <w:pageBreakBefore w:val="0"/>
              <w:kinsoku/>
              <w:wordWrap/>
              <w:overflowPunct/>
              <w:topLinePunct w:val="0"/>
              <w:bidi w:val="0"/>
              <w:adjustRightInd w:val="0"/>
              <w:snapToGrid w:val="0"/>
              <w:spacing w:line="240" w:lineRule="auto"/>
              <w:jc w:val="center"/>
              <w:textAlignment w:val="auto"/>
              <w:rPr>
                <w:rFonts w:hint="default" w:ascii="宋体" w:hAnsi="宋体" w:eastAsia="宋体"/>
                <w:color w:val="auto"/>
                <w:szCs w:val="21"/>
                <w:highlight w:val="none"/>
                <w:lang w:val="en-US" w:eastAsia="zh-CN"/>
              </w:rPr>
            </w:pPr>
            <w:r>
              <w:rPr>
                <w:rFonts w:hint="eastAsia" w:ascii="宋体" w:hAnsi="宋体"/>
                <w:color w:val="auto"/>
                <w:szCs w:val="21"/>
                <w:highlight w:val="none"/>
                <w:lang w:eastAsia="zh-CN"/>
              </w:rPr>
              <w:t>第</w:t>
            </w:r>
            <w:r>
              <w:rPr>
                <w:rFonts w:hint="eastAsia" w:ascii="宋体" w:hAnsi="宋体"/>
                <w:color w:val="auto"/>
                <w:szCs w:val="21"/>
                <w:highlight w:val="none"/>
                <w:lang w:val="en-US" w:eastAsia="zh-CN"/>
              </w:rPr>
              <w:t>4.4款</w:t>
            </w:r>
          </w:p>
        </w:tc>
        <w:tc>
          <w:tcPr>
            <w:tcW w:w="2233" w:type="dxa"/>
            <w:vAlign w:val="center"/>
          </w:tcPr>
          <w:p w14:paraId="4F86094C">
            <w:pPr>
              <w:keepNext w:val="0"/>
              <w:keepLines w:val="0"/>
              <w:pageBreakBefore w:val="0"/>
              <w:kinsoku/>
              <w:wordWrap/>
              <w:overflowPunct/>
              <w:topLinePunct w:val="0"/>
              <w:bidi w:val="0"/>
              <w:adjustRightInd w:val="0"/>
              <w:snapToGrid w:val="0"/>
              <w:spacing w:line="240" w:lineRule="auto"/>
              <w:jc w:val="left"/>
              <w:textAlignment w:val="auto"/>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履约验收中甲方提出异议或作出说明的期限</w:t>
            </w:r>
          </w:p>
        </w:tc>
        <w:tc>
          <w:tcPr>
            <w:tcW w:w="4316" w:type="dxa"/>
            <w:vAlign w:val="center"/>
          </w:tcPr>
          <w:p w14:paraId="237B690C">
            <w:pPr>
              <w:adjustRightInd w:val="0"/>
              <w:snapToGrid w:val="0"/>
              <w:jc w:val="left"/>
              <w:rPr>
                <w:rFonts w:ascii="宋体" w:hAnsi="宋体" w:eastAsia="宋体" w:cs="Times New Roman"/>
                <w:color w:val="auto"/>
                <w:kern w:val="2"/>
                <w:sz w:val="21"/>
                <w:szCs w:val="21"/>
                <w:highlight w:val="none"/>
                <w:lang w:val="en-US" w:eastAsia="zh-CN" w:bidi="ar-SA"/>
              </w:rPr>
            </w:pPr>
          </w:p>
        </w:tc>
      </w:tr>
      <w:tr w14:paraId="6321528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707" w:type="dxa"/>
            <w:vAlign w:val="center"/>
          </w:tcPr>
          <w:p w14:paraId="7A9DB471">
            <w:pPr>
              <w:keepNext w:val="0"/>
              <w:keepLines w:val="0"/>
              <w:pageBreakBefore w:val="0"/>
              <w:kinsoku/>
              <w:wordWrap/>
              <w:overflowPunct/>
              <w:topLinePunct w:val="0"/>
              <w:bidi w:val="0"/>
              <w:adjustRightInd w:val="0"/>
              <w:snapToGrid w:val="0"/>
              <w:spacing w:line="240" w:lineRule="auto"/>
              <w:jc w:val="center"/>
              <w:textAlignment w:val="auto"/>
              <w:rPr>
                <w:rFonts w:ascii="宋体" w:hAnsi="宋体"/>
                <w:color w:val="auto"/>
                <w:szCs w:val="21"/>
                <w:highlight w:val="none"/>
              </w:rPr>
            </w:pPr>
            <w:r>
              <w:rPr>
                <w:rFonts w:hint="eastAsia" w:ascii="宋体" w:hAnsi="宋体"/>
                <w:color w:val="auto"/>
                <w:szCs w:val="21"/>
                <w:highlight w:val="none"/>
              </w:rPr>
              <w:t>第二节</w:t>
            </w:r>
          </w:p>
          <w:p w14:paraId="675BCC22">
            <w:pPr>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color w:val="auto"/>
                <w:szCs w:val="21"/>
                <w:highlight w:val="none"/>
              </w:rPr>
            </w:pPr>
            <w:r>
              <w:rPr>
                <w:rFonts w:hint="eastAsia" w:ascii="宋体" w:hAnsi="宋体"/>
                <w:color w:val="auto"/>
                <w:szCs w:val="21"/>
                <w:highlight w:val="none"/>
                <w:lang w:eastAsia="zh-CN"/>
              </w:rPr>
              <w:t>第</w:t>
            </w:r>
            <w:r>
              <w:rPr>
                <w:rFonts w:hint="eastAsia" w:ascii="宋体" w:hAnsi="宋体"/>
                <w:color w:val="auto"/>
                <w:szCs w:val="21"/>
                <w:highlight w:val="none"/>
                <w:lang w:val="en-US" w:eastAsia="zh-CN"/>
              </w:rPr>
              <w:t>4.6款</w:t>
            </w:r>
          </w:p>
        </w:tc>
        <w:tc>
          <w:tcPr>
            <w:tcW w:w="2233" w:type="dxa"/>
            <w:vAlign w:val="center"/>
          </w:tcPr>
          <w:p w14:paraId="5DF6184D">
            <w:pPr>
              <w:keepNext w:val="0"/>
              <w:keepLines w:val="0"/>
              <w:pageBreakBefore w:val="0"/>
              <w:kinsoku/>
              <w:wordWrap/>
              <w:overflowPunct/>
              <w:topLinePunct w:val="0"/>
              <w:bidi w:val="0"/>
              <w:adjustRightInd w:val="0"/>
              <w:snapToGrid w:val="0"/>
              <w:spacing w:line="240" w:lineRule="auto"/>
              <w:jc w:val="left"/>
              <w:textAlignment w:val="auto"/>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约定甲方承担的其他义务和责任</w:t>
            </w:r>
          </w:p>
        </w:tc>
        <w:tc>
          <w:tcPr>
            <w:tcW w:w="4316" w:type="dxa"/>
            <w:vAlign w:val="center"/>
          </w:tcPr>
          <w:p w14:paraId="5B558C36">
            <w:pPr>
              <w:adjustRightInd w:val="0"/>
              <w:snapToGrid w:val="0"/>
              <w:jc w:val="left"/>
              <w:rPr>
                <w:rFonts w:ascii="宋体" w:hAnsi="宋体" w:eastAsia="宋体" w:cs="Times New Roman"/>
                <w:color w:val="auto"/>
                <w:kern w:val="2"/>
                <w:sz w:val="21"/>
                <w:szCs w:val="21"/>
                <w:highlight w:val="none"/>
                <w:lang w:val="en-US" w:eastAsia="zh-CN" w:bidi="ar-SA"/>
              </w:rPr>
            </w:pPr>
          </w:p>
        </w:tc>
      </w:tr>
      <w:tr w14:paraId="58E9226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707" w:type="dxa"/>
            <w:vAlign w:val="center"/>
          </w:tcPr>
          <w:p w14:paraId="1FC7872C">
            <w:pPr>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color w:val="auto"/>
                <w:szCs w:val="21"/>
                <w:highlight w:val="none"/>
                <w:lang w:eastAsia="zh-CN"/>
              </w:rPr>
            </w:pPr>
            <w:r>
              <w:rPr>
                <w:rFonts w:hint="eastAsia" w:ascii="宋体" w:hAnsi="宋体"/>
                <w:color w:val="auto"/>
                <w:szCs w:val="21"/>
                <w:highlight w:val="none"/>
                <w:lang w:eastAsia="zh-CN"/>
              </w:rPr>
              <w:t>第二节</w:t>
            </w:r>
          </w:p>
          <w:p w14:paraId="0599EE97">
            <w:pPr>
              <w:keepNext w:val="0"/>
              <w:keepLines w:val="0"/>
              <w:pageBreakBefore w:val="0"/>
              <w:kinsoku/>
              <w:wordWrap/>
              <w:overflowPunct/>
              <w:topLinePunct w:val="0"/>
              <w:bidi w:val="0"/>
              <w:snapToGrid w:val="0"/>
              <w:spacing w:line="240" w:lineRule="auto"/>
              <w:jc w:val="center"/>
              <w:textAlignment w:val="auto"/>
              <w:rPr>
                <w:rFonts w:hint="default"/>
                <w:color w:val="auto"/>
                <w:highlight w:val="none"/>
                <w:lang w:val="en-US" w:eastAsia="zh-CN"/>
              </w:rPr>
            </w:pPr>
            <w:r>
              <w:rPr>
                <w:rFonts w:hint="eastAsia" w:ascii="宋体" w:hAnsi="宋体"/>
                <w:color w:val="auto"/>
                <w:szCs w:val="21"/>
                <w:highlight w:val="none"/>
                <w:lang w:eastAsia="zh-CN"/>
              </w:rPr>
              <w:t>第</w:t>
            </w:r>
            <w:r>
              <w:rPr>
                <w:rFonts w:hint="eastAsia" w:ascii="宋体" w:hAnsi="宋体"/>
                <w:color w:val="auto"/>
                <w:szCs w:val="21"/>
                <w:highlight w:val="none"/>
                <w:lang w:val="en-US" w:eastAsia="zh-CN"/>
              </w:rPr>
              <w:t>5.4款</w:t>
            </w:r>
          </w:p>
        </w:tc>
        <w:tc>
          <w:tcPr>
            <w:tcW w:w="2233" w:type="dxa"/>
            <w:vAlign w:val="center"/>
          </w:tcPr>
          <w:p w14:paraId="4D94B515">
            <w:pPr>
              <w:keepNext w:val="0"/>
              <w:keepLines w:val="0"/>
              <w:pageBreakBefore w:val="0"/>
              <w:kinsoku/>
              <w:wordWrap/>
              <w:overflowPunct/>
              <w:topLinePunct w:val="0"/>
              <w:bidi w:val="0"/>
              <w:adjustRightInd w:val="0"/>
              <w:snapToGrid w:val="0"/>
              <w:spacing w:line="240" w:lineRule="auto"/>
              <w:jc w:val="left"/>
              <w:textAlignment w:val="auto"/>
              <w:rPr>
                <w:rFonts w:hint="eastAsia" w:ascii="宋体" w:hAnsi="宋体"/>
                <w:color w:val="auto"/>
                <w:szCs w:val="21"/>
                <w:highlight w:val="none"/>
                <w:lang w:eastAsia="zh-CN"/>
              </w:rPr>
            </w:pPr>
            <w:r>
              <w:rPr>
                <w:rFonts w:hint="eastAsia" w:ascii="宋体" w:hAnsi="宋体"/>
                <w:color w:val="auto"/>
                <w:szCs w:val="21"/>
                <w:highlight w:val="none"/>
                <w:lang w:eastAsia="zh-CN"/>
              </w:rPr>
              <w:t>约定乙方承担的其他义务和责任</w:t>
            </w:r>
          </w:p>
        </w:tc>
        <w:tc>
          <w:tcPr>
            <w:tcW w:w="4316" w:type="dxa"/>
            <w:vAlign w:val="center"/>
          </w:tcPr>
          <w:p w14:paraId="1EEA1A78">
            <w:pPr>
              <w:adjustRightInd w:val="0"/>
              <w:snapToGrid w:val="0"/>
              <w:jc w:val="left"/>
              <w:rPr>
                <w:rFonts w:ascii="宋体" w:hAnsi="宋体" w:eastAsia="宋体" w:cs="Times New Roman"/>
                <w:color w:val="auto"/>
                <w:kern w:val="2"/>
                <w:sz w:val="21"/>
                <w:szCs w:val="21"/>
                <w:highlight w:val="none"/>
                <w:lang w:val="en-US" w:eastAsia="zh-CN" w:bidi="ar-SA"/>
              </w:rPr>
            </w:pPr>
          </w:p>
        </w:tc>
      </w:tr>
      <w:tr w14:paraId="2B538E3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707" w:type="dxa"/>
            <w:vAlign w:val="center"/>
          </w:tcPr>
          <w:p w14:paraId="532FAE66">
            <w:pPr>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color w:val="auto"/>
                <w:szCs w:val="21"/>
                <w:highlight w:val="none"/>
                <w:lang w:eastAsia="zh-CN"/>
              </w:rPr>
            </w:pPr>
            <w:r>
              <w:rPr>
                <w:rFonts w:hint="eastAsia" w:ascii="宋体" w:hAnsi="宋体"/>
                <w:color w:val="auto"/>
                <w:szCs w:val="21"/>
                <w:highlight w:val="none"/>
                <w:lang w:eastAsia="zh-CN"/>
              </w:rPr>
              <w:t>第二节</w:t>
            </w:r>
          </w:p>
          <w:p w14:paraId="17183B86">
            <w:pPr>
              <w:keepNext w:val="0"/>
              <w:keepLines w:val="0"/>
              <w:pageBreakBefore w:val="0"/>
              <w:kinsoku/>
              <w:wordWrap/>
              <w:overflowPunct/>
              <w:topLinePunct w:val="0"/>
              <w:bidi w:val="0"/>
              <w:snapToGrid w:val="0"/>
              <w:spacing w:line="240" w:lineRule="auto"/>
              <w:jc w:val="center"/>
              <w:textAlignment w:val="auto"/>
              <w:rPr>
                <w:rFonts w:hint="eastAsia" w:ascii="宋体" w:hAnsi="宋体"/>
                <w:color w:val="auto"/>
                <w:szCs w:val="21"/>
                <w:highlight w:val="none"/>
                <w:lang w:eastAsia="zh-CN"/>
              </w:rPr>
            </w:pPr>
            <w:r>
              <w:rPr>
                <w:rFonts w:hint="eastAsia" w:ascii="宋体" w:hAnsi="宋体"/>
                <w:color w:val="auto"/>
                <w:szCs w:val="21"/>
                <w:highlight w:val="none"/>
                <w:lang w:eastAsia="zh-CN"/>
              </w:rPr>
              <w:t>第</w:t>
            </w:r>
            <w:r>
              <w:rPr>
                <w:rFonts w:hint="eastAsia" w:ascii="宋体" w:hAnsi="宋体"/>
                <w:color w:val="auto"/>
                <w:szCs w:val="21"/>
                <w:highlight w:val="none"/>
                <w:lang w:val="en-US" w:eastAsia="zh-CN"/>
              </w:rPr>
              <w:t>6.1款</w:t>
            </w:r>
          </w:p>
        </w:tc>
        <w:tc>
          <w:tcPr>
            <w:tcW w:w="2233" w:type="dxa"/>
            <w:vAlign w:val="center"/>
          </w:tcPr>
          <w:p w14:paraId="62601F39">
            <w:pPr>
              <w:keepNext w:val="0"/>
              <w:keepLines w:val="0"/>
              <w:pageBreakBefore w:val="0"/>
              <w:kinsoku/>
              <w:wordWrap/>
              <w:overflowPunct/>
              <w:topLinePunct w:val="0"/>
              <w:bidi w:val="0"/>
              <w:adjustRightInd w:val="0"/>
              <w:snapToGrid w:val="0"/>
              <w:spacing w:line="240" w:lineRule="auto"/>
              <w:jc w:val="left"/>
              <w:textAlignment w:val="auto"/>
              <w:rPr>
                <w:rFonts w:hint="eastAsia" w:ascii="宋体" w:hAnsi="宋体"/>
                <w:color w:val="auto"/>
                <w:szCs w:val="21"/>
                <w:highlight w:val="none"/>
                <w:lang w:eastAsia="zh-CN"/>
              </w:rPr>
            </w:pPr>
            <w:r>
              <w:rPr>
                <w:rFonts w:hint="eastAsia" w:ascii="宋体" w:hAnsi="宋体"/>
                <w:color w:val="auto"/>
                <w:szCs w:val="21"/>
                <w:highlight w:val="none"/>
                <w:lang w:eastAsia="zh-CN"/>
              </w:rPr>
              <w:t>履行合同义务的顺序</w:t>
            </w:r>
          </w:p>
        </w:tc>
        <w:tc>
          <w:tcPr>
            <w:tcW w:w="4316" w:type="dxa"/>
            <w:vAlign w:val="center"/>
          </w:tcPr>
          <w:p w14:paraId="7410CCA4">
            <w:pPr>
              <w:adjustRightInd w:val="0"/>
              <w:snapToGrid w:val="0"/>
              <w:jc w:val="left"/>
              <w:rPr>
                <w:rFonts w:ascii="宋体" w:hAnsi="宋体" w:eastAsia="宋体" w:cs="Times New Roman"/>
                <w:color w:val="auto"/>
                <w:kern w:val="2"/>
                <w:sz w:val="21"/>
                <w:szCs w:val="21"/>
                <w:highlight w:val="none"/>
                <w:lang w:val="en-US" w:eastAsia="zh-CN" w:bidi="ar-SA"/>
              </w:rPr>
            </w:pPr>
          </w:p>
        </w:tc>
      </w:tr>
      <w:tr w14:paraId="32A444B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707" w:type="dxa"/>
            <w:vMerge w:val="restart"/>
            <w:vAlign w:val="center"/>
          </w:tcPr>
          <w:p w14:paraId="15DF615B">
            <w:pPr>
              <w:keepNext w:val="0"/>
              <w:keepLines w:val="0"/>
              <w:pageBreakBefore w:val="0"/>
              <w:kinsoku/>
              <w:wordWrap/>
              <w:overflowPunct/>
              <w:topLinePunct w:val="0"/>
              <w:bidi w:val="0"/>
              <w:adjustRightInd w:val="0"/>
              <w:snapToGrid w:val="0"/>
              <w:spacing w:line="240" w:lineRule="auto"/>
              <w:jc w:val="center"/>
              <w:textAlignment w:val="auto"/>
              <w:rPr>
                <w:rFonts w:ascii="宋体" w:hAnsi="宋体"/>
                <w:color w:val="auto"/>
                <w:szCs w:val="21"/>
                <w:highlight w:val="none"/>
              </w:rPr>
            </w:pPr>
            <w:r>
              <w:rPr>
                <w:rFonts w:hint="eastAsia" w:ascii="宋体" w:hAnsi="宋体"/>
                <w:color w:val="auto"/>
                <w:szCs w:val="21"/>
                <w:highlight w:val="none"/>
              </w:rPr>
              <w:t>第二节</w:t>
            </w:r>
          </w:p>
          <w:p w14:paraId="6881C524">
            <w:pPr>
              <w:keepNext w:val="0"/>
              <w:keepLines w:val="0"/>
              <w:pageBreakBefore w:val="0"/>
              <w:kinsoku/>
              <w:wordWrap/>
              <w:overflowPunct/>
              <w:topLinePunct w:val="0"/>
              <w:bidi w:val="0"/>
              <w:adjustRightInd w:val="0"/>
              <w:snapToGrid w:val="0"/>
              <w:spacing w:line="240" w:lineRule="auto"/>
              <w:jc w:val="center"/>
              <w:textAlignment w:val="auto"/>
              <w:rPr>
                <w:rFonts w:ascii="宋体" w:hAnsi="宋体"/>
                <w:color w:val="auto"/>
                <w:szCs w:val="21"/>
                <w:highlight w:val="none"/>
              </w:rPr>
            </w:pPr>
            <w:r>
              <w:rPr>
                <w:rFonts w:hint="eastAsia" w:ascii="宋体" w:hAnsi="宋体"/>
                <w:color w:val="auto"/>
                <w:szCs w:val="21"/>
                <w:highlight w:val="none"/>
              </w:rPr>
              <w:t>第</w:t>
            </w:r>
            <w:r>
              <w:rPr>
                <w:rFonts w:hint="eastAsia" w:ascii="宋体" w:hAnsi="宋体"/>
                <w:color w:val="auto"/>
                <w:szCs w:val="21"/>
                <w:highlight w:val="none"/>
                <w:lang w:val="en-US" w:eastAsia="zh-CN"/>
              </w:rPr>
              <w:t>7</w:t>
            </w:r>
            <w:r>
              <w:rPr>
                <w:rFonts w:hint="eastAsia" w:ascii="宋体" w:hAnsi="宋体"/>
                <w:color w:val="auto"/>
                <w:szCs w:val="21"/>
                <w:highlight w:val="none"/>
              </w:rPr>
              <w:t>.1</w:t>
            </w:r>
            <w:r>
              <w:rPr>
                <w:rFonts w:hint="eastAsia" w:ascii="宋体" w:hAnsi="宋体"/>
                <w:color w:val="auto"/>
                <w:szCs w:val="21"/>
                <w:highlight w:val="none"/>
                <w:lang w:val="en-US" w:eastAsia="zh-CN"/>
              </w:rPr>
              <w:t>款</w:t>
            </w:r>
          </w:p>
        </w:tc>
        <w:tc>
          <w:tcPr>
            <w:tcW w:w="2233" w:type="dxa"/>
            <w:vAlign w:val="center"/>
          </w:tcPr>
          <w:p w14:paraId="00425EE9">
            <w:pPr>
              <w:keepNext w:val="0"/>
              <w:keepLines w:val="0"/>
              <w:pageBreakBefore w:val="0"/>
              <w:kinsoku/>
              <w:wordWrap/>
              <w:overflowPunct/>
              <w:topLinePunct w:val="0"/>
              <w:bidi w:val="0"/>
              <w:adjustRightInd w:val="0"/>
              <w:snapToGrid w:val="0"/>
              <w:spacing w:line="240" w:lineRule="auto"/>
              <w:jc w:val="left"/>
              <w:textAlignment w:val="auto"/>
              <w:rPr>
                <w:rFonts w:ascii="宋体" w:hAnsi="宋体"/>
                <w:color w:val="auto"/>
                <w:szCs w:val="21"/>
                <w:highlight w:val="none"/>
              </w:rPr>
            </w:pPr>
            <w:r>
              <w:rPr>
                <w:rFonts w:hint="eastAsia" w:ascii="宋体" w:hAnsi="宋体"/>
                <w:color w:val="auto"/>
                <w:szCs w:val="21"/>
                <w:highlight w:val="none"/>
              </w:rPr>
              <w:t>包装</w:t>
            </w:r>
            <w:r>
              <w:rPr>
                <w:rFonts w:hint="eastAsia" w:ascii="宋体" w:hAnsi="宋体"/>
                <w:color w:val="auto"/>
                <w:szCs w:val="21"/>
                <w:highlight w:val="none"/>
                <w:lang w:eastAsia="zh-CN"/>
              </w:rPr>
              <w:t>特殊要求</w:t>
            </w:r>
          </w:p>
        </w:tc>
        <w:tc>
          <w:tcPr>
            <w:tcW w:w="4316" w:type="dxa"/>
            <w:vAlign w:val="center"/>
          </w:tcPr>
          <w:p w14:paraId="3694B338">
            <w:pPr>
              <w:rPr>
                <w:color w:val="auto"/>
                <w:highlight w:val="none"/>
              </w:rPr>
            </w:pPr>
          </w:p>
        </w:tc>
      </w:tr>
      <w:tr w14:paraId="6A47A39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707" w:type="dxa"/>
            <w:vMerge w:val="continue"/>
            <w:vAlign w:val="center"/>
          </w:tcPr>
          <w:p w14:paraId="7896138A">
            <w:pPr>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color w:val="auto"/>
                <w:szCs w:val="21"/>
                <w:highlight w:val="none"/>
              </w:rPr>
            </w:pPr>
          </w:p>
        </w:tc>
        <w:tc>
          <w:tcPr>
            <w:tcW w:w="2233" w:type="dxa"/>
            <w:vAlign w:val="center"/>
          </w:tcPr>
          <w:p w14:paraId="20626CAF">
            <w:pPr>
              <w:keepNext w:val="0"/>
              <w:keepLines w:val="0"/>
              <w:pageBreakBefore w:val="0"/>
              <w:kinsoku/>
              <w:wordWrap/>
              <w:overflowPunct/>
              <w:topLinePunct w:val="0"/>
              <w:bidi w:val="0"/>
              <w:adjustRightInd w:val="0"/>
              <w:snapToGrid w:val="0"/>
              <w:spacing w:line="240" w:lineRule="auto"/>
              <w:jc w:val="left"/>
              <w:textAlignment w:val="auto"/>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指定现场</w:t>
            </w:r>
          </w:p>
        </w:tc>
        <w:tc>
          <w:tcPr>
            <w:tcW w:w="4316" w:type="dxa"/>
            <w:vAlign w:val="center"/>
          </w:tcPr>
          <w:p w14:paraId="19BEE7A3">
            <w:pPr>
              <w:rPr>
                <w:rFonts w:hint="eastAsia"/>
                <w:color w:val="auto"/>
                <w:highlight w:val="none"/>
              </w:rPr>
            </w:pPr>
          </w:p>
        </w:tc>
      </w:tr>
      <w:tr w14:paraId="5A3F966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707" w:type="dxa"/>
            <w:vAlign w:val="center"/>
          </w:tcPr>
          <w:p w14:paraId="065C74FA">
            <w:pPr>
              <w:keepNext w:val="0"/>
              <w:keepLines w:val="0"/>
              <w:pageBreakBefore w:val="0"/>
              <w:kinsoku/>
              <w:wordWrap/>
              <w:overflowPunct/>
              <w:topLinePunct w:val="0"/>
              <w:bidi w:val="0"/>
              <w:adjustRightInd w:val="0"/>
              <w:snapToGrid w:val="0"/>
              <w:spacing w:line="240" w:lineRule="auto"/>
              <w:jc w:val="center"/>
              <w:textAlignment w:val="auto"/>
              <w:rPr>
                <w:rFonts w:ascii="宋体" w:hAnsi="宋体"/>
                <w:color w:val="auto"/>
                <w:szCs w:val="21"/>
                <w:highlight w:val="none"/>
              </w:rPr>
            </w:pPr>
            <w:r>
              <w:rPr>
                <w:rFonts w:hint="eastAsia" w:ascii="宋体" w:hAnsi="宋体"/>
                <w:color w:val="auto"/>
                <w:szCs w:val="21"/>
                <w:highlight w:val="none"/>
              </w:rPr>
              <w:t>第二节</w:t>
            </w:r>
          </w:p>
          <w:p w14:paraId="5690E34D">
            <w:pPr>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color w:val="auto"/>
                <w:szCs w:val="21"/>
                <w:highlight w:val="none"/>
              </w:rPr>
            </w:pPr>
            <w:r>
              <w:rPr>
                <w:rFonts w:hint="eastAsia" w:ascii="宋体" w:hAnsi="宋体"/>
                <w:color w:val="auto"/>
                <w:szCs w:val="21"/>
                <w:highlight w:val="none"/>
              </w:rPr>
              <w:t>第</w:t>
            </w:r>
            <w:r>
              <w:rPr>
                <w:rFonts w:hint="eastAsia" w:ascii="宋体" w:hAnsi="宋体"/>
                <w:color w:val="auto"/>
                <w:szCs w:val="21"/>
                <w:highlight w:val="none"/>
                <w:lang w:val="en-US" w:eastAsia="zh-CN"/>
              </w:rPr>
              <w:t>7</w:t>
            </w:r>
            <w:r>
              <w:rPr>
                <w:rFonts w:hint="eastAsia" w:ascii="宋体" w:hAnsi="宋体"/>
                <w:color w:val="auto"/>
                <w:szCs w:val="21"/>
                <w:highlight w:val="none"/>
              </w:rPr>
              <w:t>.2</w:t>
            </w:r>
            <w:r>
              <w:rPr>
                <w:rFonts w:hint="eastAsia" w:ascii="宋体" w:hAnsi="宋体"/>
                <w:color w:val="auto"/>
                <w:szCs w:val="21"/>
                <w:highlight w:val="none"/>
                <w:lang w:val="en-US" w:eastAsia="zh-CN"/>
              </w:rPr>
              <w:t>款</w:t>
            </w:r>
          </w:p>
        </w:tc>
        <w:tc>
          <w:tcPr>
            <w:tcW w:w="2233" w:type="dxa"/>
            <w:vAlign w:val="center"/>
          </w:tcPr>
          <w:p w14:paraId="04141831">
            <w:pPr>
              <w:keepNext w:val="0"/>
              <w:keepLines w:val="0"/>
              <w:pageBreakBefore w:val="0"/>
              <w:kinsoku/>
              <w:wordWrap/>
              <w:overflowPunct/>
              <w:topLinePunct w:val="0"/>
              <w:bidi w:val="0"/>
              <w:adjustRightInd w:val="0"/>
              <w:snapToGrid w:val="0"/>
              <w:spacing w:line="240" w:lineRule="auto"/>
              <w:jc w:val="left"/>
              <w:textAlignment w:val="auto"/>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运输特殊要求</w:t>
            </w:r>
          </w:p>
        </w:tc>
        <w:tc>
          <w:tcPr>
            <w:tcW w:w="4316" w:type="dxa"/>
            <w:vAlign w:val="center"/>
          </w:tcPr>
          <w:p w14:paraId="353A3E17">
            <w:pPr>
              <w:rPr>
                <w:rFonts w:hint="eastAsia"/>
                <w:color w:val="auto"/>
                <w:highlight w:val="none"/>
              </w:rPr>
            </w:pPr>
          </w:p>
        </w:tc>
      </w:tr>
      <w:tr w14:paraId="2CF6514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707" w:type="dxa"/>
            <w:vAlign w:val="center"/>
          </w:tcPr>
          <w:p w14:paraId="42E89B4D">
            <w:pPr>
              <w:keepNext w:val="0"/>
              <w:keepLines w:val="0"/>
              <w:pageBreakBefore w:val="0"/>
              <w:kinsoku/>
              <w:wordWrap/>
              <w:overflowPunct/>
              <w:topLinePunct w:val="0"/>
              <w:bidi w:val="0"/>
              <w:adjustRightInd w:val="0"/>
              <w:snapToGrid w:val="0"/>
              <w:spacing w:line="240" w:lineRule="auto"/>
              <w:jc w:val="center"/>
              <w:textAlignment w:val="auto"/>
              <w:rPr>
                <w:rFonts w:ascii="宋体" w:hAnsi="宋体"/>
                <w:color w:val="auto"/>
                <w:szCs w:val="21"/>
                <w:highlight w:val="none"/>
              </w:rPr>
            </w:pPr>
            <w:r>
              <w:rPr>
                <w:rFonts w:hint="eastAsia" w:ascii="宋体" w:hAnsi="宋体"/>
                <w:color w:val="auto"/>
                <w:szCs w:val="21"/>
                <w:highlight w:val="none"/>
              </w:rPr>
              <w:t>第二节</w:t>
            </w:r>
          </w:p>
          <w:p w14:paraId="2D65CF60">
            <w:pPr>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color w:val="auto"/>
                <w:szCs w:val="21"/>
                <w:highlight w:val="none"/>
              </w:rPr>
            </w:pPr>
            <w:r>
              <w:rPr>
                <w:rFonts w:hint="eastAsia" w:ascii="宋体" w:hAnsi="宋体"/>
                <w:color w:val="auto"/>
                <w:szCs w:val="21"/>
                <w:highlight w:val="none"/>
              </w:rPr>
              <w:t>第</w:t>
            </w:r>
            <w:r>
              <w:rPr>
                <w:rFonts w:hint="eastAsia" w:ascii="宋体" w:hAnsi="宋体"/>
                <w:color w:val="auto"/>
                <w:szCs w:val="21"/>
                <w:highlight w:val="none"/>
                <w:lang w:val="en-US" w:eastAsia="zh-CN"/>
              </w:rPr>
              <w:t>7</w:t>
            </w:r>
            <w:r>
              <w:rPr>
                <w:rFonts w:hint="eastAsia" w:ascii="宋体" w:hAnsi="宋体"/>
                <w:color w:val="auto"/>
                <w:szCs w:val="21"/>
                <w:highlight w:val="none"/>
              </w:rPr>
              <w:t>.3</w:t>
            </w:r>
            <w:r>
              <w:rPr>
                <w:rFonts w:hint="eastAsia" w:ascii="宋体" w:hAnsi="宋体"/>
                <w:color w:val="auto"/>
                <w:szCs w:val="21"/>
                <w:highlight w:val="none"/>
                <w:lang w:val="en-US" w:eastAsia="zh-CN"/>
              </w:rPr>
              <w:t>款</w:t>
            </w:r>
          </w:p>
        </w:tc>
        <w:tc>
          <w:tcPr>
            <w:tcW w:w="2233" w:type="dxa"/>
            <w:vAlign w:val="center"/>
          </w:tcPr>
          <w:p w14:paraId="75CDC4EC">
            <w:pPr>
              <w:keepNext w:val="0"/>
              <w:keepLines w:val="0"/>
              <w:pageBreakBefore w:val="0"/>
              <w:kinsoku/>
              <w:wordWrap/>
              <w:overflowPunct/>
              <w:topLinePunct w:val="0"/>
              <w:bidi w:val="0"/>
              <w:adjustRightInd w:val="0"/>
              <w:snapToGrid w:val="0"/>
              <w:spacing w:line="240" w:lineRule="auto"/>
              <w:jc w:val="left"/>
              <w:textAlignment w:val="auto"/>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保险要求</w:t>
            </w:r>
          </w:p>
        </w:tc>
        <w:tc>
          <w:tcPr>
            <w:tcW w:w="4316" w:type="dxa"/>
            <w:vAlign w:val="center"/>
          </w:tcPr>
          <w:p w14:paraId="0E9BEF29">
            <w:pPr>
              <w:rPr>
                <w:rFonts w:hint="eastAsia"/>
                <w:color w:val="auto"/>
                <w:highlight w:val="none"/>
              </w:rPr>
            </w:pPr>
          </w:p>
        </w:tc>
      </w:tr>
      <w:tr w14:paraId="1FBE243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707" w:type="dxa"/>
            <w:vAlign w:val="center"/>
          </w:tcPr>
          <w:p w14:paraId="0764B232">
            <w:pPr>
              <w:keepNext w:val="0"/>
              <w:keepLines w:val="0"/>
              <w:pageBreakBefore w:val="0"/>
              <w:kinsoku/>
              <w:wordWrap/>
              <w:overflowPunct/>
              <w:topLinePunct w:val="0"/>
              <w:bidi w:val="0"/>
              <w:adjustRightInd w:val="0"/>
              <w:snapToGrid w:val="0"/>
              <w:spacing w:line="240" w:lineRule="auto"/>
              <w:jc w:val="center"/>
              <w:textAlignment w:val="auto"/>
              <w:rPr>
                <w:rFonts w:ascii="宋体" w:hAnsi="宋体"/>
                <w:color w:val="auto"/>
                <w:szCs w:val="21"/>
                <w:highlight w:val="none"/>
              </w:rPr>
            </w:pPr>
            <w:r>
              <w:rPr>
                <w:rFonts w:hint="eastAsia" w:ascii="宋体" w:hAnsi="宋体"/>
                <w:color w:val="auto"/>
                <w:szCs w:val="21"/>
                <w:highlight w:val="none"/>
              </w:rPr>
              <w:t>第二节</w:t>
            </w:r>
          </w:p>
          <w:p w14:paraId="4A611543">
            <w:pPr>
              <w:keepNext w:val="0"/>
              <w:keepLines w:val="0"/>
              <w:pageBreakBefore w:val="0"/>
              <w:kinsoku/>
              <w:wordWrap/>
              <w:overflowPunct/>
              <w:topLinePunct w:val="0"/>
              <w:bidi w:val="0"/>
              <w:adjustRightInd w:val="0"/>
              <w:snapToGrid w:val="0"/>
              <w:spacing w:line="240" w:lineRule="auto"/>
              <w:jc w:val="center"/>
              <w:textAlignment w:val="auto"/>
              <w:rPr>
                <w:rFonts w:ascii="宋体" w:hAnsi="宋体"/>
                <w:color w:val="auto"/>
                <w:szCs w:val="21"/>
                <w:highlight w:val="none"/>
              </w:rPr>
            </w:pPr>
            <w:r>
              <w:rPr>
                <w:rFonts w:hint="eastAsia" w:ascii="宋体" w:hAnsi="宋体"/>
                <w:color w:val="auto"/>
                <w:szCs w:val="21"/>
                <w:highlight w:val="none"/>
              </w:rPr>
              <w:t>第</w:t>
            </w:r>
            <w:r>
              <w:rPr>
                <w:rFonts w:hint="eastAsia" w:ascii="宋体" w:hAnsi="宋体"/>
                <w:color w:val="auto"/>
                <w:szCs w:val="21"/>
                <w:highlight w:val="none"/>
                <w:lang w:val="en-US" w:eastAsia="zh-CN"/>
              </w:rPr>
              <w:t>8</w:t>
            </w:r>
            <w:r>
              <w:rPr>
                <w:rFonts w:hint="eastAsia" w:ascii="宋体" w:hAnsi="宋体"/>
                <w:color w:val="auto"/>
                <w:szCs w:val="21"/>
                <w:highlight w:val="none"/>
              </w:rPr>
              <w:t>.2（1）项</w:t>
            </w:r>
          </w:p>
        </w:tc>
        <w:tc>
          <w:tcPr>
            <w:tcW w:w="2233" w:type="dxa"/>
            <w:vAlign w:val="center"/>
          </w:tcPr>
          <w:p w14:paraId="3392AF86">
            <w:pPr>
              <w:keepNext w:val="0"/>
              <w:keepLines w:val="0"/>
              <w:pageBreakBefore w:val="0"/>
              <w:kinsoku/>
              <w:wordWrap/>
              <w:overflowPunct/>
              <w:topLinePunct w:val="0"/>
              <w:bidi w:val="0"/>
              <w:adjustRightInd w:val="0"/>
              <w:snapToGrid w:val="0"/>
              <w:spacing w:line="240" w:lineRule="auto"/>
              <w:jc w:val="left"/>
              <w:textAlignment w:val="auto"/>
              <w:rPr>
                <w:rFonts w:ascii="宋体" w:hAnsi="宋体"/>
                <w:color w:val="auto"/>
                <w:szCs w:val="21"/>
                <w:highlight w:val="none"/>
              </w:rPr>
            </w:pPr>
            <w:r>
              <w:rPr>
                <w:rFonts w:hint="eastAsia" w:ascii="宋体" w:hAnsi="宋体"/>
                <w:color w:val="auto"/>
                <w:szCs w:val="21"/>
                <w:highlight w:val="none"/>
              </w:rPr>
              <w:t>质量保证期</w:t>
            </w:r>
          </w:p>
        </w:tc>
        <w:tc>
          <w:tcPr>
            <w:tcW w:w="4316" w:type="dxa"/>
            <w:vAlign w:val="center"/>
          </w:tcPr>
          <w:p w14:paraId="74113B72">
            <w:pPr>
              <w:autoSpaceDE w:val="0"/>
              <w:autoSpaceDN w:val="0"/>
              <w:adjustRightInd w:val="0"/>
              <w:snapToGrid w:val="0"/>
              <w:ind w:firstLine="480" w:firstLineChars="200"/>
              <w:jc w:val="left"/>
              <w:rPr>
                <w:rFonts w:ascii="宋体" w:hAnsi="宋体"/>
                <w:color w:val="auto"/>
                <w:szCs w:val="21"/>
                <w:highlight w:val="none"/>
              </w:rPr>
            </w:pPr>
          </w:p>
        </w:tc>
      </w:tr>
      <w:tr w14:paraId="4A7F954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707" w:type="dxa"/>
            <w:vAlign w:val="center"/>
          </w:tcPr>
          <w:p w14:paraId="4CD74A73">
            <w:pPr>
              <w:keepNext w:val="0"/>
              <w:keepLines w:val="0"/>
              <w:pageBreakBefore w:val="0"/>
              <w:kinsoku/>
              <w:wordWrap/>
              <w:overflowPunct/>
              <w:topLinePunct w:val="0"/>
              <w:bidi w:val="0"/>
              <w:adjustRightInd w:val="0"/>
              <w:snapToGrid w:val="0"/>
              <w:spacing w:line="240" w:lineRule="auto"/>
              <w:jc w:val="center"/>
              <w:textAlignment w:val="auto"/>
              <w:rPr>
                <w:rFonts w:ascii="宋体" w:hAnsi="宋体"/>
                <w:color w:val="auto"/>
                <w:szCs w:val="21"/>
                <w:highlight w:val="none"/>
              </w:rPr>
            </w:pPr>
            <w:r>
              <w:rPr>
                <w:rFonts w:hint="eastAsia" w:ascii="宋体" w:hAnsi="宋体"/>
                <w:color w:val="auto"/>
                <w:szCs w:val="21"/>
                <w:highlight w:val="none"/>
              </w:rPr>
              <w:t>第二节</w:t>
            </w:r>
          </w:p>
          <w:p w14:paraId="41064226">
            <w:pPr>
              <w:keepNext w:val="0"/>
              <w:keepLines w:val="0"/>
              <w:pageBreakBefore w:val="0"/>
              <w:kinsoku/>
              <w:wordWrap/>
              <w:overflowPunct/>
              <w:topLinePunct w:val="0"/>
              <w:bidi w:val="0"/>
              <w:adjustRightInd w:val="0"/>
              <w:snapToGrid w:val="0"/>
              <w:spacing w:line="240" w:lineRule="auto"/>
              <w:jc w:val="center"/>
              <w:textAlignment w:val="auto"/>
              <w:rPr>
                <w:rFonts w:ascii="宋体" w:hAnsi="宋体"/>
                <w:color w:val="auto"/>
                <w:szCs w:val="21"/>
                <w:highlight w:val="none"/>
              </w:rPr>
            </w:pPr>
            <w:r>
              <w:rPr>
                <w:rFonts w:hint="eastAsia" w:ascii="宋体" w:hAnsi="宋体"/>
                <w:color w:val="auto"/>
                <w:szCs w:val="21"/>
                <w:highlight w:val="none"/>
              </w:rPr>
              <w:t>第</w:t>
            </w:r>
            <w:r>
              <w:rPr>
                <w:rFonts w:hint="eastAsia" w:ascii="宋体" w:hAnsi="宋体"/>
                <w:color w:val="auto"/>
                <w:szCs w:val="21"/>
                <w:highlight w:val="none"/>
                <w:lang w:val="en-US" w:eastAsia="zh-CN"/>
              </w:rPr>
              <w:t>8</w:t>
            </w:r>
            <w:r>
              <w:rPr>
                <w:rFonts w:hint="eastAsia" w:ascii="宋体" w:hAnsi="宋体"/>
                <w:color w:val="auto"/>
                <w:szCs w:val="21"/>
                <w:highlight w:val="none"/>
              </w:rPr>
              <w:t>.2（3）项</w:t>
            </w:r>
          </w:p>
        </w:tc>
        <w:tc>
          <w:tcPr>
            <w:tcW w:w="2233" w:type="dxa"/>
            <w:vAlign w:val="center"/>
          </w:tcPr>
          <w:p w14:paraId="7A62DE3A">
            <w:pPr>
              <w:keepNext w:val="0"/>
              <w:keepLines w:val="0"/>
              <w:pageBreakBefore w:val="0"/>
              <w:kinsoku/>
              <w:wordWrap/>
              <w:overflowPunct/>
              <w:topLinePunct w:val="0"/>
              <w:bidi w:val="0"/>
              <w:adjustRightInd w:val="0"/>
              <w:snapToGrid w:val="0"/>
              <w:spacing w:line="240" w:lineRule="auto"/>
              <w:jc w:val="left"/>
              <w:textAlignment w:val="auto"/>
              <w:rPr>
                <w:rFonts w:hint="eastAsia" w:ascii="宋体" w:hAnsi="宋体"/>
                <w:color w:val="auto"/>
                <w:szCs w:val="21"/>
                <w:highlight w:val="none"/>
                <w:lang w:eastAsia="zh-CN"/>
              </w:rPr>
            </w:pPr>
            <w:r>
              <w:rPr>
                <w:rFonts w:hint="eastAsia" w:ascii="宋体" w:hAnsi="宋体"/>
                <w:color w:val="auto"/>
                <w:szCs w:val="21"/>
                <w:highlight w:val="none"/>
                <w:lang w:eastAsia="zh-CN"/>
              </w:rPr>
              <w:t>货物质量缺陷</w:t>
            </w:r>
          </w:p>
          <w:p w14:paraId="1EC14C95">
            <w:pPr>
              <w:keepNext w:val="0"/>
              <w:keepLines w:val="0"/>
              <w:pageBreakBefore w:val="0"/>
              <w:kinsoku/>
              <w:wordWrap/>
              <w:overflowPunct/>
              <w:topLinePunct w:val="0"/>
              <w:bidi w:val="0"/>
              <w:adjustRightInd w:val="0"/>
              <w:snapToGrid w:val="0"/>
              <w:spacing w:line="240" w:lineRule="auto"/>
              <w:jc w:val="left"/>
              <w:textAlignment w:val="auto"/>
              <w:rPr>
                <w:rFonts w:ascii="宋体" w:hAnsi="宋体"/>
                <w:color w:val="auto"/>
                <w:szCs w:val="21"/>
                <w:highlight w:val="none"/>
              </w:rPr>
            </w:pPr>
            <w:r>
              <w:rPr>
                <w:rFonts w:hint="eastAsia" w:ascii="宋体" w:hAnsi="宋体"/>
                <w:color w:val="auto"/>
                <w:szCs w:val="21"/>
                <w:highlight w:val="none"/>
              </w:rPr>
              <w:t>响应时间</w:t>
            </w:r>
          </w:p>
        </w:tc>
        <w:tc>
          <w:tcPr>
            <w:tcW w:w="4316" w:type="dxa"/>
            <w:vAlign w:val="center"/>
          </w:tcPr>
          <w:p w14:paraId="2A52495B">
            <w:pPr>
              <w:adjustRightInd w:val="0"/>
              <w:snapToGrid w:val="0"/>
              <w:jc w:val="left"/>
              <w:rPr>
                <w:rFonts w:ascii="宋体" w:hAnsi="宋体"/>
                <w:color w:val="auto"/>
                <w:szCs w:val="21"/>
                <w:highlight w:val="none"/>
              </w:rPr>
            </w:pPr>
          </w:p>
        </w:tc>
      </w:tr>
      <w:tr w14:paraId="59FF9CE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707" w:type="dxa"/>
            <w:vAlign w:val="center"/>
          </w:tcPr>
          <w:p w14:paraId="35EA8AE2">
            <w:pPr>
              <w:keepNext w:val="0"/>
              <w:keepLines w:val="0"/>
              <w:pageBreakBefore w:val="0"/>
              <w:kinsoku/>
              <w:wordWrap/>
              <w:overflowPunct/>
              <w:topLinePunct w:val="0"/>
              <w:bidi w:val="0"/>
              <w:snapToGrid w:val="0"/>
              <w:spacing w:line="240" w:lineRule="auto"/>
              <w:jc w:val="center"/>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第二节</w:t>
            </w:r>
          </w:p>
          <w:p w14:paraId="668B64F8">
            <w:pPr>
              <w:pStyle w:val="36"/>
              <w:keepNext w:val="0"/>
              <w:keepLines w:val="0"/>
              <w:pageBreakBefore w:val="0"/>
              <w:kinsoku/>
              <w:wordWrap/>
              <w:overflowPunct/>
              <w:topLinePunct w:val="0"/>
              <w:bidi w:val="0"/>
              <w:spacing w:line="240" w:lineRule="auto"/>
              <w:ind w:firstLine="0" w:firstLineChars="0"/>
              <w:jc w:val="center"/>
              <w:textAlignment w:val="auto"/>
              <w:rPr>
                <w:rFonts w:hint="default"/>
                <w:color w:val="auto"/>
                <w:highlight w:val="none"/>
                <w:lang w:val="en-US" w:eastAsia="zh-CN"/>
              </w:rPr>
            </w:pPr>
            <w:r>
              <w:rPr>
                <w:rFonts w:hint="eastAsia" w:ascii="宋体" w:hAnsi="宋体" w:eastAsia="宋体" w:cs="宋体"/>
                <w:color w:val="auto"/>
                <w:szCs w:val="21"/>
                <w:highlight w:val="none"/>
                <w:lang w:val="en-US" w:eastAsia="zh-CN"/>
              </w:rPr>
              <w:t>第11.1款</w:t>
            </w:r>
          </w:p>
        </w:tc>
        <w:tc>
          <w:tcPr>
            <w:tcW w:w="2233" w:type="dxa"/>
            <w:vAlign w:val="center"/>
          </w:tcPr>
          <w:p w14:paraId="21EDE87D">
            <w:pPr>
              <w:keepNext w:val="0"/>
              <w:keepLines w:val="0"/>
              <w:pageBreakBefore w:val="0"/>
              <w:kinsoku/>
              <w:wordWrap/>
              <w:overflowPunct/>
              <w:topLinePunct w:val="0"/>
              <w:bidi w:val="0"/>
              <w:adjustRightInd w:val="0"/>
              <w:snapToGrid w:val="0"/>
              <w:spacing w:line="240" w:lineRule="auto"/>
              <w:jc w:val="both"/>
              <w:textAlignment w:val="auto"/>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其他应当保密的信息</w:t>
            </w:r>
          </w:p>
        </w:tc>
        <w:tc>
          <w:tcPr>
            <w:tcW w:w="4316" w:type="dxa"/>
            <w:vAlign w:val="center"/>
          </w:tcPr>
          <w:p w14:paraId="78E7A6D8">
            <w:pPr>
              <w:adjustRightInd w:val="0"/>
              <w:snapToGrid w:val="0"/>
              <w:jc w:val="left"/>
              <w:rPr>
                <w:rFonts w:ascii="宋体" w:hAnsi="宋体"/>
                <w:color w:val="auto"/>
                <w:szCs w:val="21"/>
                <w:highlight w:val="none"/>
              </w:rPr>
            </w:pPr>
          </w:p>
        </w:tc>
      </w:tr>
      <w:tr w14:paraId="3C1B3F7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707" w:type="dxa"/>
            <w:vAlign w:val="center"/>
          </w:tcPr>
          <w:p w14:paraId="45EAA1D8">
            <w:pPr>
              <w:keepNext w:val="0"/>
              <w:keepLines w:val="0"/>
              <w:pageBreakBefore w:val="0"/>
              <w:kinsoku/>
              <w:wordWrap/>
              <w:overflowPunct/>
              <w:topLinePunct w:val="0"/>
              <w:bidi w:val="0"/>
              <w:adjustRightInd w:val="0"/>
              <w:snapToGrid w:val="0"/>
              <w:spacing w:line="240" w:lineRule="auto"/>
              <w:jc w:val="center"/>
              <w:textAlignment w:val="auto"/>
              <w:rPr>
                <w:rFonts w:ascii="宋体" w:hAnsi="宋体"/>
                <w:color w:val="auto"/>
                <w:szCs w:val="21"/>
                <w:highlight w:val="none"/>
              </w:rPr>
            </w:pPr>
            <w:r>
              <w:rPr>
                <w:rFonts w:hint="eastAsia" w:ascii="宋体" w:hAnsi="宋体"/>
                <w:color w:val="auto"/>
                <w:szCs w:val="21"/>
                <w:highlight w:val="none"/>
              </w:rPr>
              <w:t>第二节</w:t>
            </w:r>
          </w:p>
          <w:p w14:paraId="3ED786D1">
            <w:pPr>
              <w:keepNext w:val="0"/>
              <w:keepLines w:val="0"/>
              <w:pageBreakBefore w:val="0"/>
              <w:kinsoku/>
              <w:wordWrap/>
              <w:overflowPunct/>
              <w:topLinePunct w:val="0"/>
              <w:bidi w:val="0"/>
              <w:adjustRightInd w:val="0"/>
              <w:snapToGrid w:val="0"/>
              <w:spacing w:line="240" w:lineRule="auto"/>
              <w:jc w:val="center"/>
              <w:textAlignment w:val="auto"/>
              <w:rPr>
                <w:rFonts w:ascii="宋体" w:hAnsi="宋体"/>
                <w:color w:val="auto"/>
                <w:szCs w:val="21"/>
                <w:highlight w:val="none"/>
              </w:rPr>
            </w:pPr>
            <w:r>
              <w:rPr>
                <w:rFonts w:hint="eastAsia" w:ascii="宋体" w:hAnsi="宋体"/>
                <w:color w:val="auto"/>
                <w:szCs w:val="21"/>
                <w:highlight w:val="none"/>
              </w:rPr>
              <w:t>第1</w:t>
            </w:r>
            <w:r>
              <w:rPr>
                <w:rFonts w:hint="eastAsia" w:ascii="宋体" w:hAnsi="宋体"/>
                <w:color w:val="auto"/>
                <w:szCs w:val="21"/>
                <w:highlight w:val="none"/>
                <w:lang w:val="en-US" w:eastAsia="zh-CN"/>
              </w:rPr>
              <w:t>2</w:t>
            </w:r>
            <w:r>
              <w:rPr>
                <w:rFonts w:hint="eastAsia" w:ascii="宋体" w:hAnsi="宋体"/>
                <w:color w:val="auto"/>
                <w:szCs w:val="21"/>
                <w:highlight w:val="none"/>
              </w:rPr>
              <w:t>.2款</w:t>
            </w:r>
          </w:p>
        </w:tc>
        <w:tc>
          <w:tcPr>
            <w:tcW w:w="2233" w:type="dxa"/>
            <w:vAlign w:val="center"/>
          </w:tcPr>
          <w:p w14:paraId="64A177C1">
            <w:pPr>
              <w:keepNext w:val="0"/>
              <w:keepLines w:val="0"/>
              <w:pageBreakBefore w:val="0"/>
              <w:kinsoku/>
              <w:wordWrap/>
              <w:overflowPunct/>
              <w:topLinePunct w:val="0"/>
              <w:bidi w:val="0"/>
              <w:adjustRightInd w:val="0"/>
              <w:snapToGrid w:val="0"/>
              <w:spacing w:line="240" w:lineRule="auto"/>
              <w:jc w:val="left"/>
              <w:textAlignment w:val="auto"/>
              <w:rPr>
                <w:rFonts w:hint="eastAsia" w:ascii="宋体" w:hAnsi="宋体" w:eastAsia="宋体"/>
                <w:color w:val="auto"/>
                <w:szCs w:val="21"/>
                <w:highlight w:val="none"/>
                <w:lang w:eastAsia="zh-CN"/>
              </w:rPr>
            </w:pPr>
            <w:r>
              <w:rPr>
                <w:rFonts w:hint="eastAsia" w:ascii="宋体" w:hAnsi="宋体"/>
                <w:color w:val="auto"/>
                <w:szCs w:val="21"/>
                <w:highlight w:val="none"/>
              </w:rPr>
              <w:t>合同价款支付</w:t>
            </w:r>
            <w:r>
              <w:rPr>
                <w:rFonts w:hint="eastAsia" w:ascii="宋体" w:hAnsi="宋体"/>
                <w:color w:val="auto"/>
                <w:szCs w:val="21"/>
                <w:highlight w:val="none"/>
                <w:lang w:eastAsia="zh-CN"/>
              </w:rPr>
              <w:t>时间</w:t>
            </w:r>
          </w:p>
        </w:tc>
        <w:tc>
          <w:tcPr>
            <w:tcW w:w="4316" w:type="dxa"/>
            <w:vAlign w:val="center"/>
          </w:tcPr>
          <w:p w14:paraId="19ACE1AC">
            <w:pPr>
              <w:adjustRightInd w:val="0"/>
              <w:snapToGrid w:val="0"/>
              <w:jc w:val="left"/>
              <w:rPr>
                <w:rFonts w:ascii="宋体" w:hAnsi="宋体"/>
                <w:color w:val="auto"/>
                <w:szCs w:val="21"/>
                <w:highlight w:val="none"/>
              </w:rPr>
            </w:pPr>
          </w:p>
        </w:tc>
      </w:tr>
      <w:tr w14:paraId="7F08551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707" w:type="dxa"/>
            <w:vAlign w:val="center"/>
          </w:tcPr>
          <w:p w14:paraId="7E532211">
            <w:pPr>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color w:val="auto"/>
                <w:szCs w:val="21"/>
                <w:highlight w:val="none"/>
              </w:rPr>
            </w:pPr>
            <w:r>
              <w:rPr>
                <w:rFonts w:hint="eastAsia" w:ascii="宋体" w:hAnsi="宋体"/>
                <w:color w:val="auto"/>
                <w:szCs w:val="21"/>
                <w:highlight w:val="none"/>
              </w:rPr>
              <w:t>第二节</w:t>
            </w:r>
          </w:p>
          <w:p w14:paraId="57A60EC6">
            <w:pPr>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color w:val="auto"/>
                <w:szCs w:val="21"/>
                <w:highlight w:val="none"/>
              </w:rPr>
            </w:pPr>
            <w:r>
              <w:rPr>
                <w:rFonts w:hint="eastAsia" w:ascii="宋体" w:hAnsi="宋体"/>
                <w:color w:val="auto"/>
                <w:szCs w:val="21"/>
                <w:highlight w:val="none"/>
              </w:rPr>
              <w:t>第</w:t>
            </w:r>
            <w:r>
              <w:rPr>
                <w:rFonts w:hint="eastAsia" w:ascii="宋体" w:hAnsi="宋体"/>
                <w:color w:val="auto"/>
                <w:szCs w:val="21"/>
                <w:highlight w:val="none"/>
                <w:lang w:val="en-US" w:eastAsia="zh-CN"/>
              </w:rPr>
              <w:t>13.2</w:t>
            </w:r>
            <w:r>
              <w:rPr>
                <w:rFonts w:hint="eastAsia" w:ascii="宋体" w:hAnsi="宋体"/>
                <w:color w:val="auto"/>
                <w:szCs w:val="21"/>
                <w:highlight w:val="none"/>
              </w:rPr>
              <w:t>款</w:t>
            </w:r>
          </w:p>
        </w:tc>
        <w:tc>
          <w:tcPr>
            <w:tcW w:w="2233" w:type="dxa"/>
            <w:vAlign w:val="center"/>
          </w:tcPr>
          <w:p w14:paraId="55BFCEBB">
            <w:pPr>
              <w:keepNext w:val="0"/>
              <w:keepLines w:val="0"/>
              <w:pageBreakBefore w:val="0"/>
              <w:kinsoku/>
              <w:wordWrap/>
              <w:overflowPunct/>
              <w:topLinePunct w:val="0"/>
              <w:bidi w:val="0"/>
              <w:adjustRightInd w:val="0"/>
              <w:snapToGrid w:val="0"/>
              <w:spacing w:line="240" w:lineRule="auto"/>
              <w:jc w:val="left"/>
              <w:textAlignment w:val="auto"/>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履约保证金不予退还的情形</w:t>
            </w:r>
          </w:p>
        </w:tc>
        <w:tc>
          <w:tcPr>
            <w:tcW w:w="4316" w:type="dxa"/>
            <w:vAlign w:val="center"/>
          </w:tcPr>
          <w:p w14:paraId="3B059075">
            <w:pPr>
              <w:adjustRightInd w:val="0"/>
              <w:snapToGrid w:val="0"/>
              <w:jc w:val="left"/>
              <w:rPr>
                <w:rFonts w:ascii="宋体" w:hAnsi="宋体"/>
                <w:color w:val="auto"/>
                <w:szCs w:val="21"/>
                <w:highlight w:val="none"/>
              </w:rPr>
            </w:pPr>
          </w:p>
        </w:tc>
      </w:tr>
      <w:tr w14:paraId="2B3DCDF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707" w:type="dxa"/>
            <w:vAlign w:val="center"/>
          </w:tcPr>
          <w:p w14:paraId="387699EE">
            <w:pPr>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color w:val="auto"/>
                <w:szCs w:val="21"/>
                <w:highlight w:val="none"/>
              </w:rPr>
            </w:pPr>
            <w:r>
              <w:rPr>
                <w:rFonts w:hint="eastAsia" w:ascii="宋体" w:hAnsi="宋体"/>
                <w:color w:val="auto"/>
                <w:szCs w:val="21"/>
                <w:highlight w:val="none"/>
              </w:rPr>
              <w:t>第二节</w:t>
            </w:r>
          </w:p>
          <w:p w14:paraId="4B032476">
            <w:pPr>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color w:val="auto"/>
                <w:szCs w:val="21"/>
                <w:highlight w:val="none"/>
              </w:rPr>
            </w:pPr>
            <w:r>
              <w:rPr>
                <w:rFonts w:hint="eastAsia" w:ascii="宋体" w:hAnsi="宋体"/>
                <w:color w:val="auto"/>
                <w:szCs w:val="21"/>
                <w:highlight w:val="none"/>
              </w:rPr>
              <w:t>第</w:t>
            </w:r>
            <w:r>
              <w:rPr>
                <w:rFonts w:hint="eastAsia" w:ascii="宋体" w:hAnsi="宋体"/>
                <w:color w:val="auto"/>
                <w:szCs w:val="21"/>
                <w:highlight w:val="none"/>
                <w:lang w:val="en-US" w:eastAsia="zh-CN"/>
              </w:rPr>
              <w:t>13.3</w:t>
            </w:r>
            <w:r>
              <w:rPr>
                <w:rFonts w:hint="eastAsia" w:ascii="宋体" w:hAnsi="宋体"/>
                <w:color w:val="auto"/>
                <w:szCs w:val="21"/>
                <w:highlight w:val="none"/>
              </w:rPr>
              <w:t>款</w:t>
            </w:r>
          </w:p>
        </w:tc>
        <w:tc>
          <w:tcPr>
            <w:tcW w:w="2233" w:type="dxa"/>
            <w:vAlign w:val="center"/>
          </w:tcPr>
          <w:p w14:paraId="54040FA1">
            <w:pPr>
              <w:keepNext w:val="0"/>
              <w:keepLines w:val="0"/>
              <w:pageBreakBefore w:val="0"/>
              <w:kinsoku/>
              <w:wordWrap/>
              <w:overflowPunct/>
              <w:topLinePunct w:val="0"/>
              <w:bidi w:val="0"/>
              <w:adjustRightInd w:val="0"/>
              <w:snapToGrid w:val="0"/>
              <w:spacing w:line="240" w:lineRule="auto"/>
              <w:jc w:val="left"/>
              <w:textAlignment w:val="auto"/>
              <w:rPr>
                <w:rFonts w:ascii="宋体" w:hAnsi="宋体"/>
                <w:color w:val="auto"/>
                <w:szCs w:val="21"/>
                <w:highlight w:val="none"/>
              </w:rPr>
            </w:pPr>
            <w:r>
              <w:rPr>
                <w:rFonts w:hint="eastAsia" w:ascii="宋体" w:hAnsi="宋体"/>
                <w:color w:val="auto"/>
                <w:szCs w:val="21"/>
                <w:highlight w:val="none"/>
              </w:rPr>
              <w:t>履约保证金退还时间及</w:t>
            </w:r>
            <w:r>
              <w:rPr>
                <w:rFonts w:hint="eastAsia" w:ascii="宋体" w:hAnsi="宋体"/>
                <w:color w:val="auto"/>
                <w:szCs w:val="21"/>
                <w:highlight w:val="none"/>
                <w:lang w:eastAsia="zh-CN"/>
              </w:rPr>
              <w:t>逾期退还的</w:t>
            </w:r>
            <w:r>
              <w:rPr>
                <w:rFonts w:hint="eastAsia" w:ascii="宋体" w:hAnsi="宋体"/>
                <w:color w:val="auto"/>
                <w:szCs w:val="21"/>
                <w:highlight w:val="none"/>
              </w:rPr>
              <w:t>违约金</w:t>
            </w:r>
          </w:p>
        </w:tc>
        <w:tc>
          <w:tcPr>
            <w:tcW w:w="4316" w:type="dxa"/>
            <w:vAlign w:val="center"/>
          </w:tcPr>
          <w:p w14:paraId="347592D5">
            <w:pPr>
              <w:adjustRightInd w:val="0"/>
              <w:snapToGrid w:val="0"/>
              <w:jc w:val="left"/>
              <w:rPr>
                <w:rFonts w:ascii="宋体" w:hAnsi="宋体"/>
                <w:color w:val="auto"/>
                <w:szCs w:val="21"/>
                <w:highlight w:val="none"/>
              </w:rPr>
            </w:pPr>
          </w:p>
        </w:tc>
      </w:tr>
      <w:tr w14:paraId="5AAB911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707" w:type="dxa"/>
            <w:vAlign w:val="center"/>
          </w:tcPr>
          <w:p w14:paraId="72BEAD95">
            <w:pPr>
              <w:keepNext w:val="0"/>
              <w:keepLines w:val="0"/>
              <w:pageBreakBefore w:val="0"/>
              <w:kinsoku/>
              <w:wordWrap/>
              <w:overflowPunct/>
              <w:topLinePunct w:val="0"/>
              <w:bidi w:val="0"/>
              <w:adjustRightInd w:val="0"/>
              <w:snapToGrid w:val="0"/>
              <w:spacing w:line="240" w:lineRule="auto"/>
              <w:jc w:val="center"/>
              <w:textAlignment w:val="auto"/>
              <w:rPr>
                <w:rFonts w:ascii="宋体" w:hAnsi="宋体"/>
                <w:color w:val="auto"/>
                <w:szCs w:val="21"/>
                <w:highlight w:val="none"/>
              </w:rPr>
            </w:pPr>
            <w:r>
              <w:rPr>
                <w:rFonts w:hint="eastAsia" w:ascii="宋体" w:hAnsi="宋体"/>
                <w:color w:val="auto"/>
                <w:szCs w:val="21"/>
                <w:highlight w:val="none"/>
              </w:rPr>
              <w:t>第二节</w:t>
            </w:r>
          </w:p>
          <w:p w14:paraId="71C710BD">
            <w:pPr>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color w:val="auto"/>
                <w:szCs w:val="21"/>
                <w:highlight w:val="none"/>
              </w:rPr>
            </w:pPr>
            <w:r>
              <w:rPr>
                <w:rFonts w:hint="eastAsia" w:ascii="宋体" w:hAnsi="宋体"/>
                <w:color w:val="auto"/>
                <w:szCs w:val="21"/>
                <w:highlight w:val="none"/>
              </w:rPr>
              <w:t>第1</w:t>
            </w:r>
            <w:r>
              <w:rPr>
                <w:rFonts w:hint="eastAsia" w:ascii="宋体" w:hAnsi="宋体"/>
                <w:color w:val="auto"/>
                <w:szCs w:val="21"/>
                <w:highlight w:val="none"/>
                <w:lang w:val="en-US" w:eastAsia="zh-CN"/>
              </w:rPr>
              <w:t>4</w:t>
            </w:r>
            <w:r>
              <w:rPr>
                <w:rFonts w:hint="eastAsia" w:ascii="宋体" w:hAnsi="宋体"/>
                <w:color w:val="auto"/>
                <w:szCs w:val="21"/>
                <w:highlight w:val="none"/>
              </w:rPr>
              <w:t>.1（</w:t>
            </w:r>
            <w:r>
              <w:rPr>
                <w:rFonts w:hint="eastAsia" w:ascii="宋体" w:hAnsi="宋体"/>
                <w:color w:val="auto"/>
                <w:szCs w:val="21"/>
                <w:highlight w:val="none"/>
                <w:lang w:val="en-US" w:eastAsia="zh-CN"/>
              </w:rPr>
              <w:t>3</w:t>
            </w:r>
            <w:r>
              <w:rPr>
                <w:rFonts w:hint="eastAsia" w:ascii="宋体" w:hAnsi="宋体"/>
                <w:color w:val="auto"/>
                <w:szCs w:val="21"/>
                <w:highlight w:val="none"/>
              </w:rPr>
              <w:t>）项</w:t>
            </w:r>
          </w:p>
        </w:tc>
        <w:tc>
          <w:tcPr>
            <w:tcW w:w="2233" w:type="dxa"/>
            <w:vAlign w:val="center"/>
          </w:tcPr>
          <w:p w14:paraId="6DA2DA84">
            <w:pPr>
              <w:keepNext w:val="0"/>
              <w:keepLines w:val="0"/>
              <w:pageBreakBefore w:val="0"/>
              <w:kinsoku/>
              <w:wordWrap/>
              <w:overflowPunct/>
              <w:topLinePunct w:val="0"/>
              <w:bidi w:val="0"/>
              <w:adjustRightInd w:val="0"/>
              <w:snapToGrid w:val="0"/>
              <w:spacing w:line="240" w:lineRule="auto"/>
              <w:jc w:val="left"/>
              <w:textAlignment w:val="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运行监督、维修期限</w:t>
            </w:r>
          </w:p>
        </w:tc>
        <w:tc>
          <w:tcPr>
            <w:tcW w:w="4316" w:type="dxa"/>
            <w:vAlign w:val="center"/>
          </w:tcPr>
          <w:p w14:paraId="50D906D6">
            <w:pPr>
              <w:adjustRightInd w:val="0"/>
              <w:snapToGrid w:val="0"/>
              <w:jc w:val="left"/>
              <w:rPr>
                <w:rFonts w:ascii="宋体" w:hAnsi="宋体"/>
                <w:color w:val="auto"/>
                <w:szCs w:val="21"/>
                <w:highlight w:val="none"/>
              </w:rPr>
            </w:pPr>
          </w:p>
        </w:tc>
      </w:tr>
      <w:tr w14:paraId="552EA00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707" w:type="dxa"/>
            <w:vAlign w:val="center"/>
          </w:tcPr>
          <w:p w14:paraId="3E35BD08">
            <w:pPr>
              <w:keepNext w:val="0"/>
              <w:keepLines w:val="0"/>
              <w:pageBreakBefore w:val="0"/>
              <w:kinsoku/>
              <w:wordWrap/>
              <w:overflowPunct/>
              <w:topLinePunct w:val="0"/>
              <w:bidi w:val="0"/>
              <w:adjustRightInd w:val="0"/>
              <w:snapToGrid w:val="0"/>
              <w:spacing w:line="240" w:lineRule="auto"/>
              <w:jc w:val="center"/>
              <w:textAlignment w:val="auto"/>
              <w:rPr>
                <w:rFonts w:ascii="宋体" w:hAnsi="宋体"/>
                <w:color w:val="auto"/>
                <w:szCs w:val="21"/>
                <w:highlight w:val="none"/>
              </w:rPr>
            </w:pPr>
            <w:r>
              <w:rPr>
                <w:rFonts w:hint="eastAsia" w:ascii="宋体" w:hAnsi="宋体"/>
                <w:color w:val="auto"/>
                <w:szCs w:val="21"/>
                <w:highlight w:val="none"/>
              </w:rPr>
              <w:t>第二节</w:t>
            </w:r>
          </w:p>
          <w:p w14:paraId="1F30CB9D">
            <w:pPr>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color w:val="auto"/>
                <w:szCs w:val="21"/>
                <w:highlight w:val="none"/>
              </w:rPr>
            </w:pPr>
            <w:r>
              <w:rPr>
                <w:rFonts w:hint="eastAsia" w:ascii="宋体" w:hAnsi="宋体"/>
                <w:color w:val="auto"/>
                <w:szCs w:val="21"/>
                <w:highlight w:val="none"/>
              </w:rPr>
              <w:t>第1</w:t>
            </w:r>
            <w:r>
              <w:rPr>
                <w:rFonts w:hint="eastAsia" w:ascii="宋体" w:hAnsi="宋体"/>
                <w:color w:val="auto"/>
                <w:szCs w:val="21"/>
                <w:highlight w:val="none"/>
                <w:lang w:val="en-US" w:eastAsia="zh-CN"/>
              </w:rPr>
              <w:t>4</w:t>
            </w:r>
            <w:r>
              <w:rPr>
                <w:rFonts w:hint="eastAsia" w:ascii="宋体" w:hAnsi="宋体"/>
                <w:color w:val="auto"/>
                <w:szCs w:val="21"/>
                <w:highlight w:val="none"/>
              </w:rPr>
              <w:t>.1（</w:t>
            </w:r>
            <w:r>
              <w:rPr>
                <w:rFonts w:hint="eastAsia" w:ascii="宋体" w:hAnsi="宋体"/>
                <w:color w:val="auto"/>
                <w:szCs w:val="21"/>
                <w:highlight w:val="none"/>
                <w:lang w:val="en-US" w:eastAsia="zh-CN"/>
              </w:rPr>
              <w:t>5</w:t>
            </w:r>
            <w:r>
              <w:rPr>
                <w:rFonts w:hint="eastAsia" w:ascii="宋体" w:hAnsi="宋体"/>
                <w:color w:val="auto"/>
                <w:szCs w:val="21"/>
                <w:highlight w:val="none"/>
              </w:rPr>
              <w:t>）项</w:t>
            </w:r>
          </w:p>
        </w:tc>
        <w:tc>
          <w:tcPr>
            <w:tcW w:w="2233" w:type="dxa"/>
            <w:vAlign w:val="center"/>
          </w:tcPr>
          <w:p w14:paraId="3B13D05A">
            <w:pPr>
              <w:keepNext w:val="0"/>
              <w:keepLines w:val="0"/>
              <w:pageBreakBefore w:val="0"/>
              <w:kinsoku/>
              <w:wordWrap/>
              <w:overflowPunct/>
              <w:topLinePunct w:val="0"/>
              <w:bidi w:val="0"/>
              <w:adjustRightInd w:val="0"/>
              <w:snapToGrid w:val="0"/>
              <w:spacing w:line="240" w:lineRule="auto"/>
              <w:jc w:val="left"/>
              <w:textAlignment w:val="auto"/>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货物回收的约定</w:t>
            </w:r>
          </w:p>
        </w:tc>
        <w:tc>
          <w:tcPr>
            <w:tcW w:w="4316" w:type="dxa"/>
            <w:vAlign w:val="center"/>
          </w:tcPr>
          <w:p w14:paraId="3F6BFC2D">
            <w:pPr>
              <w:adjustRightInd w:val="0"/>
              <w:snapToGrid w:val="0"/>
              <w:jc w:val="left"/>
              <w:rPr>
                <w:rFonts w:ascii="宋体" w:hAnsi="宋体"/>
                <w:color w:val="auto"/>
                <w:szCs w:val="21"/>
                <w:highlight w:val="none"/>
              </w:rPr>
            </w:pPr>
          </w:p>
        </w:tc>
      </w:tr>
      <w:tr w14:paraId="7599E63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707" w:type="dxa"/>
            <w:vAlign w:val="center"/>
          </w:tcPr>
          <w:p w14:paraId="41B304A7">
            <w:pPr>
              <w:keepNext w:val="0"/>
              <w:keepLines w:val="0"/>
              <w:pageBreakBefore w:val="0"/>
              <w:kinsoku/>
              <w:wordWrap/>
              <w:overflowPunct/>
              <w:topLinePunct w:val="0"/>
              <w:bidi w:val="0"/>
              <w:adjustRightInd w:val="0"/>
              <w:snapToGrid w:val="0"/>
              <w:spacing w:line="240" w:lineRule="auto"/>
              <w:jc w:val="center"/>
              <w:textAlignment w:val="auto"/>
              <w:rPr>
                <w:rFonts w:ascii="宋体" w:hAnsi="宋体"/>
                <w:color w:val="auto"/>
                <w:szCs w:val="21"/>
                <w:highlight w:val="none"/>
              </w:rPr>
            </w:pPr>
            <w:r>
              <w:rPr>
                <w:rFonts w:hint="eastAsia" w:ascii="宋体" w:hAnsi="宋体"/>
                <w:color w:val="auto"/>
                <w:szCs w:val="21"/>
                <w:highlight w:val="none"/>
              </w:rPr>
              <w:t>第二节</w:t>
            </w:r>
          </w:p>
          <w:p w14:paraId="50C862B0">
            <w:pPr>
              <w:keepNext w:val="0"/>
              <w:keepLines w:val="0"/>
              <w:pageBreakBefore w:val="0"/>
              <w:kinsoku/>
              <w:wordWrap/>
              <w:overflowPunct/>
              <w:topLinePunct w:val="0"/>
              <w:bidi w:val="0"/>
              <w:adjustRightInd w:val="0"/>
              <w:snapToGrid w:val="0"/>
              <w:spacing w:line="240" w:lineRule="auto"/>
              <w:jc w:val="center"/>
              <w:textAlignment w:val="auto"/>
              <w:rPr>
                <w:rFonts w:ascii="宋体" w:hAnsi="宋体"/>
                <w:color w:val="auto"/>
                <w:szCs w:val="21"/>
                <w:highlight w:val="none"/>
              </w:rPr>
            </w:pPr>
            <w:r>
              <w:rPr>
                <w:rFonts w:hint="eastAsia" w:ascii="宋体" w:hAnsi="宋体"/>
                <w:color w:val="auto"/>
                <w:szCs w:val="21"/>
                <w:highlight w:val="none"/>
              </w:rPr>
              <w:t>第1</w:t>
            </w:r>
            <w:r>
              <w:rPr>
                <w:rFonts w:hint="eastAsia" w:ascii="宋体" w:hAnsi="宋体"/>
                <w:color w:val="auto"/>
                <w:szCs w:val="21"/>
                <w:highlight w:val="none"/>
                <w:lang w:val="en-US" w:eastAsia="zh-CN"/>
              </w:rPr>
              <w:t>4</w:t>
            </w:r>
            <w:r>
              <w:rPr>
                <w:rFonts w:hint="eastAsia" w:ascii="宋体" w:hAnsi="宋体"/>
                <w:color w:val="auto"/>
                <w:szCs w:val="21"/>
                <w:highlight w:val="none"/>
              </w:rPr>
              <w:t>.1（</w:t>
            </w:r>
            <w:r>
              <w:rPr>
                <w:rFonts w:hint="eastAsia" w:ascii="宋体" w:hAnsi="宋体"/>
                <w:color w:val="auto"/>
                <w:szCs w:val="21"/>
                <w:highlight w:val="none"/>
                <w:lang w:val="en-US" w:eastAsia="zh-CN"/>
              </w:rPr>
              <w:t>6</w:t>
            </w:r>
            <w:r>
              <w:rPr>
                <w:rFonts w:hint="eastAsia" w:ascii="宋体" w:hAnsi="宋体"/>
                <w:color w:val="auto"/>
                <w:szCs w:val="21"/>
                <w:highlight w:val="none"/>
              </w:rPr>
              <w:t>）项</w:t>
            </w:r>
          </w:p>
        </w:tc>
        <w:tc>
          <w:tcPr>
            <w:tcW w:w="2233" w:type="dxa"/>
            <w:vAlign w:val="center"/>
          </w:tcPr>
          <w:p w14:paraId="408D4E8A">
            <w:pPr>
              <w:keepNext w:val="0"/>
              <w:keepLines w:val="0"/>
              <w:pageBreakBefore w:val="0"/>
              <w:kinsoku/>
              <w:wordWrap/>
              <w:overflowPunct/>
              <w:topLinePunct w:val="0"/>
              <w:bidi w:val="0"/>
              <w:adjustRightInd w:val="0"/>
              <w:snapToGrid w:val="0"/>
              <w:spacing w:line="240" w:lineRule="auto"/>
              <w:jc w:val="left"/>
              <w:textAlignment w:val="auto"/>
              <w:rPr>
                <w:rFonts w:ascii="宋体" w:hAnsi="宋体"/>
                <w:color w:val="auto"/>
                <w:szCs w:val="21"/>
                <w:highlight w:val="none"/>
              </w:rPr>
            </w:pPr>
            <w:r>
              <w:rPr>
                <w:rFonts w:hint="eastAsia" w:ascii="宋体" w:hAnsi="宋体"/>
                <w:color w:val="auto"/>
                <w:szCs w:val="21"/>
                <w:highlight w:val="none"/>
              </w:rPr>
              <w:t>乙方提供的其他服务</w:t>
            </w:r>
          </w:p>
        </w:tc>
        <w:tc>
          <w:tcPr>
            <w:tcW w:w="4316" w:type="dxa"/>
            <w:vAlign w:val="center"/>
          </w:tcPr>
          <w:p w14:paraId="2C32E2AE">
            <w:pPr>
              <w:adjustRightInd w:val="0"/>
              <w:snapToGrid w:val="0"/>
              <w:jc w:val="left"/>
              <w:rPr>
                <w:rFonts w:ascii="宋体" w:hAnsi="宋体"/>
                <w:color w:val="auto"/>
                <w:szCs w:val="21"/>
                <w:highlight w:val="none"/>
              </w:rPr>
            </w:pPr>
          </w:p>
        </w:tc>
      </w:tr>
      <w:tr w14:paraId="690BEE0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707" w:type="dxa"/>
            <w:vAlign w:val="center"/>
          </w:tcPr>
          <w:p w14:paraId="399DC64E">
            <w:pPr>
              <w:keepNext w:val="0"/>
              <w:keepLines w:val="0"/>
              <w:pageBreakBefore w:val="0"/>
              <w:kinsoku/>
              <w:wordWrap/>
              <w:overflowPunct/>
              <w:topLinePunct w:val="0"/>
              <w:bidi w:val="0"/>
              <w:adjustRightInd w:val="0"/>
              <w:snapToGrid w:val="0"/>
              <w:spacing w:line="240" w:lineRule="auto"/>
              <w:jc w:val="center"/>
              <w:textAlignment w:val="auto"/>
              <w:rPr>
                <w:rFonts w:ascii="宋体" w:hAnsi="宋体"/>
                <w:color w:val="auto"/>
                <w:szCs w:val="21"/>
                <w:highlight w:val="none"/>
              </w:rPr>
            </w:pPr>
            <w:r>
              <w:rPr>
                <w:rFonts w:hint="eastAsia" w:ascii="宋体" w:hAnsi="宋体"/>
                <w:color w:val="auto"/>
                <w:szCs w:val="21"/>
                <w:highlight w:val="none"/>
              </w:rPr>
              <w:t>第二节</w:t>
            </w:r>
          </w:p>
          <w:p w14:paraId="6B2E6050">
            <w:pPr>
              <w:keepNext w:val="0"/>
              <w:keepLines w:val="0"/>
              <w:pageBreakBefore w:val="0"/>
              <w:kinsoku/>
              <w:wordWrap/>
              <w:overflowPunct/>
              <w:topLinePunct w:val="0"/>
              <w:bidi w:val="0"/>
              <w:adjustRightInd w:val="0"/>
              <w:snapToGrid w:val="0"/>
              <w:spacing w:line="240" w:lineRule="auto"/>
              <w:jc w:val="center"/>
              <w:textAlignment w:val="auto"/>
              <w:rPr>
                <w:rFonts w:hint="default" w:ascii="宋体" w:hAnsi="宋体" w:eastAsia="宋体"/>
                <w:color w:val="auto"/>
                <w:szCs w:val="21"/>
                <w:highlight w:val="none"/>
                <w:lang w:val="en-US" w:eastAsia="zh-CN"/>
              </w:rPr>
            </w:pPr>
            <w:r>
              <w:rPr>
                <w:rFonts w:hint="eastAsia" w:ascii="宋体" w:hAnsi="宋体"/>
                <w:color w:val="auto"/>
                <w:szCs w:val="21"/>
                <w:highlight w:val="none"/>
              </w:rPr>
              <w:t>第1</w:t>
            </w:r>
            <w:r>
              <w:rPr>
                <w:rFonts w:hint="eastAsia" w:ascii="宋体" w:hAnsi="宋体"/>
                <w:color w:val="auto"/>
                <w:szCs w:val="21"/>
                <w:highlight w:val="none"/>
                <w:lang w:val="en-US" w:eastAsia="zh-CN"/>
              </w:rPr>
              <w:t>5</w:t>
            </w:r>
            <w:r>
              <w:rPr>
                <w:rFonts w:hint="eastAsia" w:ascii="宋体" w:hAnsi="宋体"/>
                <w:color w:val="auto"/>
                <w:szCs w:val="21"/>
                <w:highlight w:val="none"/>
              </w:rPr>
              <w:t>.</w:t>
            </w:r>
            <w:r>
              <w:rPr>
                <w:rFonts w:hint="eastAsia" w:ascii="宋体" w:hAnsi="宋体"/>
                <w:color w:val="auto"/>
                <w:szCs w:val="21"/>
                <w:highlight w:val="none"/>
                <w:lang w:val="en-US" w:eastAsia="zh-CN"/>
              </w:rPr>
              <w:t>1款</w:t>
            </w:r>
          </w:p>
        </w:tc>
        <w:tc>
          <w:tcPr>
            <w:tcW w:w="2233" w:type="dxa"/>
            <w:vAlign w:val="center"/>
          </w:tcPr>
          <w:p w14:paraId="1C5461E0">
            <w:pPr>
              <w:keepNext w:val="0"/>
              <w:keepLines w:val="0"/>
              <w:pageBreakBefore w:val="0"/>
              <w:kinsoku/>
              <w:wordWrap/>
              <w:overflowPunct/>
              <w:topLinePunct w:val="0"/>
              <w:bidi w:val="0"/>
              <w:adjustRightInd w:val="0"/>
              <w:snapToGrid w:val="0"/>
              <w:spacing w:line="240" w:lineRule="auto"/>
              <w:jc w:val="left"/>
              <w:textAlignment w:val="auto"/>
              <w:rPr>
                <w:rFonts w:hint="eastAsia" w:ascii="宋体" w:hAnsi="宋体"/>
                <w:color w:val="auto"/>
                <w:szCs w:val="21"/>
                <w:highlight w:val="none"/>
              </w:rPr>
            </w:pPr>
            <w:r>
              <w:rPr>
                <w:rFonts w:hint="eastAsia" w:ascii="宋体" w:hAnsi="宋体"/>
                <w:color w:val="auto"/>
                <w:szCs w:val="21"/>
                <w:highlight w:val="none"/>
                <w:lang w:eastAsia="zh-CN"/>
              </w:rPr>
              <w:t>修理、重作、更换相关具体规定</w:t>
            </w:r>
          </w:p>
        </w:tc>
        <w:tc>
          <w:tcPr>
            <w:tcW w:w="4316" w:type="dxa"/>
            <w:vAlign w:val="center"/>
          </w:tcPr>
          <w:p w14:paraId="27D2F587">
            <w:pPr>
              <w:adjustRightInd w:val="0"/>
              <w:snapToGrid w:val="0"/>
              <w:jc w:val="left"/>
              <w:rPr>
                <w:rFonts w:ascii="宋体" w:hAnsi="宋体"/>
                <w:color w:val="auto"/>
                <w:szCs w:val="21"/>
                <w:highlight w:val="none"/>
              </w:rPr>
            </w:pPr>
          </w:p>
        </w:tc>
      </w:tr>
      <w:tr w14:paraId="5A7799C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707" w:type="dxa"/>
            <w:vAlign w:val="center"/>
          </w:tcPr>
          <w:p w14:paraId="67EA198D">
            <w:pPr>
              <w:keepNext w:val="0"/>
              <w:keepLines w:val="0"/>
              <w:pageBreakBefore w:val="0"/>
              <w:kinsoku/>
              <w:wordWrap/>
              <w:overflowPunct/>
              <w:topLinePunct w:val="0"/>
              <w:bidi w:val="0"/>
              <w:adjustRightInd w:val="0"/>
              <w:snapToGrid w:val="0"/>
              <w:spacing w:line="240" w:lineRule="auto"/>
              <w:jc w:val="center"/>
              <w:textAlignment w:val="auto"/>
              <w:rPr>
                <w:rFonts w:ascii="宋体" w:hAnsi="宋体"/>
                <w:color w:val="auto"/>
                <w:szCs w:val="21"/>
                <w:highlight w:val="none"/>
              </w:rPr>
            </w:pPr>
            <w:r>
              <w:rPr>
                <w:rFonts w:hint="eastAsia" w:ascii="宋体" w:hAnsi="宋体"/>
                <w:color w:val="auto"/>
                <w:szCs w:val="21"/>
                <w:highlight w:val="none"/>
              </w:rPr>
              <w:t>第二节</w:t>
            </w:r>
          </w:p>
          <w:p w14:paraId="2FAA4F03">
            <w:pPr>
              <w:keepNext w:val="0"/>
              <w:keepLines w:val="0"/>
              <w:pageBreakBefore w:val="0"/>
              <w:kinsoku/>
              <w:wordWrap/>
              <w:overflowPunct/>
              <w:topLinePunct w:val="0"/>
              <w:bidi w:val="0"/>
              <w:adjustRightInd w:val="0"/>
              <w:snapToGrid w:val="0"/>
              <w:spacing w:line="240" w:lineRule="auto"/>
              <w:jc w:val="center"/>
              <w:textAlignment w:val="auto"/>
              <w:rPr>
                <w:rFonts w:ascii="宋体" w:hAnsi="宋体"/>
                <w:color w:val="auto"/>
                <w:szCs w:val="21"/>
                <w:highlight w:val="none"/>
              </w:rPr>
            </w:pPr>
            <w:r>
              <w:rPr>
                <w:rFonts w:hint="eastAsia" w:ascii="宋体" w:hAnsi="宋体"/>
                <w:color w:val="auto"/>
                <w:szCs w:val="21"/>
                <w:highlight w:val="none"/>
              </w:rPr>
              <w:t>第1</w:t>
            </w:r>
            <w:r>
              <w:rPr>
                <w:rFonts w:hint="eastAsia" w:ascii="宋体" w:hAnsi="宋体"/>
                <w:color w:val="auto"/>
                <w:szCs w:val="21"/>
                <w:highlight w:val="none"/>
                <w:lang w:val="en-US" w:eastAsia="zh-CN"/>
              </w:rPr>
              <w:t>5</w:t>
            </w:r>
            <w:r>
              <w:rPr>
                <w:rFonts w:hint="eastAsia" w:ascii="宋体" w:hAnsi="宋体"/>
                <w:color w:val="auto"/>
                <w:szCs w:val="21"/>
                <w:highlight w:val="none"/>
              </w:rPr>
              <w:t>.2（2）项</w:t>
            </w:r>
          </w:p>
        </w:tc>
        <w:tc>
          <w:tcPr>
            <w:tcW w:w="2233" w:type="dxa"/>
            <w:vAlign w:val="center"/>
          </w:tcPr>
          <w:p w14:paraId="6CCB9C34">
            <w:pPr>
              <w:keepNext w:val="0"/>
              <w:keepLines w:val="0"/>
              <w:pageBreakBefore w:val="0"/>
              <w:kinsoku/>
              <w:wordWrap/>
              <w:overflowPunct/>
              <w:topLinePunct w:val="0"/>
              <w:bidi w:val="0"/>
              <w:adjustRightInd w:val="0"/>
              <w:snapToGrid w:val="0"/>
              <w:spacing w:line="240" w:lineRule="auto"/>
              <w:jc w:val="left"/>
              <w:textAlignment w:val="auto"/>
              <w:rPr>
                <w:rFonts w:ascii="宋体" w:hAnsi="宋体"/>
                <w:color w:val="auto"/>
                <w:szCs w:val="21"/>
                <w:highlight w:val="none"/>
              </w:rPr>
            </w:pPr>
            <w:r>
              <w:rPr>
                <w:rFonts w:hint="eastAsia" w:ascii="宋体" w:hAnsi="宋体"/>
                <w:color w:val="auto"/>
                <w:szCs w:val="21"/>
                <w:highlight w:val="none"/>
              </w:rPr>
              <w:t>迟延交货赔偿费</w:t>
            </w:r>
          </w:p>
        </w:tc>
        <w:tc>
          <w:tcPr>
            <w:tcW w:w="4316" w:type="dxa"/>
            <w:vAlign w:val="center"/>
          </w:tcPr>
          <w:p w14:paraId="70280E71">
            <w:pPr>
              <w:adjustRightInd w:val="0"/>
              <w:snapToGrid w:val="0"/>
              <w:jc w:val="left"/>
              <w:rPr>
                <w:rFonts w:ascii="宋体" w:hAnsi="宋体"/>
                <w:color w:val="auto"/>
                <w:szCs w:val="21"/>
                <w:highlight w:val="none"/>
                <w:u w:val="single"/>
              </w:rPr>
            </w:pPr>
          </w:p>
        </w:tc>
      </w:tr>
      <w:tr w14:paraId="4A64042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707" w:type="dxa"/>
            <w:vAlign w:val="center"/>
          </w:tcPr>
          <w:p w14:paraId="724A673C">
            <w:pPr>
              <w:keepNext w:val="0"/>
              <w:keepLines w:val="0"/>
              <w:pageBreakBefore w:val="0"/>
              <w:kinsoku/>
              <w:wordWrap/>
              <w:overflowPunct/>
              <w:topLinePunct w:val="0"/>
              <w:bidi w:val="0"/>
              <w:adjustRightInd w:val="0"/>
              <w:snapToGrid w:val="0"/>
              <w:spacing w:line="240" w:lineRule="auto"/>
              <w:jc w:val="center"/>
              <w:textAlignment w:val="auto"/>
              <w:rPr>
                <w:rFonts w:ascii="宋体" w:hAnsi="宋体"/>
                <w:color w:val="auto"/>
                <w:szCs w:val="21"/>
                <w:highlight w:val="none"/>
              </w:rPr>
            </w:pPr>
            <w:r>
              <w:rPr>
                <w:rFonts w:hint="eastAsia" w:ascii="宋体" w:hAnsi="宋体"/>
                <w:color w:val="auto"/>
                <w:szCs w:val="21"/>
                <w:highlight w:val="none"/>
              </w:rPr>
              <w:t>第二节</w:t>
            </w:r>
          </w:p>
          <w:p w14:paraId="0534525C">
            <w:pPr>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color w:val="auto"/>
                <w:szCs w:val="21"/>
                <w:highlight w:val="none"/>
              </w:rPr>
            </w:pPr>
            <w:r>
              <w:rPr>
                <w:rFonts w:hint="eastAsia" w:ascii="宋体" w:hAnsi="宋体"/>
                <w:color w:val="auto"/>
                <w:szCs w:val="21"/>
                <w:highlight w:val="none"/>
              </w:rPr>
              <w:t>第1</w:t>
            </w:r>
            <w:r>
              <w:rPr>
                <w:rFonts w:hint="eastAsia" w:ascii="宋体" w:hAnsi="宋体"/>
                <w:color w:val="auto"/>
                <w:szCs w:val="21"/>
                <w:highlight w:val="none"/>
                <w:lang w:val="en-US" w:eastAsia="zh-CN"/>
              </w:rPr>
              <w:t>5</w:t>
            </w:r>
            <w:r>
              <w:rPr>
                <w:rFonts w:hint="eastAsia" w:ascii="宋体" w:hAnsi="宋体"/>
                <w:color w:val="auto"/>
                <w:szCs w:val="21"/>
                <w:highlight w:val="none"/>
              </w:rPr>
              <w:t>.</w:t>
            </w:r>
            <w:r>
              <w:rPr>
                <w:rFonts w:hint="eastAsia" w:ascii="宋体" w:hAnsi="宋体"/>
                <w:color w:val="auto"/>
                <w:szCs w:val="21"/>
                <w:highlight w:val="none"/>
                <w:lang w:val="en-US" w:eastAsia="zh-CN"/>
              </w:rPr>
              <w:t>3款</w:t>
            </w:r>
          </w:p>
        </w:tc>
        <w:tc>
          <w:tcPr>
            <w:tcW w:w="2233" w:type="dxa"/>
            <w:vAlign w:val="center"/>
          </w:tcPr>
          <w:p w14:paraId="2C233818">
            <w:pPr>
              <w:keepNext w:val="0"/>
              <w:keepLines w:val="0"/>
              <w:pageBreakBefore w:val="0"/>
              <w:kinsoku/>
              <w:wordWrap/>
              <w:overflowPunct/>
              <w:topLinePunct w:val="0"/>
              <w:bidi w:val="0"/>
              <w:adjustRightInd w:val="0"/>
              <w:snapToGrid w:val="0"/>
              <w:spacing w:line="240" w:lineRule="auto"/>
              <w:jc w:val="left"/>
              <w:textAlignment w:val="auto"/>
              <w:rPr>
                <w:rFonts w:hint="eastAsia" w:ascii="宋体" w:hAnsi="宋体"/>
                <w:color w:val="auto"/>
                <w:szCs w:val="21"/>
                <w:highlight w:val="none"/>
              </w:rPr>
            </w:pPr>
            <w:r>
              <w:rPr>
                <w:rFonts w:hint="eastAsia" w:ascii="宋体" w:hAnsi="宋体"/>
                <w:color w:val="auto"/>
                <w:szCs w:val="21"/>
                <w:highlight w:val="none"/>
              </w:rPr>
              <w:t>逾期付款利息</w:t>
            </w:r>
          </w:p>
        </w:tc>
        <w:tc>
          <w:tcPr>
            <w:tcW w:w="4316" w:type="dxa"/>
            <w:vAlign w:val="center"/>
          </w:tcPr>
          <w:p w14:paraId="3A0C3F19">
            <w:pPr>
              <w:adjustRightInd w:val="0"/>
              <w:snapToGrid w:val="0"/>
              <w:jc w:val="left"/>
              <w:rPr>
                <w:rFonts w:ascii="宋体" w:hAnsi="宋体"/>
                <w:color w:val="auto"/>
                <w:szCs w:val="21"/>
                <w:highlight w:val="none"/>
                <w:u w:val="single"/>
              </w:rPr>
            </w:pPr>
          </w:p>
        </w:tc>
      </w:tr>
      <w:tr w14:paraId="3482169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707" w:type="dxa"/>
            <w:tcBorders>
              <w:bottom w:val="single" w:color="auto" w:sz="2" w:space="0"/>
              <w:right w:val="single" w:color="auto" w:sz="2" w:space="0"/>
            </w:tcBorders>
            <w:vAlign w:val="center"/>
          </w:tcPr>
          <w:p w14:paraId="45AA05DB">
            <w:pPr>
              <w:keepNext w:val="0"/>
              <w:keepLines w:val="0"/>
              <w:pageBreakBefore w:val="0"/>
              <w:kinsoku/>
              <w:wordWrap/>
              <w:overflowPunct/>
              <w:topLinePunct w:val="0"/>
              <w:bidi w:val="0"/>
              <w:adjustRightInd w:val="0"/>
              <w:snapToGrid w:val="0"/>
              <w:spacing w:line="240" w:lineRule="auto"/>
              <w:jc w:val="center"/>
              <w:textAlignment w:val="auto"/>
              <w:rPr>
                <w:rFonts w:ascii="宋体" w:hAnsi="宋体"/>
                <w:color w:val="auto"/>
                <w:szCs w:val="21"/>
                <w:highlight w:val="none"/>
              </w:rPr>
            </w:pPr>
            <w:r>
              <w:rPr>
                <w:rFonts w:hint="eastAsia" w:ascii="宋体" w:hAnsi="宋体"/>
                <w:color w:val="auto"/>
                <w:szCs w:val="21"/>
                <w:highlight w:val="none"/>
              </w:rPr>
              <w:t>第二节</w:t>
            </w:r>
          </w:p>
          <w:p w14:paraId="5D78F5E5">
            <w:pPr>
              <w:keepNext w:val="0"/>
              <w:keepLines w:val="0"/>
              <w:pageBreakBefore w:val="0"/>
              <w:kinsoku/>
              <w:wordWrap/>
              <w:overflowPunct/>
              <w:topLinePunct w:val="0"/>
              <w:bidi w:val="0"/>
              <w:adjustRightInd w:val="0"/>
              <w:snapToGrid w:val="0"/>
              <w:spacing w:line="240" w:lineRule="auto"/>
              <w:jc w:val="center"/>
              <w:textAlignment w:val="auto"/>
              <w:rPr>
                <w:rFonts w:ascii="宋体" w:hAnsi="宋体"/>
                <w:color w:val="auto"/>
                <w:szCs w:val="21"/>
                <w:highlight w:val="none"/>
              </w:rPr>
            </w:pPr>
            <w:r>
              <w:rPr>
                <w:rFonts w:hint="eastAsia" w:ascii="宋体" w:hAnsi="宋体"/>
                <w:color w:val="auto"/>
                <w:szCs w:val="21"/>
                <w:highlight w:val="none"/>
              </w:rPr>
              <w:t>第1</w:t>
            </w:r>
            <w:r>
              <w:rPr>
                <w:rFonts w:hint="eastAsia" w:ascii="宋体" w:hAnsi="宋体"/>
                <w:color w:val="auto"/>
                <w:szCs w:val="21"/>
                <w:highlight w:val="none"/>
                <w:lang w:val="en-US" w:eastAsia="zh-CN"/>
              </w:rPr>
              <w:t>5</w:t>
            </w:r>
            <w:r>
              <w:rPr>
                <w:rFonts w:hint="eastAsia" w:ascii="宋体" w:hAnsi="宋体"/>
                <w:color w:val="auto"/>
                <w:szCs w:val="21"/>
                <w:highlight w:val="none"/>
              </w:rPr>
              <w:t>.4</w:t>
            </w:r>
            <w:r>
              <w:rPr>
                <w:rFonts w:hint="eastAsia" w:ascii="宋体" w:hAnsi="宋体"/>
                <w:color w:val="auto"/>
                <w:szCs w:val="21"/>
                <w:highlight w:val="none"/>
                <w:lang w:val="en-US" w:eastAsia="zh-CN"/>
              </w:rPr>
              <w:t>款</w:t>
            </w:r>
          </w:p>
        </w:tc>
        <w:tc>
          <w:tcPr>
            <w:tcW w:w="2233" w:type="dxa"/>
            <w:tcBorders>
              <w:left w:val="single" w:color="auto" w:sz="2" w:space="0"/>
              <w:bottom w:val="single" w:color="auto" w:sz="2" w:space="0"/>
              <w:right w:val="single" w:color="auto" w:sz="2" w:space="0"/>
            </w:tcBorders>
            <w:vAlign w:val="center"/>
          </w:tcPr>
          <w:p w14:paraId="1138734C">
            <w:pPr>
              <w:keepNext w:val="0"/>
              <w:keepLines w:val="0"/>
              <w:pageBreakBefore w:val="0"/>
              <w:kinsoku/>
              <w:wordWrap/>
              <w:overflowPunct/>
              <w:topLinePunct w:val="0"/>
              <w:bidi w:val="0"/>
              <w:adjustRightInd w:val="0"/>
              <w:snapToGrid w:val="0"/>
              <w:spacing w:line="240" w:lineRule="auto"/>
              <w:jc w:val="left"/>
              <w:textAlignment w:val="auto"/>
              <w:rPr>
                <w:rFonts w:ascii="宋体" w:hAnsi="宋体"/>
                <w:color w:val="auto"/>
                <w:szCs w:val="21"/>
                <w:highlight w:val="none"/>
              </w:rPr>
            </w:pPr>
            <w:r>
              <w:rPr>
                <w:rFonts w:hint="eastAsia" w:ascii="宋体" w:hAnsi="宋体"/>
                <w:color w:val="auto"/>
                <w:szCs w:val="21"/>
                <w:highlight w:val="none"/>
              </w:rPr>
              <w:t>其他违约责任</w:t>
            </w:r>
          </w:p>
        </w:tc>
        <w:tc>
          <w:tcPr>
            <w:tcW w:w="4316" w:type="dxa"/>
            <w:tcBorders>
              <w:left w:val="single" w:color="auto" w:sz="2" w:space="0"/>
              <w:bottom w:val="single" w:color="auto" w:sz="2" w:space="0"/>
            </w:tcBorders>
            <w:vAlign w:val="center"/>
          </w:tcPr>
          <w:p w14:paraId="219760E1">
            <w:pPr>
              <w:adjustRightInd w:val="0"/>
              <w:snapToGrid w:val="0"/>
              <w:jc w:val="left"/>
              <w:rPr>
                <w:rFonts w:ascii="宋体" w:hAnsi="宋体"/>
                <w:color w:val="auto"/>
                <w:szCs w:val="21"/>
                <w:highlight w:val="none"/>
                <w:u w:val="single"/>
              </w:rPr>
            </w:pPr>
          </w:p>
        </w:tc>
      </w:tr>
      <w:tr w14:paraId="0A20900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707" w:type="dxa"/>
            <w:tcBorders>
              <w:top w:val="single" w:color="auto" w:sz="2" w:space="0"/>
              <w:right w:val="single" w:color="auto" w:sz="2" w:space="0"/>
            </w:tcBorders>
            <w:vAlign w:val="center"/>
          </w:tcPr>
          <w:p w14:paraId="177F4FBF">
            <w:pPr>
              <w:keepNext w:val="0"/>
              <w:keepLines w:val="0"/>
              <w:pageBreakBefore w:val="0"/>
              <w:kinsoku/>
              <w:wordWrap/>
              <w:overflowPunct/>
              <w:topLinePunct w:val="0"/>
              <w:bidi w:val="0"/>
              <w:adjustRightInd w:val="0"/>
              <w:snapToGrid w:val="0"/>
              <w:spacing w:line="240" w:lineRule="auto"/>
              <w:jc w:val="center"/>
              <w:textAlignment w:val="auto"/>
              <w:rPr>
                <w:rFonts w:ascii="宋体" w:hAnsi="宋体"/>
                <w:color w:val="auto"/>
                <w:szCs w:val="21"/>
                <w:highlight w:val="none"/>
              </w:rPr>
            </w:pPr>
            <w:r>
              <w:rPr>
                <w:rFonts w:hint="eastAsia" w:ascii="宋体" w:hAnsi="宋体"/>
                <w:color w:val="auto"/>
                <w:szCs w:val="21"/>
                <w:highlight w:val="none"/>
              </w:rPr>
              <w:t>第二节</w:t>
            </w:r>
          </w:p>
          <w:p w14:paraId="5CFE048F">
            <w:pPr>
              <w:keepNext w:val="0"/>
              <w:keepLines w:val="0"/>
              <w:pageBreakBefore w:val="0"/>
              <w:kinsoku/>
              <w:wordWrap/>
              <w:overflowPunct/>
              <w:topLinePunct w:val="0"/>
              <w:bidi w:val="0"/>
              <w:adjustRightInd w:val="0"/>
              <w:snapToGrid w:val="0"/>
              <w:spacing w:line="240" w:lineRule="auto"/>
              <w:jc w:val="center"/>
              <w:textAlignment w:val="auto"/>
              <w:rPr>
                <w:rFonts w:ascii="宋体" w:hAnsi="宋体"/>
                <w:color w:val="auto"/>
                <w:szCs w:val="21"/>
                <w:highlight w:val="none"/>
              </w:rPr>
            </w:pPr>
            <w:r>
              <w:rPr>
                <w:rFonts w:hint="eastAsia" w:ascii="宋体" w:hAnsi="宋体"/>
                <w:color w:val="auto"/>
                <w:szCs w:val="21"/>
                <w:highlight w:val="none"/>
              </w:rPr>
              <w:t>第</w:t>
            </w:r>
            <w:r>
              <w:rPr>
                <w:rFonts w:hint="eastAsia" w:ascii="宋体" w:hAnsi="宋体"/>
                <w:color w:val="auto"/>
                <w:szCs w:val="21"/>
                <w:highlight w:val="none"/>
                <w:lang w:val="en-US" w:eastAsia="zh-CN"/>
              </w:rPr>
              <w:t>19</w:t>
            </w:r>
            <w:r>
              <w:rPr>
                <w:rFonts w:hint="eastAsia" w:ascii="宋体" w:hAnsi="宋体"/>
                <w:color w:val="auto"/>
                <w:szCs w:val="21"/>
                <w:highlight w:val="none"/>
              </w:rPr>
              <w:t>.2</w:t>
            </w:r>
            <w:r>
              <w:rPr>
                <w:rFonts w:hint="eastAsia" w:ascii="宋体" w:hAnsi="宋体"/>
                <w:color w:val="auto"/>
                <w:szCs w:val="21"/>
                <w:highlight w:val="none"/>
                <w:lang w:val="en-US" w:eastAsia="zh-CN"/>
              </w:rPr>
              <w:t>款</w:t>
            </w:r>
          </w:p>
        </w:tc>
        <w:tc>
          <w:tcPr>
            <w:tcW w:w="2233" w:type="dxa"/>
            <w:tcBorders>
              <w:top w:val="single" w:color="auto" w:sz="2" w:space="0"/>
              <w:left w:val="single" w:color="auto" w:sz="2" w:space="0"/>
              <w:right w:val="single" w:color="auto" w:sz="2" w:space="0"/>
            </w:tcBorders>
            <w:vAlign w:val="center"/>
          </w:tcPr>
          <w:p w14:paraId="5351737D">
            <w:pPr>
              <w:keepNext w:val="0"/>
              <w:keepLines w:val="0"/>
              <w:pageBreakBefore w:val="0"/>
              <w:kinsoku/>
              <w:wordWrap/>
              <w:overflowPunct/>
              <w:topLinePunct w:val="0"/>
              <w:bidi w:val="0"/>
              <w:adjustRightInd w:val="0"/>
              <w:snapToGrid w:val="0"/>
              <w:spacing w:line="240" w:lineRule="auto"/>
              <w:jc w:val="left"/>
              <w:textAlignment w:val="auto"/>
              <w:rPr>
                <w:rFonts w:ascii="宋体" w:hAnsi="宋体"/>
                <w:color w:val="auto"/>
                <w:szCs w:val="21"/>
                <w:highlight w:val="none"/>
              </w:rPr>
            </w:pPr>
            <w:r>
              <w:rPr>
                <w:rFonts w:hint="eastAsia" w:ascii="宋体" w:hAnsi="宋体"/>
                <w:color w:val="auto"/>
                <w:szCs w:val="21"/>
                <w:highlight w:val="none"/>
                <w:lang w:val="en-US" w:eastAsia="zh-CN"/>
              </w:rPr>
              <w:t>解决争议的方法</w:t>
            </w:r>
          </w:p>
        </w:tc>
        <w:tc>
          <w:tcPr>
            <w:tcW w:w="4316" w:type="dxa"/>
            <w:tcBorders>
              <w:top w:val="single" w:color="auto" w:sz="2" w:space="0"/>
              <w:left w:val="single" w:color="auto" w:sz="2" w:space="0"/>
            </w:tcBorders>
            <w:vAlign w:val="center"/>
          </w:tcPr>
          <w:p w14:paraId="0812CAF3">
            <w:pPr>
              <w:autoSpaceDE w:val="0"/>
              <w:autoSpaceDN w:val="0"/>
              <w:adjustRightInd w:val="0"/>
              <w:snapToGrid w:val="0"/>
              <w:spacing w:line="400" w:lineRule="exact"/>
              <w:jc w:val="left"/>
              <w:rPr>
                <w:rFonts w:hint="eastAsia" w:ascii="宋体" w:hAnsi="宋体" w:eastAsia="宋体" w:cs="宋体"/>
                <w:b w:val="0"/>
                <w:bCs w:val="0"/>
                <w:iCs/>
                <w:color w:val="auto"/>
                <w:szCs w:val="21"/>
                <w:highlight w:val="none"/>
              </w:rPr>
            </w:pPr>
            <w:r>
              <w:rPr>
                <w:rFonts w:hint="eastAsia" w:ascii="宋体" w:hAnsi="宋体" w:eastAsia="宋体" w:cs="宋体"/>
                <w:b w:val="0"/>
                <w:bCs w:val="0"/>
                <w:iCs/>
                <w:color w:val="auto"/>
                <w:szCs w:val="21"/>
                <w:highlight w:val="none"/>
              </w:rPr>
              <w:t>因本合同及合同有关事项发生的争议，按下列第</w:t>
            </w:r>
            <w:r>
              <w:rPr>
                <w:rFonts w:hint="eastAsia" w:ascii="宋体" w:hAnsi="宋体" w:eastAsia="宋体" w:cs="宋体"/>
                <w:b w:val="0"/>
                <w:bCs w:val="0"/>
                <w:iCs/>
                <w:color w:val="auto"/>
                <w:szCs w:val="21"/>
                <w:highlight w:val="none"/>
                <w:u w:val="single"/>
              </w:rPr>
              <w:t xml:space="preserve">   </w:t>
            </w:r>
            <w:r>
              <w:rPr>
                <w:rFonts w:hint="eastAsia" w:ascii="宋体" w:hAnsi="宋体" w:eastAsia="宋体" w:cs="宋体"/>
                <w:b w:val="0"/>
                <w:bCs w:val="0"/>
                <w:iCs/>
                <w:color w:val="auto"/>
                <w:szCs w:val="21"/>
                <w:highlight w:val="none"/>
              </w:rPr>
              <w:t>种方式解决：</w:t>
            </w:r>
          </w:p>
          <w:p w14:paraId="66960E2A">
            <w:pPr>
              <w:autoSpaceDE w:val="0"/>
              <w:autoSpaceDN w:val="0"/>
              <w:adjustRightInd w:val="0"/>
              <w:snapToGrid w:val="0"/>
              <w:spacing w:line="400" w:lineRule="exact"/>
              <w:jc w:val="left"/>
              <w:rPr>
                <w:rFonts w:hint="eastAsia" w:ascii="宋体" w:hAnsi="宋体" w:eastAsia="宋体" w:cs="宋体"/>
                <w:b w:val="0"/>
                <w:bCs w:val="0"/>
                <w:iCs/>
                <w:color w:val="auto"/>
                <w:szCs w:val="21"/>
                <w:highlight w:val="none"/>
              </w:rPr>
            </w:pPr>
            <w:r>
              <w:rPr>
                <w:rFonts w:hint="eastAsia" w:ascii="宋体" w:hAnsi="宋体" w:eastAsia="宋体" w:cs="宋体"/>
                <w:b w:val="0"/>
                <w:bCs w:val="0"/>
                <w:iCs/>
                <w:color w:val="auto"/>
                <w:szCs w:val="21"/>
                <w:highlight w:val="none"/>
              </w:rPr>
              <w:t>（1）向</w:t>
            </w:r>
            <w:r>
              <w:rPr>
                <w:rFonts w:hint="eastAsia" w:ascii="宋体" w:hAnsi="宋体" w:eastAsia="宋体" w:cs="宋体"/>
                <w:b w:val="0"/>
                <w:bCs w:val="0"/>
                <w:iCs/>
                <w:color w:val="auto"/>
                <w:szCs w:val="21"/>
                <w:highlight w:val="none"/>
                <w:u w:val="single"/>
              </w:rPr>
              <w:t xml:space="preserve">                    </w:t>
            </w:r>
            <w:r>
              <w:rPr>
                <w:rFonts w:hint="eastAsia" w:ascii="宋体" w:hAnsi="宋体" w:eastAsia="宋体" w:cs="宋体"/>
                <w:b w:val="0"/>
                <w:bCs w:val="0"/>
                <w:iCs/>
                <w:color w:val="auto"/>
                <w:szCs w:val="21"/>
                <w:highlight w:val="none"/>
              </w:rPr>
              <w:t>仲裁委员会申请仲裁，仲裁地点为</w:t>
            </w:r>
            <w:r>
              <w:rPr>
                <w:rFonts w:hint="eastAsia" w:ascii="宋体" w:hAnsi="宋体" w:eastAsia="宋体" w:cs="宋体"/>
                <w:b w:val="0"/>
                <w:bCs w:val="0"/>
                <w:iCs/>
                <w:color w:val="auto"/>
                <w:szCs w:val="21"/>
                <w:highlight w:val="none"/>
                <w:u w:val="single"/>
              </w:rPr>
              <w:t xml:space="preserve">           </w:t>
            </w:r>
            <w:r>
              <w:rPr>
                <w:rFonts w:hint="eastAsia" w:ascii="宋体" w:hAnsi="宋体" w:eastAsia="宋体" w:cs="宋体"/>
                <w:b w:val="0"/>
                <w:bCs w:val="0"/>
                <w:iCs/>
                <w:color w:val="auto"/>
                <w:szCs w:val="21"/>
                <w:highlight w:val="none"/>
              </w:rPr>
              <w:t>；</w:t>
            </w:r>
          </w:p>
          <w:p w14:paraId="2A1D3AA7">
            <w:pPr>
              <w:adjustRightInd w:val="0"/>
              <w:snapToGrid w:val="0"/>
              <w:ind w:firstLine="0" w:firstLineChars="0"/>
              <w:jc w:val="left"/>
              <w:rPr>
                <w:rFonts w:ascii="宋体" w:hAnsi="宋体"/>
                <w:color w:val="auto"/>
                <w:szCs w:val="21"/>
                <w:highlight w:val="none"/>
                <w:u w:val="single"/>
              </w:rPr>
            </w:pPr>
            <w:r>
              <w:rPr>
                <w:rFonts w:hint="eastAsia" w:ascii="宋体" w:hAnsi="宋体" w:eastAsia="宋体" w:cs="宋体"/>
                <w:b w:val="0"/>
                <w:bCs w:val="0"/>
                <w:iCs/>
                <w:color w:val="auto"/>
                <w:szCs w:val="21"/>
                <w:highlight w:val="none"/>
              </w:rPr>
              <w:t>（2）向</w:t>
            </w:r>
            <w:r>
              <w:rPr>
                <w:rFonts w:hint="eastAsia" w:ascii="宋体" w:hAnsi="宋体" w:eastAsia="宋体" w:cs="宋体"/>
                <w:b w:val="0"/>
                <w:bCs w:val="0"/>
                <w:iCs/>
                <w:color w:val="auto"/>
                <w:szCs w:val="21"/>
                <w:highlight w:val="none"/>
                <w:u w:val="single"/>
              </w:rPr>
              <w:t xml:space="preserve">                    </w:t>
            </w:r>
            <w:r>
              <w:rPr>
                <w:rFonts w:hint="eastAsia" w:ascii="宋体" w:hAnsi="宋体" w:eastAsia="宋体" w:cs="宋体"/>
                <w:b w:val="0"/>
                <w:bCs w:val="0"/>
                <w:iCs/>
                <w:color w:val="auto"/>
                <w:szCs w:val="21"/>
                <w:highlight w:val="none"/>
              </w:rPr>
              <w:t>人民法院起诉。</w:t>
            </w:r>
          </w:p>
        </w:tc>
      </w:tr>
      <w:tr w14:paraId="05C29C2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707" w:type="dxa"/>
            <w:vAlign w:val="center"/>
          </w:tcPr>
          <w:p w14:paraId="464253B9">
            <w:pPr>
              <w:keepNext w:val="0"/>
              <w:keepLines w:val="0"/>
              <w:pageBreakBefore w:val="0"/>
              <w:kinsoku/>
              <w:wordWrap/>
              <w:overflowPunct/>
              <w:topLinePunct w:val="0"/>
              <w:bidi w:val="0"/>
              <w:adjustRightInd w:val="0"/>
              <w:snapToGrid w:val="0"/>
              <w:spacing w:line="240" w:lineRule="auto"/>
              <w:jc w:val="center"/>
              <w:textAlignment w:val="auto"/>
              <w:rPr>
                <w:rFonts w:ascii="宋体" w:hAnsi="宋体"/>
                <w:color w:val="auto"/>
                <w:szCs w:val="21"/>
                <w:highlight w:val="none"/>
              </w:rPr>
            </w:pPr>
            <w:r>
              <w:rPr>
                <w:rFonts w:hint="eastAsia" w:ascii="宋体" w:hAnsi="宋体"/>
                <w:color w:val="auto"/>
                <w:szCs w:val="21"/>
                <w:highlight w:val="none"/>
              </w:rPr>
              <w:t>第二节</w:t>
            </w:r>
          </w:p>
          <w:p w14:paraId="6F24106A">
            <w:pPr>
              <w:keepNext w:val="0"/>
              <w:keepLines w:val="0"/>
              <w:pageBreakBefore w:val="0"/>
              <w:kinsoku/>
              <w:wordWrap/>
              <w:overflowPunct/>
              <w:topLinePunct w:val="0"/>
              <w:bidi w:val="0"/>
              <w:adjustRightInd w:val="0"/>
              <w:snapToGrid w:val="0"/>
              <w:spacing w:line="240" w:lineRule="auto"/>
              <w:jc w:val="center"/>
              <w:textAlignment w:val="auto"/>
              <w:rPr>
                <w:rFonts w:ascii="宋体" w:hAnsi="宋体"/>
                <w:color w:val="auto"/>
                <w:szCs w:val="21"/>
                <w:highlight w:val="none"/>
              </w:rPr>
            </w:pPr>
            <w:r>
              <w:rPr>
                <w:rFonts w:hint="eastAsia" w:ascii="宋体" w:hAnsi="宋体"/>
                <w:color w:val="auto"/>
                <w:szCs w:val="21"/>
                <w:highlight w:val="none"/>
              </w:rPr>
              <w:t>第2</w:t>
            </w:r>
            <w:r>
              <w:rPr>
                <w:rFonts w:hint="eastAsia" w:ascii="宋体" w:hAnsi="宋体"/>
                <w:color w:val="auto"/>
                <w:szCs w:val="21"/>
                <w:highlight w:val="none"/>
                <w:lang w:val="en-US" w:eastAsia="zh-CN"/>
              </w:rPr>
              <w:t>3.1</w:t>
            </w:r>
            <w:r>
              <w:rPr>
                <w:rFonts w:hint="eastAsia" w:ascii="宋体" w:hAnsi="宋体"/>
                <w:color w:val="auto"/>
                <w:szCs w:val="21"/>
                <w:highlight w:val="none"/>
                <w:lang w:eastAsia="zh-CN"/>
              </w:rPr>
              <w:t>款</w:t>
            </w:r>
          </w:p>
        </w:tc>
        <w:tc>
          <w:tcPr>
            <w:tcW w:w="2233" w:type="dxa"/>
            <w:vAlign w:val="center"/>
          </w:tcPr>
          <w:p w14:paraId="6180F86D">
            <w:pPr>
              <w:keepNext w:val="0"/>
              <w:keepLines w:val="0"/>
              <w:pageBreakBefore w:val="0"/>
              <w:kinsoku/>
              <w:wordWrap/>
              <w:overflowPunct/>
              <w:topLinePunct w:val="0"/>
              <w:bidi w:val="0"/>
              <w:adjustRightInd w:val="0"/>
              <w:snapToGrid w:val="0"/>
              <w:spacing w:line="240" w:lineRule="auto"/>
              <w:jc w:val="left"/>
              <w:textAlignment w:val="auto"/>
              <w:rPr>
                <w:rFonts w:ascii="宋体" w:hAnsi="宋体"/>
                <w:color w:val="auto"/>
                <w:szCs w:val="21"/>
                <w:highlight w:val="none"/>
              </w:rPr>
            </w:pPr>
            <w:r>
              <w:rPr>
                <w:rFonts w:hint="eastAsia" w:ascii="宋体" w:hAnsi="宋体"/>
                <w:bCs/>
                <w:color w:val="auto"/>
                <w:szCs w:val="21"/>
                <w:highlight w:val="none"/>
                <w:lang w:eastAsia="zh-CN"/>
              </w:rPr>
              <w:t>其他专用条款</w:t>
            </w:r>
          </w:p>
        </w:tc>
        <w:tc>
          <w:tcPr>
            <w:tcW w:w="4316" w:type="dxa"/>
            <w:vAlign w:val="center"/>
          </w:tcPr>
          <w:p w14:paraId="08227F34">
            <w:pPr>
              <w:adjustRightInd w:val="0"/>
              <w:snapToGrid w:val="0"/>
              <w:jc w:val="left"/>
              <w:rPr>
                <w:rFonts w:hint="default" w:ascii="宋体" w:hAnsi="宋体" w:eastAsia="宋体"/>
                <w:color w:val="auto"/>
                <w:szCs w:val="21"/>
                <w:highlight w:val="none"/>
                <w:lang w:val="en-US" w:eastAsia="zh-CN"/>
              </w:rPr>
            </w:pPr>
          </w:p>
        </w:tc>
      </w:tr>
    </w:tbl>
    <w:p w14:paraId="273AC562">
      <w:pPr>
        <w:rPr>
          <w:color w:val="auto"/>
          <w:highlight w:val="none"/>
        </w:rPr>
      </w:pPr>
    </w:p>
    <w:p w14:paraId="7360A251">
      <w:pPr>
        <w:rPr>
          <w:color w:val="auto"/>
          <w:highlight w:val="none"/>
        </w:rPr>
      </w:pPr>
    </w:p>
    <w:p w14:paraId="59C8CB5D">
      <w:pPr>
        <w:rPr>
          <w:color w:val="auto"/>
          <w:highlight w:val="none"/>
          <w:lang w:val="zh-CN"/>
        </w:rPr>
      </w:pPr>
    </w:p>
    <w:p w14:paraId="19932A4E">
      <w:pPr>
        <w:rPr>
          <w:color w:val="auto"/>
          <w:highlight w:val="none"/>
          <w:lang w:val="zh-CN"/>
        </w:rPr>
      </w:pPr>
    </w:p>
    <w:p w14:paraId="427F84D2">
      <w:pPr>
        <w:pStyle w:val="3"/>
        <w:rPr>
          <w:color w:val="auto"/>
          <w:highlight w:val="none"/>
          <w:lang w:val="zh-CN"/>
        </w:rPr>
      </w:pPr>
    </w:p>
    <w:p w14:paraId="04A53194">
      <w:pPr>
        <w:rPr>
          <w:color w:val="auto"/>
          <w:highlight w:val="none"/>
          <w:lang w:val="zh-CN"/>
        </w:rPr>
        <w:sectPr>
          <w:pgSz w:w="11906" w:h="16838"/>
          <w:pgMar w:top="1440" w:right="1800" w:bottom="1440" w:left="1800" w:header="851" w:footer="992" w:gutter="0"/>
          <w:pgBorders>
            <w:top w:val="none" w:sz="0" w:space="0"/>
            <w:left w:val="none" w:sz="0" w:space="0"/>
            <w:bottom w:val="none" w:sz="0" w:space="0"/>
            <w:right w:val="none" w:sz="0" w:space="0"/>
          </w:pgBorders>
          <w:pgNumType w:fmt="numberInDash"/>
          <w:cols w:space="425" w:num="1"/>
          <w:docGrid w:type="lines" w:linePitch="312" w:charSpace="0"/>
        </w:sectPr>
      </w:pPr>
    </w:p>
    <w:p w14:paraId="557A8F2F">
      <w:pPr>
        <w:pStyle w:val="2"/>
        <w:keepNext/>
        <w:keepLines/>
        <w:pageBreakBefore w:val="0"/>
        <w:widowControl w:val="0"/>
        <w:numPr>
          <w:ilvl w:val="0"/>
          <w:numId w:val="0"/>
        </w:numPr>
        <w:kinsoku/>
        <w:wordWrap/>
        <w:overflowPunct/>
        <w:topLinePunct w:val="0"/>
        <w:autoSpaceDE/>
        <w:autoSpaceDN/>
        <w:bidi w:val="0"/>
        <w:adjustRightInd/>
        <w:snapToGrid/>
        <w:spacing w:before="100" w:after="90" w:line="360" w:lineRule="auto"/>
        <w:ind w:left="420" w:leftChars="0" w:hanging="420" w:firstLineChars="0"/>
        <w:textAlignment w:val="auto"/>
        <w:rPr>
          <w:rFonts w:hint="eastAsia" w:ascii="宋体" w:hAnsi="宋体" w:eastAsia="黑体" w:cstheme="minorBidi"/>
          <w:b/>
          <w:bCs/>
          <w:color w:val="auto"/>
          <w:kern w:val="44"/>
          <w:sz w:val="44"/>
          <w:szCs w:val="44"/>
          <w:highlight w:val="none"/>
          <w:lang w:val="en-US" w:eastAsia="zh-CN" w:bidi="ar-SA"/>
        </w:rPr>
      </w:pPr>
      <w:bookmarkStart w:id="331" w:name="_Toc163492913"/>
      <w:bookmarkStart w:id="332" w:name="_Toc155185919"/>
    </w:p>
    <w:p w14:paraId="72D513E7">
      <w:pPr>
        <w:pStyle w:val="2"/>
        <w:keepNext/>
        <w:keepLines/>
        <w:pageBreakBefore w:val="0"/>
        <w:widowControl w:val="0"/>
        <w:numPr>
          <w:ilvl w:val="0"/>
          <w:numId w:val="0"/>
        </w:numPr>
        <w:kinsoku/>
        <w:wordWrap/>
        <w:overflowPunct/>
        <w:topLinePunct w:val="0"/>
        <w:autoSpaceDE/>
        <w:autoSpaceDN/>
        <w:bidi w:val="0"/>
        <w:adjustRightInd/>
        <w:snapToGrid/>
        <w:spacing w:before="100" w:after="90" w:line="360" w:lineRule="auto"/>
        <w:ind w:left="420" w:leftChars="0" w:hanging="420" w:firstLineChars="0"/>
        <w:textAlignment w:val="auto"/>
        <w:rPr>
          <w:rFonts w:hint="eastAsia" w:ascii="宋体" w:hAnsi="宋体" w:eastAsia="黑体" w:cstheme="minorBidi"/>
          <w:b/>
          <w:bCs/>
          <w:color w:val="auto"/>
          <w:kern w:val="44"/>
          <w:sz w:val="44"/>
          <w:szCs w:val="44"/>
          <w:highlight w:val="none"/>
          <w:lang w:val="en-US" w:eastAsia="zh-CN" w:bidi="ar-SA"/>
        </w:rPr>
      </w:pPr>
    </w:p>
    <w:p w14:paraId="5CAF3138">
      <w:pPr>
        <w:pStyle w:val="2"/>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宋体" w:hAnsi="宋体" w:eastAsia="宋体" w:cs="宋体"/>
          <w:b/>
          <w:bCs/>
          <w:color w:val="auto"/>
          <w:kern w:val="44"/>
          <w:sz w:val="36"/>
          <w:szCs w:val="36"/>
          <w:highlight w:val="none"/>
          <w:lang w:val="en-US" w:eastAsia="zh-CN" w:bidi="ar-SA"/>
        </w:rPr>
      </w:pPr>
      <w:bookmarkStart w:id="333" w:name="_Toc4655"/>
      <w:r>
        <w:rPr>
          <w:rFonts w:hint="eastAsia" w:ascii="宋体" w:hAnsi="宋体" w:eastAsia="宋体" w:cs="宋体"/>
          <w:b/>
          <w:bCs/>
          <w:color w:val="auto"/>
          <w:kern w:val="44"/>
          <w:sz w:val="36"/>
          <w:szCs w:val="36"/>
          <w:highlight w:val="none"/>
          <w:lang w:val="en-US" w:eastAsia="zh-CN" w:bidi="ar-SA"/>
        </w:rPr>
        <w:t>第七章 投标文件格式</w:t>
      </w:r>
      <w:bookmarkEnd w:id="331"/>
      <w:bookmarkEnd w:id="332"/>
      <w:bookmarkEnd w:id="333"/>
    </w:p>
    <w:p w14:paraId="20B1063D">
      <w:pPr>
        <w:ind w:left="240" w:leftChars="100" w:firstLine="480" w:firstLineChars="200"/>
        <w:rPr>
          <w:rFonts w:cs="仿宋_GB2312"/>
          <w:color w:val="auto"/>
          <w:szCs w:val="24"/>
          <w:highlight w:val="none"/>
        </w:rPr>
      </w:pPr>
    </w:p>
    <w:p w14:paraId="29D44C55">
      <w:pPr>
        <w:pStyle w:val="63"/>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244DD0F1">
      <w:pPr>
        <w:pStyle w:val="63"/>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09EDECB5">
      <w:pPr>
        <w:pStyle w:val="63"/>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75F9B001">
      <w:pPr>
        <w:pStyle w:val="63"/>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12E1D158">
      <w:pPr>
        <w:pStyle w:val="63"/>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4E6822E5">
      <w:pPr>
        <w:pStyle w:val="63"/>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62CA045B">
      <w:pPr>
        <w:pStyle w:val="63"/>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3893E9FD">
      <w:pPr>
        <w:pStyle w:val="63"/>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495452EF">
      <w:pPr>
        <w:pStyle w:val="63"/>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0AA66CC1">
      <w:pPr>
        <w:pStyle w:val="63"/>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369FA17D">
      <w:pPr>
        <w:pStyle w:val="63"/>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572E3CAE">
      <w:pPr>
        <w:pStyle w:val="63"/>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5565C3EB">
      <w:pPr>
        <w:pStyle w:val="63"/>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07DA079A">
      <w:pPr>
        <w:pStyle w:val="63"/>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6E15166A">
      <w:pPr>
        <w:pStyle w:val="63"/>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63A9983C">
      <w:pPr>
        <w:pStyle w:val="63"/>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748F8DEC">
      <w:pPr>
        <w:pStyle w:val="63"/>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6F52A8AF">
      <w:pPr>
        <w:pStyle w:val="63"/>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42FC05CF">
      <w:pPr>
        <w:pStyle w:val="63"/>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761F2B5A">
      <w:pPr>
        <w:pStyle w:val="63"/>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599474F0">
      <w:pPr>
        <w:pStyle w:val="63"/>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5390F1A2">
      <w:pPr>
        <w:pStyle w:val="63"/>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4A93A46C">
      <w:pPr>
        <w:pStyle w:val="63"/>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3C290983">
      <w:pPr>
        <w:pStyle w:val="63"/>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155D68F1">
      <w:pPr>
        <w:pStyle w:val="63"/>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1025489F">
      <w:pPr>
        <w:pStyle w:val="63"/>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308F138C">
      <w:pPr>
        <w:pStyle w:val="63"/>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2CDCE37B">
      <w:pPr>
        <w:ind w:firstLine="480" w:firstLineChars="200"/>
        <w:rPr>
          <w:rFonts w:hint="eastAsia" w:cs="仿宋_GB2312"/>
          <w:color w:val="auto"/>
          <w:szCs w:val="24"/>
          <w:highlight w:val="none"/>
          <w:lang w:val="zh-CN"/>
        </w:rPr>
      </w:pPr>
      <w:bookmarkStart w:id="334" w:name="_Toc163492937"/>
    </w:p>
    <w:p w14:paraId="2D9E98AD">
      <w:pPr>
        <w:ind w:firstLine="480" w:firstLineChars="200"/>
        <w:rPr>
          <w:rFonts w:hint="eastAsia" w:cs="仿宋_GB2312"/>
          <w:color w:val="auto"/>
          <w:szCs w:val="24"/>
          <w:highlight w:val="none"/>
          <w:lang w:val="zh-CN"/>
        </w:rPr>
      </w:pPr>
    </w:p>
    <w:p w14:paraId="3D40132F">
      <w:pPr>
        <w:ind w:firstLine="480" w:firstLineChars="200"/>
        <w:rPr>
          <w:rFonts w:hint="eastAsia" w:cs="仿宋_GB2312"/>
          <w:color w:val="auto"/>
          <w:szCs w:val="24"/>
          <w:highlight w:val="none"/>
          <w:lang w:val="zh-CN"/>
        </w:rPr>
      </w:pPr>
    </w:p>
    <w:p w14:paraId="6DC90E3C">
      <w:pPr>
        <w:ind w:firstLine="480" w:firstLineChars="200"/>
        <w:rPr>
          <w:rFonts w:cs="仿宋_GB2312"/>
          <w:color w:val="auto"/>
          <w:szCs w:val="24"/>
          <w:highlight w:val="none"/>
          <w:lang w:val="zh-CN"/>
        </w:rPr>
      </w:pPr>
      <w:r>
        <w:rPr>
          <w:rFonts w:hint="eastAsia" w:cs="仿宋_GB2312"/>
          <w:color w:val="auto"/>
          <w:szCs w:val="24"/>
          <w:highlight w:val="none"/>
          <w:lang w:val="zh-CN"/>
        </w:rPr>
        <w:t>封面：</w:t>
      </w:r>
    </w:p>
    <w:p w14:paraId="202803F7">
      <w:pPr>
        <w:autoSpaceDE w:val="0"/>
        <w:autoSpaceDN w:val="0"/>
        <w:adjustRightInd w:val="0"/>
        <w:rPr>
          <w:color w:val="auto"/>
          <w:sz w:val="21"/>
          <w:szCs w:val="24"/>
          <w:highlight w:val="none"/>
        </w:rPr>
      </w:pPr>
    </w:p>
    <w:p w14:paraId="73B11C8A">
      <w:pPr>
        <w:autoSpaceDE w:val="0"/>
        <w:autoSpaceDN w:val="0"/>
        <w:adjustRightInd w:val="0"/>
        <w:rPr>
          <w:color w:val="auto"/>
          <w:sz w:val="21"/>
          <w:szCs w:val="24"/>
          <w:highlight w:val="none"/>
        </w:rPr>
      </w:pPr>
    </w:p>
    <w:p w14:paraId="36DF3F4E">
      <w:pPr>
        <w:autoSpaceDE w:val="0"/>
        <w:autoSpaceDN w:val="0"/>
        <w:adjustRightInd w:val="0"/>
        <w:jc w:val="center"/>
        <w:rPr>
          <w:color w:val="auto"/>
          <w:sz w:val="21"/>
          <w:szCs w:val="24"/>
          <w:highlight w:val="none"/>
        </w:rPr>
      </w:pPr>
    </w:p>
    <w:p w14:paraId="336E03FA">
      <w:pPr>
        <w:autoSpaceDE w:val="0"/>
        <w:autoSpaceDN w:val="0"/>
        <w:adjustRightInd w:val="0"/>
        <w:jc w:val="center"/>
        <w:rPr>
          <w:b/>
          <w:color w:val="auto"/>
          <w:sz w:val="84"/>
          <w:szCs w:val="84"/>
          <w:highlight w:val="none"/>
        </w:rPr>
      </w:pPr>
      <w:r>
        <w:rPr>
          <w:rFonts w:hint="eastAsia"/>
          <w:b/>
          <w:color w:val="auto"/>
          <w:sz w:val="84"/>
          <w:szCs w:val="84"/>
          <w:highlight w:val="none"/>
        </w:rPr>
        <w:t>投 标 文 件</w:t>
      </w:r>
    </w:p>
    <w:p w14:paraId="0D217A8D">
      <w:pPr>
        <w:autoSpaceDE w:val="0"/>
        <w:autoSpaceDN w:val="0"/>
        <w:adjustRightInd w:val="0"/>
        <w:jc w:val="center"/>
        <w:rPr>
          <w:b/>
          <w:color w:val="auto"/>
          <w:sz w:val="56"/>
          <w:szCs w:val="56"/>
          <w:highlight w:val="none"/>
        </w:rPr>
      </w:pPr>
      <w:r>
        <w:rPr>
          <w:rFonts w:hint="eastAsia"/>
          <w:b/>
          <w:color w:val="auto"/>
          <w:sz w:val="56"/>
          <w:szCs w:val="56"/>
          <w:highlight w:val="none"/>
        </w:rPr>
        <w:t>资格证明文件</w:t>
      </w:r>
    </w:p>
    <w:p w14:paraId="3713B9EF">
      <w:pPr>
        <w:autoSpaceDE w:val="0"/>
        <w:autoSpaceDN w:val="0"/>
        <w:adjustRightInd w:val="0"/>
        <w:rPr>
          <w:b/>
          <w:bCs/>
          <w:color w:val="auto"/>
          <w:sz w:val="22"/>
          <w:highlight w:val="none"/>
        </w:rPr>
      </w:pPr>
    </w:p>
    <w:p w14:paraId="3861A6F5">
      <w:pPr>
        <w:autoSpaceDE w:val="0"/>
        <w:autoSpaceDN w:val="0"/>
        <w:adjustRightInd w:val="0"/>
        <w:jc w:val="center"/>
        <w:rPr>
          <w:rFonts w:hint="eastAsia" w:eastAsia="宋体"/>
          <w:color w:val="auto"/>
          <w:sz w:val="36"/>
          <w:szCs w:val="36"/>
          <w:highlight w:val="none"/>
          <w:lang w:eastAsia="zh-CN"/>
        </w:rPr>
      </w:pPr>
      <w:r>
        <w:rPr>
          <w:rFonts w:hint="eastAsia"/>
          <w:color w:val="auto"/>
          <w:sz w:val="36"/>
          <w:szCs w:val="36"/>
          <w:highlight w:val="none"/>
          <w:lang w:val="en-US" w:eastAsia="zh-CN"/>
        </w:rPr>
        <w:t>（第XX包</w:t>
      </w:r>
      <w:r>
        <w:rPr>
          <w:rFonts w:hint="eastAsia"/>
          <w:color w:val="auto"/>
          <w:sz w:val="36"/>
          <w:szCs w:val="36"/>
          <w:highlight w:val="none"/>
          <w:lang w:eastAsia="zh-CN"/>
        </w:rPr>
        <w:t>）【</w:t>
      </w:r>
      <w:r>
        <w:rPr>
          <w:rFonts w:hint="eastAsia"/>
          <w:color w:val="auto"/>
          <w:sz w:val="36"/>
          <w:szCs w:val="36"/>
          <w:highlight w:val="none"/>
          <w:lang w:val="en-US" w:eastAsia="zh-CN"/>
        </w:rPr>
        <w:t>如不分包，请删去本行</w:t>
      </w:r>
      <w:r>
        <w:rPr>
          <w:rFonts w:hint="eastAsia"/>
          <w:color w:val="auto"/>
          <w:sz w:val="36"/>
          <w:szCs w:val="36"/>
          <w:highlight w:val="none"/>
          <w:lang w:eastAsia="zh-CN"/>
        </w:rPr>
        <w:t>】</w:t>
      </w:r>
    </w:p>
    <w:p w14:paraId="4C95B1E8">
      <w:pPr>
        <w:autoSpaceDE w:val="0"/>
        <w:autoSpaceDN w:val="0"/>
        <w:adjustRightInd w:val="0"/>
        <w:rPr>
          <w:color w:val="auto"/>
          <w:sz w:val="21"/>
          <w:szCs w:val="21"/>
          <w:highlight w:val="none"/>
        </w:rPr>
      </w:pPr>
    </w:p>
    <w:p w14:paraId="4A15B7B6">
      <w:pPr>
        <w:pStyle w:val="3"/>
        <w:rPr>
          <w:color w:val="auto"/>
          <w:highlight w:val="none"/>
        </w:rPr>
      </w:pPr>
    </w:p>
    <w:p w14:paraId="6D2F1984">
      <w:pPr>
        <w:autoSpaceDE w:val="0"/>
        <w:autoSpaceDN w:val="0"/>
        <w:adjustRightInd w:val="0"/>
        <w:rPr>
          <w:color w:val="auto"/>
          <w:sz w:val="21"/>
          <w:szCs w:val="21"/>
          <w:highlight w:val="none"/>
        </w:rPr>
      </w:pPr>
    </w:p>
    <w:p w14:paraId="13936900">
      <w:pPr>
        <w:autoSpaceDE w:val="0"/>
        <w:autoSpaceDN w:val="0"/>
        <w:adjustRightInd w:val="0"/>
        <w:rPr>
          <w:color w:val="auto"/>
          <w:sz w:val="21"/>
          <w:szCs w:val="21"/>
          <w:highlight w:val="none"/>
        </w:rPr>
      </w:pPr>
    </w:p>
    <w:p w14:paraId="7F8AB2C1">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项目编号</w:t>
      </w:r>
      <w:r>
        <w:rPr>
          <w:rFonts w:hint="eastAsia" w:ascii="宋体" w:hAnsi="宋体" w:eastAsia="宋体" w:cs="宋体"/>
          <w:color w:val="auto"/>
          <w:sz w:val="36"/>
          <w:szCs w:val="36"/>
          <w:highlight w:val="none"/>
          <w:lang w:val="en-US" w:eastAsia="zh-CN"/>
        </w:rPr>
        <w:t>/包号</w:t>
      </w:r>
      <w:r>
        <w:rPr>
          <w:rFonts w:hint="eastAsia" w:ascii="宋体" w:hAnsi="宋体" w:eastAsia="宋体" w:cs="宋体"/>
          <w:color w:val="auto"/>
          <w:sz w:val="36"/>
          <w:szCs w:val="36"/>
          <w:highlight w:val="none"/>
        </w:rPr>
        <w:t>：</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24FB0392">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项目名称：</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6B06112D">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投</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rPr>
        <w:t>标</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rPr>
        <w:t>人：</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4720DE04">
      <w:pPr>
        <w:ind w:left="840" w:firstLine="420"/>
        <w:rPr>
          <w:b/>
          <w:bCs/>
          <w:color w:val="auto"/>
          <w:sz w:val="28"/>
          <w:szCs w:val="28"/>
          <w:highlight w:val="none"/>
        </w:rPr>
      </w:pPr>
    </w:p>
    <w:p w14:paraId="5D0DC607">
      <w:pPr>
        <w:ind w:left="840" w:firstLine="420"/>
        <w:rPr>
          <w:b/>
          <w:bCs/>
          <w:color w:val="auto"/>
          <w:sz w:val="28"/>
          <w:szCs w:val="28"/>
          <w:highlight w:val="none"/>
        </w:rPr>
      </w:pPr>
    </w:p>
    <w:p w14:paraId="306FCCBF">
      <w:pPr>
        <w:ind w:left="840" w:firstLine="420"/>
        <w:rPr>
          <w:b/>
          <w:bCs/>
          <w:color w:val="auto"/>
          <w:sz w:val="28"/>
          <w:szCs w:val="28"/>
          <w:highlight w:val="none"/>
        </w:rPr>
      </w:pPr>
    </w:p>
    <w:p w14:paraId="22CE1A9B">
      <w:pPr>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6447D651">
      <w:pPr>
        <w:rPr>
          <w:color w:val="auto"/>
          <w:highlight w:val="none"/>
          <w:lang w:val="zh-CN"/>
        </w:rPr>
      </w:pPr>
      <w:r>
        <w:rPr>
          <w:color w:val="auto"/>
          <w:highlight w:val="none"/>
          <w:lang w:val="zh-CN"/>
        </w:rPr>
        <w:br w:type="page"/>
      </w:r>
    </w:p>
    <w:p w14:paraId="6DBE2CDA">
      <w:pPr>
        <w:rPr>
          <w:color w:val="auto"/>
          <w:highlight w:val="none"/>
          <w:lang w:val="zh-CN"/>
        </w:rPr>
      </w:pPr>
    </w:p>
    <w:p w14:paraId="215FC2E3">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eastAsia" w:eastAsia="宋体" w:asciiTheme="majorHAnsi" w:hAnsiTheme="majorHAnsi" w:cstheme="majorBidi"/>
          <w:b/>
          <w:bCs/>
          <w:color w:val="auto"/>
          <w:kern w:val="2"/>
          <w:sz w:val="28"/>
          <w:szCs w:val="28"/>
          <w:highlight w:val="none"/>
          <w:lang w:val="en-US" w:eastAsia="zh-CN" w:bidi="ar-SA"/>
        </w:rPr>
      </w:pPr>
      <w:bookmarkStart w:id="335" w:name="_Toc657"/>
      <w:bookmarkStart w:id="336" w:name="_Toc155185927"/>
      <w:bookmarkStart w:id="337" w:name="_Toc163492921"/>
      <w:r>
        <w:rPr>
          <w:rFonts w:hint="eastAsia" w:eastAsia="宋体" w:asciiTheme="majorHAnsi" w:hAnsiTheme="majorHAnsi" w:cstheme="majorBidi"/>
          <w:b/>
          <w:bCs/>
          <w:color w:val="auto"/>
          <w:kern w:val="2"/>
          <w:sz w:val="28"/>
          <w:szCs w:val="28"/>
          <w:highlight w:val="none"/>
          <w:lang w:val="en-US" w:eastAsia="zh-CN" w:bidi="ar-SA"/>
        </w:rPr>
        <w:t>一、满足《中华人民共和国政府采购法》第二十二条规定</w:t>
      </w:r>
      <w:bookmarkEnd w:id="335"/>
    </w:p>
    <w:bookmarkEnd w:id="336"/>
    <w:bookmarkEnd w:id="337"/>
    <w:p w14:paraId="61960CA7">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bCs/>
          <w:color w:val="auto"/>
          <w:kern w:val="2"/>
          <w:sz w:val="24"/>
          <w:szCs w:val="24"/>
          <w:highlight w:val="none"/>
          <w:lang w:val="en-US" w:eastAsia="zh-CN" w:bidi="ar-SA"/>
        </w:rPr>
      </w:pPr>
      <w:bookmarkStart w:id="338" w:name="_Toc155185928"/>
      <w:bookmarkStart w:id="339" w:name="_Toc163492922"/>
      <w:r>
        <w:rPr>
          <w:rFonts w:hint="eastAsia" w:ascii="宋体" w:hAnsi="宋体" w:eastAsia="宋体" w:cs="宋体"/>
          <w:b/>
          <w:bCs/>
          <w:color w:val="auto"/>
          <w:kern w:val="2"/>
          <w:sz w:val="24"/>
          <w:szCs w:val="24"/>
          <w:highlight w:val="none"/>
          <w:lang w:val="en-US" w:eastAsia="zh-CN" w:bidi="ar-SA"/>
        </w:rPr>
        <w:t>（一）法人、其他组织或者自然人的证明文件</w:t>
      </w:r>
    </w:p>
    <w:p w14:paraId="6E9D207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cs="宋体"/>
          <w:b w:val="0"/>
          <w:bCs w:val="0"/>
          <w:color w:val="auto"/>
          <w:kern w:val="0"/>
          <w:sz w:val="24"/>
          <w:szCs w:val="24"/>
          <w:highlight w:val="none"/>
          <w:lang w:val="en-US" w:eastAsia="zh-CN"/>
        </w:rPr>
        <w:t>1、投标人</w:t>
      </w:r>
      <w:r>
        <w:rPr>
          <w:rFonts w:hint="eastAsia" w:ascii="宋体" w:hAnsi="宋体" w:eastAsia="宋体" w:cs="宋体"/>
          <w:b w:val="0"/>
          <w:bCs w:val="0"/>
          <w:color w:val="auto"/>
          <w:kern w:val="0"/>
          <w:sz w:val="24"/>
          <w:szCs w:val="24"/>
          <w:highlight w:val="none"/>
          <w:lang w:val="en-US" w:eastAsia="zh-CN"/>
        </w:rPr>
        <w:t>为企业（包括合伙企业）的，应提供有效的“营业执照”；</w:t>
      </w:r>
    </w:p>
    <w:p w14:paraId="420A9C0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cs="宋体"/>
          <w:b w:val="0"/>
          <w:bCs w:val="0"/>
          <w:color w:val="auto"/>
          <w:kern w:val="0"/>
          <w:sz w:val="24"/>
          <w:szCs w:val="24"/>
          <w:highlight w:val="none"/>
          <w:lang w:val="en-US" w:eastAsia="zh-CN"/>
        </w:rPr>
        <w:t>2、投标人</w:t>
      </w:r>
      <w:r>
        <w:rPr>
          <w:rFonts w:hint="eastAsia" w:ascii="宋体" w:hAnsi="宋体" w:eastAsia="宋体" w:cs="宋体"/>
          <w:b w:val="0"/>
          <w:bCs w:val="0"/>
          <w:color w:val="auto"/>
          <w:kern w:val="0"/>
          <w:sz w:val="24"/>
          <w:szCs w:val="24"/>
          <w:highlight w:val="none"/>
          <w:lang w:val="en-US" w:eastAsia="zh-CN"/>
        </w:rPr>
        <w:t>为事业单位的，应提供有效的“事业单位法人证书”；</w:t>
      </w:r>
    </w:p>
    <w:p w14:paraId="30B2651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cs="宋体"/>
          <w:b w:val="0"/>
          <w:bCs w:val="0"/>
          <w:color w:val="auto"/>
          <w:kern w:val="0"/>
          <w:sz w:val="24"/>
          <w:szCs w:val="24"/>
          <w:highlight w:val="none"/>
          <w:lang w:val="en-US" w:eastAsia="zh-CN"/>
        </w:rPr>
        <w:t>3、投标人</w:t>
      </w:r>
      <w:r>
        <w:rPr>
          <w:rFonts w:hint="eastAsia" w:ascii="宋体" w:hAnsi="宋体" w:eastAsia="宋体" w:cs="宋体"/>
          <w:b w:val="0"/>
          <w:bCs w:val="0"/>
          <w:color w:val="auto"/>
          <w:kern w:val="0"/>
          <w:sz w:val="24"/>
          <w:szCs w:val="24"/>
          <w:highlight w:val="none"/>
          <w:lang w:val="en-US" w:eastAsia="zh-CN"/>
        </w:rPr>
        <w:t>为非企业机构的，应提供有效的“执业许可证”、“登记证书”等证明文件；</w:t>
      </w:r>
    </w:p>
    <w:p w14:paraId="4FDE643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cs="宋体"/>
          <w:b w:val="0"/>
          <w:bCs w:val="0"/>
          <w:color w:val="auto"/>
          <w:kern w:val="0"/>
          <w:sz w:val="24"/>
          <w:szCs w:val="24"/>
          <w:highlight w:val="none"/>
          <w:lang w:val="en-US" w:eastAsia="zh-CN"/>
        </w:rPr>
        <w:t>4、投标人</w:t>
      </w:r>
      <w:r>
        <w:rPr>
          <w:rFonts w:hint="eastAsia" w:ascii="宋体" w:hAnsi="宋体" w:eastAsia="宋体" w:cs="宋体"/>
          <w:b w:val="0"/>
          <w:bCs w:val="0"/>
          <w:color w:val="auto"/>
          <w:kern w:val="0"/>
          <w:sz w:val="24"/>
          <w:szCs w:val="24"/>
          <w:highlight w:val="none"/>
          <w:lang w:val="en-US" w:eastAsia="zh-CN"/>
        </w:rPr>
        <w:t>是个体工商户的，应提供有效的“个体工商户营业执照”；</w:t>
      </w:r>
    </w:p>
    <w:p w14:paraId="1DE16BB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cs="宋体"/>
          <w:b w:val="0"/>
          <w:bCs w:val="0"/>
          <w:color w:val="auto"/>
          <w:kern w:val="0"/>
          <w:sz w:val="24"/>
          <w:szCs w:val="24"/>
          <w:highlight w:val="none"/>
          <w:lang w:val="en-US" w:eastAsia="zh-CN"/>
        </w:rPr>
        <w:t>5、投标人</w:t>
      </w:r>
      <w:r>
        <w:rPr>
          <w:rFonts w:hint="eastAsia" w:ascii="宋体" w:hAnsi="宋体" w:eastAsia="宋体" w:cs="宋体"/>
          <w:b w:val="0"/>
          <w:bCs w:val="0"/>
          <w:color w:val="auto"/>
          <w:kern w:val="0"/>
          <w:sz w:val="24"/>
          <w:szCs w:val="24"/>
          <w:highlight w:val="none"/>
          <w:lang w:val="en-US" w:eastAsia="zh-CN"/>
        </w:rPr>
        <w:t>是自然人的，应提供有效的自然人身份证明。</w:t>
      </w:r>
    </w:p>
    <w:p w14:paraId="77687BE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rPr>
      </w:pPr>
    </w:p>
    <w:p w14:paraId="128F3677">
      <w:pP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br w:type="page"/>
      </w:r>
    </w:p>
    <w:bookmarkEnd w:id="338"/>
    <w:bookmarkEnd w:id="339"/>
    <w:p w14:paraId="69A95AD2">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0" w:leftChars="0" w:firstLine="0" w:firstLineChars="0"/>
        <w:textAlignment w:val="auto"/>
        <w:rPr>
          <w:rFonts w:hint="eastAsia" w:eastAsia="宋体" w:cstheme="majorBidi"/>
          <w:b/>
          <w:bCs/>
          <w:color w:val="auto"/>
          <w:kern w:val="2"/>
          <w:sz w:val="24"/>
          <w:szCs w:val="24"/>
          <w:highlight w:val="none"/>
          <w:lang w:val="en-US" w:eastAsia="zh-CN" w:bidi="ar-SA"/>
        </w:rPr>
      </w:pPr>
      <w:bookmarkStart w:id="340" w:name="_Toc30170"/>
      <w:bookmarkStart w:id="341" w:name="_Toc16010"/>
      <w:r>
        <w:rPr>
          <w:rFonts w:hint="eastAsia" w:eastAsia="宋体" w:cstheme="majorBidi"/>
          <w:b/>
          <w:bCs/>
          <w:color w:val="auto"/>
          <w:kern w:val="2"/>
          <w:sz w:val="24"/>
          <w:szCs w:val="24"/>
          <w:highlight w:val="none"/>
          <w:lang w:val="en-US" w:eastAsia="zh-CN" w:bidi="ar-SA"/>
        </w:rPr>
        <w:t>（二）兵团政府采购供应商信用承诺函</w:t>
      </w:r>
      <w:bookmarkEnd w:id="340"/>
      <w:bookmarkEnd w:id="341"/>
    </w:p>
    <w:p w14:paraId="149786FB">
      <w:pPr>
        <w:spacing w:line="560" w:lineRule="exac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单位名称</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自然人姓名</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w:t>
      </w:r>
    </w:p>
    <w:p w14:paraId="48FFA3C0">
      <w:pPr>
        <w:spacing w:line="56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统一社会信用代码</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身份证号码</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w:t>
      </w:r>
    </w:p>
    <w:p w14:paraId="7DA4A26F">
      <w:pPr>
        <w:spacing w:line="56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法定代表人</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负责人</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w:t>
      </w:r>
    </w:p>
    <w:p w14:paraId="2565F5FE">
      <w:pPr>
        <w:spacing w:line="560" w:lineRule="exact"/>
        <w:ind w:firstLine="480" w:firstLineChars="200"/>
        <w:rPr>
          <w:rFonts w:hint="eastAsia" w:ascii="宋体" w:hAnsi="宋体" w:eastAsia="宋体" w:cs="宋体"/>
          <w:color w:val="auto"/>
          <w:kern w:val="0"/>
          <w:sz w:val="24"/>
          <w:szCs w:val="24"/>
          <w:highlight w:val="none"/>
        </w:rPr>
      </w:pPr>
    </w:p>
    <w:p w14:paraId="39CDD6B5">
      <w:pPr>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我单位</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本人</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 xml:space="preserve">自愿参加本次政府采购活动，严格遵守《中华人民共和国政府采购法》及相关法律法规，坚守公开、公平、公正和诚实信用等原则，依法诚信经营，并郑重承诺：    </w:t>
      </w:r>
    </w:p>
    <w:p w14:paraId="15BD2674">
      <w:pPr>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一、我单位</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本人</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符合《中华人民共和国政府采购法》第二十二条规定：</w:t>
      </w:r>
    </w:p>
    <w:p w14:paraId="3218A359">
      <w:pPr>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一</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具有独立承担民事责任的能力;</w:t>
      </w:r>
    </w:p>
    <w:p w14:paraId="036C60EA">
      <w:pPr>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（二）</w:t>
      </w:r>
      <w:r>
        <w:rPr>
          <w:rFonts w:hint="eastAsia" w:ascii="宋体" w:hAnsi="宋体" w:eastAsia="宋体" w:cs="宋体"/>
          <w:color w:val="auto"/>
          <w:kern w:val="0"/>
          <w:sz w:val="24"/>
          <w:szCs w:val="24"/>
          <w:highlight w:val="none"/>
        </w:rPr>
        <w:t>具有良好的商业信誉和健全的财务会计制度;</w:t>
      </w:r>
    </w:p>
    <w:p w14:paraId="32BE9145">
      <w:pPr>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（三）</w:t>
      </w:r>
      <w:r>
        <w:rPr>
          <w:rFonts w:hint="eastAsia" w:ascii="宋体" w:hAnsi="宋体" w:eastAsia="宋体" w:cs="宋体"/>
          <w:color w:val="auto"/>
          <w:kern w:val="0"/>
          <w:sz w:val="24"/>
          <w:szCs w:val="24"/>
          <w:highlight w:val="none"/>
        </w:rPr>
        <w:t>具有履行合同所必需的设备和专业技术能力;</w:t>
      </w:r>
    </w:p>
    <w:p w14:paraId="5C988BD2">
      <w:pPr>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（四）</w:t>
      </w:r>
      <w:r>
        <w:rPr>
          <w:rFonts w:hint="eastAsia" w:ascii="宋体" w:hAnsi="宋体" w:eastAsia="宋体" w:cs="宋体"/>
          <w:color w:val="auto"/>
          <w:kern w:val="0"/>
          <w:sz w:val="24"/>
          <w:szCs w:val="24"/>
          <w:highlight w:val="none"/>
        </w:rPr>
        <w:t>有依法缴纳税收和社会保障资金的良好记录;</w:t>
      </w:r>
    </w:p>
    <w:p w14:paraId="64311F89">
      <w:pPr>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（五）</w:t>
      </w:r>
      <w:r>
        <w:rPr>
          <w:rFonts w:hint="eastAsia" w:ascii="宋体" w:hAnsi="宋体" w:eastAsia="宋体" w:cs="宋体"/>
          <w:color w:val="auto"/>
          <w:kern w:val="0"/>
          <w:sz w:val="24"/>
          <w:szCs w:val="24"/>
          <w:highlight w:val="none"/>
        </w:rPr>
        <w:t>参加政府采购活动前三年内，在经营活动中没有重大违法记录;</w:t>
      </w:r>
    </w:p>
    <w:p w14:paraId="09591AFC">
      <w:pPr>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（六）</w:t>
      </w:r>
      <w:r>
        <w:rPr>
          <w:rFonts w:hint="eastAsia" w:ascii="宋体" w:hAnsi="宋体" w:eastAsia="宋体" w:cs="宋体"/>
          <w:color w:val="auto"/>
          <w:kern w:val="0"/>
          <w:sz w:val="24"/>
          <w:szCs w:val="24"/>
          <w:highlight w:val="none"/>
        </w:rPr>
        <w:t>符合法律、行政法规规定的其他条件。</w:t>
      </w:r>
    </w:p>
    <w:p w14:paraId="1BA808C2">
      <w:pPr>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二、我单位</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本人</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未被列入严重违法失信名单、失信被执行人</w:t>
      </w:r>
      <w:r>
        <w:rPr>
          <w:rFonts w:hint="eastAsia" w:ascii="宋体" w:hAnsi="宋体" w:eastAsia="宋体" w:cs="宋体"/>
          <w:color w:val="auto"/>
          <w:kern w:val="0"/>
          <w:sz w:val="24"/>
          <w:szCs w:val="24"/>
          <w:highlight w:val="none"/>
          <w:lang w:eastAsia="zh-CN"/>
        </w:rPr>
        <w:t>名单</w:t>
      </w:r>
      <w:r>
        <w:rPr>
          <w:rFonts w:hint="eastAsia" w:ascii="宋体" w:hAnsi="宋体" w:eastAsia="宋体" w:cs="宋体"/>
          <w:color w:val="auto"/>
          <w:kern w:val="0"/>
          <w:sz w:val="24"/>
          <w:szCs w:val="24"/>
          <w:highlight w:val="none"/>
        </w:rPr>
        <w:t>、重大税收违法失信主体、政府采购严重违法失信行为记录名</w:t>
      </w:r>
      <w:r>
        <w:rPr>
          <w:rFonts w:hint="eastAsia" w:ascii="宋体" w:hAnsi="宋体" w:eastAsia="宋体" w:cs="宋体"/>
          <w:color w:val="auto"/>
          <w:kern w:val="0"/>
          <w:sz w:val="24"/>
          <w:szCs w:val="24"/>
          <w:highlight w:val="none"/>
          <w:lang w:eastAsia="zh-CN"/>
        </w:rPr>
        <w:t>单</w:t>
      </w:r>
      <w:r>
        <w:rPr>
          <w:rFonts w:hint="eastAsia" w:ascii="宋体" w:hAnsi="宋体" w:eastAsia="宋体" w:cs="宋体"/>
          <w:color w:val="auto"/>
          <w:kern w:val="0"/>
          <w:sz w:val="24"/>
          <w:szCs w:val="24"/>
          <w:highlight w:val="none"/>
        </w:rPr>
        <w:t>。</w:t>
      </w:r>
    </w:p>
    <w:p w14:paraId="70127B20">
      <w:pPr>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三、如果本公司（本人）有幸中标（成交），在合同签订之前，采购单位有权要求本公司（本人）提供资格证明材料原件进行核验。</w:t>
      </w:r>
    </w:p>
    <w:p w14:paraId="32445A77">
      <w:pPr>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四、我单位</w:t>
      </w:r>
      <w:r>
        <w:rPr>
          <w:rFonts w:hint="eastAsia" w:ascii="宋体" w:hAnsi="宋体" w:eastAsia="宋体" w:cs="宋体"/>
          <w:color w:val="auto"/>
          <w:kern w:val="0"/>
          <w:sz w:val="24"/>
          <w:szCs w:val="24"/>
          <w:highlight w:val="none"/>
          <w:lang w:eastAsia="zh-CN"/>
        </w:rPr>
        <w:t>（本人）</w:t>
      </w:r>
      <w:r>
        <w:rPr>
          <w:rFonts w:hint="eastAsia" w:ascii="宋体" w:hAnsi="宋体" w:eastAsia="宋体" w:cs="宋体"/>
          <w:color w:val="auto"/>
          <w:kern w:val="0"/>
          <w:sz w:val="24"/>
          <w:szCs w:val="24"/>
          <w:highlight w:val="none"/>
        </w:rPr>
        <w:t>保证上述承诺事项的真实性。如有弄虚作假或其他违法违规行为，自愿按照规定将违背承诺行为作为失信行为记录到社会信用信息平台，并视同为“提供虚假材料谋取中标、成交”按照《</w:t>
      </w:r>
      <w:r>
        <w:rPr>
          <w:rFonts w:hint="eastAsia"/>
          <w:color w:val="auto"/>
          <w:highlight w:val="none"/>
        </w:rPr>
        <w:t>中华人民共和国政府采购法</w:t>
      </w:r>
      <w:r>
        <w:rPr>
          <w:rFonts w:hint="eastAsia" w:ascii="宋体" w:hAnsi="宋体" w:eastAsia="宋体" w:cs="宋体"/>
          <w:color w:val="auto"/>
          <w:kern w:val="0"/>
          <w:sz w:val="24"/>
          <w:szCs w:val="24"/>
          <w:highlight w:val="none"/>
        </w:rPr>
        <w:t>》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w:t>
      </w:r>
    </w:p>
    <w:p w14:paraId="57CE52DB">
      <w:pPr>
        <w:spacing w:line="560" w:lineRule="exact"/>
        <w:rPr>
          <w:rFonts w:hint="eastAsia" w:ascii="宋体" w:hAnsi="宋体" w:eastAsia="宋体" w:cs="宋体"/>
          <w:color w:val="auto"/>
          <w:kern w:val="0"/>
          <w:sz w:val="24"/>
          <w:szCs w:val="24"/>
          <w:highlight w:val="none"/>
        </w:rPr>
      </w:pPr>
    </w:p>
    <w:p w14:paraId="5883D10C">
      <w:pPr>
        <w:spacing w:line="560" w:lineRule="exact"/>
        <w:rPr>
          <w:rFonts w:hint="eastAsia" w:ascii="宋体" w:hAnsi="宋体" w:eastAsia="宋体" w:cs="宋体"/>
          <w:color w:val="auto"/>
          <w:kern w:val="0"/>
          <w:sz w:val="24"/>
          <w:szCs w:val="24"/>
          <w:highlight w:val="none"/>
        </w:rPr>
      </w:pPr>
    </w:p>
    <w:p w14:paraId="02066849">
      <w:pPr>
        <w:spacing w:line="560" w:lineRule="exact"/>
        <w:rPr>
          <w:rFonts w:hint="eastAsia" w:ascii="宋体" w:hAnsi="宋体" w:eastAsia="宋体" w:cs="宋体"/>
          <w:color w:val="auto"/>
          <w:kern w:val="0"/>
          <w:sz w:val="24"/>
          <w:szCs w:val="24"/>
          <w:highlight w:val="none"/>
        </w:rPr>
      </w:pPr>
      <w:r>
        <w:rPr>
          <w:rFonts w:hint="eastAsia" w:cs="宋体"/>
          <w:color w:val="auto"/>
          <w:kern w:val="0"/>
          <w:sz w:val="24"/>
          <w:szCs w:val="24"/>
          <w:highlight w:val="none"/>
          <w:lang w:val="en-US" w:eastAsia="zh-CN"/>
        </w:rPr>
        <w:t>供应商名称</w:t>
      </w:r>
      <w:r>
        <w:rPr>
          <w:rFonts w:hint="eastAsia" w:ascii="宋体" w:hAnsi="宋体" w:eastAsia="宋体" w:cs="宋体"/>
          <w:color w:val="auto"/>
          <w:kern w:val="0"/>
          <w:sz w:val="24"/>
          <w:szCs w:val="24"/>
          <w:highlight w:val="none"/>
          <w:lang w:eastAsia="zh-CN"/>
        </w:rPr>
        <w:t>（</w:t>
      </w:r>
      <w:r>
        <w:rPr>
          <w:rFonts w:hint="eastAsia" w:cs="宋体"/>
          <w:color w:val="auto"/>
          <w:kern w:val="0"/>
          <w:sz w:val="24"/>
          <w:szCs w:val="24"/>
          <w:highlight w:val="none"/>
          <w:lang w:eastAsia="zh-CN"/>
        </w:rPr>
        <w:t>公章</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w:t>
      </w:r>
    </w:p>
    <w:p w14:paraId="3FCFFDCC">
      <w:pPr>
        <w:spacing w:line="56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法定代表人</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负责人</w:t>
      </w:r>
      <w:r>
        <w:rPr>
          <w:rFonts w:hint="eastAsia" w:ascii="宋体" w:hAnsi="宋体" w:eastAsia="宋体" w:cs="宋体"/>
          <w:color w:val="auto"/>
          <w:kern w:val="0"/>
          <w:sz w:val="24"/>
          <w:szCs w:val="24"/>
          <w:highlight w:val="none"/>
          <w:lang w:val="en-US" w:eastAsia="zh-CN"/>
        </w:rPr>
        <w:t>或</w:t>
      </w:r>
      <w:r>
        <w:rPr>
          <w:rFonts w:hint="eastAsia" w:ascii="宋体" w:hAnsi="宋体" w:eastAsia="宋体" w:cs="宋体"/>
          <w:color w:val="auto"/>
          <w:kern w:val="0"/>
          <w:sz w:val="24"/>
          <w:szCs w:val="24"/>
          <w:highlight w:val="none"/>
        </w:rPr>
        <w:t>本人</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或授权代表</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签字或</w:t>
      </w:r>
      <w:r>
        <w:rPr>
          <w:rFonts w:hint="eastAsia" w:cs="宋体"/>
          <w:color w:val="auto"/>
          <w:kern w:val="0"/>
          <w:sz w:val="24"/>
          <w:szCs w:val="24"/>
          <w:highlight w:val="none"/>
          <w:lang w:eastAsia="zh-CN"/>
        </w:rPr>
        <w:t>盖</w:t>
      </w:r>
      <w:r>
        <w:rPr>
          <w:rFonts w:hint="eastAsia" w:ascii="宋体" w:hAnsi="宋体" w:eastAsia="宋体" w:cs="宋体"/>
          <w:color w:val="auto"/>
          <w:kern w:val="0"/>
          <w:sz w:val="24"/>
          <w:szCs w:val="24"/>
          <w:highlight w:val="none"/>
          <w:lang w:eastAsia="zh-CN"/>
        </w:rPr>
        <w:t>章）</w:t>
      </w:r>
      <w:r>
        <w:rPr>
          <w:rFonts w:hint="eastAsia" w:ascii="宋体" w:hAnsi="宋体" w:eastAsia="宋体" w:cs="宋体"/>
          <w:color w:val="auto"/>
          <w:kern w:val="0"/>
          <w:sz w:val="24"/>
          <w:szCs w:val="24"/>
          <w:highlight w:val="none"/>
        </w:rPr>
        <w:t>：</w:t>
      </w:r>
    </w:p>
    <w:p w14:paraId="510A1256">
      <w:pPr>
        <w:spacing w:line="56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日期： 年 月 日</w:t>
      </w:r>
    </w:p>
    <w:p w14:paraId="1F4E790D">
      <w:pPr>
        <w:widowControl/>
        <w:spacing w:line="560" w:lineRule="exact"/>
        <w:ind w:firstLine="630"/>
        <w:jc w:val="left"/>
        <w:rPr>
          <w:rFonts w:hint="eastAsia" w:ascii="宋体" w:hAnsi="宋体" w:eastAsia="宋体" w:cs="宋体"/>
          <w:color w:val="auto"/>
          <w:kern w:val="0"/>
          <w:sz w:val="24"/>
          <w:szCs w:val="24"/>
          <w:highlight w:val="none"/>
        </w:rPr>
      </w:pPr>
    </w:p>
    <w:p w14:paraId="282D3BE6">
      <w:pPr>
        <w:rPr>
          <w:rFonts w:ascii="Arial" w:hAnsi="Arial" w:cs="Arial"/>
          <w:color w:val="auto"/>
          <w:szCs w:val="21"/>
          <w:highlight w:val="none"/>
        </w:rPr>
      </w:pPr>
      <w:r>
        <w:rPr>
          <w:rFonts w:ascii="Arial" w:hAnsi="Arial" w:cs="Arial"/>
          <w:color w:val="auto"/>
          <w:szCs w:val="21"/>
          <w:highlight w:val="none"/>
        </w:rPr>
        <w:br w:type="page"/>
      </w:r>
    </w:p>
    <w:p w14:paraId="7478D641">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eastAsia" w:eastAsia="宋体" w:asciiTheme="majorHAnsi" w:hAnsiTheme="majorHAnsi" w:cstheme="majorBidi"/>
          <w:b/>
          <w:bCs/>
          <w:color w:val="auto"/>
          <w:kern w:val="2"/>
          <w:sz w:val="28"/>
          <w:szCs w:val="28"/>
          <w:highlight w:val="none"/>
          <w:lang w:val="zh-CN" w:eastAsia="zh-CN" w:bidi="ar-SA"/>
        </w:rPr>
      </w:pPr>
      <w:bookmarkStart w:id="342" w:name="_Toc109899917"/>
      <w:bookmarkStart w:id="343" w:name="_Toc109899498"/>
      <w:bookmarkStart w:id="344" w:name="_Toc140132840"/>
      <w:bookmarkStart w:id="345" w:name="_Toc163492923"/>
      <w:bookmarkStart w:id="346" w:name="_Toc155185930"/>
      <w:bookmarkStart w:id="347" w:name="_Toc109900336"/>
      <w:bookmarkStart w:id="348" w:name="_Toc4445"/>
      <w:r>
        <w:rPr>
          <w:rFonts w:hint="eastAsia" w:cstheme="majorBidi"/>
          <w:b/>
          <w:bCs/>
          <w:color w:val="auto"/>
          <w:kern w:val="2"/>
          <w:sz w:val="28"/>
          <w:szCs w:val="28"/>
          <w:highlight w:val="none"/>
          <w:lang w:val="en-US" w:eastAsia="zh-CN" w:bidi="ar-SA"/>
        </w:rPr>
        <w:t>二</w:t>
      </w:r>
      <w:r>
        <w:rPr>
          <w:rFonts w:hint="eastAsia" w:eastAsia="宋体" w:asciiTheme="majorHAnsi" w:hAnsiTheme="majorHAnsi" w:cstheme="majorBidi"/>
          <w:b/>
          <w:bCs/>
          <w:color w:val="auto"/>
          <w:kern w:val="2"/>
          <w:sz w:val="28"/>
          <w:szCs w:val="28"/>
          <w:highlight w:val="none"/>
          <w:lang w:val="en-US" w:eastAsia="zh-CN" w:bidi="ar-SA"/>
        </w:rPr>
        <w:t>、</w:t>
      </w:r>
      <w:bookmarkEnd w:id="342"/>
      <w:bookmarkEnd w:id="343"/>
      <w:bookmarkEnd w:id="344"/>
      <w:bookmarkEnd w:id="345"/>
      <w:bookmarkEnd w:id="346"/>
      <w:bookmarkEnd w:id="347"/>
      <w:bookmarkStart w:id="349" w:name="_Toc155185931"/>
      <w:bookmarkStart w:id="350" w:name="_Toc163492924"/>
      <w:r>
        <w:rPr>
          <w:rFonts w:hint="eastAsia" w:eastAsia="宋体" w:asciiTheme="majorHAnsi" w:hAnsiTheme="majorHAnsi" w:cstheme="majorBidi"/>
          <w:b/>
          <w:bCs/>
          <w:color w:val="auto"/>
          <w:kern w:val="2"/>
          <w:sz w:val="28"/>
          <w:szCs w:val="28"/>
          <w:highlight w:val="none"/>
          <w:lang w:val="zh-CN" w:eastAsia="zh-CN" w:bidi="ar-SA"/>
        </w:rPr>
        <w:t>联合体协议书</w:t>
      </w:r>
      <w:bookmarkEnd w:id="349"/>
      <w:r>
        <w:rPr>
          <w:rFonts w:hint="eastAsia" w:ascii="宋体" w:hAnsi="宋体" w:eastAsia="宋体" w:cstheme="minorBidi"/>
          <w:b w:val="0"/>
          <w:bCs w:val="0"/>
          <w:color w:val="auto"/>
          <w:kern w:val="2"/>
          <w:sz w:val="28"/>
          <w:szCs w:val="28"/>
          <w:highlight w:val="none"/>
          <w:lang w:val="zh-CN" w:eastAsia="zh-CN" w:bidi="ar-SA"/>
        </w:rPr>
        <w:t>【如适用】</w:t>
      </w:r>
      <w:bookmarkEnd w:id="348"/>
      <w:bookmarkEnd w:id="350"/>
    </w:p>
    <w:p w14:paraId="39563C7F">
      <w:pPr>
        <w:snapToGrid w:val="0"/>
        <w:spacing w:line="360" w:lineRule="auto"/>
        <w:jc w:val="center"/>
        <w:outlineLvl w:val="0"/>
        <w:rPr>
          <w:rFonts w:hint="eastAsia" w:ascii="宋体" w:hAnsi="宋体" w:cs="宋体"/>
          <w:b/>
          <w:color w:val="auto"/>
          <w:kern w:val="0"/>
          <w:sz w:val="32"/>
          <w:szCs w:val="32"/>
          <w:highlight w:val="none"/>
        </w:rPr>
      </w:pPr>
    </w:p>
    <w:p w14:paraId="7BBF9D1F">
      <w:pPr>
        <w:snapToGrid w:val="0"/>
        <w:spacing w:line="360" w:lineRule="auto"/>
        <w:jc w:val="center"/>
        <w:outlineLvl w:val="0"/>
        <w:rPr>
          <w:rFonts w:hint="eastAsia" w:ascii="宋体" w:hAnsi="宋体" w:cs="宋体"/>
          <w:b/>
          <w:color w:val="auto"/>
          <w:kern w:val="0"/>
          <w:sz w:val="32"/>
          <w:szCs w:val="32"/>
          <w:highlight w:val="none"/>
        </w:rPr>
      </w:pPr>
      <w:bookmarkStart w:id="351" w:name="_Toc22189"/>
      <w:bookmarkStart w:id="352" w:name="_Toc17246"/>
      <w:r>
        <w:rPr>
          <w:rFonts w:hint="eastAsia" w:ascii="宋体" w:hAnsi="宋体" w:cs="宋体"/>
          <w:b/>
          <w:color w:val="auto"/>
          <w:kern w:val="0"/>
          <w:sz w:val="32"/>
          <w:szCs w:val="32"/>
          <w:highlight w:val="none"/>
        </w:rPr>
        <w:t>联合体协议书</w:t>
      </w:r>
      <w:bookmarkEnd w:id="351"/>
      <w:bookmarkEnd w:id="352"/>
    </w:p>
    <w:p w14:paraId="67954623">
      <w:pPr>
        <w:widowControl/>
        <w:spacing w:line="360" w:lineRule="auto"/>
        <w:ind w:firstLine="482" w:firstLineChars="200"/>
        <w:jc w:val="left"/>
        <w:rPr>
          <w:rFonts w:ascii="宋体" w:hAnsi="宋体" w:cs="宋体"/>
          <w:b/>
          <w:color w:val="auto"/>
          <w:sz w:val="24"/>
          <w:highlight w:val="none"/>
        </w:rPr>
      </w:pPr>
      <w:r>
        <w:rPr>
          <w:rFonts w:hint="eastAsia" w:ascii="宋体" w:hAnsi="宋体" w:cs="宋体"/>
          <w:b/>
          <w:color w:val="auto"/>
          <w:sz w:val="24"/>
          <w:highlight w:val="none"/>
        </w:rPr>
        <w:t>（以联合体形式投标的，提供联合</w:t>
      </w:r>
      <w:r>
        <w:rPr>
          <w:rFonts w:hint="eastAsia" w:cs="宋体"/>
          <w:b/>
          <w:color w:val="auto"/>
          <w:sz w:val="24"/>
          <w:highlight w:val="none"/>
          <w:lang w:val="en-US" w:eastAsia="zh-CN"/>
        </w:rPr>
        <w:t>体</w:t>
      </w:r>
      <w:r>
        <w:rPr>
          <w:rFonts w:hint="eastAsia" w:ascii="宋体" w:hAnsi="宋体" w:cs="宋体"/>
          <w:b/>
          <w:color w:val="auto"/>
          <w:sz w:val="24"/>
          <w:highlight w:val="none"/>
        </w:rPr>
        <w:t>协议</w:t>
      </w:r>
      <w:r>
        <w:rPr>
          <w:rFonts w:hint="eastAsia" w:cs="宋体"/>
          <w:b/>
          <w:color w:val="auto"/>
          <w:sz w:val="24"/>
          <w:highlight w:val="none"/>
          <w:lang w:val="en-US" w:eastAsia="zh-CN"/>
        </w:rPr>
        <w:t>书</w:t>
      </w:r>
      <w:r>
        <w:rPr>
          <w:rFonts w:hint="eastAsia" w:ascii="宋体" w:hAnsi="宋体" w:cs="宋体"/>
          <w:b/>
          <w:color w:val="auto"/>
          <w:sz w:val="24"/>
          <w:highlight w:val="none"/>
        </w:rPr>
        <w:t>；本项目不接受联合体投标或者投标人不以联合体形式投标的，则不需要提供）</w:t>
      </w:r>
    </w:p>
    <w:p w14:paraId="14187E65">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（联合体所有成员名称）</w:t>
      </w:r>
      <w:r>
        <w:rPr>
          <w:rFonts w:hint="eastAsia" w:ascii="宋体" w:hAnsi="宋体" w:cs="宋体"/>
          <w:color w:val="auto"/>
          <w:kern w:val="0"/>
          <w:sz w:val="24"/>
          <w:highlight w:val="none"/>
        </w:rPr>
        <w:t>自愿</w:t>
      </w:r>
      <w:r>
        <w:rPr>
          <w:rFonts w:hint="eastAsia" w:ascii="宋体" w:hAnsi="宋体" w:cs="宋体"/>
          <w:color w:val="auto"/>
          <w:kern w:val="0"/>
          <w:sz w:val="24"/>
          <w:highlight w:val="none"/>
          <w:lang w:val="zh-CN"/>
        </w:rPr>
        <w:t>组成一个联合体，以一个投标人的身份</w:t>
      </w:r>
      <w:r>
        <w:rPr>
          <w:rFonts w:hint="eastAsia" w:ascii="宋体" w:hAnsi="宋体" w:cs="宋体"/>
          <w:color w:val="auto"/>
          <w:kern w:val="0"/>
          <w:sz w:val="24"/>
          <w:highlight w:val="none"/>
        </w:rPr>
        <w:t>参加</w:t>
      </w:r>
      <w:r>
        <w:rPr>
          <w:rFonts w:hint="eastAsia" w:ascii="宋体" w:hAnsi="宋体" w:cs="宋体"/>
          <w:color w:val="auto"/>
          <w:sz w:val="24"/>
          <w:highlight w:val="none"/>
        </w:rPr>
        <w:t>（项目名称）【</w:t>
      </w:r>
      <w:r>
        <w:rPr>
          <w:rFonts w:hint="eastAsia" w:cs="宋体"/>
          <w:color w:val="auto"/>
          <w:sz w:val="24"/>
          <w:highlight w:val="none"/>
          <w:lang w:val="en-US" w:eastAsia="zh-CN"/>
        </w:rPr>
        <w:t>项目</w:t>
      </w:r>
      <w:r>
        <w:rPr>
          <w:rFonts w:hint="eastAsia" w:ascii="宋体" w:hAnsi="宋体" w:cs="宋体"/>
          <w:color w:val="auto"/>
          <w:sz w:val="24"/>
          <w:highlight w:val="none"/>
        </w:rPr>
        <w:t>编号</w:t>
      </w:r>
      <w:r>
        <w:rPr>
          <w:rFonts w:hint="eastAsia" w:cs="宋体"/>
          <w:color w:val="auto"/>
          <w:sz w:val="24"/>
          <w:highlight w:val="none"/>
          <w:lang w:val="en-US" w:eastAsia="zh-CN"/>
        </w:rPr>
        <w:t>/包号</w:t>
      </w:r>
      <w:r>
        <w:rPr>
          <w:rFonts w:hint="eastAsia" w:ascii="宋体" w:hAnsi="宋体" w:cs="宋体"/>
          <w:color w:val="auto"/>
          <w:sz w:val="24"/>
          <w:highlight w:val="none"/>
        </w:rPr>
        <w:t>：</w:t>
      </w:r>
      <w:r>
        <w:rPr>
          <w:rFonts w:hint="eastAsia" w:cs="宋体"/>
          <w:color w:val="auto"/>
          <w:sz w:val="24"/>
          <w:highlight w:val="none"/>
          <w:lang w:val="en-US" w:eastAsia="zh-CN"/>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 xml:space="preserve">投标。 </w:t>
      </w:r>
    </w:p>
    <w:p w14:paraId="682E8747">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一、各方一致决定，</w:t>
      </w:r>
      <w:r>
        <w:rPr>
          <w:rFonts w:hint="eastAsia" w:ascii="宋体" w:hAnsi="宋体" w:cs="宋体"/>
          <w:color w:val="auto"/>
          <w:kern w:val="0"/>
          <w:sz w:val="24"/>
          <w:highlight w:val="none"/>
          <w:u w:val="single"/>
        </w:rPr>
        <w:t>（某联合体成员名称）</w:t>
      </w:r>
      <w:r>
        <w:rPr>
          <w:rFonts w:hint="eastAsia" w:ascii="宋体" w:hAnsi="宋体" w:cs="宋体"/>
          <w:color w:val="auto"/>
          <w:kern w:val="0"/>
          <w:sz w:val="24"/>
          <w:highlight w:val="none"/>
        </w:rPr>
        <w:t>为联合体</w:t>
      </w:r>
      <w:r>
        <w:rPr>
          <w:rFonts w:hint="eastAsia" w:ascii="宋体" w:hAnsi="宋体" w:cs="宋体"/>
          <w:color w:val="auto"/>
          <w:kern w:val="0"/>
          <w:sz w:val="24"/>
          <w:highlight w:val="none"/>
          <w:lang w:val="zh-CN"/>
        </w:rPr>
        <w:t>牵头人</w:t>
      </w:r>
      <w:r>
        <w:rPr>
          <w:rFonts w:hint="eastAsia" w:ascii="宋体" w:hAnsi="宋体" w:cs="宋体"/>
          <w:color w:val="auto"/>
          <w:sz w:val="24"/>
          <w:highlight w:val="none"/>
        </w:rPr>
        <w:t>，代表所有联合体成员负责投标和合同实施阶段的主办、协调工作</w:t>
      </w:r>
      <w:r>
        <w:rPr>
          <w:rFonts w:hint="eastAsia" w:ascii="宋体" w:hAnsi="宋体" w:cs="宋体"/>
          <w:color w:val="auto"/>
          <w:kern w:val="0"/>
          <w:sz w:val="24"/>
          <w:highlight w:val="none"/>
          <w:lang w:val="zh-CN"/>
        </w:rPr>
        <w:t>。</w:t>
      </w:r>
    </w:p>
    <w:p w14:paraId="2FA3C75E">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二、</w:t>
      </w:r>
      <w:r>
        <w:rPr>
          <w:rFonts w:hint="eastAsia" w:ascii="宋体" w:hAnsi="宋体" w:cs="宋体"/>
          <w:color w:val="auto"/>
          <w:sz w:val="24"/>
          <w:highlight w:val="none"/>
        </w:rPr>
        <w:t>所有联合体成员各方签署授权书，授权书载明的</w:t>
      </w:r>
      <w:r>
        <w:rPr>
          <w:rFonts w:hint="eastAsia" w:ascii="宋体" w:hAnsi="宋体" w:cs="宋体"/>
          <w:color w:val="auto"/>
          <w:kern w:val="0"/>
          <w:sz w:val="24"/>
          <w:highlight w:val="none"/>
          <w:lang w:val="zh-CN"/>
        </w:rPr>
        <w:t>授权代表根据招标文件规定及投标内容而对采购人、采购代理机构所作的任何合法承诺，包括书面澄清及相应等均对联合投标各方产生约束力。</w:t>
      </w:r>
    </w:p>
    <w:p w14:paraId="794C7560">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三、本次联合投标中，分工如下：</w:t>
      </w:r>
    </w:p>
    <w:p w14:paraId="5742291A">
      <w:pPr>
        <w:snapToGrid w:val="0"/>
        <w:spacing w:line="360" w:lineRule="auto"/>
        <w:ind w:firstLine="576"/>
        <w:rPr>
          <w:rFonts w:ascii="宋体" w:hAnsi="宋体" w:cs="宋体"/>
          <w:color w:val="auto"/>
          <w:kern w:val="0"/>
          <w:sz w:val="24"/>
          <w:highlight w:val="none"/>
          <w:lang w:val="zh-CN"/>
        </w:rPr>
      </w:pPr>
      <w:bookmarkStart w:id="353" w:name="_Hlk101134295"/>
      <w:r>
        <w:rPr>
          <w:rFonts w:hint="eastAsia" w:ascii="宋体" w:hAnsi="宋体" w:cs="宋体"/>
          <w:color w:val="auto"/>
          <w:kern w:val="0"/>
          <w:sz w:val="24"/>
          <w:highlight w:val="none"/>
          <w:u w:val="single"/>
        </w:rPr>
        <w:t>（联合体成员1）</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lang w:val="zh-CN"/>
        </w:rPr>
        <w:t>承担</w:t>
      </w:r>
      <w:r>
        <w:rPr>
          <w:rFonts w:hint="eastAsia" w:ascii="宋体" w:hAnsi="宋体" w:cs="宋体"/>
          <w:color w:val="auto"/>
          <w:kern w:val="0"/>
          <w:sz w:val="24"/>
          <w:highlight w:val="none"/>
          <w:lang w:val="en-US" w:eastAsia="zh-CN"/>
        </w:rPr>
        <w:t>项目采购合同金额的</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u w:val="none"/>
          <w:lang w:val="en-US" w:eastAsia="zh-CN"/>
        </w:rPr>
        <w:t>，负责</w:t>
      </w:r>
      <w:r>
        <w:rPr>
          <w:rFonts w:hint="eastAsia" w:ascii="宋体" w:hAnsi="宋体" w:cs="宋体"/>
          <w:color w:val="auto"/>
          <w:kern w:val="0"/>
          <w:sz w:val="24"/>
          <w:highlight w:val="none"/>
          <w:lang w:val="zh-CN"/>
        </w:rPr>
        <w:t>的工作和义务为：</w:t>
      </w:r>
      <w:r>
        <w:rPr>
          <w:rFonts w:hint="eastAsia" w:ascii="宋体" w:hAnsi="宋体" w:cs="宋体"/>
          <w:color w:val="auto"/>
          <w:highlight w:val="none"/>
          <w:u w:val="single"/>
        </w:rPr>
        <w:t xml:space="preserve">             </w:t>
      </w:r>
      <w:r>
        <w:rPr>
          <w:rFonts w:hint="eastAsia" w:ascii="宋体" w:hAnsi="宋体" w:cs="宋体"/>
          <w:color w:val="auto"/>
          <w:kern w:val="0"/>
          <w:sz w:val="24"/>
          <w:highlight w:val="none"/>
          <w:lang w:val="zh-CN"/>
        </w:rPr>
        <w:t>；</w:t>
      </w:r>
    </w:p>
    <w:p w14:paraId="51F758BD">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（联合体成员</w:t>
      </w:r>
      <w:r>
        <w:rPr>
          <w:rFonts w:ascii="宋体" w:hAnsi="宋体" w:cs="宋体"/>
          <w:color w:val="auto"/>
          <w:kern w:val="0"/>
          <w:sz w:val="24"/>
          <w:highlight w:val="none"/>
          <w:u w:val="single"/>
        </w:rPr>
        <w:t>2</w:t>
      </w:r>
      <w:r>
        <w:rPr>
          <w:rFonts w:hint="eastAsia" w:ascii="宋体" w:hAnsi="宋体" w:cs="宋体"/>
          <w:color w:val="auto"/>
          <w:kern w:val="0"/>
          <w:sz w:val="24"/>
          <w:highlight w:val="none"/>
          <w:u w:val="single"/>
        </w:rPr>
        <w:t>）</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lang w:val="zh-CN"/>
        </w:rPr>
        <w:t>承担</w:t>
      </w:r>
      <w:r>
        <w:rPr>
          <w:rFonts w:hint="eastAsia" w:ascii="宋体" w:hAnsi="宋体" w:cs="宋体"/>
          <w:color w:val="auto"/>
          <w:kern w:val="0"/>
          <w:sz w:val="24"/>
          <w:highlight w:val="none"/>
          <w:lang w:val="en-US" w:eastAsia="zh-CN"/>
        </w:rPr>
        <w:t>项目采购合同金额的</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u w:val="none"/>
          <w:lang w:val="en-US" w:eastAsia="zh-CN"/>
        </w:rPr>
        <w:t>，负责</w:t>
      </w:r>
      <w:r>
        <w:rPr>
          <w:rFonts w:hint="eastAsia" w:ascii="宋体" w:hAnsi="宋体" w:cs="宋体"/>
          <w:color w:val="auto"/>
          <w:kern w:val="0"/>
          <w:sz w:val="24"/>
          <w:highlight w:val="none"/>
          <w:lang w:val="zh-CN"/>
        </w:rPr>
        <w:t>的工作和义务为：</w:t>
      </w:r>
      <w:r>
        <w:rPr>
          <w:rFonts w:hint="eastAsia" w:ascii="宋体" w:hAnsi="宋体" w:cs="宋体"/>
          <w:color w:val="auto"/>
          <w:highlight w:val="none"/>
          <w:u w:val="single"/>
        </w:rPr>
        <w:t xml:space="preserve">             </w:t>
      </w:r>
      <w:r>
        <w:rPr>
          <w:rFonts w:hint="eastAsia" w:ascii="宋体" w:hAnsi="宋体" w:cs="宋体"/>
          <w:color w:val="auto"/>
          <w:kern w:val="0"/>
          <w:sz w:val="24"/>
          <w:highlight w:val="none"/>
          <w:lang w:val="zh-CN"/>
        </w:rPr>
        <w:t>；</w:t>
      </w:r>
    </w:p>
    <w:p w14:paraId="6E4350A6">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w:t>
      </w:r>
    </w:p>
    <w:bookmarkEnd w:id="353"/>
    <w:p w14:paraId="417425E1">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四、联合体成员中小企业合同份额。</w:t>
      </w:r>
    </w:p>
    <w:p w14:paraId="40493970">
      <w:pPr>
        <w:snapToGrid w:val="0"/>
        <w:spacing w:line="360" w:lineRule="auto"/>
        <w:ind w:firstLine="576"/>
        <w:rPr>
          <w:rFonts w:ascii="宋体" w:hAnsi="宋体" w:cs="宋体"/>
          <w:b/>
          <w:color w:val="auto"/>
          <w:kern w:val="0"/>
          <w:sz w:val="24"/>
          <w:highlight w:val="none"/>
          <w:lang w:val="zh-CN"/>
        </w:rPr>
      </w:pPr>
      <w:r>
        <w:rPr>
          <w:rFonts w:hint="eastAsia" w:ascii="宋体" w:hAnsi="宋体" w:cs="宋体"/>
          <w:color w:val="auto"/>
          <w:kern w:val="0"/>
          <w:sz w:val="24"/>
          <w:highlight w:val="none"/>
          <w:lang w:val="zh-CN"/>
        </w:rPr>
        <w:t>1、</w:t>
      </w:r>
      <w:r>
        <w:rPr>
          <w:rFonts w:hint="eastAsia" w:ascii="宋体" w:hAnsi="宋体" w:cs="宋体"/>
          <w:color w:val="auto"/>
          <w:kern w:val="0"/>
          <w:sz w:val="24"/>
          <w:highlight w:val="none"/>
          <w:u w:val="single"/>
        </w:rPr>
        <w:t>（联合体成员</w:t>
      </w:r>
      <w:r>
        <w:rPr>
          <w:rFonts w:ascii="宋体" w:hAnsi="宋体" w:cs="宋体"/>
          <w:color w:val="auto"/>
          <w:kern w:val="0"/>
          <w:sz w:val="24"/>
          <w:highlight w:val="none"/>
          <w:u w:val="single"/>
        </w:rPr>
        <w:t>X,</w:t>
      </w:r>
      <w:r>
        <w:rPr>
          <w:rFonts w:hint="eastAsia" w:ascii="宋体" w:hAnsi="宋体" w:cs="宋体"/>
          <w:color w:val="auto"/>
          <w:kern w:val="0"/>
          <w:sz w:val="24"/>
          <w:highlight w:val="none"/>
          <w:u w:val="single"/>
        </w:rPr>
        <w:t>……）</w:t>
      </w:r>
      <w:r>
        <w:rPr>
          <w:rFonts w:hint="eastAsia" w:ascii="宋体" w:hAnsi="宋体" w:cs="宋体"/>
          <w:color w:val="auto"/>
          <w:kern w:val="0"/>
          <w:sz w:val="24"/>
          <w:highlight w:val="none"/>
        </w:rPr>
        <w:t>提供的全部货物由小微企业制造，其合同份额占到合同总金额</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%以上；</w:t>
      </w:r>
      <w:r>
        <w:rPr>
          <w:rFonts w:hint="eastAsia" w:ascii="宋体" w:hAnsi="宋体" w:cs="宋体"/>
          <w:color w:val="auto"/>
          <w:kern w:val="0"/>
          <w:sz w:val="24"/>
          <w:highlight w:val="none"/>
          <w:lang w:val="zh-CN"/>
        </w:rPr>
        <w:t>……。</w:t>
      </w:r>
      <w:r>
        <w:rPr>
          <w:rFonts w:hint="eastAsia" w:ascii="宋体" w:hAnsi="宋体" w:cs="宋体"/>
          <w:b/>
          <w:color w:val="auto"/>
          <w:kern w:val="0"/>
          <w:sz w:val="24"/>
          <w:highlight w:val="none"/>
          <w:lang w:val="zh-CN"/>
        </w:rPr>
        <w:t>（未预留份额专门面向中小企业采购的采购项目，以及预留份额中的非预留部分采购包，接受联合体投标的，联合</w:t>
      </w:r>
      <w:r>
        <w:rPr>
          <w:rFonts w:hint="eastAsia" w:cs="宋体"/>
          <w:b/>
          <w:color w:val="auto"/>
          <w:kern w:val="0"/>
          <w:sz w:val="24"/>
          <w:highlight w:val="none"/>
          <w:lang w:val="en-US" w:eastAsia="zh-CN"/>
        </w:rPr>
        <w:t>体</w:t>
      </w:r>
      <w:r>
        <w:rPr>
          <w:rFonts w:hint="eastAsia" w:ascii="宋体" w:hAnsi="宋体" w:cs="宋体"/>
          <w:b/>
          <w:color w:val="auto"/>
          <w:kern w:val="0"/>
          <w:sz w:val="24"/>
          <w:highlight w:val="none"/>
          <w:lang w:val="zh-CN"/>
        </w:rPr>
        <w:t>协议</w:t>
      </w:r>
      <w:r>
        <w:rPr>
          <w:rFonts w:hint="eastAsia" w:cs="宋体"/>
          <w:b/>
          <w:color w:val="auto"/>
          <w:kern w:val="0"/>
          <w:sz w:val="24"/>
          <w:highlight w:val="none"/>
          <w:lang w:val="en-US" w:eastAsia="zh-CN"/>
        </w:rPr>
        <w:t>书</w:t>
      </w:r>
      <w:r>
        <w:rPr>
          <w:rFonts w:hint="eastAsia" w:ascii="宋体" w:hAnsi="宋体" w:cs="宋体"/>
          <w:b/>
          <w:color w:val="auto"/>
          <w:kern w:val="0"/>
          <w:sz w:val="24"/>
          <w:highlight w:val="none"/>
          <w:lang w:val="zh-CN"/>
        </w:rPr>
        <w:t>约定小微企业的合同份额占到合同总金额30%以上的，对联合体报价按评标标准确定的比例给予扣除。供应商</w:t>
      </w:r>
      <w:r>
        <w:rPr>
          <w:rFonts w:hint="eastAsia" w:ascii="宋体" w:hAnsi="宋体" w:cs="宋体"/>
          <w:b/>
          <w:color w:val="auto"/>
          <w:sz w:val="24"/>
          <w:highlight w:val="none"/>
        </w:rPr>
        <w:t>拟享受以上价格扣除政策的，填写有关内容。</w:t>
      </w:r>
      <w:r>
        <w:rPr>
          <w:rFonts w:hint="eastAsia" w:ascii="宋体" w:hAnsi="宋体" w:cs="宋体"/>
          <w:b/>
          <w:color w:val="auto"/>
          <w:kern w:val="0"/>
          <w:sz w:val="24"/>
          <w:highlight w:val="none"/>
          <w:lang w:val="zh-CN"/>
        </w:rPr>
        <w:t>）</w:t>
      </w:r>
    </w:p>
    <w:p w14:paraId="1C0B640E">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sz w:val="24"/>
          <w:highlight w:val="none"/>
        </w:rPr>
        <w:t>2、中小企业合同金额达到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%，其中小微企业合同金额达到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w:t>
      </w:r>
      <w:r>
        <w:rPr>
          <w:rFonts w:hint="eastAsia" w:ascii="宋体" w:hAnsi="宋体" w:cs="宋体"/>
          <w:b/>
          <w:bCs/>
          <w:color w:val="auto"/>
          <w:kern w:val="0"/>
          <w:sz w:val="24"/>
          <w:highlight w:val="none"/>
          <w:lang w:val="zh-CN"/>
        </w:rPr>
        <w:t>（</w:t>
      </w:r>
      <w:r>
        <w:rPr>
          <w:rFonts w:hint="eastAsia" w:ascii="宋体" w:hAnsi="宋体" w:cs="宋体"/>
          <w:b/>
          <w:bCs/>
          <w:color w:val="auto"/>
          <w:sz w:val="24"/>
          <w:highlight w:val="none"/>
        </w:rPr>
        <w:t>要求以联合体形式参加的项目或采购包，供应商按招标文件第一部分招标公告申请人的资格要求中规定的联合</w:t>
      </w:r>
      <w:r>
        <w:rPr>
          <w:rFonts w:hint="eastAsia" w:cs="宋体"/>
          <w:b/>
          <w:bCs/>
          <w:color w:val="auto"/>
          <w:sz w:val="24"/>
          <w:highlight w:val="none"/>
          <w:lang w:val="en-US" w:eastAsia="zh-CN"/>
        </w:rPr>
        <w:t>体</w:t>
      </w:r>
      <w:r>
        <w:rPr>
          <w:rFonts w:hint="eastAsia" w:ascii="宋体" w:hAnsi="宋体" w:cs="宋体"/>
          <w:b/>
          <w:bCs/>
          <w:color w:val="auto"/>
          <w:sz w:val="24"/>
          <w:highlight w:val="none"/>
        </w:rPr>
        <w:t>协议</w:t>
      </w:r>
      <w:r>
        <w:rPr>
          <w:rFonts w:hint="eastAsia" w:cs="宋体"/>
          <w:b/>
          <w:bCs/>
          <w:color w:val="auto"/>
          <w:sz w:val="24"/>
          <w:highlight w:val="none"/>
          <w:lang w:val="en-US" w:eastAsia="zh-CN"/>
        </w:rPr>
        <w:t>书</w:t>
      </w:r>
      <w:r>
        <w:rPr>
          <w:rFonts w:hint="eastAsia" w:ascii="宋体" w:hAnsi="宋体" w:cs="宋体"/>
          <w:b/>
          <w:bCs/>
          <w:color w:val="auto"/>
          <w:sz w:val="24"/>
          <w:highlight w:val="none"/>
        </w:rPr>
        <w:t>中中小企业、小微企业合同金额应当达到的比例要求填写。</w:t>
      </w:r>
      <w:r>
        <w:rPr>
          <w:rFonts w:hint="eastAsia" w:ascii="宋体" w:hAnsi="宋体" w:cs="宋体"/>
          <w:b/>
          <w:bCs/>
          <w:color w:val="auto"/>
          <w:kern w:val="0"/>
          <w:sz w:val="24"/>
          <w:highlight w:val="none"/>
          <w:lang w:val="zh-CN"/>
        </w:rPr>
        <w:t>）</w:t>
      </w:r>
    </w:p>
    <w:p w14:paraId="1EC462A4">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五、如果中标，</w:t>
      </w:r>
      <w:r>
        <w:rPr>
          <w:rFonts w:hint="eastAsia" w:ascii="宋体" w:hAnsi="宋体" w:cs="宋体"/>
          <w:color w:val="auto"/>
          <w:sz w:val="24"/>
          <w:highlight w:val="none"/>
        </w:rPr>
        <w:t>联合体各成员方共同与采购人签订</w:t>
      </w:r>
      <w:r>
        <w:rPr>
          <w:rFonts w:hint="eastAsia" w:ascii="宋体" w:hAnsi="宋体" w:cs="宋体"/>
          <w:color w:val="auto"/>
          <w:sz w:val="24"/>
          <w:highlight w:val="none"/>
          <w:lang w:val="en-US" w:eastAsia="zh-CN"/>
        </w:rPr>
        <w:t>采购</w:t>
      </w:r>
      <w:r>
        <w:rPr>
          <w:rFonts w:hint="eastAsia" w:ascii="宋体" w:hAnsi="宋体" w:cs="宋体"/>
          <w:color w:val="auto"/>
          <w:sz w:val="24"/>
          <w:highlight w:val="none"/>
        </w:rPr>
        <w:t>合同，并就采购合同约定的事项对采购人承担连带责任。</w:t>
      </w:r>
    </w:p>
    <w:p w14:paraId="0B6A82FE">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六、有关本次联合投标的其他事宜：</w:t>
      </w:r>
    </w:p>
    <w:p w14:paraId="518CE91A">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1、联合体各方不再单独参加或者与其他供应商另外组成联合体参加同一合同项下的政府采购活动。</w:t>
      </w:r>
    </w:p>
    <w:p w14:paraId="23C062C0">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2、联合体中有同类资质的各方按照联合体分工承担相同工作的，按照资质等级较低的供应商确定资质等级。</w:t>
      </w:r>
    </w:p>
    <w:p w14:paraId="0DAC4003">
      <w:pPr>
        <w:snapToGrid w:val="0"/>
        <w:spacing w:line="360" w:lineRule="auto"/>
        <w:ind w:firstLine="576"/>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3、本协议提交采购人、采购代理机构后，联合体各方不得以任何形式对上述内容进行修改或撤销。</w:t>
      </w:r>
    </w:p>
    <w:p w14:paraId="5B293209">
      <w:pPr>
        <w:snapToGrid w:val="0"/>
        <w:spacing w:line="360" w:lineRule="auto"/>
        <w:ind w:firstLine="576"/>
        <w:rPr>
          <w:rFonts w:hint="eastAsia" w:ascii="宋体" w:hAnsi="宋体" w:cs="宋体"/>
          <w:color w:val="auto"/>
          <w:kern w:val="0"/>
          <w:sz w:val="24"/>
          <w:highlight w:val="none"/>
          <w:lang w:val="zh-CN"/>
        </w:rPr>
      </w:pPr>
      <w:r>
        <w:rPr>
          <w:rFonts w:hint="eastAsia" w:cs="宋体"/>
          <w:color w:val="auto"/>
          <w:kern w:val="0"/>
          <w:sz w:val="24"/>
          <w:highlight w:val="none"/>
          <w:lang w:val="en-US" w:eastAsia="zh-CN"/>
        </w:rPr>
        <w:t>4、</w:t>
      </w:r>
      <w:r>
        <w:rPr>
          <w:rFonts w:hint="eastAsia" w:ascii="宋体" w:hAnsi="宋体" w:cs="宋体"/>
          <w:color w:val="auto"/>
          <w:kern w:val="0"/>
          <w:sz w:val="24"/>
          <w:highlight w:val="none"/>
          <w:lang w:val="zh-CN"/>
        </w:rPr>
        <w:t>其他：……</w:t>
      </w:r>
    </w:p>
    <w:p w14:paraId="43009373">
      <w:pPr>
        <w:snapToGrid w:val="0"/>
        <w:spacing w:line="360" w:lineRule="auto"/>
        <w:ind w:firstLine="576"/>
        <w:rPr>
          <w:rFonts w:hint="eastAsia" w:ascii="宋体" w:hAnsi="宋体" w:cs="宋体"/>
          <w:color w:val="auto"/>
          <w:kern w:val="0"/>
          <w:sz w:val="24"/>
          <w:highlight w:val="none"/>
          <w:lang w:val="zh-CN"/>
        </w:rPr>
      </w:pPr>
      <w:r>
        <w:rPr>
          <w:rFonts w:hint="eastAsia" w:cs="宋体"/>
          <w:color w:val="auto"/>
          <w:kern w:val="0"/>
          <w:sz w:val="24"/>
          <w:highlight w:val="none"/>
          <w:lang w:val="en-US" w:eastAsia="zh-CN"/>
        </w:rPr>
        <w:t>5、</w:t>
      </w:r>
      <w:r>
        <w:rPr>
          <w:rFonts w:hint="eastAsia" w:ascii="宋体" w:hAnsi="宋体" w:cs="宋体"/>
          <w:color w:val="auto"/>
          <w:kern w:val="0"/>
          <w:sz w:val="24"/>
          <w:highlight w:val="none"/>
          <w:lang w:val="zh-CN"/>
        </w:rPr>
        <w:t>本协议书自签署之日起生效，若未中标，自本次投标有效期结束后自行失效；若中标，自合同书规定的期限之后自行失效。</w:t>
      </w:r>
    </w:p>
    <w:p w14:paraId="580F475F">
      <w:pPr>
        <w:snapToGrid w:val="0"/>
        <w:spacing w:line="360" w:lineRule="auto"/>
        <w:ind w:firstLine="576"/>
        <w:rPr>
          <w:rFonts w:hint="eastAsia" w:ascii="宋体" w:hAnsi="宋体" w:cs="宋体"/>
          <w:color w:val="auto"/>
          <w:kern w:val="0"/>
          <w:sz w:val="24"/>
          <w:highlight w:val="none"/>
          <w:lang w:val="zh-CN"/>
        </w:rPr>
      </w:pPr>
      <w:r>
        <w:rPr>
          <w:rFonts w:hint="eastAsia" w:cs="宋体"/>
          <w:color w:val="auto"/>
          <w:kern w:val="0"/>
          <w:sz w:val="24"/>
          <w:highlight w:val="none"/>
          <w:lang w:val="en-US" w:eastAsia="zh-CN"/>
        </w:rPr>
        <w:t>6、</w:t>
      </w:r>
      <w:r>
        <w:rPr>
          <w:rFonts w:hint="eastAsia" w:ascii="宋体" w:hAnsi="宋体" w:cs="宋体"/>
          <w:color w:val="auto"/>
          <w:kern w:val="0"/>
          <w:sz w:val="24"/>
          <w:highlight w:val="none"/>
          <w:lang w:val="zh-CN"/>
        </w:rPr>
        <w:t>本协议书正本一式</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份，联合体成员各执</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份；副本一式</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份，联合体成员各执</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份。</w:t>
      </w:r>
    </w:p>
    <w:p w14:paraId="1797DC92">
      <w:pPr>
        <w:pStyle w:val="3"/>
        <w:rPr>
          <w:color w:val="auto"/>
          <w:highlight w:val="none"/>
          <w:lang w:val="zh-CN"/>
        </w:rPr>
      </w:pPr>
    </w:p>
    <w:p w14:paraId="6A1B5B57">
      <w:pPr>
        <w:snapToGrid w:val="0"/>
        <w:spacing w:line="360" w:lineRule="auto"/>
        <w:ind w:firstLine="3840" w:firstLineChars="16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w:t>
      </w:r>
      <w:r>
        <w:rPr>
          <w:rFonts w:hint="eastAsia" w:ascii="宋体" w:hAnsi="宋体" w:cs="宋体"/>
          <w:color w:val="auto"/>
          <w:kern w:val="0"/>
          <w:sz w:val="24"/>
          <w:highlight w:val="none"/>
          <w:lang w:val="en-US" w:eastAsia="zh-CN"/>
        </w:rPr>
        <w:t>1</w:t>
      </w:r>
      <w:r>
        <w:rPr>
          <w:rFonts w:hint="eastAsia" w:ascii="宋体" w:hAnsi="宋体" w:cs="宋体"/>
          <w:color w:val="auto"/>
          <w:kern w:val="0"/>
          <w:sz w:val="24"/>
          <w:highlight w:val="none"/>
          <w:lang w:val="zh-CN"/>
        </w:rPr>
        <w:t>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p>
    <w:p w14:paraId="21DBA726">
      <w:pPr>
        <w:snapToGrid w:val="0"/>
        <w:spacing w:line="360" w:lineRule="auto"/>
        <w:ind w:firstLine="3840" w:firstLineChars="16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w:t>
      </w:r>
      <w:r>
        <w:rPr>
          <w:rFonts w:hint="eastAsia" w:ascii="宋体" w:hAnsi="宋体" w:cs="宋体"/>
          <w:color w:val="auto"/>
          <w:kern w:val="0"/>
          <w:sz w:val="24"/>
          <w:highlight w:val="none"/>
          <w:lang w:val="en-US" w:eastAsia="zh-CN"/>
        </w:rPr>
        <w:t>2</w:t>
      </w:r>
      <w:r>
        <w:rPr>
          <w:rFonts w:hint="eastAsia" w:ascii="宋体" w:hAnsi="宋体" w:cs="宋体"/>
          <w:color w:val="auto"/>
          <w:kern w:val="0"/>
          <w:sz w:val="24"/>
          <w:highlight w:val="none"/>
          <w:lang w:val="zh-CN"/>
        </w:rPr>
        <w:t>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p>
    <w:p w14:paraId="2C01AA77">
      <w:pPr>
        <w:snapToGrid w:val="0"/>
        <w:spacing w:line="360" w:lineRule="auto"/>
        <w:ind w:right="960"/>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w:t>
      </w:r>
    </w:p>
    <w:p w14:paraId="64D03F6B">
      <w:pPr>
        <w:snapToGrid w:val="0"/>
        <w:spacing w:line="360" w:lineRule="auto"/>
        <w:jc w:val="righ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  年  月   日</w:t>
      </w:r>
    </w:p>
    <w:p w14:paraId="69BB115A">
      <w:pPr>
        <w:spacing w:line="360" w:lineRule="auto"/>
        <w:ind w:right="420"/>
        <w:rPr>
          <w:rFonts w:ascii="宋体" w:hAnsi="宋体" w:cs="宋体"/>
          <w:color w:val="auto"/>
          <w:sz w:val="21"/>
          <w:szCs w:val="21"/>
          <w:highlight w:val="none"/>
        </w:rPr>
      </w:pPr>
      <w:r>
        <w:rPr>
          <w:rFonts w:hint="eastAsia" w:ascii="宋体" w:hAnsi="宋体" w:cs="宋体"/>
          <w:color w:val="auto"/>
          <w:sz w:val="21"/>
          <w:szCs w:val="21"/>
          <w:highlight w:val="none"/>
        </w:rPr>
        <w:t>注：按本格式和要求提供。</w:t>
      </w:r>
    </w:p>
    <w:p w14:paraId="68A2ACB2">
      <w:pPr>
        <w:keepNext w:val="0"/>
        <w:keepLines w:val="0"/>
        <w:pageBreakBefore w:val="0"/>
        <w:kinsoku/>
        <w:overflowPunct/>
        <w:topLinePunct w:val="0"/>
        <w:autoSpaceDE/>
        <w:autoSpaceDN/>
        <w:bidi w:val="0"/>
        <w:spacing w:before="157" w:beforeLines="50" w:after="157" w:afterLines="50"/>
        <w:ind w:left="2520" w:leftChars="1050"/>
        <w:textAlignment w:val="auto"/>
        <w:rPr>
          <w:rFonts w:cs="Tahoma"/>
          <w:color w:val="auto"/>
          <w:highlight w:val="none"/>
          <w:u w:val="single"/>
        </w:rPr>
      </w:pPr>
      <w:r>
        <w:rPr>
          <w:rFonts w:cs="Tahoma"/>
          <w:color w:val="auto"/>
          <w:highlight w:val="none"/>
          <w:u w:val="single"/>
        </w:rPr>
        <w:br w:type="page"/>
      </w:r>
    </w:p>
    <w:p w14:paraId="01005797">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eastAsia" w:eastAsia="宋体" w:asciiTheme="majorHAnsi" w:hAnsiTheme="majorHAnsi" w:cstheme="majorBidi"/>
          <w:b/>
          <w:bCs/>
          <w:color w:val="auto"/>
          <w:kern w:val="2"/>
          <w:sz w:val="28"/>
          <w:szCs w:val="28"/>
          <w:highlight w:val="none"/>
          <w:lang w:val="zh-CN" w:eastAsia="zh-CN" w:bidi="ar-SA"/>
        </w:rPr>
      </w:pPr>
      <w:bookmarkStart w:id="354" w:name="_Toc162299566"/>
      <w:bookmarkStart w:id="355" w:name="_Toc163492925"/>
      <w:bookmarkStart w:id="356" w:name="_Toc5987"/>
      <w:bookmarkStart w:id="357" w:name="_Toc156490356"/>
      <w:r>
        <w:rPr>
          <w:rFonts w:hint="eastAsia" w:cstheme="majorBidi"/>
          <w:b/>
          <w:bCs/>
          <w:color w:val="auto"/>
          <w:kern w:val="2"/>
          <w:sz w:val="28"/>
          <w:szCs w:val="28"/>
          <w:highlight w:val="none"/>
          <w:lang w:val="en-US" w:eastAsia="zh-CN" w:bidi="ar-SA"/>
        </w:rPr>
        <w:t>三</w:t>
      </w:r>
      <w:r>
        <w:rPr>
          <w:rFonts w:hint="eastAsia" w:eastAsia="宋体" w:asciiTheme="majorHAnsi" w:hAnsiTheme="majorHAnsi" w:cstheme="majorBidi"/>
          <w:b/>
          <w:bCs/>
          <w:color w:val="auto"/>
          <w:kern w:val="2"/>
          <w:sz w:val="28"/>
          <w:szCs w:val="28"/>
          <w:highlight w:val="none"/>
          <w:lang w:val="en-US" w:eastAsia="zh-CN" w:bidi="ar-SA"/>
        </w:rPr>
        <w:t>、</w:t>
      </w:r>
      <w:r>
        <w:rPr>
          <w:rFonts w:hint="eastAsia" w:eastAsia="宋体" w:asciiTheme="majorHAnsi" w:hAnsiTheme="majorHAnsi" w:cstheme="majorBidi"/>
          <w:b/>
          <w:bCs/>
          <w:color w:val="auto"/>
          <w:kern w:val="2"/>
          <w:sz w:val="28"/>
          <w:szCs w:val="28"/>
          <w:highlight w:val="none"/>
          <w:lang w:val="zh-CN" w:eastAsia="zh-CN" w:bidi="ar-SA"/>
        </w:rPr>
        <w:t>分包意向协议书</w:t>
      </w:r>
      <w:r>
        <w:rPr>
          <w:rFonts w:hint="eastAsia" w:ascii="宋体" w:hAnsi="宋体" w:eastAsia="宋体" w:cstheme="minorBidi"/>
          <w:b w:val="0"/>
          <w:bCs w:val="0"/>
          <w:color w:val="auto"/>
          <w:kern w:val="2"/>
          <w:sz w:val="28"/>
          <w:szCs w:val="28"/>
          <w:highlight w:val="none"/>
          <w:lang w:val="zh-CN" w:eastAsia="zh-CN" w:bidi="ar-SA"/>
        </w:rPr>
        <w:t>【如适用】</w:t>
      </w:r>
      <w:bookmarkEnd w:id="354"/>
      <w:bookmarkEnd w:id="355"/>
      <w:bookmarkEnd w:id="356"/>
      <w:bookmarkEnd w:id="357"/>
    </w:p>
    <w:p w14:paraId="72EF9FB2">
      <w:pPr>
        <w:snapToGrid w:val="0"/>
        <w:spacing w:line="360" w:lineRule="auto"/>
        <w:jc w:val="center"/>
        <w:outlineLvl w:val="0"/>
        <w:rPr>
          <w:rFonts w:hint="eastAsia" w:ascii="宋体" w:hAnsi="宋体" w:cs="宋体"/>
          <w:b/>
          <w:color w:val="auto"/>
          <w:kern w:val="0"/>
          <w:sz w:val="32"/>
          <w:szCs w:val="32"/>
          <w:highlight w:val="none"/>
        </w:rPr>
      </w:pPr>
      <w:bookmarkStart w:id="358" w:name="_Hlk101169080"/>
    </w:p>
    <w:p w14:paraId="3FDEAFA2">
      <w:pPr>
        <w:snapToGrid w:val="0"/>
        <w:spacing w:line="360" w:lineRule="auto"/>
        <w:jc w:val="center"/>
        <w:outlineLvl w:val="0"/>
        <w:rPr>
          <w:rFonts w:hint="eastAsia" w:ascii="宋体" w:hAnsi="宋体" w:eastAsia="宋体" w:cs="宋体"/>
          <w:b/>
          <w:color w:val="auto"/>
          <w:kern w:val="0"/>
          <w:sz w:val="32"/>
          <w:szCs w:val="32"/>
          <w:highlight w:val="none"/>
          <w:lang w:val="en-US" w:eastAsia="zh-CN"/>
        </w:rPr>
      </w:pPr>
      <w:bookmarkStart w:id="359" w:name="_Toc1771"/>
      <w:bookmarkStart w:id="360" w:name="_Toc23228"/>
      <w:r>
        <w:rPr>
          <w:rFonts w:hint="eastAsia" w:ascii="宋体" w:hAnsi="宋体" w:cs="宋体"/>
          <w:b/>
          <w:color w:val="auto"/>
          <w:kern w:val="0"/>
          <w:sz w:val="32"/>
          <w:szCs w:val="32"/>
          <w:highlight w:val="none"/>
        </w:rPr>
        <w:t>分包意向协议</w:t>
      </w:r>
      <w:r>
        <w:rPr>
          <w:rFonts w:hint="eastAsia" w:ascii="宋体" w:hAnsi="宋体" w:cs="宋体"/>
          <w:b/>
          <w:color w:val="auto"/>
          <w:kern w:val="0"/>
          <w:sz w:val="32"/>
          <w:szCs w:val="32"/>
          <w:highlight w:val="none"/>
          <w:lang w:val="en-US" w:eastAsia="zh-CN"/>
        </w:rPr>
        <w:t>书</w:t>
      </w:r>
      <w:bookmarkEnd w:id="359"/>
      <w:bookmarkEnd w:id="360"/>
    </w:p>
    <w:p w14:paraId="4E9F0BF4">
      <w:pPr>
        <w:widowControl/>
        <w:spacing w:line="360" w:lineRule="auto"/>
        <w:ind w:firstLine="120" w:firstLineChars="50"/>
        <w:jc w:val="left"/>
        <w:rPr>
          <w:rFonts w:hint="eastAsia" w:ascii="宋体" w:hAnsi="宋体" w:eastAsia="宋体" w:cs="宋体"/>
          <w:color w:val="auto"/>
          <w:sz w:val="24"/>
          <w:highlight w:val="none"/>
          <w:lang w:eastAsia="zh-CN"/>
        </w:rPr>
      </w:pPr>
      <w:r>
        <w:rPr>
          <w:rFonts w:hint="eastAsia" w:cs="宋体"/>
          <w:color w:val="auto"/>
          <w:sz w:val="24"/>
          <w:highlight w:val="none"/>
          <w:lang w:eastAsia="zh-CN"/>
        </w:rPr>
        <w:t>【</w:t>
      </w:r>
      <w:r>
        <w:rPr>
          <w:rFonts w:hint="eastAsia" w:ascii="宋体" w:hAnsi="宋体" w:cs="宋体"/>
          <w:b/>
          <w:color w:val="auto"/>
          <w:sz w:val="24"/>
          <w:highlight w:val="none"/>
        </w:rPr>
        <w:t>中标后以分包方式履行合同的，提供分包意向协议</w:t>
      </w:r>
      <w:r>
        <w:rPr>
          <w:rFonts w:hint="eastAsia" w:cs="宋体"/>
          <w:b/>
          <w:color w:val="auto"/>
          <w:sz w:val="24"/>
          <w:highlight w:val="none"/>
          <w:lang w:val="en-US" w:eastAsia="zh-CN"/>
        </w:rPr>
        <w:t>书</w:t>
      </w:r>
      <w:r>
        <w:rPr>
          <w:rFonts w:hint="eastAsia" w:ascii="宋体" w:hAnsi="宋体" w:cs="宋体"/>
          <w:b/>
          <w:color w:val="auto"/>
          <w:sz w:val="24"/>
          <w:highlight w:val="none"/>
        </w:rPr>
        <w:t>；采购人不同意分包或者投标人中标后不以分包方式履行合同的，则不需要提供。</w:t>
      </w:r>
      <w:r>
        <w:rPr>
          <w:rFonts w:hint="eastAsia" w:cs="宋体"/>
          <w:color w:val="auto"/>
          <w:sz w:val="24"/>
          <w:highlight w:val="none"/>
          <w:lang w:eastAsia="zh-CN"/>
        </w:rPr>
        <w:t>】</w:t>
      </w:r>
    </w:p>
    <w:p w14:paraId="5791A450">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（投标人名称）</w:t>
      </w:r>
      <w:r>
        <w:rPr>
          <w:rFonts w:hint="eastAsia" w:ascii="宋体" w:hAnsi="宋体" w:cs="宋体"/>
          <w:color w:val="auto"/>
          <w:kern w:val="0"/>
          <w:sz w:val="24"/>
          <w:highlight w:val="none"/>
          <w:lang w:val="zh-CN"/>
        </w:rPr>
        <w:t>若成为</w:t>
      </w:r>
      <w:r>
        <w:rPr>
          <w:rFonts w:hint="eastAsia" w:ascii="宋体" w:hAnsi="宋体" w:cs="宋体"/>
          <w:color w:val="auto"/>
          <w:sz w:val="24"/>
          <w:highlight w:val="none"/>
        </w:rPr>
        <w:t>（项目名称）【</w:t>
      </w:r>
      <w:r>
        <w:rPr>
          <w:rFonts w:hint="eastAsia" w:cs="宋体"/>
          <w:color w:val="auto"/>
          <w:sz w:val="24"/>
          <w:highlight w:val="none"/>
          <w:lang w:val="en-US" w:eastAsia="zh-CN"/>
        </w:rPr>
        <w:t>项目</w:t>
      </w:r>
      <w:r>
        <w:rPr>
          <w:rFonts w:hint="eastAsia" w:ascii="宋体" w:hAnsi="宋体" w:cs="宋体"/>
          <w:color w:val="auto"/>
          <w:sz w:val="24"/>
          <w:highlight w:val="none"/>
        </w:rPr>
        <w:t>编号</w:t>
      </w:r>
      <w:r>
        <w:rPr>
          <w:rFonts w:hint="eastAsia" w:cs="宋体"/>
          <w:color w:val="auto"/>
          <w:sz w:val="24"/>
          <w:highlight w:val="none"/>
          <w:lang w:val="en-US" w:eastAsia="zh-CN"/>
        </w:rPr>
        <w:t>/包号</w:t>
      </w:r>
      <w:r>
        <w:rPr>
          <w:rFonts w:hint="eastAsia" w:ascii="宋体" w:hAnsi="宋体" w:cs="宋体"/>
          <w:color w:val="auto"/>
          <w:sz w:val="24"/>
          <w:highlight w:val="none"/>
        </w:rPr>
        <w:t>：</w:t>
      </w:r>
      <w:r>
        <w:rPr>
          <w:rFonts w:hint="eastAsia" w:cs="宋体"/>
          <w:color w:val="auto"/>
          <w:sz w:val="24"/>
          <w:highlight w:val="none"/>
          <w:lang w:val="en-US" w:eastAsia="zh-CN"/>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的中标供应商，将依法采取分包方式履行合同。</w:t>
      </w:r>
      <w:r>
        <w:rPr>
          <w:rFonts w:hint="eastAsia" w:ascii="宋体" w:hAnsi="宋体" w:cs="宋体"/>
          <w:color w:val="auto"/>
          <w:kern w:val="0"/>
          <w:sz w:val="24"/>
          <w:highlight w:val="none"/>
          <w:u w:val="single"/>
        </w:rPr>
        <w:t>（投标人名称）</w:t>
      </w:r>
      <w:r>
        <w:rPr>
          <w:rFonts w:hint="eastAsia" w:ascii="宋体" w:hAnsi="宋体" w:cs="宋体"/>
          <w:color w:val="auto"/>
          <w:kern w:val="0"/>
          <w:sz w:val="24"/>
          <w:highlight w:val="none"/>
        </w:rPr>
        <w:t>与</w:t>
      </w:r>
      <w:r>
        <w:rPr>
          <w:rFonts w:hint="eastAsia" w:ascii="宋体" w:hAnsi="宋体" w:cs="宋体"/>
          <w:color w:val="auto"/>
          <w:kern w:val="0"/>
          <w:sz w:val="24"/>
          <w:highlight w:val="none"/>
          <w:u w:val="single"/>
        </w:rPr>
        <w:t>（所有分包供应商名称）</w:t>
      </w:r>
      <w:r>
        <w:rPr>
          <w:rFonts w:hint="eastAsia" w:ascii="宋体" w:hAnsi="宋体" w:cs="宋体"/>
          <w:color w:val="auto"/>
          <w:kern w:val="0"/>
          <w:sz w:val="24"/>
          <w:highlight w:val="none"/>
        </w:rPr>
        <w:t>达成分包意向协议</w:t>
      </w:r>
      <w:r>
        <w:rPr>
          <w:rFonts w:hint="eastAsia" w:cs="宋体"/>
          <w:color w:val="auto"/>
          <w:kern w:val="0"/>
          <w:sz w:val="24"/>
          <w:highlight w:val="none"/>
          <w:lang w:val="en-US" w:eastAsia="zh-CN"/>
        </w:rPr>
        <w:t>书</w:t>
      </w:r>
      <w:r>
        <w:rPr>
          <w:rFonts w:hint="eastAsia" w:ascii="宋体" w:hAnsi="宋体" w:cs="宋体"/>
          <w:color w:val="auto"/>
          <w:kern w:val="0"/>
          <w:sz w:val="24"/>
          <w:highlight w:val="none"/>
          <w:lang w:val="zh-CN"/>
        </w:rPr>
        <w:t xml:space="preserve">。 </w:t>
      </w:r>
    </w:p>
    <w:p w14:paraId="545E9079">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一、分包标的及数量</w:t>
      </w:r>
    </w:p>
    <w:p w14:paraId="5E087378">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（投标人名称）</w:t>
      </w:r>
      <w:r>
        <w:rPr>
          <w:rFonts w:hint="eastAsia" w:ascii="宋体" w:hAnsi="宋体" w:cs="宋体"/>
          <w:color w:val="auto"/>
          <w:kern w:val="0"/>
          <w:sz w:val="24"/>
          <w:highlight w:val="none"/>
          <w:lang w:val="zh-CN"/>
        </w:rPr>
        <w:t>将</w:t>
      </w:r>
      <w:r>
        <w:rPr>
          <w:rFonts w:hint="eastAsia" w:ascii="宋体" w:hAnsi="宋体" w:cs="宋体"/>
          <w:color w:val="auto"/>
          <w:highlight w:val="none"/>
          <w:u w:val="single"/>
        </w:rPr>
        <w:t xml:space="preserve"> </w:t>
      </w:r>
      <w:r>
        <w:rPr>
          <w:rFonts w:ascii="宋体" w:hAnsi="宋体" w:cs="宋体"/>
          <w:color w:val="auto"/>
          <w:kern w:val="0"/>
          <w:sz w:val="24"/>
          <w:highlight w:val="none"/>
          <w:u w:val="single"/>
        </w:rPr>
        <w:t xml:space="preserve">  XX工作内容   </w:t>
      </w:r>
      <w:r>
        <w:rPr>
          <w:rFonts w:hint="eastAsia" w:ascii="宋体" w:hAnsi="宋体" w:cs="宋体"/>
          <w:color w:val="auto"/>
          <w:sz w:val="24"/>
          <w:highlight w:val="none"/>
        </w:rPr>
        <w:t>分包给</w:t>
      </w:r>
      <w:r>
        <w:rPr>
          <w:rFonts w:hint="eastAsia" w:ascii="宋体" w:hAnsi="宋体" w:cs="宋体"/>
          <w:color w:val="auto"/>
          <w:kern w:val="0"/>
          <w:sz w:val="24"/>
          <w:highlight w:val="none"/>
          <w:u w:val="single"/>
        </w:rPr>
        <w:t>（分包供应商1名称）</w:t>
      </w:r>
      <w:r>
        <w:rPr>
          <w:rFonts w:hint="eastAsia" w:ascii="宋体" w:hAnsi="宋体" w:cs="宋体"/>
          <w:color w:val="auto"/>
          <w:kern w:val="0"/>
          <w:sz w:val="24"/>
          <w:highlight w:val="none"/>
          <w:lang w:val="zh-CN"/>
        </w:rPr>
        <w:t>，</w:t>
      </w:r>
      <w:r>
        <w:rPr>
          <w:rFonts w:hint="eastAsia" w:ascii="宋体" w:hAnsi="宋体" w:cs="宋体"/>
          <w:color w:val="auto"/>
          <w:kern w:val="0"/>
          <w:sz w:val="24"/>
          <w:highlight w:val="none"/>
          <w:u w:val="single"/>
        </w:rPr>
        <w:t>（分包供应商1名称），</w:t>
      </w:r>
      <w:r>
        <w:rPr>
          <w:rFonts w:hint="eastAsia" w:ascii="宋体" w:hAnsi="宋体" w:cs="宋体"/>
          <w:color w:val="auto"/>
          <w:kern w:val="0"/>
          <w:sz w:val="24"/>
          <w:highlight w:val="none"/>
          <w:lang w:val="zh-CN"/>
        </w:rPr>
        <w:t>具备承</w:t>
      </w:r>
      <w:r>
        <w:rPr>
          <w:rFonts w:hint="eastAsia" w:ascii="宋体" w:hAnsi="宋体" w:cs="宋体"/>
          <w:color w:val="auto"/>
          <w:kern w:val="0"/>
          <w:sz w:val="24"/>
          <w:highlight w:val="none"/>
        </w:rPr>
        <w:t>担</w:t>
      </w:r>
      <w:r>
        <w:rPr>
          <w:rFonts w:hint="eastAsia" w:ascii="宋体" w:hAnsi="宋体" w:cs="宋体"/>
          <w:color w:val="auto"/>
          <w:kern w:val="0"/>
          <w:sz w:val="24"/>
          <w:highlight w:val="none"/>
          <w:u w:val="single"/>
          <w:lang w:val="zh-CN"/>
        </w:rPr>
        <w:t>XX工作内容</w:t>
      </w:r>
      <w:r>
        <w:rPr>
          <w:rFonts w:hint="eastAsia" w:ascii="宋体" w:hAnsi="宋体" w:cs="宋体"/>
          <w:color w:val="auto"/>
          <w:kern w:val="0"/>
          <w:sz w:val="24"/>
          <w:highlight w:val="none"/>
          <w:lang w:val="zh-CN"/>
        </w:rPr>
        <w:t>相应资质条件且不得再次分包；</w:t>
      </w:r>
    </w:p>
    <w:p w14:paraId="37B916C5">
      <w:pPr>
        <w:pStyle w:val="3"/>
        <w:tabs>
          <w:tab w:val="left" w:pos="432"/>
        </w:tabs>
        <w:ind w:left="758" w:leftChars="316" w:firstLine="229" w:firstLineChars="95"/>
        <w:rPr>
          <w:rFonts w:ascii="宋体" w:hAnsi="宋体" w:eastAsia="宋体" w:cs="宋体"/>
          <w:color w:val="auto"/>
          <w:kern w:val="0"/>
          <w:sz w:val="24"/>
          <w:szCs w:val="24"/>
          <w:highlight w:val="none"/>
        </w:rPr>
      </w:pPr>
      <w:bookmarkStart w:id="361" w:name="_Toc22084"/>
      <w:bookmarkStart w:id="362" w:name="_Toc6641"/>
      <w:r>
        <w:rPr>
          <w:rFonts w:hint="eastAsia" w:ascii="宋体" w:hAnsi="宋体" w:eastAsia="宋体" w:cs="宋体"/>
          <w:color w:val="auto"/>
          <w:kern w:val="0"/>
          <w:sz w:val="24"/>
          <w:szCs w:val="24"/>
          <w:highlight w:val="none"/>
        </w:rPr>
        <w:t>……</w:t>
      </w:r>
      <w:bookmarkEnd w:id="361"/>
      <w:bookmarkEnd w:id="362"/>
    </w:p>
    <w:p w14:paraId="04268894">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二、分包供应商中小企业合同份额</w:t>
      </w:r>
    </w:p>
    <w:p w14:paraId="188898B5">
      <w:pPr>
        <w:snapToGrid w:val="0"/>
        <w:spacing w:line="360" w:lineRule="auto"/>
        <w:ind w:firstLine="576"/>
        <w:rPr>
          <w:rFonts w:ascii="宋体" w:hAnsi="宋体" w:cs="宋体"/>
          <w:b/>
          <w:color w:val="auto"/>
          <w:kern w:val="0"/>
          <w:sz w:val="24"/>
          <w:highlight w:val="none"/>
          <w:lang w:val="zh-CN"/>
        </w:rPr>
      </w:pPr>
      <w:r>
        <w:rPr>
          <w:rFonts w:ascii="宋体" w:hAnsi="宋体" w:cs="宋体"/>
          <w:color w:val="auto"/>
          <w:kern w:val="0"/>
          <w:sz w:val="24"/>
          <w:highlight w:val="none"/>
        </w:rPr>
        <w:t>1、</w:t>
      </w:r>
      <w:r>
        <w:rPr>
          <w:rFonts w:hint="eastAsia" w:ascii="宋体" w:hAnsi="宋体" w:cs="宋体"/>
          <w:color w:val="auto"/>
          <w:kern w:val="0"/>
          <w:sz w:val="24"/>
          <w:highlight w:val="none"/>
          <w:u w:val="single"/>
        </w:rPr>
        <w:t>（分包供应商X</w:t>
      </w:r>
      <w:r>
        <w:rPr>
          <w:rFonts w:ascii="宋体" w:hAnsi="宋体" w:cs="宋体"/>
          <w:color w:val="auto"/>
          <w:kern w:val="0"/>
          <w:sz w:val="24"/>
          <w:highlight w:val="none"/>
          <w:u w:val="single"/>
        </w:rPr>
        <w:t>,</w:t>
      </w:r>
      <w:r>
        <w:rPr>
          <w:rFonts w:hint="eastAsia" w:ascii="宋体" w:hAnsi="宋体" w:cs="宋体"/>
          <w:color w:val="auto"/>
          <w:kern w:val="0"/>
          <w:sz w:val="24"/>
          <w:highlight w:val="none"/>
          <w:u w:val="single"/>
        </w:rPr>
        <w:t>……）提供的货物全部由小微企业制造，</w:t>
      </w:r>
      <w:r>
        <w:rPr>
          <w:rFonts w:hint="eastAsia" w:ascii="宋体" w:hAnsi="宋体" w:cs="宋体"/>
          <w:color w:val="auto"/>
          <w:kern w:val="0"/>
          <w:sz w:val="24"/>
          <w:highlight w:val="none"/>
        </w:rPr>
        <w:t>其合同份额占到合同总金额</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%以上</w:t>
      </w:r>
      <w:r>
        <w:rPr>
          <w:rFonts w:hint="eastAsia" w:ascii="宋体" w:hAnsi="宋体" w:cs="宋体"/>
          <w:color w:val="auto"/>
          <w:highlight w:val="none"/>
        </w:rPr>
        <w:t>。</w:t>
      </w:r>
      <w:r>
        <w:rPr>
          <w:rFonts w:hint="eastAsia" w:ascii="宋体" w:hAnsi="宋体" w:cs="宋体"/>
          <w:b/>
          <w:color w:val="auto"/>
          <w:kern w:val="0"/>
          <w:sz w:val="24"/>
          <w:highlight w:val="none"/>
          <w:lang w:val="zh-CN"/>
        </w:rPr>
        <w:t>（未预留份额专门面向中小企业采购的采购项目，以及预留份额中的非预留部分采购包，允许分包的，分包意向协议</w:t>
      </w:r>
      <w:r>
        <w:rPr>
          <w:rFonts w:hint="eastAsia" w:cs="宋体"/>
          <w:b/>
          <w:color w:val="auto"/>
          <w:kern w:val="0"/>
          <w:sz w:val="24"/>
          <w:highlight w:val="none"/>
          <w:lang w:val="en-US" w:eastAsia="zh-CN"/>
        </w:rPr>
        <w:t>书</w:t>
      </w:r>
      <w:r>
        <w:rPr>
          <w:rFonts w:hint="eastAsia" w:ascii="宋体" w:hAnsi="宋体" w:cs="宋体"/>
          <w:b/>
          <w:color w:val="auto"/>
          <w:kern w:val="0"/>
          <w:sz w:val="24"/>
          <w:highlight w:val="none"/>
          <w:lang w:val="zh-CN"/>
        </w:rPr>
        <w:t>约定小微企业的合同份额占到合同总金额30%以上的，对大中型企业的报价按评标标准确定的比例给予扣除。供应商</w:t>
      </w:r>
      <w:r>
        <w:rPr>
          <w:rFonts w:hint="eastAsia" w:ascii="宋体" w:hAnsi="宋体" w:cs="宋体"/>
          <w:b/>
          <w:color w:val="auto"/>
          <w:sz w:val="24"/>
          <w:highlight w:val="none"/>
        </w:rPr>
        <w:t>拟享受以上价格扣除政策的，填写有关内容。</w:t>
      </w:r>
      <w:r>
        <w:rPr>
          <w:rFonts w:hint="eastAsia" w:ascii="宋体" w:hAnsi="宋体" w:cs="宋体"/>
          <w:b/>
          <w:color w:val="auto"/>
          <w:kern w:val="0"/>
          <w:sz w:val="24"/>
          <w:highlight w:val="none"/>
          <w:lang w:val="zh-CN"/>
        </w:rPr>
        <w:t>）</w:t>
      </w:r>
    </w:p>
    <w:p w14:paraId="145FF207">
      <w:pPr>
        <w:spacing w:line="360" w:lineRule="auto"/>
        <w:ind w:firstLine="480" w:firstLineChars="200"/>
        <w:rPr>
          <w:rFonts w:ascii="宋体" w:hAnsi="宋体" w:cs="宋体"/>
          <w:b/>
          <w:bCs/>
          <w:color w:val="auto"/>
          <w:kern w:val="0"/>
          <w:sz w:val="24"/>
          <w:highlight w:val="none"/>
          <w:lang w:val="zh-CN"/>
        </w:rPr>
      </w:pPr>
      <w:r>
        <w:rPr>
          <w:rFonts w:hint="eastAsia" w:ascii="宋体" w:hAnsi="宋体" w:cs="宋体"/>
          <w:color w:val="auto"/>
          <w:sz w:val="24"/>
          <w:highlight w:val="none"/>
        </w:rPr>
        <w:t>2、</w:t>
      </w:r>
      <w:bookmarkStart w:id="363" w:name="_Hlk101133173"/>
      <w:r>
        <w:rPr>
          <w:rFonts w:hint="eastAsia" w:ascii="宋体" w:hAnsi="宋体" w:cs="宋体"/>
          <w:color w:val="auto"/>
          <w:sz w:val="24"/>
          <w:highlight w:val="none"/>
        </w:rPr>
        <w:t>中小企业合同金额达到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%，其中小微企业合同金额达到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w:t>
      </w:r>
      <w:r>
        <w:rPr>
          <w:rFonts w:hint="eastAsia" w:ascii="宋体" w:hAnsi="宋体" w:cs="宋体"/>
          <w:b/>
          <w:bCs/>
          <w:color w:val="auto"/>
          <w:kern w:val="0"/>
          <w:sz w:val="24"/>
          <w:highlight w:val="none"/>
          <w:lang w:val="zh-CN"/>
        </w:rPr>
        <w:t>（</w:t>
      </w:r>
      <w:r>
        <w:rPr>
          <w:rFonts w:hint="eastAsia" w:ascii="宋体" w:hAnsi="宋体" w:cs="宋体"/>
          <w:b/>
          <w:bCs/>
          <w:color w:val="auto"/>
          <w:sz w:val="24"/>
          <w:highlight w:val="none"/>
        </w:rPr>
        <w:t>要求合同分包形式参加的项目或采购包，供应商按招标文件第一部分招标公告申请人的资格要求中规定的</w:t>
      </w:r>
      <w:r>
        <w:rPr>
          <w:rFonts w:hint="eastAsia" w:ascii="宋体" w:hAnsi="宋体" w:cs="宋体"/>
          <w:b/>
          <w:color w:val="auto"/>
          <w:kern w:val="0"/>
          <w:sz w:val="24"/>
          <w:highlight w:val="none"/>
          <w:lang w:val="zh-CN"/>
        </w:rPr>
        <w:t>分包意向协议</w:t>
      </w:r>
      <w:r>
        <w:rPr>
          <w:rFonts w:hint="eastAsia" w:cs="宋体"/>
          <w:b/>
          <w:color w:val="auto"/>
          <w:kern w:val="0"/>
          <w:sz w:val="24"/>
          <w:highlight w:val="none"/>
          <w:lang w:val="en-US" w:eastAsia="zh-CN"/>
        </w:rPr>
        <w:t>书</w:t>
      </w:r>
      <w:r>
        <w:rPr>
          <w:rFonts w:hint="eastAsia" w:ascii="宋体" w:hAnsi="宋体" w:cs="宋体"/>
          <w:b/>
          <w:bCs/>
          <w:color w:val="auto"/>
          <w:sz w:val="24"/>
          <w:highlight w:val="none"/>
        </w:rPr>
        <w:t>中中小企业、小微企业合同金额应当达到的比例要求填写。</w:t>
      </w:r>
      <w:r>
        <w:rPr>
          <w:rFonts w:hint="eastAsia" w:ascii="宋体" w:hAnsi="宋体" w:cs="宋体"/>
          <w:b/>
          <w:bCs/>
          <w:color w:val="auto"/>
          <w:kern w:val="0"/>
          <w:sz w:val="24"/>
          <w:highlight w:val="none"/>
          <w:lang w:val="zh-CN"/>
        </w:rPr>
        <w:t>）</w:t>
      </w:r>
      <w:bookmarkEnd w:id="363"/>
    </w:p>
    <w:p w14:paraId="51C56E71">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三、分包工作履行期限、地点、方式</w:t>
      </w:r>
    </w:p>
    <w:p w14:paraId="7F26E4A3">
      <w:pPr>
        <w:snapToGrid w:val="0"/>
        <w:spacing w:line="360" w:lineRule="auto"/>
        <w:ind w:firstLine="576"/>
        <w:rPr>
          <w:rFonts w:ascii="宋体" w:hAnsi="宋体" w:cs="宋体"/>
          <w:color w:val="auto"/>
          <w:highlight w:val="none"/>
          <w:u w:val="single"/>
        </w:rPr>
      </w:pPr>
      <w:r>
        <w:rPr>
          <w:rFonts w:hint="eastAsia" w:ascii="宋体" w:hAnsi="宋体" w:cs="宋体"/>
          <w:color w:val="auto"/>
          <w:highlight w:val="none"/>
          <w:u w:val="single"/>
        </w:rPr>
        <w:t xml:space="preserve">                                                                                  </w:t>
      </w:r>
    </w:p>
    <w:p w14:paraId="7925029E">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四、质量</w:t>
      </w:r>
    </w:p>
    <w:p w14:paraId="7369B1B5">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0E7AB092">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五、价款或者报酬</w:t>
      </w:r>
    </w:p>
    <w:p w14:paraId="632B92C8">
      <w:pPr>
        <w:snapToGrid w:val="0"/>
        <w:spacing w:line="360" w:lineRule="auto"/>
        <w:ind w:left="655" w:leftChars="273"/>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0C79FAF7">
      <w:pPr>
        <w:snapToGrid w:val="0"/>
        <w:spacing w:line="360" w:lineRule="auto"/>
        <w:ind w:left="655" w:leftChars="273"/>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六、违约责任</w:t>
      </w:r>
    </w:p>
    <w:p w14:paraId="17F77B90">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22CBB9BB">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七、争议解决的办法</w:t>
      </w:r>
    </w:p>
    <w:p w14:paraId="5D83C451">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2A9066DF">
      <w:pPr>
        <w:snapToGrid w:val="0"/>
        <w:spacing w:line="360" w:lineRule="auto"/>
        <w:ind w:left="5861" w:leftChars="342" w:hanging="5040" w:hanging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p>
    <w:p w14:paraId="665C464B">
      <w:pPr>
        <w:snapToGrid w:val="0"/>
        <w:spacing w:line="360" w:lineRule="auto"/>
        <w:jc w:val="righ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分包供应商名称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p>
    <w:p w14:paraId="102F6BD9">
      <w:pPr>
        <w:snapToGrid w:val="0"/>
        <w:spacing w:line="360" w:lineRule="auto"/>
        <w:ind w:firstLine="5760" w:firstLineChars="2400"/>
        <w:rPr>
          <w:rFonts w:ascii="宋体" w:hAnsi="宋体" w:cs="宋体"/>
          <w:color w:val="auto"/>
          <w:highlight w:val="none"/>
        </w:rPr>
      </w:pPr>
      <w:r>
        <w:rPr>
          <w:rFonts w:hint="eastAsia" w:ascii="宋体" w:hAnsi="宋体" w:cs="宋体"/>
          <w:color w:val="auto"/>
          <w:kern w:val="0"/>
          <w:sz w:val="24"/>
          <w:highlight w:val="none"/>
          <w:lang w:val="zh-CN"/>
        </w:rPr>
        <w:t>……</w:t>
      </w:r>
    </w:p>
    <w:p w14:paraId="22C38D7A">
      <w:pPr>
        <w:spacing w:line="360" w:lineRule="auto"/>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日期：  年  月   日</w:t>
      </w:r>
    </w:p>
    <w:p w14:paraId="49A2F910">
      <w:pPr>
        <w:spacing w:line="360" w:lineRule="auto"/>
        <w:ind w:right="420"/>
        <w:rPr>
          <w:rFonts w:ascii="宋体" w:hAnsi="宋体" w:cs="宋体"/>
          <w:color w:val="auto"/>
          <w:sz w:val="21"/>
          <w:szCs w:val="21"/>
          <w:highlight w:val="none"/>
        </w:rPr>
      </w:pPr>
      <w:r>
        <w:rPr>
          <w:rFonts w:hint="eastAsia" w:ascii="宋体" w:hAnsi="宋体" w:cs="宋体"/>
          <w:color w:val="auto"/>
          <w:sz w:val="21"/>
          <w:szCs w:val="21"/>
          <w:highlight w:val="none"/>
        </w:rPr>
        <w:t>注：按本格式和要求提供。</w:t>
      </w:r>
    </w:p>
    <w:p w14:paraId="7F0D76CC">
      <w:pPr>
        <w:topLinePunct/>
        <w:ind w:firstLine="480" w:firstLineChars="200"/>
        <w:rPr>
          <w:rFonts w:hint="eastAsia"/>
          <w:color w:val="auto"/>
          <w:szCs w:val="32"/>
          <w:highlight w:val="none"/>
        </w:rPr>
      </w:pPr>
    </w:p>
    <w:p w14:paraId="5F400CB9">
      <w:pPr>
        <w:topLinePunct/>
        <w:ind w:firstLine="480" w:firstLineChars="200"/>
        <w:rPr>
          <w:rFonts w:hint="eastAsia"/>
          <w:color w:val="auto"/>
          <w:szCs w:val="32"/>
          <w:highlight w:val="none"/>
        </w:rPr>
      </w:pPr>
    </w:p>
    <w:p w14:paraId="11CAF290">
      <w:pPr>
        <w:topLinePunct/>
        <w:ind w:firstLine="480" w:firstLineChars="200"/>
        <w:rPr>
          <w:rFonts w:hint="eastAsia"/>
          <w:color w:val="auto"/>
          <w:szCs w:val="32"/>
          <w:highlight w:val="none"/>
        </w:rPr>
      </w:pPr>
    </w:p>
    <w:p w14:paraId="35CFE103">
      <w:pPr>
        <w:topLinePunct/>
        <w:ind w:firstLine="480" w:firstLineChars="200"/>
        <w:rPr>
          <w:rFonts w:hint="eastAsia"/>
          <w:color w:val="auto"/>
          <w:szCs w:val="32"/>
          <w:highlight w:val="none"/>
        </w:rPr>
      </w:pPr>
    </w:p>
    <w:bookmarkEnd w:id="358"/>
    <w:p w14:paraId="5775F461">
      <w:pPr>
        <w:ind w:left="2520" w:leftChars="1050"/>
        <w:rPr>
          <w:color w:val="auto"/>
          <w:highlight w:val="none"/>
        </w:rPr>
      </w:pPr>
      <w:r>
        <w:rPr>
          <w:rFonts w:cs="Courier New"/>
          <w:color w:val="auto"/>
          <w:szCs w:val="24"/>
          <w:highlight w:val="none"/>
        </w:rPr>
        <w:br w:type="page"/>
      </w:r>
    </w:p>
    <w:p w14:paraId="674386CF">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eastAsia" w:eastAsia="宋体" w:asciiTheme="majorHAnsi" w:hAnsiTheme="majorHAnsi" w:cstheme="majorBidi"/>
          <w:b/>
          <w:bCs/>
          <w:color w:val="auto"/>
          <w:kern w:val="2"/>
          <w:sz w:val="28"/>
          <w:szCs w:val="28"/>
          <w:highlight w:val="none"/>
          <w:lang w:val="en-US" w:eastAsia="zh-CN" w:bidi="ar-SA"/>
        </w:rPr>
      </w:pPr>
      <w:bookmarkStart w:id="364" w:name="_Toc155185932"/>
      <w:bookmarkStart w:id="365" w:name="_Toc163492926"/>
      <w:bookmarkStart w:id="366" w:name="_Toc13186"/>
      <w:r>
        <w:rPr>
          <w:rFonts w:hint="eastAsia" w:cstheme="majorBidi"/>
          <w:b/>
          <w:bCs/>
          <w:color w:val="auto"/>
          <w:kern w:val="2"/>
          <w:sz w:val="28"/>
          <w:szCs w:val="28"/>
          <w:highlight w:val="none"/>
          <w:lang w:val="en-US" w:eastAsia="zh-CN" w:bidi="ar-SA"/>
        </w:rPr>
        <w:t>四</w:t>
      </w:r>
      <w:r>
        <w:rPr>
          <w:rFonts w:hint="eastAsia" w:eastAsia="宋体" w:asciiTheme="majorHAnsi" w:hAnsiTheme="majorHAnsi" w:cstheme="majorBidi"/>
          <w:b/>
          <w:bCs/>
          <w:color w:val="auto"/>
          <w:kern w:val="2"/>
          <w:sz w:val="28"/>
          <w:szCs w:val="28"/>
          <w:highlight w:val="none"/>
          <w:lang w:val="en-US" w:eastAsia="zh-CN" w:bidi="ar-SA"/>
        </w:rPr>
        <w:t>、</w:t>
      </w:r>
      <w:bookmarkEnd w:id="364"/>
      <w:bookmarkEnd w:id="365"/>
      <w:r>
        <w:rPr>
          <w:rFonts w:hint="eastAsia" w:eastAsia="宋体" w:asciiTheme="majorHAnsi" w:hAnsiTheme="majorHAnsi" w:cstheme="majorBidi"/>
          <w:b/>
          <w:bCs/>
          <w:color w:val="auto"/>
          <w:kern w:val="2"/>
          <w:sz w:val="28"/>
          <w:szCs w:val="28"/>
          <w:highlight w:val="none"/>
          <w:lang w:val="en-US" w:eastAsia="zh-CN" w:bidi="ar-SA"/>
        </w:rPr>
        <w:t>落实政府采购政策相关证明文件</w:t>
      </w:r>
      <w:bookmarkEnd w:id="334"/>
      <w:bookmarkEnd w:id="366"/>
    </w:p>
    <w:p w14:paraId="41716825">
      <w:pPr>
        <w:pStyle w:val="4"/>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367" w:name="_Toc163492938"/>
      <w:r>
        <w:rPr>
          <w:rFonts w:hint="eastAsia" w:ascii="宋体" w:hAnsi="宋体" w:eastAsia="宋体" w:cs="宋体"/>
          <w:b/>
          <w:bCs/>
          <w:color w:val="auto"/>
          <w:kern w:val="2"/>
          <w:sz w:val="24"/>
          <w:szCs w:val="24"/>
          <w:highlight w:val="none"/>
          <w:lang w:val="en-US" w:eastAsia="zh-CN" w:bidi="ar-SA"/>
        </w:rPr>
        <w:t>（一）节能环保产品清单及证明材料</w:t>
      </w:r>
      <w:r>
        <w:rPr>
          <w:rFonts w:hint="eastAsia" w:ascii="宋体" w:hAnsi="宋体" w:eastAsia="宋体" w:cs="宋体"/>
          <w:b w:val="0"/>
          <w:bCs w:val="0"/>
          <w:color w:val="auto"/>
          <w:kern w:val="2"/>
          <w:sz w:val="24"/>
          <w:szCs w:val="24"/>
          <w:highlight w:val="none"/>
          <w:lang w:val="en-US" w:eastAsia="zh-CN" w:bidi="ar-SA"/>
        </w:rPr>
        <w:t>【如适用】</w:t>
      </w:r>
      <w:bookmarkEnd w:id="367"/>
    </w:p>
    <w:p w14:paraId="641C9B9A">
      <w:pPr>
        <w:spacing w:line="30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lang w:val="en-US" w:eastAsia="zh-CN"/>
        </w:rPr>
        <w:t>/包号</w:t>
      </w:r>
      <w:r>
        <w:rPr>
          <w:rFonts w:hint="eastAsia" w:ascii="宋体" w:hAnsi="宋体" w:eastAsia="宋体" w:cs="宋体"/>
          <w:color w:val="auto"/>
          <w:sz w:val="24"/>
          <w:szCs w:val="24"/>
          <w:highlight w:val="none"/>
        </w:rPr>
        <w:t>：</w:t>
      </w:r>
    </w:p>
    <w:p w14:paraId="47803A74">
      <w:pPr>
        <w:spacing w:line="30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节能产品</w:t>
      </w:r>
    </w:p>
    <w:tbl>
      <w:tblPr>
        <w:tblStyle w:val="30"/>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757"/>
        <w:gridCol w:w="1147"/>
        <w:gridCol w:w="972"/>
        <w:gridCol w:w="792"/>
        <w:gridCol w:w="696"/>
        <w:gridCol w:w="648"/>
        <w:gridCol w:w="1128"/>
        <w:gridCol w:w="1224"/>
        <w:gridCol w:w="1582"/>
      </w:tblGrid>
      <w:tr w14:paraId="32910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272F949B">
            <w:pPr>
              <w:pStyle w:val="49"/>
              <w:jc w:val="center"/>
              <w:rPr>
                <w:color w:val="auto"/>
                <w:sz w:val="21"/>
                <w:szCs w:val="21"/>
                <w:highlight w:val="none"/>
              </w:rPr>
            </w:pPr>
            <w:r>
              <w:rPr>
                <w:rFonts w:hint="eastAsia"/>
                <w:color w:val="auto"/>
                <w:sz w:val="21"/>
                <w:szCs w:val="21"/>
                <w:highlight w:val="none"/>
              </w:rPr>
              <w:t>序号</w:t>
            </w:r>
          </w:p>
        </w:tc>
        <w:tc>
          <w:tcPr>
            <w:tcW w:w="1147" w:type="dxa"/>
            <w:tcBorders>
              <w:top w:val="single" w:color="auto" w:sz="4" w:space="0"/>
              <w:left w:val="single" w:color="auto" w:sz="4" w:space="0"/>
              <w:bottom w:val="single" w:color="auto" w:sz="4" w:space="0"/>
              <w:right w:val="single" w:color="auto" w:sz="4" w:space="0"/>
            </w:tcBorders>
            <w:vAlign w:val="center"/>
          </w:tcPr>
          <w:p w14:paraId="40FC7763">
            <w:pPr>
              <w:pStyle w:val="49"/>
              <w:jc w:val="center"/>
              <w:rPr>
                <w:color w:val="auto"/>
                <w:sz w:val="21"/>
                <w:szCs w:val="21"/>
                <w:highlight w:val="none"/>
              </w:rPr>
            </w:pPr>
            <w:r>
              <w:rPr>
                <w:rFonts w:hint="eastAsia"/>
                <w:color w:val="auto"/>
                <w:sz w:val="21"/>
                <w:szCs w:val="21"/>
                <w:highlight w:val="none"/>
              </w:rPr>
              <w:t>设备名称</w:t>
            </w:r>
          </w:p>
        </w:tc>
        <w:tc>
          <w:tcPr>
            <w:tcW w:w="972" w:type="dxa"/>
            <w:tcBorders>
              <w:top w:val="single" w:color="auto" w:sz="4" w:space="0"/>
              <w:left w:val="single" w:color="auto" w:sz="4" w:space="0"/>
              <w:bottom w:val="single" w:color="auto" w:sz="4" w:space="0"/>
              <w:right w:val="single" w:color="auto" w:sz="4" w:space="0"/>
            </w:tcBorders>
            <w:vAlign w:val="center"/>
          </w:tcPr>
          <w:p w14:paraId="3633BCC6">
            <w:pPr>
              <w:pStyle w:val="49"/>
              <w:jc w:val="center"/>
              <w:rPr>
                <w:color w:val="auto"/>
                <w:sz w:val="21"/>
                <w:szCs w:val="21"/>
                <w:highlight w:val="none"/>
              </w:rPr>
            </w:pPr>
            <w:r>
              <w:rPr>
                <w:rFonts w:hint="eastAsia"/>
                <w:color w:val="auto"/>
                <w:sz w:val="21"/>
                <w:szCs w:val="21"/>
                <w:highlight w:val="none"/>
              </w:rPr>
              <w:t>制造商名称</w:t>
            </w:r>
          </w:p>
        </w:tc>
        <w:tc>
          <w:tcPr>
            <w:tcW w:w="792" w:type="dxa"/>
            <w:tcBorders>
              <w:top w:val="single" w:color="auto" w:sz="4" w:space="0"/>
              <w:left w:val="single" w:color="auto" w:sz="4" w:space="0"/>
              <w:bottom w:val="single" w:color="auto" w:sz="4" w:space="0"/>
              <w:right w:val="single" w:color="auto" w:sz="4" w:space="0"/>
            </w:tcBorders>
            <w:vAlign w:val="center"/>
          </w:tcPr>
          <w:p w14:paraId="7E976350">
            <w:pPr>
              <w:pStyle w:val="49"/>
              <w:jc w:val="center"/>
              <w:rPr>
                <w:color w:val="auto"/>
                <w:sz w:val="21"/>
                <w:szCs w:val="21"/>
                <w:highlight w:val="none"/>
              </w:rPr>
            </w:pPr>
            <w:r>
              <w:rPr>
                <w:rFonts w:hint="eastAsia"/>
                <w:color w:val="auto"/>
                <w:sz w:val="21"/>
                <w:szCs w:val="21"/>
                <w:highlight w:val="none"/>
              </w:rPr>
              <w:t>品牌</w:t>
            </w:r>
          </w:p>
        </w:tc>
        <w:tc>
          <w:tcPr>
            <w:tcW w:w="696" w:type="dxa"/>
            <w:tcBorders>
              <w:top w:val="single" w:color="auto" w:sz="4" w:space="0"/>
              <w:left w:val="single" w:color="auto" w:sz="4" w:space="0"/>
              <w:bottom w:val="single" w:color="auto" w:sz="4" w:space="0"/>
              <w:right w:val="single" w:color="auto" w:sz="4" w:space="0"/>
            </w:tcBorders>
            <w:vAlign w:val="center"/>
          </w:tcPr>
          <w:p w14:paraId="17DFEC52">
            <w:pPr>
              <w:pStyle w:val="49"/>
              <w:jc w:val="center"/>
              <w:rPr>
                <w:color w:val="auto"/>
                <w:sz w:val="21"/>
                <w:szCs w:val="21"/>
                <w:highlight w:val="none"/>
              </w:rPr>
            </w:pPr>
            <w:r>
              <w:rPr>
                <w:rFonts w:hint="eastAsia"/>
                <w:color w:val="auto"/>
                <w:sz w:val="21"/>
                <w:szCs w:val="21"/>
                <w:highlight w:val="none"/>
              </w:rPr>
              <w:t>型号</w:t>
            </w:r>
          </w:p>
        </w:tc>
        <w:tc>
          <w:tcPr>
            <w:tcW w:w="648" w:type="dxa"/>
            <w:tcBorders>
              <w:top w:val="single" w:color="auto" w:sz="4" w:space="0"/>
              <w:left w:val="single" w:color="auto" w:sz="4" w:space="0"/>
              <w:bottom w:val="single" w:color="auto" w:sz="4" w:space="0"/>
              <w:right w:val="single" w:color="auto" w:sz="4" w:space="0"/>
            </w:tcBorders>
            <w:vAlign w:val="center"/>
          </w:tcPr>
          <w:p w14:paraId="53A14857">
            <w:pPr>
              <w:pStyle w:val="49"/>
              <w:jc w:val="center"/>
              <w:rPr>
                <w:color w:val="auto"/>
                <w:sz w:val="21"/>
                <w:szCs w:val="21"/>
                <w:highlight w:val="none"/>
              </w:rPr>
            </w:pPr>
            <w:r>
              <w:rPr>
                <w:rFonts w:hint="eastAsia"/>
                <w:color w:val="auto"/>
                <w:sz w:val="21"/>
                <w:szCs w:val="21"/>
                <w:highlight w:val="none"/>
              </w:rPr>
              <w:t>数量</w:t>
            </w:r>
          </w:p>
        </w:tc>
        <w:tc>
          <w:tcPr>
            <w:tcW w:w="1128" w:type="dxa"/>
            <w:tcBorders>
              <w:top w:val="single" w:color="auto" w:sz="4" w:space="0"/>
              <w:left w:val="single" w:color="auto" w:sz="4" w:space="0"/>
              <w:bottom w:val="single" w:color="auto" w:sz="4" w:space="0"/>
              <w:right w:val="single" w:color="auto" w:sz="4" w:space="0"/>
            </w:tcBorders>
            <w:vAlign w:val="center"/>
          </w:tcPr>
          <w:p w14:paraId="3D34C27C">
            <w:pPr>
              <w:pStyle w:val="49"/>
              <w:jc w:val="center"/>
              <w:rPr>
                <w:color w:val="auto"/>
                <w:sz w:val="21"/>
                <w:szCs w:val="21"/>
                <w:highlight w:val="none"/>
              </w:rPr>
            </w:pPr>
            <w:r>
              <w:rPr>
                <w:rFonts w:hint="eastAsia"/>
                <w:color w:val="auto"/>
                <w:sz w:val="21"/>
                <w:szCs w:val="21"/>
                <w:highlight w:val="none"/>
              </w:rPr>
              <w:t>单价</w:t>
            </w:r>
          </w:p>
          <w:p w14:paraId="13DCA98A">
            <w:pPr>
              <w:pStyle w:val="49"/>
              <w:jc w:val="center"/>
              <w:rPr>
                <w:color w:val="auto"/>
                <w:sz w:val="21"/>
                <w:szCs w:val="21"/>
                <w:highlight w:val="none"/>
              </w:rPr>
            </w:pPr>
            <w:r>
              <w:rPr>
                <w:rFonts w:hint="eastAsia"/>
                <w:color w:val="auto"/>
                <w:sz w:val="21"/>
                <w:szCs w:val="21"/>
                <w:highlight w:val="none"/>
              </w:rPr>
              <w:t>（万元）</w:t>
            </w:r>
          </w:p>
        </w:tc>
        <w:tc>
          <w:tcPr>
            <w:tcW w:w="1224" w:type="dxa"/>
            <w:tcBorders>
              <w:top w:val="single" w:color="auto" w:sz="4" w:space="0"/>
              <w:left w:val="single" w:color="auto" w:sz="4" w:space="0"/>
              <w:bottom w:val="single" w:color="auto" w:sz="4" w:space="0"/>
              <w:right w:val="single" w:color="auto" w:sz="4" w:space="0"/>
            </w:tcBorders>
            <w:vAlign w:val="center"/>
          </w:tcPr>
          <w:p w14:paraId="7B58FD30">
            <w:pPr>
              <w:pStyle w:val="49"/>
              <w:jc w:val="center"/>
              <w:rPr>
                <w:color w:val="auto"/>
                <w:sz w:val="21"/>
                <w:szCs w:val="21"/>
                <w:highlight w:val="none"/>
              </w:rPr>
            </w:pPr>
            <w:r>
              <w:rPr>
                <w:rFonts w:hint="eastAsia"/>
                <w:color w:val="auto"/>
                <w:sz w:val="21"/>
                <w:szCs w:val="21"/>
                <w:highlight w:val="none"/>
              </w:rPr>
              <w:t>总价</w:t>
            </w:r>
          </w:p>
          <w:p w14:paraId="2B8D01D4">
            <w:pPr>
              <w:pStyle w:val="49"/>
              <w:jc w:val="center"/>
              <w:rPr>
                <w:color w:val="auto"/>
                <w:sz w:val="21"/>
                <w:szCs w:val="21"/>
                <w:highlight w:val="none"/>
              </w:rPr>
            </w:pPr>
            <w:r>
              <w:rPr>
                <w:rFonts w:hint="eastAsia"/>
                <w:color w:val="auto"/>
                <w:sz w:val="21"/>
                <w:szCs w:val="21"/>
                <w:highlight w:val="none"/>
              </w:rPr>
              <w:t>（万元）</w:t>
            </w:r>
          </w:p>
        </w:tc>
        <w:tc>
          <w:tcPr>
            <w:tcW w:w="1582" w:type="dxa"/>
            <w:tcBorders>
              <w:top w:val="single" w:color="auto" w:sz="4" w:space="0"/>
              <w:left w:val="single" w:color="auto" w:sz="4" w:space="0"/>
              <w:bottom w:val="single" w:color="auto" w:sz="4" w:space="0"/>
              <w:right w:val="single" w:color="auto" w:sz="4" w:space="0"/>
            </w:tcBorders>
            <w:vAlign w:val="center"/>
          </w:tcPr>
          <w:p w14:paraId="04FBA906">
            <w:pPr>
              <w:pStyle w:val="49"/>
              <w:jc w:val="center"/>
              <w:rPr>
                <w:color w:val="auto"/>
                <w:sz w:val="21"/>
                <w:szCs w:val="21"/>
                <w:highlight w:val="none"/>
              </w:rPr>
            </w:pPr>
            <w:r>
              <w:rPr>
                <w:rFonts w:hint="eastAsia"/>
                <w:color w:val="auto"/>
                <w:sz w:val="21"/>
                <w:szCs w:val="21"/>
                <w:highlight w:val="none"/>
              </w:rPr>
              <w:t>属强制采购或优先采购</w:t>
            </w:r>
          </w:p>
        </w:tc>
      </w:tr>
      <w:tr w14:paraId="0B7A9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3062F6E4">
            <w:pPr>
              <w:pStyle w:val="49"/>
              <w:numPr>
                <w:ilvl w:val="0"/>
                <w:numId w:val="19"/>
              </w:numPr>
              <w:jc w:val="center"/>
              <w:rPr>
                <w:color w:val="auto"/>
                <w:sz w:val="21"/>
                <w:szCs w:val="21"/>
                <w:highlight w:val="none"/>
              </w:rPr>
            </w:pPr>
          </w:p>
        </w:tc>
        <w:tc>
          <w:tcPr>
            <w:tcW w:w="1147" w:type="dxa"/>
            <w:tcBorders>
              <w:top w:val="single" w:color="auto" w:sz="4" w:space="0"/>
              <w:left w:val="single" w:color="auto" w:sz="4" w:space="0"/>
              <w:bottom w:val="single" w:color="auto" w:sz="4" w:space="0"/>
              <w:right w:val="single" w:color="auto" w:sz="4" w:space="0"/>
            </w:tcBorders>
            <w:vAlign w:val="center"/>
          </w:tcPr>
          <w:p w14:paraId="40150CC3">
            <w:pPr>
              <w:pStyle w:val="49"/>
              <w:jc w:val="center"/>
              <w:rPr>
                <w:color w:val="auto"/>
                <w:sz w:val="21"/>
                <w:szCs w:val="21"/>
                <w:highlight w:val="none"/>
              </w:rPr>
            </w:pPr>
          </w:p>
        </w:tc>
        <w:tc>
          <w:tcPr>
            <w:tcW w:w="972" w:type="dxa"/>
            <w:tcBorders>
              <w:top w:val="single" w:color="auto" w:sz="4" w:space="0"/>
              <w:left w:val="single" w:color="auto" w:sz="4" w:space="0"/>
              <w:bottom w:val="single" w:color="auto" w:sz="4" w:space="0"/>
              <w:right w:val="single" w:color="auto" w:sz="4" w:space="0"/>
            </w:tcBorders>
            <w:vAlign w:val="center"/>
          </w:tcPr>
          <w:p w14:paraId="13B14BA8">
            <w:pPr>
              <w:pStyle w:val="49"/>
              <w:jc w:val="center"/>
              <w:rPr>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vAlign w:val="center"/>
          </w:tcPr>
          <w:p w14:paraId="608F47C0">
            <w:pPr>
              <w:pStyle w:val="49"/>
              <w:jc w:val="center"/>
              <w:rPr>
                <w:color w:val="auto"/>
                <w:sz w:val="21"/>
                <w:szCs w:val="21"/>
                <w:highlight w:val="none"/>
              </w:rPr>
            </w:pPr>
          </w:p>
        </w:tc>
        <w:tc>
          <w:tcPr>
            <w:tcW w:w="696" w:type="dxa"/>
            <w:tcBorders>
              <w:top w:val="single" w:color="auto" w:sz="4" w:space="0"/>
              <w:left w:val="single" w:color="auto" w:sz="4" w:space="0"/>
              <w:bottom w:val="single" w:color="auto" w:sz="4" w:space="0"/>
              <w:right w:val="single" w:color="auto" w:sz="4" w:space="0"/>
            </w:tcBorders>
            <w:vAlign w:val="center"/>
          </w:tcPr>
          <w:p w14:paraId="24405E13">
            <w:pPr>
              <w:pStyle w:val="49"/>
              <w:jc w:val="center"/>
              <w:rPr>
                <w:color w:val="auto"/>
                <w:sz w:val="21"/>
                <w:szCs w:val="21"/>
                <w:highlight w:val="none"/>
              </w:rPr>
            </w:pPr>
          </w:p>
        </w:tc>
        <w:tc>
          <w:tcPr>
            <w:tcW w:w="648" w:type="dxa"/>
            <w:tcBorders>
              <w:top w:val="single" w:color="auto" w:sz="4" w:space="0"/>
              <w:left w:val="single" w:color="auto" w:sz="4" w:space="0"/>
              <w:bottom w:val="single" w:color="auto" w:sz="4" w:space="0"/>
              <w:right w:val="single" w:color="auto" w:sz="4" w:space="0"/>
            </w:tcBorders>
            <w:vAlign w:val="center"/>
          </w:tcPr>
          <w:p w14:paraId="13F13E44">
            <w:pPr>
              <w:pStyle w:val="49"/>
              <w:jc w:val="center"/>
              <w:rPr>
                <w:color w:val="auto"/>
                <w:sz w:val="21"/>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14:paraId="48B5DB96">
            <w:pPr>
              <w:pStyle w:val="49"/>
              <w:jc w:val="center"/>
              <w:rPr>
                <w:color w:val="auto"/>
                <w:sz w:val="21"/>
                <w:szCs w:val="21"/>
                <w:highlight w:val="none"/>
              </w:rPr>
            </w:pPr>
          </w:p>
        </w:tc>
        <w:tc>
          <w:tcPr>
            <w:tcW w:w="1224" w:type="dxa"/>
            <w:tcBorders>
              <w:top w:val="single" w:color="auto" w:sz="4" w:space="0"/>
              <w:left w:val="single" w:color="auto" w:sz="4" w:space="0"/>
              <w:bottom w:val="single" w:color="auto" w:sz="4" w:space="0"/>
              <w:right w:val="single" w:color="auto" w:sz="4" w:space="0"/>
            </w:tcBorders>
            <w:vAlign w:val="center"/>
          </w:tcPr>
          <w:p w14:paraId="6B625590">
            <w:pPr>
              <w:pStyle w:val="49"/>
              <w:jc w:val="center"/>
              <w:rPr>
                <w:color w:val="auto"/>
                <w:sz w:val="21"/>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center"/>
          </w:tcPr>
          <w:p w14:paraId="1E92B067">
            <w:pPr>
              <w:pStyle w:val="49"/>
              <w:jc w:val="center"/>
              <w:rPr>
                <w:color w:val="auto"/>
                <w:sz w:val="21"/>
                <w:szCs w:val="21"/>
                <w:highlight w:val="none"/>
              </w:rPr>
            </w:pPr>
          </w:p>
        </w:tc>
      </w:tr>
      <w:tr w14:paraId="0E72F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33194D91">
            <w:pPr>
              <w:pStyle w:val="49"/>
              <w:numPr>
                <w:ilvl w:val="0"/>
                <w:numId w:val="19"/>
              </w:numPr>
              <w:jc w:val="center"/>
              <w:rPr>
                <w:color w:val="auto"/>
                <w:sz w:val="21"/>
                <w:szCs w:val="21"/>
                <w:highlight w:val="none"/>
              </w:rPr>
            </w:pPr>
          </w:p>
        </w:tc>
        <w:tc>
          <w:tcPr>
            <w:tcW w:w="1147" w:type="dxa"/>
            <w:tcBorders>
              <w:top w:val="single" w:color="auto" w:sz="4" w:space="0"/>
              <w:left w:val="single" w:color="auto" w:sz="4" w:space="0"/>
              <w:bottom w:val="single" w:color="auto" w:sz="4" w:space="0"/>
              <w:right w:val="single" w:color="auto" w:sz="4" w:space="0"/>
            </w:tcBorders>
            <w:vAlign w:val="center"/>
          </w:tcPr>
          <w:p w14:paraId="19339E9C">
            <w:pPr>
              <w:pStyle w:val="49"/>
              <w:jc w:val="center"/>
              <w:rPr>
                <w:color w:val="auto"/>
                <w:sz w:val="21"/>
                <w:szCs w:val="21"/>
                <w:highlight w:val="none"/>
              </w:rPr>
            </w:pPr>
          </w:p>
        </w:tc>
        <w:tc>
          <w:tcPr>
            <w:tcW w:w="972" w:type="dxa"/>
            <w:tcBorders>
              <w:top w:val="single" w:color="auto" w:sz="4" w:space="0"/>
              <w:left w:val="single" w:color="auto" w:sz="4" w:space="0"/>
              <w:bottom w:val="single" w:color="auto" w:sz="4" w:space="0"/>
              <w:right w:val="single" w:color="auto" w:sz="4" w:space="0"/>
            </w:tcBorders>
            <w:vAlign w:val="center"/>
          </w:tcPr>
          <w:p w14:paraId="6588A5D6">
            <w:pPr>
              <w:pStyle w:val="49"/>
              <w:jc w:val="center"/>
              <w:rPr>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vAlign w:val="center"/>
          </w:tcPr>
          <w:p w14:paraId="3487ED51">
            <w:pPr>
              <w:pStyle w:val="49"/>
              <w:jc w:val="center"/>
              <w:rPr>
                <w:color w:val="auto"/>
                <w:sz w:val="21"/>
                <w:szCs w:val="21"/>
                <w:highlight w:val="none"/>
              </w:rPr>
            </w:pPr>
          </w:p>
        </w:tc>
        <w:tc>
          <w:tcPr>
            <w:tcW w:w="696" w:type="dxa"/>
            <w:tcBorders>
              <w:top w:val="single" w:color="auto" w:sz="4" w:space="0"/>
              <w:left w:val="single" w:color="auto" w:sz="4" w:space="0"/>
              <w:bottom w:val="single" w:color="auto" w:sz="4" w:space="0"/>
              <w:right w:val="single" w:color="auto" w:sz="4" w:space="0"/>
            </w:tcBorders>
            <w:vAlign w:val="center"/>
          </w:tcPr>
          <w:p w14:paraId="5BED723B">
            <w:pPr>
              <w:pStyle w:val="49"/>
              <w:jc w:val="center"/>
              <w:rPr>
                <w:color w:val="auto"/>
                <w:sz w:val="21"/>
                <w:szCs w:val="21"/>
                <w:highlight w:val="none"/>
              </w:rPr>
            </w:pPr>
          </w:p>
        </w:tc>
        <w:tc>
          <w:tcPr>
            <w:tcW w:w="648" w:type="dxa"/>
            <w:tcBorders>
              <w:top w:val="single" w:color="auto" w:sz="4" w:space="0"/>
              <w:left w:val="single" w:color="auto" w:sz="4" w:space="0"/>
              <w:bottom w:val="single" w:color="auto" w:sz="4" w:space="0"/>
              <w:right w:val="single" w:color="auto" w:sz="4" w:space="0"/>
            </w:tcBorders>
            <w:vAlign w:val="center"/>
          </w:tcPr>
          <w:p w14:paraId="29FD1D1D">
            <w:pPr>
              <w:pStyle w:val="49"/>
              <w:jc w:val="center"/>
              <w:rPr>
                <w:color w:val="auto"/>
                <w:sz w:val="21"/>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14:paraId="07077735">
            <w:pPr>
              <w:pStyle w:val="49"/>
              <w:jc w:val="center"/>
              <w:rPr>
                <w:color w:val="auto"/>
                <w:sz w:val="21"/>
                <w:szCs w:val="21"/>
                <w:highlight w:val="none"/>
              </w:rPr>
            </w:pPr>
          </w:p>
        </w:tc>
        <w:tc>
          <w:tcPr>
            <w:tcW w:w="1224" w:type="dxa"/>
            <w:tcBorders>
              <w:top w:val="single" w:color="auto" w:sz="4" w:space="0"/>
              <w:left w:val="single" w:color="auto" w:sz="4" w:space="0"/>
              <w:bottom w:val="single" w:color="auto" w:sz="4" w:space="0"/>
              <w:right w:val="single" w:color="auto" w:sz="4" w:space="0"/>
            </w:tcBorders>
            <w:vAlign w:val="center"/>
          </w:tcPr>
          <w:p w14:paraId="5509E830">
            <w:pPr>
              <w:pStyle w:val="49"/>
              <w:jc w:val="center"/>
              <w:rPr>
                <w:color w:val="auto"/>
                <w:sz w:val="21"/>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center"/>
          </w:tcPr>
          <w:p w14:paraId="23F870C5">
            <w:pPr>
              <w:pStyle w:val="49"/>
              <w:jc w:val="center"/>
              <w:rPr>
                <w:color w:val="auto"/>
                <w:sz w:val="21"/>
                <w:szCs w:val="21"/>
                <w:highlight w:val="none"/>
              </w:rPr>
            </w:pPr>
          </w:p>
        </w:tc>
      </w:tr>
      <w:tr w14:paraId="34C02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2D699565">
            <w:pPr>
              <w:pStyle w:val="49"/>
              <w:numPr>
                <w:ilvl w:val="0"/>
                <w:numId w:val="19"/>
              </w:numPr>
              <w:jc w:val="center"/>
              <w:rPr>
                <w:color w:val="auto"/>
                <w:sz w:val="21"/>
                <w:szCs w:val="21"/>
                <w:highlight w:val="none"/>
              </w:rPr>
            </w:pPr>
          </w:p>
        </w:tc>
        <w:tc>
          <w:tcPr>
            <w:tcW w:w="1147" w:type="dxa"/>
            <w:tcBorders>
              <w:top w:val="single" w:color="auto" w:sz="4" w:space="0"/>
              <w:left w:val="single" w:color="auto" w:sz="4" w:space="0"/>
              <w:bottom w:val="single" w:color="auto" w:sz="4" w:space="0"/>
              <w:right w:val="single" w:color="auto" w:sz="4" w:space="0"/>
            </w:tcBorders>
            <w:vAlign w:val="center"/>
          </w:tcPr>
          <w:p w14:paraId="5597DB33">
            <w:pPr>
              <w:pStyle w:val="49"/>
              <w:jc w:val="center"/>
              <w:rPr>
                <w:color w:val="auto"/>
                <w:sz w:val="21"/>
                <w:szCs w:val="21"/>
                <w:highlight w:val="none"/>
              </w:rPr>
            </w:pPr>
            <w:r>
              <w:rPr>
                <w:color w:val="auto"/>
                <w:sz w:val="21"/>
                <w:szCs w:val="21"/>
                <w:highlight w:val="none"/>
              </w:rPr>
              <w:t>……</w:t>
            </w:r>
          </w:p>
        </w:tc>
        <w:tc>
          <w:tcPr>
            <w:tcW w:w="972" w:type="dxa"/>
            <w:tcBorders>
              <w:top w:val="single" w:color="auto" w:sz="4" w:space="0"/>
              <w:left w:val="single" w:color="auto" w:sz="4" w:space="0"/>
              <w:bottom w:val="single" w:color="auto" w:sz="4" w:space="0"/>
              <w:right w:val="single" w:color="auto" w:sz="4" w:space="0"/>
            </w:tcBorders>
            <w:vAlign w:val="center"/>
          </w:tcPr>
          <w:p w14:paraId="05F43678">
            <w:pPr>
              <w:pStyle w:val="49"/>
              <w:jc w:val="center"/>
              <w:rPr>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vAlign w:val="center"/>
          </w:tcPr>
          <w:p w14:paraId="16995ABF">
            <w:pPr>
              <w:pStyle w:val="49"/>
              <w:jc w:val="center"/>
              <w:rPr>
                <w:color w:val="auto"/>
                <w:sz w:val="21"/>
                <w:szCs w:val="21"/>
                <w:highlight w:val="none"/>
              </w:rPr>
            </w:pPr>
          </w:p>
        </w:tc>
        <w:tc>
          <w:tcPr>
            <w:tcW w:w="696" w:type="dxa"/>
            <w:tcBorders>
              <w:top w:val="single" w:color="auto" w:sz="4" w:space="0"/>
              <w:left w:val="single" w:color="auto" w:sz="4" w:space="0"/>
              <w:bottom w:val="single" w:color="auto" w:sz="4" w:space="0"/>
              <w:right w:val="single" w:color="auto" w:sz="4" w:space="0"/>
            </w:tcBorders>
            <w:vAlign w:val="center"/>
          </w:tcPr>
          <w:p w14:paraId="0FADCDC4">
            <w:pPr>
              <w:pStyle w:val="49"/>
              <w:jc w:val="center"/>
              <w:rPr>
                <w:color w:val="auto"/>
                <w:sz w:val="21"/>
                <w:szCs w:val="21"/>
                <w:highlight w:val="none"/>
              </w:rPr>
            </w:pPr>
          </w:p>
        </w:tc>
        <w:tc>
          <w:tcPr>
            <w:tcW w:w="648" w:type="dxa"/>
            <w:tcBorders>
              <w:top w:val="single" w:color="auto" w:sz="4" w:space="0"/>
              <w:left w:val="single" w:color="auto" w:sz="4" w:space="0"/>
              <w:bottom w:val="single" w:color="auto" w:sz="4" w:space="0"/>
              <w:right w:val="single" w:color="auto" w:sz="4" w:space="0"/>
            </w:tcBorders>
            <w:vAlign w:val="center"/>
          </w:tcPr>
          <w:p w14:paraId="076DB47F">
            <w:pPr>
              <w:pStyle w:val="49"/>
              <w:jc w:val="center"/>
              <w:rPr>
                <w:color w:val="auto"/>
                <w:sz w:val="21"/>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14:paraId="31B52845">
            <w:pPr>
              <w:pStyle w:val="49"/>
              <w:jc w:val="center"/>
              <w:rPr>
                <w:color w:val="auto"/>
                <w:sz w:val="21"/>
                <w:szCs w:val="21"/>
                <w:highlight w:val="none"/>
              </w:rPr>
            </w:pPr>
          </w:p>
        </w:tc>
        <w:tc>
          <w:tcPr>
            <w:tcW w:w="1224" w:type="dxa"/>
            <w:tcBorders>
              <w:top w:val="single" w:color="auto" w:sz="4" w:space="0"/>
              <w:left w:val="single" w:color="auto" w:sz="4" w:space="0"/>
              <w:bottom w:val="single" w:color="auto" w:sz="4" w:space="0"/>
              <w:right w:val="single" w:color="auto" w:sz="4" w:space="0"/>
            </w:tcBorders>
            <w:vAlign w:val="center"/>
          </w:tcPr>
          <w:p w14:paraId="45544B80">
            <w:pPr>
              <w:pStyle w:val="49"/>
              <w:jc w:val="center"/>
              <w:rPr>
                <w:color w:val="auto"/>
                <w:sz w:val="21"/>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center"/>
          </w:tcPr>
          <w:p w14:paraId="71E6D10A">
            <w:pPr>
              <w:pStyle w:val="49"/>
              <w:jc w:val="center"/>
              <w:rPr>
                <w:color w:val="auto"/>
                <w:sz w:val="21"/>
                <w:szCs w:val="21"/>
                <w:highlight w:val="none"/>
              </w:rPr>
            </w:pPr>
          </w:p>
        </w:tc>
      </w:tr>
    </w:tbl>
    <w:p w14:paraId="69FC8255">
      <w:pPr>
        <w:spacing w:line="300" w:lineRule="auto"/>
        <w:rPr>
          <w:rFonts w:ascii="Arial" w:hAnsi="Arial" w:cs="Arial"/>
          <w:color w:val="auto"/>
          <w:szCs w:val="21"/>
          <w:highlight w:val="none"/>
        </w:rPr>
      </w:pPr>
    </w:p>
    <w:p w14:paraId="690A0756">
      <w:pPr>
        <w:spacing w:line="30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环保产品</w:t>
      </w:r>
    </w:p>
    <w:tbl>
      <w:tblPr>
        <w:tblStyle w:val="30"/>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776"/>
        <w:gridCol w:w="1140"/>
        <w:gridCol w:w="1272"/>
        <w:gridCol w:w="816"/>
        <w:gridCol w:w="816"/>
        <w:gridCol w:w="1032"/>
        <w:gridCol w:w="1380"/>
        <w:gridCol w:w="1714"/>
      </w:tblGrid>
      <w:tr w14:paraId="2A8D6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77E4A95E">
            <w:pPr>
              <w:pStyle w:val="49"/>
              <w:jc w:val="center"/>
              <w:rPr>
                <w:color w:val="auto"/>
                <w:sz w:val="21"/>
                <w:szCs w:val="21"/>
                <w:highlight w:val="none"/>
              </w:rPr>
            </w:pPr>
            <w:r>
              <w:rPr>
                <w:rFonts w:hint="eastAsia"/>
                <w:color w:val="auto"/>
                <w:sz w:val="21"/>
                <w:szCs w:val="21"/>
                <w:highlight w:val="none"/>
              </w:rPr>
              <w:t>序号</w:t>
            </w:r>
          </w:p>
        </w:tc>
        <w:tc>
          <w:tcPr>
            <w:tcW w:w="1140" w:type="dxa"/>
            <w:tcBorders>
              <w:top w:val="single" w:color="auto" w:sz="4" w:space="0"/>
              <w:left w:val="single" w:color="auto" w:sz="4" w:space="0"/>
              <w:bottom w:val="single" w:color="auto" w:sz="4" w:space="0"/>
              <w:right w:val="single" w:color="auto" w:sz="4" w:space="0"/>
            </w:tcBorders>
            <w:vAlign w:val="center"/>
          </w:tcPr>
          <w:p w14:paraId="6AA91FB1">
            <w:pPr>
              <w:pStyle w:val="49"/>
              <w:jc w:val="center"/>
              <w:rPr>
                <w:color w:val="auto"/>
                <w:sz w:val="21"/>
                <w:szCs w:val="21"/>
                <w:highlight w:val="none"/>
              </w:rPr>
            </w:pPr>
            <w:r>
              <w:rPr>
                <w:rFonts w:hint="eastAsia"/>
                <w:color w:val="auto"/>
                <w:sz w:val="21"/>
                <w:szCs w:val="21"/>
                <w:highlight w:val="none"/>
              </w:rPr>
              <w:t>设备名称</w:t>
            </w:r>
          </w:p>
        </w:tc>
        <w:tc>
          <w:tcPr>
            <w:tcW w:w="1272" w:type="dxa"/>
            <w:tcBorders>
              <w:top w:val="single" w:color="auto" w:sz="4" w:space="0"/>
              <w:left w:val="single" w:color="auto" w:sz="4" w:space="0"/>
              <w:bottom w:val="single" w:color="auto" w:sz="4" w:space="0"/>
              <w:right w:val="single" w:color="auto" w:sz="4" w:space="0"/>
            </w:tcBorders>
            <w:vAlign w:val="center"/>
          </w:tcPr>
          <w:p w14:paraId="67EAA52F">
            <w:pPr>
              <w:pStyle w:val="49"/>
              <w:jc w:val="center"/>
              <w:rPr>
                <w:color w:val="auto"/>
                <w:sz w:val="21"/>
                <w:szCs w:val="21"/>
                <w:highlight w:val="none"/>
              </w:rPr>
            </w:pPr>
            <w:r>
              <w:rPr>
                <w:rFonts w:hint="eastAsia"/>
                <w:color w:val="auto"/>
                <w:sz w:val="21"/>
                <w:szCs w:val="21"/>
                <w:highlight w:val="none"/>
              </w:rPr>
              <w:t>制造商</w:t>
            </w:r>
          </w:p>
          <w:p w14:paraId="5B3863C9">
            <w:pPr>
              <w:pStyle w:val="49"/>
              <w:jc w:val="center"/>
              <w:rPr>
                <w:color w:val="auto"/>
                <w:sz w:val="21"/>
                <w:szCs w:val="21"/>
                <w:highlight w:val="none"/>
              </w:rPr>
            </w:pPr>
            <w:r>
              <w:rPr>
                <w:rFonts w:hint="eastAsia"/>
                <w:color w:val="auto"/>
                <w:sz w:val="21"/>
                <w:szCs w:val="21"/>
                <w:highlight w:val="none"/>
              </w:rPr>
              <w:t>名称</w:t>
            </w:r>
          </w:p>
        </w:tc>
        <w:tc>
          <w:tcPr>
            <w:tcW w:w="816" w:type="dxa"/>
            <w:tcBorders>
              <w:top w:val="single" w:color="auto" w:sz="4" w:space="0"/>
              <w:left w:val="single" w:color="auto" w:sz="4" w:space="0"/>
              <w:bottom w:val="single" w:color="auto" w:sz="4" w:space="0"/>
              <w:right w:val="single" w:color="auto" w:sz="4" w:space="0"/>
            </w:tcBorders>
            <w:vAlign w:val="center"/>
          </w:tcPr>
          <w:p w14:paraId="2D914167">
            <w:pPr>
              <w:pStyle w:val="49"/>
              <w:jc w:val="center"/>
              <w:rPr>
                <w:color w:val="auto"/>
                <w:sz w:val="21"/>
                <w:szCs w:val="21"/>
                <w:highlight w:val="none"/>
              </w:rPr>
            </w:pPr>
            <w:r>
              <w:rPr>
                <w:rFonts w:hint="eastAsia"/>
                <w:color w:val="auto"/>
                <w:sz w:val="21"/>
                <w:szCs w:val="21"/>
                <w:highlight w:val="none"/>
              </w:rPr>
              <w:t>品牌</w:t>
            </w:r>
          </w:p>
        </w:tc>
        <w:tc>
          <w:tcPr>
            <w:tcW w:w="816" w:type="dxa"/>
            <w:tcBorders>
              <w:top w:val="single" w:color="auto" w:sz="4" w:space="0"/>
              <w:left w:val="single" w:color="auto" w:sz="4" w:space="0"/>
              <w:bottom w:val="single" w:color="auto" w:sz="4" w:space="0"/>
              <w:right w:val="single" w:color="auto" w:sz="4" w:space="0"/>
            </w:tcBorders>
            <w:vAlign w:val="center"/>
          </w:tcPr>
          <w:p w14:paraId="17525B5A">
            <w:pPr>
              <w:pStyle w:val="49"/>
              <w:jc w:val="center"/>
              <w:rPr>
                <w:color w:val="auto"/>
                <w:sz w:val="21"/>
                <w:szCs w:val="21"/>
                <w:highlight w:val="none"/>
              </w:rPr>
            </w:pPr>
            <w:r>
              <w:rPr>
                <w:rFonts w:hint="eastAsia"/>
                <w:color w:val="auto"/>
                <w:sz w:val="21"/>
                <w:szCs w:val="21"/>
                <w:highlight w:val="none"/>
              </w:rPr>
              <w:t>型号</w:t>
            </w:r>
          </w:p>
        </w:tc>
        <w:tc>
          <w:tcPr>
            <w:tcW w:w="1032" w:type="dxa"/>
            <w:tcBorders>
              <w:top w:val="single" w:color="auto" w:sz="4" w:space="0"/>
              <w:left w:val="single" w:color="auto" w:sz="4" w:space="0"/>
              <w:bottom w:val="single" w:color="auto" w:sz="4" w:space="0"/>
              <w:right w:val="single" w:color="auto" w:sz="4" w:space="0"/>
            </w:tcBorders>
            <w:vAlign w:val="center"/>
          </w:tcPr>
          <w:p w14:paraId="14090041">
            <w:pPr>
              <w:pStyle w:val="49"/>
              <w:jc w:val="center"/>
              <w:rPr>
                <w:color w:val="auto"/>
                <w:sz w:val="21"/>
                <w:szCs w:val="21"/>
                <w:highlight w:val="none"/>
              </w:rPr>
            </w:pPr>
            <w:r>
              <w:rPr>
                <w:rFonts w:hint="eastAsia"/>
                <w:color w:val="auto"/>
                <w:sz w:val="21"/>
                <w:szCs w:val="21"/>
                <w:highlight w:val="none"/>
              </w:rPr>
              <w:t>数量</w:t>
            </w:r>
          </w:p>
        </w:tc>
        <w:tc>
          <w:tcPr>
            <w:tcW w:w="1380" w:type="dxa"/>
            <w:tcBorders>
              <w:top w:val="single" w:color="auto" w:sz="4" w:space="0"/>
              <w:left w:val="single" w:color="auto" w:sz="4" w:space="0"/>
              <w:bottom w:val="single" w:color="auto" w:sz="4" w:space="0"/>
              <w:right w:val="single" w:color="auto" w:sz="4" w:space="0"/>
            </w:tcBorders>
            <w:vAlign w:val="center"/>
          </w:tcPr>
          <w:p w14:paraId="2B9678EA">
            <w:pPr>
              <w:pStyle w:val="49"/>
              <w:jc w:val="center"/>
              <w:rPr>
                <w:color w:val="auto"/>
                <w:sz w:val="21"/>
                <w:szCs w:val="21"/>
                <w:highlight w:val="none"/>
              </w:rPr>
            </w:pPr>
            <w:r>
              <w:rPr>
                <w:rFonts w:hint="eastAsia"/>
                <w:color w:val="auto"/>
                <w:sz w:val="21"/>
                <w:szCs w:val="21"/>
                <w:highlight w:val="none"/>
              </w:rPr>
              <w:t>单价</w:t>
            </w:r>
          </w:p>
          <w:p w14:paraId="6E63CBD3">
            <w:pPr>
              <w:pStyle w:val="49"/>
              <w:jc w:val="center"/>
              <w:rPr>
                <w:color w:val="auto"/>
                <w:sz w:val="21"/>
                <w:szCs w:val="21"/>
                <w:highlight w:val="none"/>
              </w:rPr>
            </w:pPr>
            <w:r>
              <w:rPr>
                <w:rFonts w:hint="eastAsia"/>
                <w:color w:val="auto"/>
                <w:sz w:val="21"/>
                <w:szCs w:val="21"/>
                <w:highlight w:val="none"/>
              </w:rPr>
              <w:t>（万元）</w:t>
            </w:r>
          </w:p>
        </w:tc>
        <w:tc>
          <w:tcPr>
            <w:tcW w:w="1714" w:type="dxa"/>
            <w:tcBorders>
              <w:top w:val="single" w:color="auto" w:sz="4" w:space="0"/>
              <w:left w:val="single" w:color="auto" w:sz="4" w:space="0"/>
              <w:bottom w:val="single" w:color="auto" w:sz="4" w:space="0"/>
              <w:right w:val="single" w:color="auto" w:sz="4" w:space="0"/>
            </w:tcBorders>
            <w:vAlign w:val="center"/>
          </w:tcPr>
          <w:p w14:paraId="26EF66A1">
            <w:pPr>
              <w:pStyle w:val="49"/>
              <w:jc w:val="center"/>
              <w:rPr>
                <w:color w:val="auto"/>
                <w:sz w:val="21"/>
                <w:szCs w:val="21"/>
                <w:highlight w:val="none"/>
              </w:rPr>
            </w:pPr>
            <w:r>
              <w:rPr>
                <w:rFonts w:hint="eastAsia"/>
                <w:color w:val="auto"/>
                <w:sz w:val="21"/>
                <w:szCs w:val="21"/>
                <w:highlight w:val="none"/>
              </w:rPr>
              <w:t>总价</w:t>
            </w:r>
          </w:p>
          <w:p w14:paraId="1881B9EC">
            <w:pPr>
              <w:pStyle w:val="49"/>
              <w:jc w:val="center"/>
              <w:rPr>
                <w:color w:val="auto"/>
                <w:sz w:val="21"/>
                <w:szCs w:val="21"/>
                <w:highlight w:val="none"/>
              </w:rPr>
            </w:pPr>
            <w:r>
              <w:rPr>
                <w:rFonts w:hint="eastAsia"/>
                <w:color w:val="auto"/>
                <w:sz w:val="21"/>
                <w:szCs w:val="21"/>
                <w:highlight w:val="none"/>
              </w:rPr>
              <w:t>（万元）</w:t>
            </w:r>
          </w:p>
        </w:tc>
      </w:tr>
      <w:tr w14:paraId="5F476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08E36FE7">
            <w:pPr>
              <w:pStyle w:val="49"/>
              <w:numPr>
                <w:ilvl w:val="0"/>
                <w:numId w:val="20"/>
              </w:numPr>
              <w:jc w:val="center"/>
              <w:rPr>
                <w:color w:val="auto"/>
                <w:sz w:val="21"/>
                <w:szCs w:val="21"/>
                <w:highlight w:val="none"/>
              </w:rPr>
            </w:pPr>
          </w:p>
        </w:tc>
        <w:tc>
          <w:tcPr>
            <w:tcW w:w="1140" w:type="dxa"/>
            <w:tcBorders>
              <w:top w:val="single" w:color="auto" w:sz="4" w:space="0"/>
              <w:left w:val="single" w:color="auto" w:sz="4" w:space="0"/>
              <w:bottom w:val="single" w:color="auto" w:sz="4" w:space="0"/>
              <w:right w:val="single" w:color="auto" w:sz="4" w:space="0"/>
            </w:tcBorders>
            <w:vAlign w:val="center"/>
          </w:tcPr>
          <w:p w14:paraId="1A20E62A">
            <w:pPr>
              <w:pStyle w:val="49"/>
              <w:jc w:val="center"/>
              <w:rPr>
                <w:color w:val="auto"/>
                <w:sz w:val="21"/>
                <w:szCs w:val="21"/>
                <w:highlight w:val="none"/>
              </w:rPr>
            </w:pPr>
          </w:p>
        </w:tc>
        <w:tc>
          <w:tcPr>
            <w:tcW w:w="1272" w:type="dxa"/>
            <w:tcBorders>
              <w:top w:val="single" w:color="auto" w:sz="4" w:space="0"/>
              <w:left w:val="single" w:color="auto" w:sz="4" w:space="0"/>
              <w:bottom w:val="single" w:color="auto" w:sz="4" w:space="0"/>
              <w:right w:val="single" w:color="auto" w:sz="4" w:space="0"/>
            </w:tcBorders>
            <w:vAlign w:val="center"/>
          </w:tcPr>
          <w:p w14:paraId="22CDEC64">
            <w:pPr>
              <w:pStyle w:val="49"/>
              <w:jc w:val="center"/>
              <w:rPr>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138AE6B2">
            <w:pPr>
              <w:pStyle w:val="49"/>
              <w:jc w:val="center"/>
              <w:rPr>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30C76BF9">
            <w:pPr>
              <w:pStyle w:val="49"/>
              <w:jc w:val="center"/>
              <w:rPr>
                <w:color w:val="auto"/>
                <w:sz w:val="21"/>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4B09EBD6">
            <w:pPr>
              <w:pStyle w:val="49"/>
              <w:jc w:val="center"/>
              <w:rPr>
                <w:color w:val="auto"/>
                <w:sz w:val="21"/>
                <w:szCs w:val="21"/>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14:paraId="3251BCE0">
            <w:pPr>
              <w:pStyle w:val="49"/>
              <w:jc w:val="center"/>
              <w:rPr>
                <w:color w:val="auto"/>
                <w:sz w:val="21"/>
                <w:szCs w:val="21"/>
                <w:highlight w:val="none"/>
              </w:rPr>
            </w:pPr>
          </w:p>
        </w:tc>
        <w:tc>
          <w:tcPr>
            <w:tcW w:w="1714" w:type="dxa"/>
            <w:tcBorders>
              <w:top w:val="single" w:color="auto" w:sz="4" w:space="0"/>
              <w:left w:val="single" w:color="auto" w:sz="4" w:space="0"/>
              <w:bottom w:val="single" w:color="auto" w:sz="4" w:space="0"/>
              <w:right w:val="single" w:color="auto" w:sz="4" w:space="0"/>
            </w:tcBorders>
            <w:vAlign w:val="center"/>
          </w:tcPr>
          <w:p w14:paraId="05694893">
            <w:pPr>
              <w:pStyle w:val="49"/>
              <w:jc w:val="center"/>
              <w:rPr>
                <w:color w:val="auto"/>
                <w:sz w:val="21"/>
                <w:szCs w:val="21"/>
                <w:highlight w:val="none"/>
              </w:rPr>
            </w:pPr>
          </w:p>
        </w:tc>
      </w:tr>
      <w:tr w14:paraId="6A99C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18EBBE11">
            <w:pPr>
              <w:pStyle w:val="49"/>
              <w:numPr>
                <w:ilvl w:val="0"/>
                <w:numId w:val="20"/>
              </w:numPr>
              <w:jc w:val="center"/>
              <w:rPr>
                <w:color w:val="auto"/>
                <w:sz w:val="21"/>
                <w:szCs w:val="21"/>
                <w:highlight w:val="none"/>
              </w:rPr>
            </w:pPr>
          </w:p>
        </w:tc>
        <w:tc>
          <w:tcPr>
            <w:tcW w:w="1140" w:type="dxa"/>
            <w:tcBorders>
              <w:top w:val="single" w:color="auto" w:sz="4" w:space="0"/>
              <w:left w:val="single" w:color="auto" w:sz="4" w:space="0"/>
              <w:bottom w:val="single" w:color="auto" w:sz="4" w:space="0"/>
              <w:right w:val="single" w:color="auto" w:sz="4" w:space="0"/>
            </w:tcBorders>
            <w:vAlign w:val="center"/>
          </w:tcPr>
          <w:p w14:paraId="7A771DE4">
            <w:pPr>
              <w:pStyle w:val="49"/>
              <w:jc w:val="center"/>
              <w:rPr>
                <w:color w:val="auto"/>
                <w:sz w:val="21"/>
                <w:szCs w:val="21"/>
                <w:highlight w:val="none"/>
              </w:rPr>
            </w:pPr>
          </w:p>
        </w:tc>
        <w:tc>
          <w:tcPr>
            <w:tcW w:w="1272" w:type="dxa"/>
            <w:tcBorders>
              <w:top w:val="single" w:color="auto" w:sz="4" w:space="0"/>
              <w:left w:val="single" w:color="auto" w:sz="4" w:space="0"/>
              <w:bottom w:val="single" w:color="auto" w:sz="4" w:space="0"/>
              <w:right w:val="single" w:color="auto" w:sz="4" w:space="0"/>
            </w:tcBorders>
            <w:vAlign w:val="center"/>
          </w:tcPr>
          <w:p w14:paraId="0F663DA6">
            <w:pPr>
              <w:pStyle w:val="49"/>
              <w:jc w:val="center"/>
              <w:rPr>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2FCE4627">
            <w:pPr>
              <w:pStyle w:val="49"/>
              <w:jc w:val="center"/>
              <w:rPr>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1E80F2A5">
            <w:pPr>
              <w:pStyle w:val="49"/>
              <w:jc w:val="center"/>
              <w:rPr>
                <w:color w:val="auto"/>
                <w:sz w:val="21"/>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5493FC86">
            <w:pPr>
              <w:pStyle w:val="49"/>
              <w:jc w:val="center"/>
              <w:rPr>
                <w:color w:val="auto"/>
                <w:sz w:val="21"/>
                <w:szCs w:val="21"/>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14:paraId="3C2160F0">
            <w:pPr>
              <w:pStyle w:val="49"/>
              <w:jc w:val="center"/>
              <w:rPr>
                <w:color w:val="auto"/>
                <w:sz w:val="21"/>
                <w:szCs w:val="21"/>
                <w:highlight w:val="none"/>
              </w:rPr>
            </w:pPr>
          </w:p>
        </w:tc>
        <w:tc>
          <w:tcPr>
            <w:tcW w:w="1714" w:type="dxa"/>
            <w:tcBorders>
              <w:top w:val="single" w:color="auto" w:sz="4" w:space="0"/>
              <w:left w:val="single" w:color="auto" w:sz="4" w:space="0"/>
              <w:bottom w:val="single" w:color="auto" w:sz="4" w:space="0"/>
              <w:right w:val="single" w:color="auto" w:sz="4" w:space="0"/>
            </w:tcBorders>
            <w:vAlign w:val="center"/>
          </w:tcPr>
          <w:p w14:paraId="7238DDC0">
            <w:pPr>
              <w:pStyle w:val="49"/>
              <w:jc w:val="center"/>
              <w:rPr>
                <w:color w:val="auto"/>
                <w:sz w:val="21"/>
                <w:szCs w:val="21"/>
                <w:highlight w:val="none"/>
              </w:rPr>
            </w:pPr>
          </w:p>
        </w:tc>
      </w:tr>
      <w:tr w14:paraId="24B69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6C90CD05">
            <w:pPr>
              <w:pStyle w:val="49"/>
              <w:numPr>
                <w:ilvl w:val="0"/>
                <w:numId w:val="20"/>
              </w:numPr>
              <w:jc w:val="center"/>
              <w:rPr>
                <w:color w:val="auto"/>
                <w:sz w:val="21"/>
                <w:szCs w:val="21"/>
                <w:highlight w:val="none"/>
              </w:rPr>
            </w:pPr>
          </w:p>
        </w:tc>
        <w:tc>
          <w:tcPr>
            <w:tcW w:w="1140" w:type="dxa"/>
            <w:tcBorders>
              <w:top w:val="single" w:color="auto" w:sz="4" w:space="0"/>
              <w:left w:val="single" w:color="auto" w:sz="4" w:space="0"/>
              <w:bottom w:val="single" w:color="auto" w:sz="4" w:space="0"/>
              <w:right w:val="single" w:color="auto" w:sz="4" w:space="0"/>
            </w:tcBorders>
            <w:vAlign w:val="center"/>
          </w:tcPr>
          <w:p w14:paraId="728A1074">
            <w:pPr>
              <w:pStyle w:val="49"/>
              <w:jc w:val="center"/>
              <w:rPr>
                <w:color w:val="auto"/>
                <w:sz w:val="21"/>
                <w:szCs w:val="21"/>
                <w:highlight w:val="none"/>
              </w:rPr>
            </w:pPr>
            <w:r>
              <w:rPr>
                <w:color w:val="auto"/>
                <w:sz w:val="21"/>
                <w:szCs w:val="21"/>
                <w:highlight w:val="none"/>
              </w:rPr>
              <w:t>……</w:t>
            </w:r>
          </w:p>
        </w:tc>
        <w:tc>
          <w:tcPr>
            <w:tcW w:w="1272" w:type="dxa"/>
            <w:tcBorders>
              <w:top w:val="single" w:color="auto" w:sz="4" w:space="0"/>
              <w:left w:val="single" w:color="auto" w:sz="4" w:space="0"/>
              <w:bottom w:val="single" w:color="auto" w:sz="4" w:space="0"/>
              <w:right w:val="single" w:color="auto" w:sz="4" w:space="0"/>
            </w:tcBorders>
            <w:vAlign w:val="center"/>
          </w:tcPr>
          <w:p w14:paraId="47CBFD42">
            <w:pPr>
              <w:pStyle w:val="49"/>
              <w:jc w:val="center"/>
              <w:rPr>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52A3673E">
            <w:pPr>
              <w:pStyle w:val="49"/>
              <w:jc w:val="center"/>
              <w:rPr>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03112494">
            <w:pPr>
              <w:pStyle w:val="49"/>
              <w:jc w:val="center"/>
              <w:rPr>
                <w:color w:val="auto"/>
                <w:sz w:val="21"/>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1FF974A1">
            <w:pPr>
              <w:pStyle w:val="49"/>
              <w:jc w:val="center"/>
              <w:rPr>
                <w:color w:val="auto"/>
                <w:sz w:val="21"/>
                <w:szCs w:val="21"/>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14:paraId="57425C45">
            <w:pPr>
              <w:pStyle w:val="49"/>
              <w:jc w:val="center"/>
              <w:rPr>
                <w:color w:val="auto"/>
                <w:sz w:val="21"/>
                <w:szCs w:val="21"/>
                <w:highlight w:val="none"/>
              </w:rPr>
            </w:pPr>
          </w:p>
        </w:tc>
        <w:tc>
          <w:tcPr>
            <w:tcW w:w="1714" w:type="dxa"/>
            <w:tcBorders>
              <w:top w:val="single" w:color="auto" w:sz="4" w:space="0"/>
              <w:left w:val="single" w:color="auto" w:sz="4" w:space="0"/>
              <w:bottom w:val="single" w:color="auto" w:sz="4" w:space="0"/>
              <w:right w:val="single" w:color="auto" w:sz="4" w:space="0"/>
            </w:tcBorders>
            <w:vAlign w:val="center"/>
          </w:tcPr>
          <w:p w14:paraId="31F5DC44">
            <w:pPr>
              <w:pStyle w:val="49"/>
              <w:jc w:val="center"/>
              <w:rPr>
                <w:color w:val="auto"/>
                <w:sz w:val="21"/>
                <w:szCs w:val="21"/>
                <w:highlight w:val="none"/>
              </w:rPr>
            </w:pPr>
          </w:p>
        </w:tc>
      </w:tr>
    </w:tbl>
    <w:p w14:paraId="7D386FE8">
      <w:pPr>
        <w:spacing w:line="300" w:lineRule="auto"/>
        <w:rPr>
          <w:rFonts w:ascii="Arial" w:hAnsi="Arial" w:cs="Arial"/>
          <w:color w:val="auto"/>
          <w:szCs w:val="21"/>
          <w:highlight w:val="none"/>
        </w:rPr>
      </w:pPr>
    </w:p>
    <w:p w14:paraId="606E5A08">
      <w:pPr>
        <w:rPr>
          <w:rFonts w:ascii="Arial" w:hAnsi="Arial" w:cs="Arial"/>
          <w:b/>
          <w:color w:val="auto"/>
          <w:sz w:val="21"/>
          <w:szCs w:val="21"/>
          <w:highlight w:val="none"/>
        </w:rPr>
      </w:pPr>
      <w:r>
        <w:rPr>
          <w:rFonts w:hint="eastAsia" w:ascii="Arial" w:hAnsi="Arial" w:cs="Arial"/>
          <w:b/>
          <w:color w:val="auto"/>
          <w:sz w:val="21"/>
          <w:szCs w:val="21"/>
          <w:highlight w:val="none"/>
        </w:rPr>
        <w:t>特别说明：投标人应将所投产品中节能、环保产品分别列入上表中，并按本招标文件</w:t>
      </w:r>
      <w:r>
        <w:rPr>
          <w:rFonts w:hint="eastAsia" w:ascii="Arial" w:hAnsi="Arial" w:cs="Arial"/>
          <w:b/>
          <w:color w:val="auto"/>
          <w:sz w:val="21"/>
          <w:szCs w:val="21"/>
          <w:highlight w:val="none"/>
          <w:lang w:val="en-US" w:eastAsia="zh-CN"/>
        </w:rPr>
        <w:t>“</w:t>
      </w:r>
      <w:r>
        <w:rPr>
          <w:rFonts w:hint="eastAsia" w:ascii="Arial" w:hAnsi="Arial" w:cs="Arial"/>
          <w:b/>
          <w:color w:val="auto"/>
          <w:sz w:val="21"/>
          <w:szCs w:val="21"/>
          <w:highlight w:val="none"/>
        </w:rPr>
        <w:t>第二章</w:t>
      </w:r>
      <w:r>
        <w:rPr>
          <w:rFonts w:hint="eastAsia" w:ascii="Arial" w:hAnsi="Arial" w:cs="Arial"/>
          <w:b/>
          <w:color w:val="auto"/>
          <w:sz w:val="21"/>
          <w:szCs w:val="21"/>
          <w:highlight w:val="none"/>
          <w:lang w:val="en-US" w:eastAsia="zh-CN"/>
        </w:rPr>
        <w:t>投标人须知”</w:t>
      </w:r>
      <w:r>
        <w:rPr>
          <w:rFonts w:hint="eastAsia" w:ascii="Arial" w:hAnsi="Arial" w:cs="Arial"/>
          <w:b/>
          <w:color w:val="auto"/>
          <w:sz w:val="21"/>
          <w:szCs w:val="21"/>
          <w:highlight w:val="none"/>
        </w:rPr>
        <w:t>提供相关证明材料，未填写本表或未提供有效认证证书</w:t>
      </w:r>
      <w:r>
        <w:rPr>
          <w:rFonts w:ascii="Arial" w:hAnsi="Arial" w:cs="Arial"/>
          <w:b/>
          <w:color w:val="auto"/>
          <w:sz w:val="21"/>
          <w:szCs w:val="21"/>
          <w:highlight w:val="none"/>
        </w:rPr>
        <w:t>的</w:t>
      </w:r>
      <w:r>
        <w:rPr>
          <w:rFonts w:hint="eastAsia" w:ascii="Arial" w:hAnsi="Arial" w:cs="Arial"/>
          <w:b/>
          <w:color w:val="auto"/>
          <w:sz w:val="21"/>
          <w:szCs w:val="21"/>
          <w:highlight w:val="none"/>
        </w:rPr>
        <w:t>不给予</w:t>
      </w:r>
      <w:r>
        <w:rPr>
          <w:rFonts w:hint="eastAsia" w:ascii="Arial" w:hAnsi="Arial" w:cs="Arial"/>
          <w:b/>
          <w:color w:val="auto"/>
          <w:sz w:val="21"/>
          <w:szCs w:val="21"/>
          <w:highlight w:val="none"/>
          <w:lang w:val="en-US" w:eastAsia="zh-CN"/>
        </w:rPr>
        <w:t>评审优惠</w:t>
      </w:r>
      <w:r>
        <w:rPr>
          <w:rFonts w:hint="eastAsia" w:ascii="Arial" w:hAnsi="Arial" w:cs="Arial"/>
          <w:b/>
          <w:color w:val="auto"/>
          <w:sz w:val="21"/>
          <w:szCs w:val="21"/>
          <w:highlight w:val="none"/>
        </w:rPr>
        <w:t>。</w:t>
      </w:r>
    </w:p>
    <w:p w14:paraId="675C9164">
      <w:pPr>
        <w:spacing w:line="300" w:lineRule="auto"/>
        <w:rPr>
          <w:rFonts w:ascii="Arial" w:hAnsi="Arial" w:cs="Arial"/>
          <w:color w:val="auto"/>
          <w:szCs w:val="21"/>
          <w:highlight w:val="none"/>
        </w:rPr>
      </w:pPr>
    </w:p>
    <w:p w14:paraId="402F965E">
      <w:pPr>
        <w:spacing w:line="300" w:lineRule="auto"/>
        <w:rPr>
          <w:rFonts w:ascii="Arial" w:hAnsi="Arial" w:cs="Arial"/>
          <w:color w:val="auto"/>
          <w:szCs w:val="21"/>
          <w:highlight w:val="none"/>
        </w:rPr>
      </w:pPr>
      <w:r>
        <w:rPr>
          <w:rFonts w:ascii="Arial" w:hAnsi="Arial" w:cs="Arial"/>
          <w:color w:val="auto"/>
          <w:szCs w:val="21"/>
          <w:highlight w:val="none"/>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ascii="Arial" w:hAnsi="Arial" w:cs="Arial"/>
          <w:color w:val="auto"/>
          <w:szCs w:val="21"/>
          <w:highlight w:val="none"/>
        </w:rPr>
        <w:t>：</w:t>
      </w:r>
    </w:p>
    <w:p w14:paraId="3068A70D">
      <w:pPr>
        <w:rPr>
          <w:rFonts w:ascii="Arial" w:hAnsi="Arial" w:cs="Arial"/>
          <w:color w:val="auto"/>
          <w:szCs w:val="21"/>
          <w:highlight w:val="none"/>
        </w:rPr>
      </w:pPr>
      <w:r>
        <w:rPr>
          <w:rFonts w:ascii="Arial" w:hAnsi="Arial" w:cs="Arial"/>
          <w:color w:val="auto"/>
          <w:szCs w:val="21"/>
          <w:highlight w:val="none"/>
        </w:rPr>
        <w:t>日期：</w:t>
      </w:r>
    </w:p>
    <w:p w14:paraId="70617D68">
      <w:pPr>
        <w:rPr>
          <w:rFonts w:ascii="Arial" w:hAnsi="Arial" w:cs="Arial"/>
          <w:color w:val="auto"/>
          <w:szCs w:val="21"/>
          <w:highlight w:val="none"/>
        </w:rPr>
      </w:pPr>
      <w:r>
        <w:rPr>
          <w:rFonts w:ascii="Arial" w:hAnsi="Arial" w:cs="Arial"/>
          <w:color w:val="auto"/>
          <w:szCs w:val="21"/>
          <w:highlight w:val="none"/>
        </w:rPr>
        <w:br w:type="page"/>
      </w:r>
    </w:p>
    <w:p w14:paraId="606B2EA5">
      <w:pPr>
        <w:pStyle w:val="4"/>
        <w:keepNext/>
        <w:keepLines/>
        <w:pageBreakBefore w:val="0"/>
        <w:widowControl w:val="0"/>
        <w:numPr>
          <w:ilvl w:val="0"/>
          <w:numId w:val="0"/>
        </w:numPr>
        <w:kinsoku/>
        <w:wordWrap/>
        <w:overflowPunct/>
        <w:topLinePunct w:val="0"/>
        <w:autoSpaceDE/>
        <w:autoSpaceDN/>
        <w:bidi w:val="0"/>
        <w:adjustRightInd/>
        <w:snapToGrid/>
        <w:spacing w:before="0" w:after="0" w:line="360" w:lineRule="auto"/>
        <w:textAlignment w:val="auto"/>
        <w:rPr>
          <w:rFonts w:hint="eastAsia" w:ascii="宋体" w:hAnsi="宋体" w:eastAsia="宋体" w:cstheme="minorBidi"/>
          <w:b/>
          <w:bCs/>
          <w:color w:val="auto"/>
          <w:kern w:val="2"/>
          <w:sz w:val="24"/>
          <w:szCs w:val="24"/>
          <w:highlight w:val="none"/>
          <w:lang w:val="en-US" w:eastAsia="zh-CN" w:bidi="ar-SA"/>
        </w:rPr>
      </w:pPr>
      <w:bookmarkStart w:id="368" w:name="_Toc163492939"/>
      <w:r>
        <w:rPr>
          <w:rFonts w:hint="eastAsia" w:ascii="宋体" w:hAnsi="宋体" w:eastAsia="宋体" w:cstheme="minorBidi"/>
          <w:b/>
          <w:bCs/>
          <w:color w:val="auto"/>
          <w:kern w:val="2"/>
          <w:sz w:val="24"/>
          <w:szCs w:val="24"/>
          <w:highlight w:val="none"/>
          <w:lang w:val="en-US" w:eastAsia="zh-CN" w:bidi="ar-SA"/>
        </w:rPr>
        <w:t>（二）中小企业声明函</w:t>
      </w:r>
      <w:r>
        <w:rPr>
          <w:rFonts w:hint="eastAsia" w:ascii="宋体" w:hAnsi="宋体" w:eastAsia="宋体" w:cstheme="minorBidi"/>
          <w:b w:val="0"/>
          <w:bCs w:val="0"/>
          <w:color w:val="auto"/>
          <w:kern w:val="2"/>
          <w:sz w:val="24"/>
          <w:szCs w:val="24"/>
          <w:highlight w:val="none"/>
          <w:lang w:val="en-US" w:eastAsia="zh-CN" w:bidi="ar-SA"/>
        </w:rPr>
        <w:t>【</w:t>
      </w:r>
      <w:r>
        <w:rPr>
          <w:rFonts w:hint="eastAsia" w:cstheme="minorBidi"/>
          <w:b w:val="0"/>
          <w:bCs w:val="0"/>
          <w:i w:val="0"/>
          <w:iCs w:val="0"/>
          <w:color w:val="auto"/>
          <w:kern w:val="2"/>
          <w:sz w:val="24"/>
          <w:szCs w:val="24"/>
          <w:highlight w:val="none"/>
          <w:lang w:val="en-US" w:eastAsia="zh-CN" w:bidi="ar-SA"/>
        </w:rPr>
        <w:t>如专门面向中小企业采购的项目，此函可放于此处，否则，应后置于“其他资格证明文件”</w:t>
      </w:r>
      <w:r>
        <w:rPr>
          <w:rFonts w:hint="eastAsia" w:ascii="宋体" w:hAnsi="宋体" w:eastAsia="宋体" w:cstheme="minorBidi"/>
          <w:b w:val="0"/>
          <w:bCs w:val="0"/>
          <w:color w:val="auto"/>
          <w:kern w:val="2"/>
          <w:sz w:val="24"/>
          <w:szCs w:val="24"/>
          <w:highlight w:val="none"/>
          <w:lang w:val="en-US" w:eastAsia="zh-CN" w:bidi="ar-SA"/>
        </w:rPr>
        <w:t>】</w:t>
      </w:r>
      <w:bookmarkEnd w:id="368"/>
    </w:p>
    <w:p w14:paraId="7A518507">
      <w:pPr>
        <w:pStyle w:val="39"/>
        <w:keepNext w:val="0"/>
        <w:keepLines w:val="0"/>
        <w:pageBreakBefore w:val="0"/>
        <w:widowControl w:val="0"/>
        <w:numPr>
          <w:ilvl w:val="0"/>
          <w:numId w:val="0"/>
        </w:numPr>
        <w:kinsoku/>
        <w:wordWrap/>
        <w:overflowPunct/>
        <w:topLinePunct w:val="0"/>
        <w:autoSpaceDE/>
        <w:autoSpaceDN/>
        <w:bidi w:val="0"/>
        <w:adjustRightInd/>
        <w:snapToGrid/>
        <w:spacing w:line="300" w:lineRule="exact"/>
        <w:ind w:left="420" w:leftChars="0" w:hanging="420" w:firstLineChars="0"/>
        <w:jc w:val="center"/>
        <w:textAlignment w:val="auto"/>
        <w:rPr>
          <w:rFonts w:hint="eastAsia"/>
          <w:b/>
          <w:bCs/>
          <w:color w:val="auto"/>
          <w:sz w:val="32"/>
          <w:szCs w:val="32"/>
          <w:highlight w:val="none"/>
        </w:rPr>
      </w:pPr>
    </w:p>
    <w:p w14:paraId="760F43E1">
      <w:pPr>
        <w:pStyle w:val="39"/>
        <w:numPr>
          <w:ilvl w:val="0"/>
          <w:numId w:val="0"/>
        </w:numPr>
        <w:ind w:left="420" w:leftChars="0" w:hanging="420" w:firstLineChars="0"/>
        <w:jc w:val="center"/>
        <w:rPr>
          <w:b/>
          <w:bCs/>
          <w:color w:val="auto"/>
          <w:sz w:val="32"/>
          <w:szCs w:val="32"/>
          <w:highlight w:val="none"/>
        </w:rPr>
      </w:pPr>
      <w:r>
        <w:rPr>
          <w:rFonts w:hint="eastAsia"/>
          <w:b/>
          <w:bCs/>
          <w:color w:val="auto"/>
          <w:sz w:val="32"/>
          <w:szCs w:val="32"/>
          <w:highlight w:val="none"/>
        </w:rPr>
        <w:t>中小企业声明函</w:t>
      </w:r>
    </w:p>
    <w:p w14:paraId="78BC1CF1">
      <w:pPr>
        <w:ind w:firstLine="504" w:firstLineChars="200"/>
        <w:rPr>
          <w:rFonts w:cs="宋体"/>
          <w:color w:val="auto"/>
          <w:spacing w:val="6"/>
          <w:szCs w:val="24"/>
          <w:highlight w:val="none"/>
        </w:rPr>
      </w:pPr>
      <w:r>
        <w:rPr>
          <w:rFonts w:hint="eastAsia" w:cs="宋体"/>
          <w:color w:val="auto"/>
          <w:spacing w:val="6"/>
          <w:szCs w:val="24"/>
          <w:highlight w:val="none"/>
        </w:rPr>
        <w:t>本公司（联合体）郑重声明，根据《政府采购促进中小企业发展管理办法》（财库﹝2020﹞46 号）的规定，本公司（联合体）参加</w:t>
      </w:r>
      <w:r>
        <w:rPr>
          <w:rFonts w:hint="eastAsia" w:cs="宋体"/>
          <w:color w:val="auto"/>
          <w:spacing w:val="6"/>
          <w:szCs w:val="24"/>
          <w:highlight w:val="none"/>
          <w:u w:val="single"/>
        </w:rPr>
        <w:t xml:space="preserve"> （单位名称）</w:t>
      </w:r>
      <w:r>
        <w:rPr>
          <w:rFonts w:hint="eastAsia" w:cs="宋体"/>
          <w:color w:val="auto"/>
          <w:spacing w:val="6"/>
          <w:szCs w:val="24"/>
          <w:highlight w:val="none"/>
        </w:rPr>
        <w:t xml:space="preserve"> 的</w:t>
      </w:r>
      <w:r>
        <w:rPr>
          <w:rFonts w:hint="eastAsia" w:cs="宋体"/>
          <w:color w:val="auto"/>
          <w:spacing w:val="6"/>
          <w:szCs w:val="24"/>
          <w:highlight w:val="none"/>
          <w:u w:val="single"/>
        </w:rPr>
        <w:t xml:space="preserve"> （项目名称） </w:t>
      </w:r>
      <w:r>
        <w:rPr>
          <w:rFonts w:hint="eastAsia" w:cs="宋体"/>
          <w:color w:val="auto"/>
          <w:spacing w:val="6"/>
          <w:szCs w:val="24"/>
          <w:highlight w:val="none"/>
        </w:rPr>
        <w:t>采购活动，提供的货物全部由符合政策要求的中小企业制造。相关企业（含联合体中的中小企业、签订分包意向协议的中小企业）的具体情况如下：</w:t>
      </w:r>
    </w:p>
    <w:p w14:paraId="5FCC96F1">
      <w:pPr>
        <w:ind w:firstLine="504" w:firstLineChars="200"/>
        <w:rPr>
          <w:rFonts w:cs="宋体"/>
          <w:color w:val="auto"/>
          <w:spacing w:val="6"/>
          <w:szCs w:val="24"/>
          <w:highlight w:val="none"/>
        </w:rPr>
      </w:pPr>
      <w:r>
        <w:rPr>
          <w:rFonts w:hint="eastAsia" w:cs="宋体"/>
          <w:color w:val="auto"/>
          <w:spacing w:val="6"/>
          <w:szCs w:val="24"/>
          <w:highlight w:val="none"/>
        </w:rPr>
        <w:t>1.</w:t>
      </w:r>
      <w:r>
        <w:rPr>
          <w:rFonts w:hint="eastAsia" w:cs="宋体"/>
          <w:color w:val="auto"/>
          <w:spacing w:val="6"/>
          <w:szCs w:val="24"/>
          <w:highlight w:val="none"/>
          <w:u w:val="single"/>
        </w:rPr>
        <w:t xml:space="preserve"> （标的名称） </w:t>
      </w:r>
      <w:r>
        <w:rPr>
          <w:rFonts w:hint="eastAsia" w:cs="宋体"/>
          <w:color w:val="auto"/>
          <w:spacing w:val="6"/>
          <w:szCs w:val="24"/>
          <w:highlight w:val="none"/>
        </w:rPr>
        <w:t>，属于</w:t>
      </w:r>
      <w:r>
        <w:rPr>
          <w:rFonts w:hint="eastAsia" w:cs="宋体"/>
          <w:color w:val="auto"/>
          <w:spacing w:val="6"/>
          <w:szCs w:val="24"/>
          <w:highlight w:val="none"/>
          <w:u w:val="single"/>
        </w:rPr>
        <w:t xml:space="preserve"> （采购文件中明确的所属行业）</w:t>
      </w:r>
      <w:r>
        <w:rPr>
          <w:rFonts w:hint="eastAsia" w:cs="宋体"/>
          <w:color w:val="auto"/>
          <w:spacing w:val="6"/>
          <w:szCs w:val="24"/>
          <w:highlight w:val="none"/>
        </w:rPr>
        <w:t>行业 ；制造商为</w:t>
      </w:r>
      <w:r>
        <w:rPr>
          <w:rFonts w:hint="eastAsia" w:cs="宋体"/>
          <w:color w:val="auto"/>
          <w:spacing w:val="6"/>
          <w:szCs w:val="24"/>
          <w:highlight w:val="none"/>
          <w:u w:val="single"/>
        </w:rPr>
        <w:t xml:space="preserve"> （企业名称） </w:t>
      </w:r>
      <w:r>
        <w:rPr>
          <w:rFonts w:hint="eastAsia" w:cs="宋体"/>
          <w:color w:val="auto"/>
          <w:spacing w:val="6"/>
          <w:szCs w:val="24"/>
          <w:highlight w:val="none"/>
        </w:rPr>
        <w:t>，从业人员</w:t>
      </w:r>
      <w:r>
        <w:rPr>
          <w:rFonts w:hint="eastAsia" w:cs="宋体"/>
          <w:color w:val="auto"/>
          <w:spacing w:val="6"/>
          <w:szCs w:val="24"/>
          <w:highlight w:val="none"/>
          <w:u w:val="single"/>
          <w:lang w:val="en-US" w:eastAsia="zh-CN"/>
        </w:rPr>
        <w:t xml:space="preserve">     </w:t>
      </w:r>
      <w:r>
        <w:rPr>
          <w:rFonts w:hint="eastAsia" w:cs="宋体"/>
          <w:color w:val="auto"/>
          <w:spacing w:val="6"/>
          <w:szCs w:val="24"/>
          <w:highlight w:val="none"/>
        </w:rPr>
        <w:t>人，营业收入为</w:t>
      </w:r>
      <w:r>
        <w:rPr>
          <w:rFonts w:hint="eastAsia" w:cs="宋体"/>
          <w:color w:val="auto"/>
          <w:spacing w:val="6"/>
          <w:szCs w:val="24"/>
          <w:highlight w:val="none"/>
          <w:u w:val="single"/>
          <w:lang w:val="en-US" w:eastAsia="zh-CN"/>
        </w:rPr>
        <w:t xml:space="preserve">      </w:t>
      </w:r>
      <w:r>
        <w:rPr>
          <w:rFonts w:hint="eastAsia" w:cs="宋体"/>
          <w:color w:val="auto"/>
          <w:spacing w:val="6"/>
          <w:szCs w:val="24"/>
          <w:highlight w:val="none"/>
        </w:rPr>
        <w:t>万元，资产总额为</w:t>
      </w:r>
      <w:r>
        <w:rPr>
          <w:rFonts w:hint="eastAsia" w:cs="宋体"/>
          <w:color w:val="auto"/>
          <w:spacing w:val="6"/>
          <w:szCs w:val="24"/>
          <w:highlight w:val="none"/>
          <w:u w:val="single"/>
          <w:lang w:val="en-US" w:eastAsia="zh-CN"/>
        </w:rPr>
        <w:t xml:space="preserve">       </w:t>
      </w:r>
      <w:r>
        <w:rPr>
          <w:rFonts w:hint="eastAsia" w:cs="宋体"/>
          <w:color w:val="auto"/>
          <w:spacing w:val="6"/>
          <w:szCs w:val="24"/>
          <w:highlight w:val="none"/>
        </w:rPr>
        <w:t>万元，属于</w:t>
      </w:r>
      <w:r>
        <w:rPr>
          <w:rFonts w:hint="eastAsia" w:cs="宋体"/>
          <w:color w:val="auto"/>
          <w:spacing w:val="6"/>
          <w:szCs w:val="24"/>
          <w:highlight w:val="none"/>
          <w:u w:val="single"/>
        </w:rPr>
        <w:t xml:space="preserve"> （中型企业、小型企业、微型企业）</w:t>
      </w:r>
      <w:r>
        <w:rPr>
          <w:rFonts w:hint="eastAsia" w:cs="宋体"/>
          <w:color w:val="auto"/>
          <w:spacing w:val="6"/>
          <w:szCs w:val="24"/>
          <w:highlight w:val="none"/>
        </w:rPr>
        <w:t>；</w:t>
      </w:r>
    </w:p>
    <w:p w14:paraId="1D01E102">
      <w:pPr>
        <w:ind w:firstLine="504" w:firstLineChars="200"/>
        <w:rPr>
          <w:rFonts w:cs="宋体"/>
          <w:color w:val="auto"/>
          <w:spacing w:val="6"/>
          <w:szCs w:val="24"/>
          <w:highlight w:val="none"/>
        </w:rPr>
      </w:pPr>
      <w:r>
        <w:rPr>
          <w:rFonts w:hint="eastAsia" w:cs="宋体"/>
          <w:color w:val="auto"/>
          <w:spacing w:val="6"/>
          <w:szCs w:val="24"/>
          <w:highlight w:val="none"/>
        </w:rPr>
        <w:t>2.</w:t>
      </w:r>
      <w:r>
        <w:rPr>
          <w:rFonts w:hint="eastAsia" w:cs="宋体"/>
          <w:color w:val="auto"/>
          <w:spacing w:val="6"/>
          <w:szCs w:val="24"/>
          <w:highlight w:val="none"/>
          <w:u w:val="single"/>
        </w:rPr>
        <w:t xml:space="preserve"> （标的名称） </w:t>
      </w:r>
      <w:r>
        <w:rPr>
          <w:rFonts w:hint="eastAsia" w:cs="宋体"/>
          <w:color w:val="auto"/>
          <w:spacing w:val="6"/>
          <w:szCs w:val="24"/>
          <w:highlight w:val="none"/>
        </w:rPr>
        <w:t>，属于</w:t>
      </w:r>
      <w:r>
        <w:rPr>
          <w:rFonts w:hint="eastAsia" w:cs="宋体"/>
          <w:color w:val="auto"/>
          <w:spacing w:val="6"/>
          <w:szCs w:val="24"/>
          <w:highlight w:val="none"/>
          <w:u w:val="single"/>
        </w:rPr>
        <w:t xml:space="preserve"> （采购文件中明确的所属行业）</w:t>
      </w:r>
      <w:r>
        <w:rPr>
          <w:rFonts w:hint="eastAsia" w:cs="宋体"/>
          <w:color w:val="auto"/>
          <w:spacing w:val="6"/>
          <w:szCs w:val="24"/>
          <w:highlight w:val="none"/>
        </w:rPr>
        <w:t>行业 ；制造商为</w:t>
      </w:r>
      <w:r>
        <w:rPr>
          <w:rFonts w:hint="eastAsia" w:cs="宋体"/>
          <w:color w:val="auto"/>
          <w:spacing w:val="6"/>
          <w:szCs w:val="24"/>
          <w:highlight w:val="none"/>
          <w:u w:val="single"/>
        </w:rPr>
        <w:t xml:space="preserve"> （企业名称） </w:t>
      </w:r>
      <w:r>
        <w:rPr>
          <w:rFonts w:hint="eastAsia" w:cs="宋体"/>
          <w:color w:val="auto"/>
          <w:spacing w:val="6"/>
          <w:szCs w:val="24"/>
          <w:highlight w:val="none"/>
        </w:rPr>
        <w:t>，从业人员</w:t>
      </w:r>
      <w:r>
        <w:rPr>
          <w:rFonts w:hint="eastAsia" w:cs="宋体"/>
          <w:color w:val="auto"/>
          <w:spacing w:val="6"/>
          <w:szCs w:val="24"/>
          <w:highlight w:val="none"/>
          <w:u w:val="single"/>
          <w:lang w:val="en-US" w:eastAsia="zh-CN"/>
        </w:rPr>
        <w:t xml:space="preserve">      </w:t>
      </w:r>
      <w:r>
        <w:rPr>
          <w:rFonts w:hint="eastAsia" w:cs="宋体"/>
          <w:color w:val="auto"/>
          <w:spacing w:val="6"/>
          <w:szCs w:val="24"/>
          <w:highlight w:val="none"/>
        </w:rPr>
        <w:t>人，营业收入为</w:t>
      </w:r>
      <w:r>
        <w:rPr>
          <w:rFonts w:hint="eastAsia" w:cs="宋体"/>
          <w:color w:val="auto"/>
          <w:spacing w:val="6"/>
          <w:szCs w:val="24"/>
          <w:highlight w:val="none"/>
          <w:u w:val="single"/>
          <w:lang w:val="en-US" w:eastAsia="zh-CN"/>
        </w:rPr>
        <w:t xml:space="preserve">      </w:t>
      </w:r>
      <w:r>
        <w:rPr>
          <w:rFonts w:hint="eastAsia" w:cs="宋体"/>
          <w:color w:val="auto"/>
          <w:spacing w:val="6"/>
          <w:szCs w:val="24"/>
          <w:highlight w:val="none"/>
        </w:rPr>
        <w:t>万元，资产总额为</w:t>
      </w:r>
      <w:r>
        <w:rPr>
          <w:rFonts w:hint="eastAsia" w:cs="宋体"/>
          <w:color w:val="auto"/>
          <w:spacing w:val="6"/>
          <w:szCs w:val="24"/>
          <w:highlight w:val="none"/>
          <w:u w:val="single"/>
          <w:lang w:val="en-US" w:eastAsia="zh-CN"/>
        </w:rPr>
        <w:t xml:space="preserve">       </w:t>
      </w:r>
      <w:r>
        <w:rPr>
          <w:rFonts w:hint="eastAsia" w:cs="宋体"/>
          <w:color w:val="auto"/>
          <w:spacing w:val="6"/>
          <w:szCs w:val="24"/>
          <w:highlight w:val="none"/>
        </w:rPr>
        <w:t>万元，属于</w:t>
      </w:r>
      <w:r>
        <w:rPr>
          <w:rFonts w:hint="eastAsia" w:cs="宋体"/>
          <w:color w:val="auto"/>
          <w:spacing w:val="6"/>
          <w:szCs w:val="24"/>
          <w:highlight w:val="none"/>
          <w:u w:val="single"/>
        </w:rPr>
        <w:t xml:space="preserve"> （中型企业、小型企业、微型企业）</w:t>
      </w:r>
      <w:r>
        <w:rPr>
          <w:rFonts w:hint="eastAsia" w:cs="宋体"/>
          <w:color w:val="auto"/>
          <w:spacing w:val="6"/>
          <w:szCs w:val="24"/>
          <w:highlight w:val="none"/>
        </w:rPr>
        <w:t>；</w:t>
      </w:r>
    </w:p>
    <w:p w14:paraId="7CB1DD8C">
      <w:pPr>
        <w:ind w:firstLine="504" w:firstLineChars="200"/>
        <w:rPr>
          <w:rFonts w:cs="宋体"/>
          <w:color w:val="auto"/>
          <w:spacing w:val="6"/>
          <w:szCs w:val="24"/>
          <w:highlight w:val="none"/>
        </w:rPr>
      </w:pPr>
      <w:r>
        <w:rPr>
          <w:rFonts w:hint="eastAsia" w:cs="宋体"/>
          <w:color w:val="auto"/>
          <w:spacing w:val="6"/>
          <w:szCs w:val="24"/>
          <w:highlight w:val="none"/>
        </w:rPr>
        <w:t>……</w:t>
      </w:r>
    </w:p>
    <w:p w14:paraId="776FE44A">
      <w:pPr>
        <w:ind w:firstLine="504" w:firstLineChars="200"/>
        <w:rPr>
          <w:rFonts w:cs="宋体"/>
          <w:color w:val="auto"/>
          <w:spacing w:val="6"/>
          <w:szCs w:val="24"/>
          <w:highlight w:val="none"/>
        </w:rPr>
      </w:pPr>
      <w:r>
        <w:rPr>
          <w:rFonts w:hint="eastAsia" w:cs="宋体"/>
          <w:color w:val="auto"/>
          <w:spacing w:val="6"/>
          <w:szCs w:val="24"/>
          <w:highlight w:val="none"/>
        </w:rPr>
        <w:t>以上企业，不属于大企业的分支机构，不存在控股股东为大企业的情形，也不存在与大企业的负责人为同一人的情形。</w:t>
      </w:r>
    </w:p>
    <w:p w14:paraId="3A720EA2">
      <w:pPr>
        <w:ind w:firstLine="504" w:firstLineChars="200"/>
        <w:rPr>
          <w:rFonts w:cs="宋体"/>
          <w:color w:val="auto"/>
          <w:spacing w:val="6"/>
          <w:szCs w:val="24"/>
          <w:highlight w:val="none"/>
        </w:rPr>
      </w:pPr>
      <w:r>
        <w:rPr>
          <w:rFonts w:hint="eastAsia" w:cs="宋体"/>
          <w:color w:val="auto"/>
          <w:spacing w:val="6"/>
          <w:szCs w:val="24"/>
          <w:highlight w:val="none"/>
        </w:rPr>
        <w:t>本企业对上述声明内容的真实性负责。如有虚假，将依法承担相应责任。</w:t>
      </w:r>
    </w:p>
    <w:p w14:paraId="5A6D844B">
      <w:pPr>
        <w:ind w:right="1008" w:firstLine="4788" w:firstLineChars="1900"/>
        <w:rPr>
          <w:rFonts w:cs="宋体"/>
          <w:color w:val="auto"/>
          <w:spacing w:val="6"/>
          <w:szCs w:val="24"/>
          <w:highlight w:val="none"/>
        </w:rPr>
      </w:pPr>
    </w:p>
    <w:p w14:paraId="165AEE2D">
      <w:pPr>
        <w:ind w:right="1008" w:firstLine="4284" w:firstLineChars="1700"/>
        <w:rPr>
          <w:rFonts w:cs="宋体"/>
          <w:color w:val="auto"/>
          <w:spacing w:val="6"/>
          <w:szCs w:val="24"/>
          <w:highlight w:val="none"/>
        </w:rPr>
      </w:pPr>
      <w:r>
        <w:rPr>
          <w:rFonts w:hint="eastAsia" w:cs="宋体"/>
          <w:color w:val="auto"/>
          <w:spacing w:val="6"/>
          <w:szCs w:val="24"/>
          <w:highlight w:val="none"/>
          <w:lang w:val="en-US" w:eastAsia="zh-CN"/>
        </w:rPr>
        <w:t>投标人</w:t>
      </w:r>
      <w:r>
        <w:rPr>
          <w:rFonts w:hint="eastAsia" w:cs="宋体"/>
          <w:color w:val="auto"/>
          <w:spacing w:val="6"/>
          <w:szCs w:val="24"/>
          <w:highlight w:val="none"/>
        </w:rPr>
        <w:t>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hint="eastAsia" w:cs="宋体"/>
          <w:color w:val="auto"/>
          <w:spacing w:val="6"/>
          <w:szCs w:val="24"/>
          <w:highlight w:val="none"/>
        </w:rPr>
        <w:t>：</w:t>
      </w:r>
    </w:p>
    <w:p w14:paraId="5183E380">
      <w:pPr>
        <w:ind w:right="1008" w:firstLine="4284" w:firstLineChars="1700"/>
        <w:rPr>
          <w:rFonts w:hint="default" w:eastAsia="宋体" w:cs="宋体"/>
          <w:color w:val="auto"/>
          <w:spacing w:val="6"/>
          <w:szCs w:val="24"/>
          <w:highlight w:val="none"/>
          <w:lang w:val="en-US" w:eastAsia="zh-CN"/>
        </w:rPr>
      </w:pPr>
      <w:r>
        <w:rPr>
          <w:rFonts w:hint="eastAsia" w:cs="宋体"/>
          <w:color w:val="auto"/>
          <w:spacing w:val="6"/>
          <w:szCs w:val="24"/>
          <w:highlight w:val="none"/>
        </w:rPr>
        <w:t>日期：</w:t>
      </w:r>
      <w:r>
        <w:rPr>
          <w:rFonts w:hint="eastAsia" w:cs="宋体"/>
          <w:color w:val="auto"/>
          <w:spacing w:val="6"/>
          <w:szCs w:val="24"/>
          <w:highlight w:val="none"/>
          <w:lang w:val="en-US" w:eastAsia="zh-CN"/>
        </w:rPr>
        <w:t xml:space="preserve">   年  月  日</w:t>
      </w:r>
    </w:p>
    <w:p w14:paraId="7BA8C73B">
      <w:pPr>
        <w:ind w:firstLine="504" w:firstLineChars="200"/>
        <w:rPr>
          <w:rFonts w:cs="宋体"/>
          <w:color w:val="auto"/>
          <w:spacing w:val="6"/>
          <w:szCs w:val="24"/>
          <w:highlight w:val="none"/>
        </w:rPr>
      </w:pPr>
    </w:p>
    <w:p w14:paraId="748B4DD4">
      <w:pPr>
        <w:rPr>
          <w:rFonts w:hint="default" w:cs="宋体"/>
          <w:b/>
          <w:bCs/>
          <w:color w:val="auto"/>
          <w:spacing w:val="6"/>
          <w:sz w:val="21"/>
          <w:szCs w:val="21"/>
          <w:highlight w:val="none"/>
          <w:lang w:val="en-US" w:eastAsia="zh-CN"/>
        </w:rPr>
      </w:pPr>
      <w:r>
        <w:rPr>
          <w:rFonts w:hint="eastAsia" w:cs="宋体"/>
          <w:b/>
          <w:bCs/>
          <w:color w:val="auto"/>
          <w:spacing w:val="6"/>
          <w:sz w:val="21"/>
          <w:szCs w:val="21"/>
          <w:highlight w:val="none"/>
        </w:rPr>
        <w:t>说明：</w:t>
      </w:r>
      <w:r>
        <w:rPr>
          <w:rFonts w:hint="eastAsia" w:cs="宋体"/>
          <w:b/>
          <w:bCs/>
          <w:color w:val="auto"/>
          <w:spacing w:val="6"/>
          <w:sz w:val="21"/>
          <w:szCs w:val="21"/>
          <w:highlight w:val="none"/>
          <w:lang w:val="en-US" w:eastAsia="zh-CN"/>
        </w:rPr>
        <w:t>1.重要提示：供应商应仔细阅读本函附件1关于</w:t>
      </w:r>
      <w:r>
        <w:rPr>
          <w:rFonts w:hint="eastAsia" w:cs="宋体"/>
          <w:color w:val="auto"/>
          <w:spacing w:val="-6"/>
          <w:kern w:val="0"/>
          <w:sz w:val="21"/>
          <w:szCs w:val="21"/>
          <w:highlight w:val="none"/>
          <w:lang w:val="en-US" w:eastAsia="zh-CN" w:bidi="ar"/>
        </w:rPr>
        <w:t>“</w:t>
      </w:r>
      <w:r>
        <w:rPr>
          <w:rFonts w:hint="eastAsia" w:cs="宋体"/>
          <w:b/>
          <w:bCs/>
          <w:color w:val="auto"/>
          <w:spacing w:val="6"/>
          <w:sz w:val="21"/>
          <w:szCs w:val="21"/>
          <w:highlight w:val="none"/>
          <w:lang w:val="en-US" w:eastAsia="zh-CN"/>
        </w:rPr>
        <w:t>中小企业声明函”的填写要求及提交要求，否则，因填写或提交等产生的一切不利后果，须自行承担。</w:t>
      </w:r>
    </w:p>
    <w:p w14:paraId="126DF3AF">
      <w:pPr>
        <w:ind w:firstLine="668" w:firstLineChars="300"/>
        <w:rPr>
          <w:rFonts w:cs="宋体"/>
          <w:color w:val="auto"/>
          <w:spacing w:val="6"/>
          <w:sz w:val="21"/>
          <w:szCs w:val="21"/>
          <w:highlight w:val="none"/>
        </w:rPr>
      </w:pPr>
      <w:r>
        <w:rPr>
          <w:rFonts w:hint="eastAsia" w:cs="宋体"/>
          <w:b/>
          <w:bCs/>
          <w:color w:val="auto"/>
          <w:spacing w:val="6"/>
          <w:sz w:val="21"/>
          <w:szCs w:val="21"/>
          <w:highlight w:val="none"/>
          <w:lang w:val="en-US" w:eastAsia="zh-CN"/>
        </w:rPr>
        <w:t>2.</w:t>
      </w:r>
      <w:r>
        <w:rPr>
          <w:rFonts w:hint="eastAsia" w:cs="宋体"/>
          <w:color w:val="auto"/>
          <w:spacing w:val="6"/>
          <w:sz w:val="21"/>
          <w:szCs w:val="21"/>
          <w:highlight w:val="none"/>
        </w:rPr>
        <w:t>从业人员、营业收入、资产总额填报上一年度数据，无上一年度数据的新成立企业可不填报。</w:t>
      </w:r>
    </w:p>
    <w:p w14:paraId="54C60C6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
          <w:bCs/>
          <w:color w:val="auto"/>
          <w:highlight w:val="none"/>
          <w:lang w:val="en-US" w:eastAsia="zh-CN"/>
        </w:rPr>
      </w:pPr>
    </w:p>
    <w:p w14:paraId="44B8976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
          <w:bCs/>
          <w:color w:val="auto"/>
          <w:highlight w:val="none"/>
          <w:lang w:val="en-US" w:eastAsia="zh-CN"/>
        </w:rPr>
      </w:pPr>
    </w:p>
    <w:p w14:paraId="7665769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
          <w:bCs/>
          <w:color w:val="auto"/>
          <w:highlight w:val="none"/>
          <w:lang w:val="en-US" w:eastAsia="zh-CN"/>
        </w:rPr>
      </w:pPr>
    </w:p>
    <w:p w14:paraId="3EAEDF6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
          <w:bCs/>
          <w:color w:val="auto"/>
          <w:highlight w:val="none"/>
          <w:lang w:val="en-US" w:eastAsia="zh-CN"/>
        </w:rPr>
      </w:pPr>
    </w:p>
    <w:p w14:paraId="00376C39">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b/>
          <w:bCs/>
          <w:color w:val="auto"/>
          <w:highlight w:val="none"/>
          <w:lang w:val="en-US" w:eastAsia="zh-CN"/>
        </w:rPr>
      </w:pPr>
      <w:r>
        <w:rPr>
          <w:rFonts w:hint="eastAsia"/>
          <w:b/>
          <w:bCs/>
          <w:color w:val="auto"/>
          <w:highlight w:val="none"/>
          <w:lang w:val="en-US" w:eastAsia="zh-CN"/>
        </w:rPr>
        <w:t xml:space="preserve">附件1 </w:t>
      </w:r>
    </w:p>
    <w:p w14:paraId="1B7EF9B9">
      <w:pPr>
        <w:keepNext w:val="0"/>
        <w:keepLines w:val="0"/>
        <w:widowControl/>
        <w:suppressLineNumbers w:val="0"/>
        <w:ind w:firstLine="562" w:firstLineChars="200"/>
        <w:jc w:val="left"/>
        <w:rPr>
          <w:rStyle w:val="33"/>
          <w:rFonts w:hint="eastAsia" w:ascii="宋体" w:hAnsi="宋体" w:eastAsia="宋体" w:cs="宋体"/>
          <w:color w:val="auto"/>
          <w:kern w:val="0"/>
          <w:sz w:val="28"/>
          <w:szCs w:val="28"/>
          <w:highlight w:val="none"/>
          <w:lang w:val="en-US" w:eastAsia="zh-CN" w:bidi="ar"/>
        </w:rPr>
      </w:pPr>
    </w:p>
    <w:p w14:paraId="2B5549A9">
      <w:pPr>
        <w:keepNext w:val="0"/>
        <w:keepLines w:val="0"/>
        <w:widowControl/>
        <w:suppressLineNumbers w:val="0"/>
        <w:ind w:firstLine="482" w:firstLineChars="200"/>
        <w:jc w:val="left"/>
        <w:rPr>
          <w:rStyle w:val="33"/>
          <w:rFonts w:hint="eastAsia" w:ascii="宋体" w:hAnsi="宋体" w:eastAsia="宋体" w:cs="宋体"/>
          <w:color w:val="auto"/>
          <w:kern w:val="0"/>
          <w:sz w:val="24"/>
          <w:szCs w:val="24"/>
          <w:highlight w:val="none"/>
          <w:lang w:val="en-US" w:eastAsia="zh-CN" w:bidi="ar"/>
        </w:rPr>
      </w:pPr>
      <w:r>
        <w:rPr>
          <w:rStyle w:val="33"/>
          <w:rFonts w:hint="eastAsia" w:ascii="宋体" w:hAnsi="宋体" w:eastAsia="宋体" w:cs="宋体"/>
          <w:color w:val="auto"/>
          <w:kern w:val="0"/>
          <w:sz w:val="24"/>
          <w:szCs w:val="24"/>
          <w:highlight w:val="none"/>
          <w:lang w:val="en-US" w:eastAsia="zh-CN" w:bidi="ar"/>
        </w:rPr>
        <w:t>（一）关于</w:t>
      </w:r>
      <w:r>
        <w:rPr>
          <w:rStyle w:val="33"/>
          <w:rFonts w:hint="eastAsia" w:cs="宋体"/>
          <w:color w:val="auto"/>
          <w:kern w:val="0"/>
          <w:sz w:val="24"/>
          <w:szCs w:val="24"/>
          <w:highlight w:val="none"/>
          <w:lang w:val="en-US" w:eastAsia="zh-CN" w:bidi="ar"/>
        </w:rPr>
        <w:t>“</w:t>
      </w:r>
      <w:r>
        <w:rPr>
          <w:rStyle w:val="33"/>
          <w:rFonts w:hint="eastAsia" w:ascii="宋体" w:hAnsi="宋体" w:eastAsia="宋体" w:cs="宋体"/>
          <w:color w:val="auto"/>
          <w:kern w:val="0"/>
          <w:sz w:val="24"/>
          <w:szCs w:val="24"/>
          <w:highlight w:val="none"/>
          <w:lang w:val="en-US" w:eastAsia="zh-CN" w:bidi="ar"/>
        </w:rPr>
        <w:t>中小企业声明函</w:t>
      </w:r>
      <w:r>
        <w:rPr>
          <w:rStyle w:val="33"/>
          <w:rFonts w:hint="eastAsia" w:cs="宋体"/>
          <w:color w:val="auto"/>
          <w:kern w:val="0"/>
          <w:sz w:val="24"/>
          <w:szCs w:val="24"/>
          <w:highlight w:val="none"/>
          <w:lang w:val="en-US" w:eastAsia="zh-CN" w:bidi="ar"/>
        </w:rPr>
        <w:t>”</w:t>
      </w:r>
      <w:r>
        <w:rPr>
          <w:rStyle w:val="33"/>
          <w:rFonts w:hint="eastAsia" w:ascii="宋体" w:hAnsi="宋体" w:eastAsia="宋体" w:cs="宋体"/>
          <w:color w:val="auto"/>
          <w:kern w:val="0"/>
          <w:sz w:val="24"/>
          <w:szCs w:val="24"/>
          <w:highlight w:val="none"/>
          <w:lang w:val="en-US" w:eastAsia="zh-CN" w:bidi="ar"/>
        </w:rPr>
        <w:t>的填写要求</w:t>
      </w:r>
    </w:p>
    <w:p w14:paraId="6BC4DFB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中小企业声明函</w:t>
      </w:r>
      <w:r>
        <w:rPr>
          <w:rFonts w:hint="eastAsia"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具体填写要求如下：</w:t>
      </w:r>
    </w:p>
    <w:p w14:paraId="414BDEE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1.“单位名称”应填写采购人名称。</w:t>
      </w:r>
    </w:p>
    <w:p w14:paraId="3C11145C">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2.“项目名称”应按照采购文件中确定的项目名称填写。对于分包方式面向中小企业采购的项目，应标明中小企业的具体分包内容；对于以联合体方式面向中小企业采购的项目，应标明联合体中中小企业所承担的具体内容。</w:t>
      </w:r>
    </w:p>
    <w:p w14:paraId="02B61C1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3.“标的名称”应填写采购文件中细化载明的采购标的名称。对于分包方式面向中小企业采购的项目，“标的名称”应填写采购文件中注明的分包给中小企业的采购标的名称；对于以联合体方式面向中小企业采购的项目，“标的名称”应填写采购文件中注明的联合体中中小企业承担的采购标的名称。</w:t>
      </w:r>
    </w:p>
    <w:p w14:paraId="29C8232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4.“采购文件中明确的所属行业”应填写采购文件中明确的采购标的所属行业，并应确保与采购标的涉及的货物制造商/服务承接商/工程承建商（根据项目属性确定）本身的所属行业保持一致。</w:t>
      </w:r>
    </w:p>
    <w:p w14:paraId="634D661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对于分包方式面向中小企业采购的项目，“采购文件中明确的所属行业”应按照采购文件中注明的分包给中小企业的采购标的所属行业填写，并应确保与该分包部分采购标的涉及的货物制造商/服务承接商/工程承建商（根据项目属性确定）本身的所属行业保持一致。</w:t>
      </w:r>
    </w:p>
    <w:p w14:paraId="3941B3F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对于以联合体方式面向中小企业采购的项目，“采购文件中明确的所属行业”应按照采购文件中注明的联合体中中小企业承担的采购标的所属行业填写，并应确保与该承担部分采购标的涉及的货物制造商/服务承接商/工程承建商（根据项目属性确定）本身的所属行业保持一致。</w:t>
      </w:r>
    </w:p>
    <w:p w14:paraId="3C9C37F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5.“企业名称”应填写投标（响应）的货物制造商/服务承接商/工程承建商（根据项目属性确定）。</w:t>
      </w:r>
    </w:p>
    <w:p w14:paraId="1A04AFA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对于分包方式面向中小企业采购的项目，“企业名称”应填写分包部分采购标的对应的货物制造商/服务承接商/工程承建商（根据项目属性确定）。</w:t>
      </w:r>
    </w:p>
    <w:p w14:paraId="67D0083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对于以联合体方式面向中小企业采购的项目，“企业名称”应填写联合体中中小企业承担采购标的对应的货物制造商/服务承接商/工程承建商（根据项目属性确定）。</w:t>
      </w:r>
    </w:p>
    <w:p w14:paraId="47482CF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6.从业人员、资产总额指标以上年度末数据为依据，营业收入指标以上年度累计数据为依据。无上年度数据的新成立企业可不填报。</w:t>
      </w:r>
    </w:p>
    <w:p w14:paraId="417BBFD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7.“中型企业/小型企业/微型企业”部分，供应商应依据企业上年度从业人员、营业收入、资产总额等指标，按照《中小企业划型标准规定》（工信部联企业〔2011〕300号）、《金融业企业划型标准规定》（银发〔2015〕309号），判断</w:t>
      </w:r>
      <w:r>
        <w:rPr>
          <w:rFonts w:hint="eastAsia"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中小企业声明函</w:t>
      </w:r>
      <w:r>
        <w:rPr>
          <w:rFonts w:hint="eastAsia"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载明的货物制造商/服务承接商/工程承建商（根据项目属性确定）是否属于采购文件所属行业的中型企业/小型企业/微型企业。</w:t>
      </w:r>
    </w:p>
    <w:p w14:paraId="0A3DD53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8.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14:paraId="7BA9439A">
      <w:pPr>
        <w:keepNext w:val="0"/>
        <w:keepLines w:val="0"/>
        <w:widowControl/>
        <w:suppressLineNumbers w:val="0"/>
        <w:ind w:firstLine="482" w:firstLineChars="200"/>
        <w:jc w:val="left"/>
        <w:rPr>
          <w:rStyle w:val="33"/>
          <w:rFonts w:hint="eastAsia" w:ascii="宋体" w:hAnsi="宋体" w:eastAsia="宋体" w:cs="宋体"/>
          <w:color w:val="auto"/>
          <w:kern w:val="0"/>
          <w:sz w:val="24"/>
          <w:szCs w:val="24"/>
          <w:highlight w:val="none"/>
          <w:lang w:val="en-US" w:eastAsia="zh-CN" w:bidi="ar"/>
        </w:rPr>
      </w:pPr>
      <w:r>
        <w:rPr>
          <w:rStyle w:val="33"/>
          <w:rFonts w:hint="eastAsia" w:ascii="宋体" w:hAnsi="宋体" w:eastAsia="宋体" w:cs="宋体"/>
          <w:color w:val="auto"/>
          <w:kern w:val="0"/>
          <w:sz w:val="24"/>
          <w:szCs w:val="24"/>
          <w:highlight w:val="none"/>
          <w:lang w:val="en-US" w:eastAsia="zh-CN" w:bidi="ar"/>
        </w:rPr>
        <w:t>（二）关于</w:t>
      </w:r>
      <w:r>
        <w:rPr>
          <w:rStyle w:val="33"/>
          <w:rFonts w:hint="eastAsia" w:cs="宋体"/>
          <w:color w:val="auto"/>
          <w:kern w:val="0"/>
          <w:sz w:val="24"/>
          <w:szCs w:val="24"/>
          <w:highlight w:val="none"/>
          <w:lang w:val="en-US" w:eastAsia="zh-CN" w:bidi="ar"/>
        </w:rPr>
        <w:t>“</w:t>
      </w:r>
      <w:r>
        <w:rPr>
          <w:rStyle w:val="33"/>
          <w:rFonts w:hint="eastAsia" w:ascii="宋体" w:hAnsi="宋体" w:eastAsia="宋体" w:cs="宋体"/>
          <w:color w:val="auto"/>
          <w:kern w:val="0"/>
          <w:sz w:val="24"/>
          <w:szCs w:val="24"/>
          <w:highlight w:val="none"/>
          <w:lang w:val="en-US" w:eastAsia="zh-CN" w:bidi="ar"/>
        </w:rPr>
        <w:t>中小企业声明函</w:t>
      </w:r>
      <w:r>
        <w:rPr>
          <w:rStyle w:val="33"/>
          <w:rFonts w:hint="eastAsia" w:cs="宋体"/>
          <w:color w:val="auto"/>
          <w:kern w:val="0"/>
          <w:sz w:val="24"/>
          <w:szCs w:val="24"/>
          <w:highlight w:val="none"/>
          <w:lang w:val="en-US" w:eastAsia="zh-CN" w:bidi="ar"/>
        </w:rPr>
        <w:t>”</w:t>
      </w:r>
      <w:r>
        <w:rPr>
          <w:rStyle w:val="33"/>
          <w:rFonts w:hint="eastAsia" w:ascii="宋体" w:hAnsi="宋体" w:eastAsia="宋体" w:cs="宋体"/>
          <w:color w:val="auto"/>
          <w:kern w:val="0"/>
          <w:sz w:val="24"/>
          <w:szCs w:val="24"/>
          <w:highlight w:val="none"/>
          <w:lang w:val="en-US" w:eastAsia="zh-CN" w:bidi="ar"/>
        </w:rPr>
        <w:t>的提交要求</w:t>
      </w:r>
    </w:p>
    <w:p w14:paraId="5F29A0D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1.投标（响应）供应商对</w:t>
      </w:r>
      <w:r>
        <w:rPr>
          <w:rFonts w:hint="eastAsia"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中小企业声明函</w:t>
      </w:r>
      <w:r>
        <w:rPr>
          <w:rFonts w:hint="eastAsia"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的真实性负责。投标（响应）供应商应当核实投标（响应）的货物制造商/服务承接商/工程承建商（根据项目属性确定）的相关信息，如对相关信息了解不充分，或者不能确定相关信息真实、准确的，不建议出具</w:t>
      </w:r>
      <w:r>
        <w:rPr>
          <w:rFonts w:hint="eastAsia"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中小企业声明函</w:t>
      </w:r>
      <w:r>
        <w:rPr>
          <w:rFonts w:hint="eastAsia"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w:t>
      </w:r>
    </w:p>
    <w:p w14:paraId="49FFD35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2.鼓励供应商在投标（响应）时一并提供对货物制造商、服务承接商、工程承建商相关信息的核实核验情况以及其他佐证材料。</w:t>
      </w:r>
    </w:p>
    <w:p w14:paraId="15483C28">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3.如供应商提供的</w:t>
      </w:r>
      <w:r>
        <w:rPr>
          <w:rFonts w:hint="eastAsia"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中小企业声明函</w:t>
      </w:r>
      <w:r>
        <w:rPr>
          <w:rFonts w:hint="eastAsia"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存在按采购文件所属行业划型不实的，属于提供虚假材料谋取中标、成交，依照《中华人民共和国政府采购法》第七十七条的规定，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6E224C04">
      <w:pPr>
        <w:rPr>
          <w:rFonts w:cs="宋体"/>
          <w:color w:val="auto"/>
          <w:spacing w:val="6"/>
          <w:sz w:val="21"/>
          <w:szCs w:val="21"/>
          <w:highlight w:val="none"/>
        </w:rPr>
      </w:pPr>
    </w:p>
    <w:p w14:paraId="511B2BB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宋体"/>
          <w:b/>
          <w:bCs/>
          <w:color w:val="auto"/>
          <w:highlight w:val="none"/>
          <w:lang w:val="en-US" w:eastAsia="zh-CN"/>
        </w:rPr>
      </w:pPr>
      <w:r>
        <w:rPr>
          <w:rFonts w:hint="eastAsia"/>
          <w:b/>
          <w:bCs/>
          <w:color w:val="auto"/>
          <w:highlight w:val="none"/>
          <w:lang w:val="en-US" w:eastAsia="zh-CN"/>
        </w:rPr>
        <w:t>附件2：</w:t>
      </w:r>
    </w:p>
    <w:p w14:paraId="39036397">
      <w:pPr>
        <w:pStyle w:val="17"/>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auto"/>
          <w:sz w:val="32"/>
          <w:szCs w:val="32"/>
          <w:highlight w:val="none"/>
        </w:rPr>
      </w:pPr>
      <w:r>
        <w:rPr>
          <w:rFonts w:hint="eastAsia" w:ascii="宋体" w:hAnsi="宋体" w:eastAsia="宋体" w:cs="宋体"/>
          <w:b/>
          <w:bCs w:val="0"/>
          <w:color w:val="auto"/>
          <w:sz w:val="32"/>
          <w:szCs w:val="32"/>
          <w:highlight w:val="none"/>
        </w:rPr>
        <w:t>关于印发中小企业划型标准规定的通知</w:t>
      </w:r>
    </w:p>
    <w:p w14:paraId="7A2004A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Style w:val="33"/>
          <w:rFonts w:hint="eastAsia" w:ascii="宋体" w:hAnsi="宋体" w:eastAsia="宋体" w:cs="宋体"/>
          <w:b w:val="0"/>
          <w:color w:val="auto"/>
          <w:sz w:val="24"/>
          <w:szCs w:val="24"/>
          <w:highlight w:val="none"/>
        </w:rPr>
      </w:pPr>
      <w:r>
        <w:rPr>
          <w:rStyle w:val="33"/>
          <w:rFonts w:hint="eastAsia" w:ascii="宋体" w:hAnsi="宋体" w:eastAsia="宋体" w:cs="宋体"/>
          <w:b w:val="0"/>
          <w:color w:val="auto"/>
          <w:sz w:val="24"/>
          <w:szCs w:val="24"/>
          <w:highlight w:val="none"/>
        </w:rPr>
        <w:t>工信部联企业〔2011〕300号</w:t>
      </w:r>
    </w:p>
    <w:p w14:paraId="0E959BE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Style w:val="33"/>
          <w:rFonts w:hint="eastAsia" w:ascii="宋体" w:hAnsi="宋体" w:eastAsia="宋体" w:cs="宋体"/>
          <w:b w:val="0"/>
          <w:color w:val="auto"/>
          <w:sz w:val="24"/>
          <w:szCs w:val="24"/>
          <w:highlight w:val="none"/>
        </w:rPr>
      </w:pPr>
    </w:p>
    <w:p w14:paraId="289C59A7">
      <w:pPr>
        <w:keepNext w:val="0"/>
        <w:keepLines w:val="0"/>
        <w:pageBreakBefore w:val="0"/>
        <w:widowControl w:val="0"/>
        <w:kinsoku/>
        <w:wordWrap/>
        <w:overflowPunct/>
        <w:topLinePunct w:val="0"/>
        <w:autoSpaceDE/>
        <w:autoSpaceDN/>
        <w:bidi w:val="0"/>
        <w:adjustRightInd/>
        <w:snapToGrid/>
        <w:spacing w:line="360" w:lineRule="exact"/>
        <w:textAlignment w:val="auto"/>
        <w:rPr>
          <w:rStyle w:val="33"/>
          <w:rFonts w:hint="eastAsia" w:ascii="宋体" w:hAnsi="宋体" w:eastAsia="宋体" w:cs="宋体"/>
          <w:b w:val="0"/>
          <w:color w:val="auto"/>
          <w:sz w:val="24"/>
          <w:szCs w:val="24"/>
          <w:highlight w:val="none"/>
        </w:rPr>
      </w:pPr>
      <w:r>
        <w:rPr>
          <w:rStyle w:val="33"/>
          <w:rFonts w:hint="eastAsia" w:ascii="宋体" w:hAnsi="宋体" w:eastAsia="宋体" w:cs="宋体"/>
          <w:b w:val="0"/>
          <w:color w:val="auto"/>
          <w:sz w:val="24"/>
          <w:szCs w:val="24"/>
          <w:highlight w:val="none"/>
        </w:rPr>
        <w:t>各省、自治区、直辖市人民政府，国务院各部委、各直属机构及有关单位：</w:t>
      </w:r>
    </w:p>
    <w:p w14:paraId="11AACCD7">
      <w:pPr>
        <w:keepNext w:val="0"/>
        <w:keepLines w:val="0"/>
        <w:pageBreakBefore w:val="0"/>
        <w:widowControl w:val="0"/>
        <w:kinsoku/>
        <w:wordWrap/>
        <w:overflowPunct/>
        <w:topLinePunct w:val="0"/>
        <w:autoSpaceDE/>
        <w:autoSpaceDN/>
        <w:bidi w:val="0"/>
        <w:adjustRightInd/>
        <w:snapToGrid/>
        <w:spacing w:line="36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69C30634">
      <w:pPr>
        <w:keepNext w:val="0"/>
        <w:keepLines w:val="0"/>
        <w:pageBreakBefore w:val="0"/>
        <w:widowControl w:val="0"/>
        <w:kinsoku/>
        <w:wordWrap/>
        <w:overflowPunct/>
        <w:topLinePunct w:val="0"/>
        <w:autoSpaceDE/>
        <w:autoSpaceDN/>
        <w:bidi w:val="0"/>
        <w:adjustRightInd/>
        <w:snapToGrid/>
        <w:spacing w:line="360" w:lineRule="exact"/>
        <w:jc w:val="righ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工业和信息化部　国家统计局</w:t>
      </w:r>
    </w:p>
    <w:p w14:paraId="5C55A29B">
      <w:pPr>
        <w:keepNext w:val="0"/>
        <w:keepLines w:val="0"/>
        <w:pageBreakBefore w:val="0"/>
        <w:widowControl w:val="0"/>
        <w:kinsoku/>
        <w:wordWrap/>
        <w:overflowPunct/>
        <w:topLinePunct w:val="0"/>
        <w:autoSpaceDE/>
        <w:autoSpaceDN/>
        <w:bidi w:val="0"/>
        <w:adjustRightInd/>
        <w:snapToGrid/>
        <w:spacing w:line="360" w:lineRule="exact"/>
        <w:jc w:val="righ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国家发展和改革委员会　财政部</w:t>
      </w:r>
    </w:p>
    <w:p w14:paraId="6F52758A">
      <w:pPr>
        <w:keepNext w:val="0"/>
        <w:keepLines w:val="0"/>
        <w:pageBreakBefore w:val="0"/>
        <w:widowControl w:val="0"/>
        <w:kinsoku/>
        <w:wordWrap/>
        <w:overflowPunct/>
        <w:topLinePunct w:val="0"/>
        <w:autoSpaceDE/>
        <w:autoSpaceDN/>
        <w:bidi w:val="0"/>
        <w:adjustRightInd/>
        <w:snapToGrid/>
        <w:spacing w:line="360" w:lineRule="exact"/>
        <w:jc w:val="righ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二○一一年六月十八日</w:t>
      </w:r>
    </w:p>
    <w:p w14:paraId="75F0B3C6">
      <w:pPr>
        <w:keepNext w:val="0"/>
        <w:keepLines w:val="0"/>
        <w:pageBreakBefore w:val="0"/>
        <w:widowControl w:val="0"/>
        <w:kinsoku/>
        <w:wordWrap/>
        <w:overflowPunct/>
        <w:topLinePunct w:val="0"/>
        <w:autoSpaceDE/>
        <w:autoSpaceDN/>
        <w:bidi w:val="0"/>
        <w:adjustRightInd/>
        <w:snapToGrid/>
        <w:spacing w:line="36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xml:space="preserve"> </w:t>
      </w:r>
    </w:p>
    <w:p w14:paraId="3E2FDBA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33"/>
          <w:rFonts w:hint="eastAsia" w:ascii="宋体" w:hAnsi="宋体" w:eastAsia="宋体" w:cs="宋体"/>
          <w:b/>
          <w:bCs w:val="0"/>
          <w:color w:val="auto"/>
          <w:sz w:val="28"/>
          <w:szCs w:val="28"/>
          <w:highlight w:val="none"/>
        </w:rPr>
      </w:pPr>
      <w:r>
        <w:rPr>
          <w:rStyle w:val="33"/>
          <w:rFonts w:hint="eastAsia" w:ascii="宋体" w:hAnsi="宋体" w:eastAsia="宋体" w:cs="宋体"/>
          <w:b/>
          <w:bCs w:val="0"/>
          <w:color w:val="auto"/>
          <w:sz w:val="28"/>
          <w:szCs w:val="28"/>
          <w:highlight w:val="none"/>
        </w:rPr>
        <w:t>中小企业划型标准规定</w:t>
      </w:r>
    </w:p>
    <w:p w14:paraId="7440C465">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一、根据《中华人民共和国中小企业促进法》和《国务院关于进一步促进中小企业发展的若干意见》(国发〔2009〕36号)，制定本规定。</w:t>
      </w:r>
    </w:p>
    <w:p w14:paraId="507AD261">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二、中小企业划分为中型、小型、微型三种类型，具体标准根据企业从业人员、营业收入、资产总额等指标，结合行业特点制定。</w:t>
      </w:r>
    </w:p>
    <w:p w14:paraId="58A39619">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7F5AE90D">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四、各行业划型标准为：</w:t>
      </w:r>
    </w:p>
    <w:p w14:paraId="6B4E2D0C">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（一）农、林、牧、渔业。营业收入20000万元以下的为中小微型企业。其中，营业收入500万元及以上的为中型企业，营业收入50万元及以上的为小型企业，营业收入50万元以下的为微型企业。</w:t>
      </w:r>
    </w:p>
    <w:p w14:paraId="79E2F5AC">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3AA582AE">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521D138B">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217EB3B7">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1FEB118A">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7514A6D2">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3EFCEC98">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6D4D3E4D">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6A462725">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537CBAA6">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710AAA96">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1EC394A7">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61121D1E">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46AB8718">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40881398">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（十六）其他未列明行业。从业人员300人以下的为中小微型企业。其中，从业人员100人及以上的为中型企业；从业人员10人及以上的为小型企业；从业人员10人以下的为微型企业。　　</w:t>
      </w:r>
    </w:p>
    <w:p w14:paraId="509B953B">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五、企业类型的划分以统计部门的统计数据为依据。</w:t>
      </w:r>
    </w:p>
    <w:p w14:paraId="77228C0D">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六、本规定适用于在中华人民共和国境内依法设立的各类所有制和各种组织形式的企业。个体工商户和本规定以外的行业，参照本规定进行划型。</w:t>
      </w:r>
    </w:p>
    <w:p w14:paraId="5F4BB8EA">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七、本规定的中型企业标准上限即为大型企业标准的下限，国家统计部门据此制定大中小微型企业的统计分类。国务院有关部门据此进行相关数据分析，不得制定与本规定不一致的企业划型标准。</w:t>
      </w:r>
    </w:p>
    <w:p w14:paraId="0450AEC1">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八、本规定由工业和信息化部、国家统计局会同有关部门根据《国民经济行业分类》修订情况和企业发展变化情况适时修订。</w:t>
      </w:r>
    </w:p>
    <w:p w14:paraId="69D789A4">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九、本规定由工业和信息化部、国家统计局会同有关部门负责解释。</w:t>
      </w:r>
    </w:p>
    <w:p w14:paraId="4299A031">
      <w:pPr>
        <w:keepNext w:val="0"/>
        <w:keepLines w:val="0"/>
        <w:pageBreakBefore w:val="0"/>
        <w:widowControl w:val="0"/>
        <w:kinsoku/>
        <w:wordWrap/>
        <w:overflowPunct/>
        <w:topLinePunct w:val="0"/>
        <w:autoSpaceDE/>
        <w:autoSpaceDN/>
        <w:bidi w:val="0"/>
        <w:adjustRightInd/>
        <w:snapToGrid/>
        <w:spacing w:line="400" w:lineRule="exact"/>
        <w:textAlignment w:val="auto"/>
        <w:rPr>
          <w:rFonts w:cs="宋体"/>
          <w:color w:val="auto"/>
          <w:spacing w:val="6"/>
          <w:sz w:val="21"/>
          <w:szCs w:val="21"/>
          <w:highlight w:val="none"/>
        </w:rPr>
      </w:pPr>
      <w:r>
        <w:rPr>
          <w:rStyle w:val="33"/>
          <w:rFonts w:hint="eastAsia" w:ascii="宋体" w:hAnsi="宋体" w:eastAsia="宋体" w:cs="宋体"/>
          <w:b w:val="0"/>
          <w:bCs w:val="0"/>
          <w:color w:val="auto"/>
          <w:sz w:val="24"/>
          <w:szCs w:val="24"/>
          <w:highlight w:val="none"/>
        </w:rPr>
        <w:t>十、本规定自发布之日起执行，原国家经贸委、原国家计委、财政部和国家统计局2003年颁布的《中小企业标准暂行规定》同时废止。</w:t>
      </w:r>
    </w:p>
    <w:p w14:paraId="2CABEDA6">
      <w:pPr>
        <w:rPr>
          <w:rFonts w:cs="宋体"/>
          <w:color w:val="auto"/>
          <w:spacing w:val="6"/>
          <w:sz w:val="21"/>
          <w:szCs w:val="21"/>
          <w:highlight w:val="none"/>
        </w:rPr>
      </w:pPr>
    </w:p>
    <w:p w14:paraId="69E3A359">
      <w:pPr>
        <w:rPr>
          <w:rFonts w:cs="宋体"/>
          <w:color w:val="auto"/>
          <w:spacing w:val="6"/>
          <w:sz w:val="21"/>
          <w:szCs w:val="21"/>
          <w:highlight w:val="none"/>
        </w:rPr>
      </w:pPr>
    </w:p>
    <w:p w14:paraId="2DA82083">
      <w:pPr>
        <w:rPr>
          <w:rFonts w:cs="宋体"/>
          <w:color w:val="auto"/>
          <w:spacing w:val="6"/>
          <w:sz w:val="21"/>
          <w:szCs w:val="21"/>
          <w:highlight w:val="none"/>
        </w:rPr>
      </w:pPr>
    </w:p>
    <w:p w14:paraId="1140213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宋体"/>
          <w:b/>
          <w:bCs/>
          <w:color w:val="auto"/>
          <w:highlight w:val="none"/>
          <w:lang w:val="en-US" w:eastAsia="zh-CN"/>
        </w:rPr>
      </w:pPr>
      <w:r>
        <w:rPr>
          <w:rFonts w:hint="eastAsia"/>
          <w:b/>
          <w:bCs/>
          <w:color w:val="auto"/>
          <w:highlight w:val="none"/>
          <w:lang w:val="en-US" w:eastAsia="zh-CN"/>
        </w:rPr>
        <w:t>附件3：</w:t>
      </w:r>
    </w:p>
    <w:p w14:paraId="69CF5111">
      <w:pPr>
        <w:rPr>
          <w:rFonts w:hint="eastAsia" w:cs="宋体"/>
          <w:color w:val="auto"/>
          <w:spacing w:val="6"/>
          <w:sz w:val="21"/>
          <w:szCs w:val="21"/>
          <w:highlight w:val="none"/>
        </w:rPr>
      </w:pPr>
    </w:p>
    <w:p w14:paraId="1C50A461">
      <w:pPr>
        <w:pStyle w:val="17"/>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auto"/>
          <w:sz w:val="32"/>
          <w:szCs w:val="32"/>
          <w:highlight w:val="none"/>
        </w:rPr>
      </w:pPr>
      <w:r>
        <w:rPr>
          <w:rFonts w:hint="eastAsia" w:ascii="宋体" w:hAnsi="宋体" w:eastAsia="宋体" w:cs="宋体"/>
          <w:b/>
          <w:bCs w:val="0"/>
          <w:color w:val="auto"/>
          <w:sz w:val="32"/>
          <w:szCs w:val="32"/>
          <w:highlight w:val="none"/>
        </w:rPr>
        <w:t>关于印发《金融业企业划型标准规定》的通知</w:t>
      </w:r>
    </w:p>
    <w:p w14:paraId="2EC1ECF3">
      <w:pPr>
        <w:jc w:val="center"/>
        <w:rPr>
          <w:rStyle w:val="33"/>
          <w:rFonts w:hint="eastAsia" w:ascii="宋体" w:hAnsi="宋体" w:eastAsia="宋体" w:cs="宋体"/>
          <w:b w:val="0"/>
          <w:color w:val="auto"/>
          <w:sz w:val="24"/>
          <w:szCs w:val="24"/>
          <w:highlight w:val="none"/>
        </w:rPr>
      </w:pPr>
      <w:r>
        <w:rPr>
          <w:rStyle w:val="33"/>
          <w:rFonts w:hint="eastAsia" w:ascii="宋体" w:hAnsi="宋体" w:eastAsia="宋体" w:cs="宋体"/>
          <w:b w:val="0"/>
          <w:color w:val="auto"/>
          <w:sz w:val="24"/>
          <w:szCs w:val="24"/>
          <w:highlight w:val="none"/>
        </w:rPr>
        <w:t>银发〔2015〕309号</w:t>
      </w:r>
    </w:p>
    <w:p w14:paraId="6EBA1AEF">
      <w:pPr>
        <w:keepNext w:val="0"/>
        <w:keepLines w:val="0"/>
        <w:pageBreakBefore w:val="0"/>
        <w:widowControl w:val="0"/>
        <w:kinsoku/>
        <w:wordWrap/>
        <w:overflowPunct/>
        <w:topLinePunct w:val="0"/>
        <w:autoSpaceDE/>
        <w:autoSpaceDN/>
        <w:bidi w:val="0"/>
        <w:adjustRightInd/>
        <w:snapToGrid/>
        <w:spacing w:line="46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为进一步贯彻落实《中华人民共和国中小企业促进法》、《国务院关于进一步促进中小企业发展的若干意见》（国发〔2009〕36号）、《国务院办公厅关于金融支持小微企业发展的实施意见》（国办发〔2013〕87号），推动中小金融机构健康发展，加大金融对实体经济的支持，人民银行会同银监会、证监会、保监会和国家统计局联合研究制定了《金融业企业划型标准规定》（见附件）。经国务院同意，现印发给你们，请遵照执行。</w:t>
      </w:r>
    </w:p>
    <w:p w14:paraId="12B6BFCB">
      <w:pPr>
        <w:keepNext w:val="0"/>
        <w:keepLines w:val="0"/>
        <w:pageBreakBefore w:val="0"/>
        <w:widowControl w:val="0"/>
        <w:kinsoku/>
        <w:wordWrap/>
        <w:overflowPunct/>
        <w:topLinePunct w:val="0"/>
        <w:autoSpaceDE/>
        <w:autoSpaceDN/>
        <w:bidi w:val="0"/>
        <w:adjustRightInd/>
        <w:snapToGrid/>
        <w:spacing w:line="46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请人民银行上海总部，各分行、营业管理部、省会（首府）城市中心支行、副省级城市中心支行会同所在省（区、市）银监局、证监局、保监局、统计局将本通知联合转发至辖内相关机构。</w:t>
      </w:r>
    </w:p>
    <w:p w14:paraId="53F6A9E3">
      <w:pPr>
        <w:keepNext w:val="0"/>
        <w:keepLines w:val="0"/>
        <w:pageBreakBefore w:val="0"/>
        <w:widowControl w:val="0"/>
        <w:kinsoku/>
        <w:wordWrap/>
        <w:overflowPunct/>
        <w:topLinePunct w:val="0"/>
        <w:autoSpaceDE/>
        <w:autoSpaceDN/>
        <w:bidi w:val="0"/>
        <w:adjustRightInd/>
        <w:snapToGrid/>
        <w:spacing w:line="460" w:lineRule="exact"/>
        <w:ind w:firstLine="483"/>
        <w:textAlignment w:val="auto"/>
        <w:rPr>
          <w:rStyle w:val="33"/>
          <w:rFonts w:hint="eastAsia" w:ascii="宋体" w:hAnsi="宋体" w:eastAsia="宋体" w:cs="宋体"/>
          <w:b w:val="0"/>
          <w:bCs w:val="0"/>
          <w:color w:val="auto"/>
          <w:sz w:val="24"/>
          <w:szCs w:val="24"/>
          <w:highlight w:val="none"/>
        </w:rPr>
      </w:pPr>
    </w:p>
    <w:p w14:paraId="5AE5F476">
      <w:pPr>
        <w:keepNext w:val="0"/>
        <w:keepLines w:val="0"/>
        <w:pageBreakBefore w:val="0"/>
        <w:widowControl w:val="0"/>
        <w:kinsoku/>
        <w:wordWrap/>
        <w:overflowPunct/>
        <w:topLinePunct w:val="0"/>
        <w:autoSpaceDE/>
        <w:autoSpaceDN/>
        <w:bidi w:val="0"/>
        <w:adjustRightInd/>
        <w:snapToGrid/>
        <w:spacing w:line="46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附件：金融业企业划型标准规定</w:t>
      </w:r>
    </w:p>
    <w:p w14:paraId="575D4BF4">
      <w:pPr>
        <w:keepNext w:val="0"/>
        <w:keepLines w:val="0"/>
        <w:pageBreakBefore w:val="0"/>
        <w:widowControl w:val="0"/>
        <w:kinsoku/>
        <w:wordWrap/>
        <w:overflowPunct/>
        <w:topLinePunct w:val="0"/>
        <w:autoSpaceDE/>
        <w:autoSpaceDN/>
        <w:bidi w:val="0"/>
        <w:adjustRightInd/>
        <w:snapToGrid/>
        <w:spacing w:line="460" w:lineRule="exact"/>
        <w:textAlignment w:val="auto"/>
        <w:rPr>
          <w:rStyle w:val="33"/>
          <w:rFonts w:hint="eastAsia" w:ascii="宋体" w:hAnsi="宋体" w:eastAsia="宋体" w:cs="宋体"/>
          <w:b w:val="0"/>
          <w:bCs w:val="0"/>
          <w:color w:val="auto"/>
          <w:sz w:val="24"/>
          <w:szCs w:val="24"/>
          <w:highlight w:val="none"/>
        </w:rPr>
      </w:pPr>
      <w:r>
        <w:rPr>
          <w:rFonts w:hint="eastAsia" w:cs="宋体"/>
          <w:color w:val="auto"/>
          <w:spacing w:val="6"/>
          <w:sz w:val="24"/>
          <w:szCs w:val="24"/>
          <w:highlight w:val="none"/>
        </w:rPr>
        <w:t>                                      </w:t>
      </w:r>
      <w:r>
        <w:rPr>
          <w:rStyle w:val="33"/>
          <w:rFonts w:hint="eastAsia" w:ascii="宋体" w:hAnsi="宋体" w:eastAsia="宋体" w:cs="宋体"/>
          <w:b w:val="0"/>
          <w:bCs w:val="0"/>
          <w:color w:val="auto"/>
          <w:sz w:val="24"/>
          <w:szCs w:val="24"/>
          <w:highlight w:val="none"/>
        </w:rPr>
        <w:t>       </w:t>
      </w:r>
      <w:r>
        <w:rPr>
          <w:rStyle w:val="33"/>
          <w:rFonts w:hint="eastAsia" w:cs="宋体"/>
          <w:b w:val="0"/>
          <w:bCs w:val="0"/>
          <w:color w:val="auto"/>
          <w:sz w:val="24"/>
          <w:szCs w:val="24"/>
          <w:highlight w:val="none"/>
          <w:lang w:val="en-US" w:eastAsia="zh-CN"/>
        </w:rPr>
        <w:t xml:space="preserve">                            </w:t>
      </w:r>
      <w:r>
        <w:rPr>
          <w:rStyle w:val="33"/>
          <w:rFonts w:hint="eastAsia" w:ascii="宋体" w:hAnsi="宋体" w:eastAsia="宋体" w:cs="宋体"/>
          <w:b w:val="0"/>
          <w:bCs w:val="0"/>
          <w:color w:val="auto"/>
          <w:sz w:val="24"/>
          <w:szCs w:val="24"/>
          <w:highlight w:val="none"/>
        </w:rPr>
        <w:t>中国人民银行</w:t>
      </w:r>
    </w:p>
    <w:p w14:paraId="0E162F05">
      <w:pPr>
        <w:keepNext w:val="0"/>
        <w:keepLines w:val="0"/>
        <w:pageBreakBefore w:val="0"/>
        <w:widowControl w:val="0"/>
        <w:kinsoku/>
        <w:wordWrap/>
        <w:overflowPunct/>
        <w:topLinePunct w:val="0"/>
        <w:autoSpaceDE/>
        <w:autoSpaceDN/>
        <w:bidi w:val="0"/>
        <w:adjustRightInd/>
        <w:snapToGrid/>
        <w:spacing w:line="460" w:lineRule="exact"/>
        <w:ind w:firstLine="2400" w:firstLineChars="1000"/>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中国银行业监督管理委员会</w:t>
      </w:r>
    </w:p>
    <w:p w14:paraId="644A820C">
      <w:pPr>
        <w:keepNext w:val="0"/>
        <w:keepLines w:val="0"/>
        <w:pageBreakBefore w:val="0"/>
        <w:widowControl w:val="0"/>
        <w:kinsoku/>
        <w:wordWrap/>
        <w:overflowPunct/>
        <w:topLinePunct w:val="0"/>
        <w:autoSpaceDE/>
        <w:autoSpaceDN/>
        <w:bidi w:val="0"/>
        <w:adjustRightInd/>
        <w:snapToGrid/>
        <w:spacing w:line="460" w:lineRule="exact"/>
        <w:ind w:firstLine="2400" w:firstLineChars="1000"/>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中国证券监督管理委员会</w:t>
      </w:r>
    </w:p>
    <w:p w14:paraId="13427FED">
      <w:pPr>
        <w:keepNext w:val="0"/>
        <w:keepLines w:val="0"/>
        <w:pageBreakBefore w:val="0"/>
        <w:widowControl w:val="0"/>
        <w:kinsoku/>
        <w:wordWrap/>
        <w:overflowPunct/>
        <w:topLinePunct w:val="0"/>
        <w:autoSpaceDE/>
        <w:autoSpaceDN/>
        <w:bidi w:val="0"/>
        <w:adjustRightInd/>
        <w:snapToGrid/>
        <w:spacing w:line="460" w:lineRule="exact"/>
        <w:ind w:firstLine="2400" w:firstLineChars="1000"/>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中国保险监督管理委员会</w:t>
      </w:r>
    </w:p>
    <w:p w14:paraId="189E390E">
      <w:pPr>
        <w:keepNext w:val="0"/>
        <w:keepLines w:val="0"/>
        <w:pageBreakBefore w:val="0"/>
        <w:widowControl w:val="0"/>
        <w:kinsoku/>
        <w:wordWrap/>
        <w:overflowPunct/>
        <w:topLinePunct w:val="0"/>
        <w:autoSpaceDE/>
        <w:autoSpaceDN/>
        <w:bidi w:val="0"/>
        <w:adjustRightInd/>
        <w:snapToGrid/>
        <w:spacing w:line="460" w:lineRule="exact"/>
        <w:ind w:firstLine="2160" w:firstLineChars="900"/>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中华人民共和国国家统计局</w:t>
      </w:r>
    </w:p>
    <w:p w14:paraId="35EB1163">
      <w:pPr>
        <w:keepNext w:val="0"/>
        <w:keepLines w:val="0"/>
        <w:pageBreakBefore w:val="0"/>
        <w:widowControl w:val="0"/>
        <w:kinsoku/>
        <w:wordWrap/>
        <w:overflowPunct/>
        <w:topLinePunct w:val="0"/>
        <w:autoSpaceDE/>
        <w:autoSpaceDN/>
        <w:bidi w:val="0"/>
        <w:adjustRightInd/>
        <w:snapToGrid/>
        <w:spacing w:line="46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w:t>
      </w:r>
      <w:r>
        <w:rPr>
          <w:rStyle w:val="33"/>
          <w:rFonts w:hint="eastAsia" w:cs="宋体"/>
          <w:b w:val="0"/>
          <w:bCs w:val="0"/>
          <w:color w:val="auto"/>
          <w:sz w:val="24"/>
          <w:szCs w:val="24"/>
          <w:highlight w:val="none"/>
          <w:lang w:val="en-US" w:eastAsia="zh-CN"/>
        </w:rPr>
        <w:t xml:space="preserve">     </w:t>
      </w:r>
      <w:r>
        <w:rPr>
          <w:rStyle w:val="33"/>
          <w:rFonts w:hint="eastAsia" w:ascii="宋体" w:hAnsi="宋体" w:eastAsia="宋体" w:cs="宋体"/>
          <w:b w:val="0"/>
          <w:bCs w:val="0"/>
          <w:color w:val="auto"/>
          <w:sz w:val="24"/>
          <w:szCs w:val="24"/>
          <w:highlight w:val="none"/>
        </w:rPr>
        <w:t> 2015年9月28日</w:t>
      </w:r>
    </w:p>
    <w:p w14:paraId="2D875BF0">
      <w:pPr>
        <w:rPr>
          <w:rFonts w:hint="eastAsia" w:cs="宋体"/>
          <w:color w:val="auto"/>
          <w:spacing w:val="6"/>
          <w:sz w:val="21"/>
          <w:szCs w:val="21"/>
          <w:highlight w:val="none"/>
        </w:rPr>
      </w:pPr>
    </w:p>
    <w:p w14:paraId="3D3E2F07">
      <w:pPr>
        <w:rPr>
          <w:rFonts w:hint="eastAsia" w:cs="宋体"/>
          <w:color w:val="auto"/>
          <w:spacing w:val="6"/>
          <w:sz w:val="21"/>
          <w:szCs w:val="21"/>
          <w:highlight w:val="none"/>
          <w:lang w:val="en-US" w:eastAsia="zh-CN"/>
        </w:rPr>
      </w:pPr>
    </w:p>
    <w:p w14:paraId="7D55D2C4">
      <w:pPr>
        <w:rPr>
          <w:rFonts w:hint="eastAsia" w:cs="宋体"/>
          <w:color w:val="auto"/>
          <w:spacing w:val="6"/>
          <w:sz w:val="21"/>
          <w:szCs w:val="21"/>
          <w:highlight w:val="none"/>
          <w:lang w:val="en-US" w:eastAsia="zh-CN"/>
        </w:rPr>
      </w:pPr>
    </w:p>
    <w:p w14:paraId="535B7B3C">
      <w:pPr>
        <w:rPr>
          <w:rFonts w:hint="eastAsia" w:cs="宋体"/>
          <w:color w:val="auto"/>
          <w:spacing w:val="6"/>
          <w:sz w:val="21"/>
          <w:szCs w:val="21"/>
          <w:highlight w:val="none"/>
          <w:lang w:val="en-US" w:eastAsia="zh-CN"/>
        </w:rPr>
      </w:pPr>
    </w:p>
    <w:p w14:paraId="0003DA46">
      <w:pPr>
        <w:rPr>
          <w:rFonts w:hint="eastAsia" w:cs="宋体"/>
          <w:color w:val="auto"/>
          <w:spacing w:val="6"/>
          <w:sz w:val="21"/>
          <w:szCs w:val="21"/>
          <w:highlight w:val="none"/>
          <w:lang w:val="en-US" w:eastAsia="zh-CN"/>
        </w:rPr>
      </w:pPr>
    </w:p>
    <w:p w14:paraId="2EB5298D">
      <w:pPr>
        <w:rPr>
          <w:rFonts w:hint="eastAsia" w:cs="宋体"/>
          <w:color w:val="auto"/>
          <w:spacing w:val="6"/>
          <w:sz w:val="21"/>
          <w:szCs w:val="21"/>
          <w:highlight w:val="none"/>
          <w:lang w:val="en-US" w:eastAsia="zh-CN"/>
        </w:rPr>
      </w:pPr>
    </w:p>
    <w:p w14:paraId="4E7B262E">
      <w:pPr>
        <w:rPr>
          <w:rFonts w:hint="eastAsia" w:cs="宋体"/>
          <w:color w:val="auto"/>
          <w:spacing w:val="6"/>
          <w:sz w:val="21"/>
          <w:szCs w:val="21"/>
          <w:highlight w:val="none"/>
        </w:rPr>
      </w:pPr>
      <w:r>
        <w:rPr>
          <w:rFonts w:hint="eastAsia" w:cs="宋体"/>
          <w:color w:val="auto"/>
          <w:spacing w:val="6"/>
          <w:sz w:val="21"/>
          <w:szCs w:val="21"/>
          <w:highlight w:val="none"/>
          <w:lang w:val="en-US" w:eastAsia="zh-CN"/>
        </w:rPr>
        <w:t>附件</w:t>
      </w:r>
      <w:r>
        <w:rPr>
          <w:rFonts w:hint="eastAsia" w:cs="宋体"/>
          <w:color w:val="auto"/>
          <w:spacing w:val="6"/>
          <w:sz w:val="21"/>
          <w:szCs w:val="21"/>
          <w:highlight w:val="none"/>
        </w:rPr>
        <w:t>              </w:t>
      </w:r>
    </w:p>
    <w:p w14:paraId="23A68F67">
      <w:pPr>
        <w:pStyle w:val="17"/>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auto"/>
          <w:sz w:val="28"/>
          <w:szCs w:val="28"/>
          <w:highlight w:val="none"/>
        </w:rPr>
      </w:pPr>
      <w:r>
        <w:rPr>
          <w:rFonts w:hint="eastAsia" w:ascii="宋体" w:hAnsi="宋体" w:eastAsia="宋体" w:cs="宋体"/>
          <w:b/>
          <w:bCs w:val="0"/>
          <w:color w:val="auto"/>
          <w:sz w:val="28"/>
          <w:szCs w:val="28"/>
          <w:highlight w:val="none"/>
        </w:rPr>
        <w:t>金融业企业划型标准规定</w:t>
      </w:r>
    </w:p>
    <w:p w14:paraId="35BCA7B1">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一、根据《中华人民共和国中小企业促进法》、《国务院关于进一步促进中小企业发展的若干意见》（国发〔2009〕36号）和《国务院办公厅关于金融支持小微企业发展的实施意见》（国办发〔2013〕87号），制定本规定。</w:t>
      </w:r>
    </w:p>
    <w:p w14:paraId="465CF45A">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二、适用范围。本规定适用于从事《国民经济行业分类》（GB/T4754-2011）中J门类（金融业）活动的企业。</w:t>
      </w:r>
    </w:p>
    <w:p w14:paraId="777FDD5F">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三、行业分类。采用复合分类方法对金融业企业进行分类。首先，按《国民经济行业分类》将金融业企业分为货币金融服务、资本市场服务、保险业、其他金融业四大类。其次，将货币金融服务分为货币银行服务和非货币银行服务两类，将其他金融业分为金融信托与管理服务、控股公司服务和其他未包括的金融业三类。最后，按经济性质将货币银行服务类金融企业划为银行业存款类金融机构；将非货币银行服务类金融业企业分为银行业非存款类金融机构，贷款公司、小额贷款公司及典当行；将资本市场服务类金融业企业划为证券业金融机构；将保险业金融企业划为保险业金融机构；将其他金融业企业分为信托公司，金融控股公司和除贷款公司、小额贷款公司、典当行以外的其他金融机构。</w:t>
      </w:r>
    </w:p>
    <w:p w14:paraId="0292D970">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四、划型标准指标。采用一个完整会计年度中四个季度末法人并表口径的资产总额（信托公司为信托资产）平均值作为划型指标，该指标以监管部门数据为准。</w:t>
      </w:r>
    </w:p>
    <w:p w14:paraId="3BF83806">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五、指标标准值。依据指标标准值，将各类金融业企业划分为大、中、小、微四个规模类型，中型企业标准上限及以上的为大型企业。</w:t>
      </w:r>
    </w:p>
    <w:p w14:paraId="74257710">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（一）银行业存款类金融机构。资产总额40000亿元以下的为中小微型企业。其中，资产总额5000亿元及以上的为中型企业，资产总额50亿元及以上的为小型企业，资产总额50亿元以下的为微型企业。</w:t>
      </w:r>
    </w:p>
    <w:p w14:paraId="6C9C1B6A">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（二）银行业非存款类金融机构。资产总额1000亿元以下的为中小微企业。其中，资产总额200亿元及以上的为中型企业，资产总额50亿元及以上的为小型企业，资产总额50亿元以下的为微型企业。</w:t>
      </w:r>
    </w:p>
    <w:p w14:paraId="192CC4C7">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（三）贷款公司、小额贷款公司及典当行。资产总额1000亿元以下的为中小微型企业。其中，资产总额200亿元及以上的为中型企业，资产总额50亿元及以上的为小型企业，资产总额50亿元以下的为微型企业。</w:t>
      </w:r>
    </w:p>
    <w:p w14:paraId="2B49DF90">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（四）证券业金融机构。资产总额1000亿元以下的为中小微型企业。其中，资产总额100亿元及以上的为中型企业，资产总额10亿元及以上的为小型企业，资产总额10亿元以下的为微型企业。</w:t>
      </w:r>
    </w:p>
    <w:p w14:paraId="0D837DC3">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（五）保险业金融机构。资产总额5000亿元以下的为中小微型企业。其中，资产总额400亿元及以上的为中型企业，资产总额20亿元及以上的为小型企业，资产总额20亿元以下的为微型企业。</w:t>
      </w:r>
    </w:p>
    <w:p w14:paraId="266F6F91">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（六）信托公司。信托资产1000亿元以下的为中小微型企业。其中，信托资产400亿元及以上的为中型企业，信托资产20亿元及以上的为小型企业，信托资产20亿元以下的为微型企业。</w:t>
      </w:r>
    </w:p>
    <w:p w14:paraId="2D1B4E7F">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（七）金融控股公司。资产总额40000亿元以下的为中小微企业。其中，资产总额5000亿元及以上的为中型企业，资产总额50亿元及以上的为小型企业，资产总额50亿元以下的为微型企业。、</w:t>
      </w:r>
    </w:p>
    <w:p w14:paraId="0E5BB8B0">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lang w:eastAsia="zh-CN"/>
        </w:rPr>
      </w:pPr>
      <w:r>
        <w:rPr>
          <w:rStyle w:val="33"/>
          <w:rFonts w:hint="eastAsia" w:ascii="宋体" w:hAnsi="宋体" w:eastAsia="宋体" w:cs="宋体"/>
          <w:b w:val="0"/>
          <w:bCs w:val="0"/>
          <w:color w:val="auto"/>
          <w:sz w:val="24"/>
          <w:szCs w:val="24"/>
          <w:highlight w:val="none"/>
        </w:rPr>
        <w:t>(八)除贷款公司、小额贷款公司、典当行以外的其他金融机构。资产总额1000亿元以下的为中小微型企业。其中，资产总额200亿元及以上的为中型企业，资产总额50亿元及以上的为小型企业，资产总额50亿元以下的为微型企业</w:t>
      </w:r>
      <w:r>
        <w:rPr>
          <w:rStyle w:val="33"/>
          <w:rFonts w:hint="eastAsia" w:cs="宋体"/>
          <w:b w:val="0"/>
          <w:bCs w:val="0"/>
          <w:color w:val="auto"/>
          <w:sz w:val="24"/>
          <w:szCs w:val="24"/>
          <w:highlight w:val="none"/>
          <w:lang w:eastAsia="zh-CN"/>
        </w:rPr>
        <w:t>。</w:t>
      </w:r>
    </w:p>
    <w:p w14:paraId="32994D2F">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六、组织实施。由人民银行会同银监会、证监会、保监会和统计局联合组成金融业企业划型标准工作组，负责金融业企业划型标准的实施、后期评估和调整工作，按年组织金融业企业规模认定，并在人民银行建立的《金融业机构信息管理系统》中增加相应的字段模块。经过认定的金融业企业在系统中进行规模登记</w:t>
      </w:r>
      <w:r>
        <w:rPr>
          <w:rStyle w:val="33"/>
          <w:rFonts w:hint="eastAsia" w:cs="宋体"/>
          <w:b w:val="0"/>
          <w:bCs w:val="0"/>
          <w:color w:val="auto"/>
          <w:sz w:val="24"/>
          <w:szCs w:val="24"/>
          <w:highlight w:val="none"/>
          <w:lang w:eastAsia="zh-CN"/>
        </w:rPr>
        <w:t>，</w:t>
      </w:r>
      <w:r>
        <w:rPr>
          <w:rStyle w:val="33"/>
          <w:rFonts w:hint="eastAsia" w:ascii="宋体" w:hAnsi="宋体" w:eastAsia="宋体" w:cs="宋体"/>
          <w:b w:val="0"/>
          <w:bCs w:val="0"/>
          <w:color w:val="auto"/>
          <w:sz w:val="24"/>
          <w:szCs w:val="24"/>
          <w:highlight w:val="none"/>
        </w:rPr>
        <w:t>方便政府部门和社会各界查询使用。</w:t>
      </w:r>
    </w:p>
    <w:p w14:paraId="034C4839">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七、标准值的评估和调整。金融业企业划型标准工作组每五年对划型标准值受经济发展与通货膨胀等因素的影响程度进行评估和调整。</w:t>
      </w:r>
    </w:p>
    <w:p w14:paraId="01F56FF4">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lang w:eastAsia="zh-CN"/>
        </w:rPr>
      </w:pPr>
      <w:r>
        <w:rPr>
          <w:rStyle w:val="33"/>
          <w:rFonts w:hint="eastAsia" w:ascii="宋体" w:hAnsi="宋体" w:eastAsia="宋体" w:cs="宋体"/>
          <w:b w:val="0"/>
          <w:bCs w:val="0"/>
          <w:color w:val="auto"/>
          <w:sz w:val="24"/>
          <w:szCs w:val="24"/>
          <w:highlight w:val="none"/>
        </w:rPr>
        <w:t>八、本规定的中型金融业企业标准上限即为大型金融业企业下限。国务院有关部门据此进行相关数据的统计分析，不得制定与本规定不一致的金融业企业划型标准</w:t>
      </w:r>
      <w:r>
        <w:rPr>
          <w:rStyle w:val="33"/>
          <w:rFonts w:hint="eastAsia" w:cs="宋体"/>
          <w:b w:val="0"/>
          <w:bCs w:val="0"/>
          <w:color w:val="auto"/>
          <w:sz w:val="24"/>
          <w:szCs w:val="24"/>
          <w:highlight w:val="none"/>
          <w:lang w:eastAsia="zh-CN"/>
        </w:rPr>
        <w:t>。</w:t>
      </w:r>
    </w:p>
    <w:p w14:paraId="62B89F50">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lang w:eastAsia="zh-CN"/>
        </w:rPr>
      </w:pPr>
      <w:r>
        <w:rPr>
          <w:rStyle w:val="33"/>
          <w:rFonts w:hint="eastAsia" w:ascii="宋体" w:hAnsi="宋体" w:eastAsia="宋体" w:cs="宋体"/>
          <w:b w:val="0"/>
          <w:bCs w:val="0"/>
          <w:color w:val="auto"/>
          <w:sz w:val="24"/>
          <w:szCs w:val="24"/>
          <w:highlight w:val="none"/>
        </w:rPr>
        <w:t>九、融资担保公司参照本规定中“除贷款公司、小额贷款公司、典当行以外的其他金融机构”标准划型</w:t>
      </w:r>
      <w:r>
        <w:rPr>
          <w:rStyle w:val="33"/>
          <w:rFonts w:hint="eastAsia" w:cs="宋体"/>
          <w:b w:val="0"/>
          <w:bCs w:val="0"/>
          <w:color w:val="auto"/>
          <w:sz w:val="24"/>
          <w:szCs w:val="24"/>
          <w:highlight w:val="none"/>
          <w:lang w:eastAsia="zh-CN"/>
        </w:rPr>
        <w:t>。</w:t>
      </w:r>
    </w:p>
    <w:p w14:paraId="5562FAB9">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十、本规定由人民银行会同银监会、证监会、保监会和统计局负责解释。</w:t>
      </w:r>
    </w:p>
    <w:p w14:paraId="0CD76B78">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lang w:eastAsia="zh-CN"/>
        </w:rPr>
      </w:pPr>
      <w:r>
        <w:rPr>
          <w:rStyle w:val="33"/>
          <w:rFonts w:hint="eastAsia" w:ascii="宋体" w:hAnsi="宋体" w:eastAsia="宋体" w:cs="宋体"/>
          <w:b w:val="0"/>
          <w:bCs w:val="0"/>
          <w:color w:val="auto"/>
          <w:sz w:val="24"/>
          <w:szCs w:val="24"/>
          <w:highlight w:val="none"/>
        </w:rPr>
        <w:t>十一、本规定自发布之日起实施</w:t>
      </w:r>
      <w:r>
        <w:rPr>
          <w:rStyle w:val="33"/>
          <w:rFonts w:hint="eastAsia" w:cs="宋体"/>
          <w:b w:val="0"/>
          <w:bCs w:val="0"/>
          <w:color w:val="auto"/>
          <w:sz w:val="24"/>
          <w:szCs w:val="24"/>
          <w:highlight w:val="none"/>
          <w:lang w:eastAsia="zh-CN"/>
        </w:rPr>
        <w:t>。</w:t>
      </w:r>
    </w:p>
    <w:p w14:paraId="5DAE7F9E">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p>
    <w:p w14:paraId="13D9865C">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附:金融业企业划型标准</w:t>
      </w:r>
    </w:p>
    <w:p w14:paraId="4CB94869">
      <w:pPr>
        <w:rPr>
          <w:rFonts w:cs="宋体"/>
          <w:color w:val="auto"/>
          <w:spacing w:val="6"/>
          <w:sz w:val="21"/>
          <w:szCs w:val="21"/>
          <w:highlight w:val="none"/>
        </w:rPr>
      </w:pPr>
    </w:p>
    <w:p w14:paraId="018058A8">
      <w:pPr>
        <w:rPr>
          <w:rFonts w:hint="eastAsia" w:cs="宋体"/>
          <w:color w:val="auto"/>
          <w:spacing w:val="6"/>
          <w:sz w:val="24"/>
          <w:szCs w:val="24"/>
          <w:highlight w:val="none"/>
          <w:lang w:val="en-US" w:eastAsia="zh-CN"/>
        </w:rPr>
      </w:pPr>
    </w:p>
    <w:p w14:paraId="5023B69E">
      <w:pPr>
        <w:rPr>
          <w:rFonts w:hint="eastAsia" w:cs="宋体"/>
          <w:color w:val="auto"/>
          <w:spacing w:val="6"/>
          <w:sz w:val="24"/>
          <w:szCs w:val="24"/>
          <w:highlight w:val="none"/>
          <w:lang w:val="en-US" w:eastAsia="zh-CN"/>
        </w:rPr>
      </w:pPr>
    </w:p>
    <w:p w14:paraId="5F7D4B83">
      <w:pPr>
        <w:rPr>
          <w:rFonts w:hint="eastAsia" w:cs="宋体"/>
          <w:color w:val="auto"/>
          <w:spacing w:val="6"/>
          <w:sz w:val="24"/>
          <w:szCs w:val="24"/>
          <w:highlight w:val="none"/>
          <w:lang w:val="en-US" w:eastAsia="zh-CN"/>
        </w:rPr>
      </w:pPr>
    </w:p>
    <w:p w14:paraId="20B74F82">
      <w:pPr>
        <w:rPr>
          <w:rFonts w:hint="eastAsia" w:cs="宋体"/>
          <w:color w:val="auto"/>
          <w:spacing w:val="6"/>
          <w:sz w:val="24"/>
          <w:szCs w:val="24"/>
          <w:highlight w:val="none"/>
          <w:lang w:val="en-US" w:eastAsia="zh-CN"/>
        </w:rPr>
      </w:pPr>
    </w:p>
    <w:p w14:paraId="2C0B2223">
      <w:pPr>
        <w:rPr>
          <w:rFonts w:hint="eastAsia" w:cs="宋体"/>
          <w:color w:val="auto"/>
          <w:spacing w:val="6"/>
          <w:sz w:val="24"/>
          <w:szCs w:val="24"/>
          <w:highlight w:val="none"/>
          <w:lang w:val="en-US" w:eastAsia="zh-CN"/>
        </w:rPr>
      </w:pPr>
    </w:p>
    <w:p w14:paraId="31F0A2C8">
      <w:pPr>
        <w:rPr>
          <w:rFonts w:hint="eastAsia" w:cs="宋体"/>
          <w:color w:val="auto"/>
          <w:spacing w:val="6"/>
          <w:sz w:val="24"/>
          <w:szCs w:val="24"/>
          <w:highlight w:val="none"/>
          <w:lang w:val="en-US" w:eastAsia="zh-CN"/>
        </w:rPr>
      </w:pPr>
    </w:p>
    <w:p w14:paraId="70123D58">
      <w:pPr>
        <w:rPr>
          <w:rFonts w:hint="eastAsia" w:cs="宋体"/>
          <w:color w:val="auto"/>
          <w:spacing w:val="6"/>
          <w:sz w:val="24"/>
          <w:szCs w:val="24"/>
          <w:highlight w:val="none"/>
          <w:lang w:val="en-US" w:eastAsia="zh-CN"/>
        </w:rPr>
      </w:pPr>
      <w:r>
        <w:rPr>
          <w:rFonts w:hint="eastAsia" w:cs="宋体"/>
          <w:color w:val="auto"/>
          <w:spacing w:val="6"/>
          <w:sz w:val="24"/>
          <w:szCs w:val="24"/>
          <w:highlight w:val="none"/>
          <w:lang w:val="en-US" w:eastAsia="zh-CN"/>
        </w:rPr>
        <w:t>附</w:t>
      </w:r>
    </w:p>
    <w:p w14:paraId="7EB97DB1">
      <w:pPr>
        <w:pStyle w:val="17"/>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auto"/>
          <w:sz w:val="28"/>
          <w:szCs w:val="28"/>
          <w:highlight w:val="none"/>
        </w:rPr>
      </w:pPr>
      <w:r>
        <w:rPr>
          <w:rFonts w:hint="eastAsia" w:ascii="宋体" w:hAnsi="宋体" w:eastAsia="宋体" w:cs="宋体"/>
          <w:b/>
          <w:bCs w:val="0"/>
          <w:color w:val="auto"/>
          <w:sz w:val="28"/>
          <w:szCs w:val="28"/>
          <w:highlight w:val="none"/>
        </w:rPr>
        <w:t>金融业企业划型标准</w:t>
      </w:r>
    </w:p>
    <w:tbl>
      <w:tblPr>
        <w:tblStyle w:val="31"/>
        <w:tblW w:w="8498" w:type="dxa"/>
        <w:tblInd w:w="1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9"/>
        <w:gridCol w:w="1168"/>
        <w:gridCol w:w="1817"/>
        <w:gridCol w:w="1143"/>
        <w:gridCol w:w="3251"/>
      </w:tblGrid>
      <w:tr w14:paraId="26CBC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2287" w:type="dxa"/>
            <w:gridSpan w:val="2"/>
            <w:vAlign w:val="center"/>
          </w:tcPr>
          <w:p w14:paraId="25F9841A">
            <w:pPr>
              <w:spacing w:line="240" w:lineRule="auto"/>
              <w:jc w:val="center"/>
              <w:rPr>
                <w:rFonts w:hint="eastAsia" w:ascii="宋体" w:hAnsi="宋体" w:eastAsia="宋体" w:cs="宋体"/>
                <w:b/>
                <w:color w:val="auto"/>
                <w:spacing w:val="6"/>
                <w:sz w:val="21"/>
                <w:szCs w:val="21"/>
                <w:highlight w:val="none"/>
                <w:vertAlign w:val="baseline"/>
                <w:lang w:val="en-US" w:eastAsia="zh-CN"/>
              </w:rPr>
            </w:pPr>
            <w:r>
              <w:rPr>
                <w:rFonts w:hint="eastAsia" w:ascii="宋体" w:hAnsi="宋体" w:eastAsia="宋体" w:cs="宋体"/>
                <w:b/>
                <w:color w:val="auto"/>
                <w:spacing w:val="6"/>
                <w:sz w:val="21"/>
                <w:szCs w:val="21"/>
                <w:highlight w:val="none"/>
                <w:vertAlign w:val="baseline"/>
                <w:lang w:val="en-US" w:eastAsia="zh-CN"/>
              </w:rPr>
              <w:t>行业</w:t>
            </w:r>
          </w:p>
        </w:tc>
        <w:tc>
          <w:tcPr>
            <w:tcW w:w="1817" w:type="dxa"/>
            <w:vAlign w:val="center"/>
          </w:tcPr>
          <w:p w14:paraId="3B4008BC">
            <w:pPr>
              <w:spacing w:line="240" w:lineRule="auto"/>
              <w:jc w:val="center"/>
              <w:rPr>
                <w:rFonts w:hint="eastAsia" w:ascii="宋体" w:hAnsi="宋体" w:eastAsia="宋体" w:cs="宋体"/>
                <w:b/>
                <w:color w:val="auto"/>
                <w:spacing w:val="6"/>
                <w:sz w:val="21"/>
                <w:szCs w:val="21"/>
                <w:highlight w:val="none"/>
                <w:vertAlign w:val="baseline"/>
                <w:lang w:val="en-US" w:eastAsia="zh-CN"/>
              </w:rPr>
            </w:pPr>
            <w:r>
              <w:rPr>
                <w:rFonts w:hint="eastAsia" w:ascii="宋体" w:hAnsi="宋体" w:eastAsia="宋体" w:cs="宋体"/>
                <w:b/>
                <w:color w:val="auto"/>
                <w:spacing w:val="6"/>
                <w:sz w:val="21"/>
                <w:szCs w:val="21"/>
                <w:highlight w:val="none"/>
                <w:vertAlign w:val="baseline"/>
                <w:lang w:val="en-US" w:eastAsia="zh-CN"/>
              </w:rPr>
              <w:t>类别</w:t>
            </w:r>
          </w:p>
        </w:tc>
        <w:tc>
          <w:tcPr>
            <w:tcW w:w="1143" w:type="dxa"/>
            <w:vAlign w:val="center"/>
          </w:tcPr>
          <w:p w14:paraId="199F0882">
            <w:pPr>
              <w:spacing w:line="240" w:lineRule="auto"/>
              <w:jc w:val="center"/>
              <w:rPr>
                <w:rFonts w:hint="eastAsia" w:ascii="宋体" w:hAnsi="宋体" w:eastAsia="宋体" w:cs="宋体"/>
                <w:b/>
                <w:color w:val="auto"/>
                <w:spacing w:val="6"/>
                <w:sz w:val="21"/>
                <w:szCs w:val="21"/>
                <w:highlight w:val="none"/>
                <w:vertAlign w:val="baseline"/>
                <w:lang w:val="en-US" w:eastAsia="zh-CN"/>
              </w:rPr>
            </w:pPr>
            <w:r>
              <w:rPr>
                <w:rFonts w:hint="eastAsia" w:ascii="宋体" w:hAnsi="宋体" w:eastAsia="宋体" w:cs="宋体"/>
                <w:b/>
                <w:color w:val="auto"/>
                <w:spacing w:val="6"/>
                <w:sz w:val="21"/>
                <w:szCs w:val="21"/>
                <w:highlight w:val="none"/>
                <w:vertAlign w:val="baseline"/>
                <w:lang w:val="en-US" w:eastAsia="zh-CN"/>
              </w:rPr>
              <w:t>类型</w:t>
            </w:r>
          </w:p>
        </w:tc>
        <w:tc>
          <w:tcPr>
            <w:tcW w:w="3251" w:type="dxa"/>
            <w:vAlign w:val="center"/>
          </w:tcPr>
          <w:p w14:paraId="715E5C3B">
            <w:pPr>
              <w:spacing w:line="240" w:lineRule="auto"/>
              <w:jc w:val="center"/>
              <w:rPr>
                <w:rFonts w:hint="eastAsia" w:ascii="宋体" w:hAnsi="宋体" w:eastAsia="宋体" w:cs="宋体"/>
                <w:b/>
                <w:color w:val="auto"/>
                <w:spacing w:val="6"/>
                <w:sz w:val="21"/>
                <w:szCs w:val="21"/>
                <w:highlight w:val="none"/>
                <w:vertAlign w:val="baseline"/>
                <w:lang w:val="en-US" w:eastAsia="zh-CN"/>
              </w:rPr>
            </w:pPr>
            <w:r>
              <w:rPr>
                <w:rFonts w:hint="eastAsia" w:ascii="宋体" w:hAnsi="宋体" w:eastAsia="宋体" w:cs="宋体"/>
                <w:b/>
                <w:color w:val="auto"/>
                <w:spacing w:val="6"/>
                <w:sz w:val="21"/>
                <w:szCs w:val="21"/>
                <w:highlight w:val="none"/>
                <w:vertAlign w:val="baseline"/>
                <w:lang w:val="en-US" w:eastAsia="zh-CN"/>
              </w:rPr>
              <w:t>资产总额</w:t>
            </w:r>
          </w:p>
        </w:tc>
      </w:tr>
      <w:tr w14:paraId="471A8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restart"/>
            <w:vAlign w:val="center"/>
          </w:tcPr>
          <w:p w14:paraId="1233504D">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货币金融服务</w:t>
            </w:r>
          </w:p>
        </w:tc>
        <w:tc>
          <w:tcPr>
            <w:tcW w:w="1168" w:type="dxa"/>
            <w:vMerge w:val="restart"/>
            <w:vAlign w:val="center"/>
          </w:tcPr>
          <w:p w14:paraId="4350DE89">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货币银行服务</w:t>
            </w:r>
          </w:p>
        </w:tc>
        <w:tc>
          <w:tcPr>
            <w:tcW w:w="1817" w:type="dxa"/>
            <w:vMerge w:val="restart"/>
            <w:vAlign w:val="center"/>
          </w:tcPr>
          <w:p w14:paraId="6D5CDA82">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银行业存款类金融机构</w:t>
            </w:r>
          </w:p>
        </w:tc>
        <w:tc>
          <w:tcPr>
            <w:tcW w:w="1143" w:type="dxa"/>
            <w:vAlign w:val="center"/>
          </w:tcPr>
          <w:p w14:paraId="18DA8CED">
            <w:pPr>
              <w:spacing w:line="240" w:lineRule="auto"/>
              <w:jc w:val="center"/>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中型</w:t>
            </w:r>
          </w:p>
        </w:tc>
        <w:tc>
          <w:tcPr>
            <w:tcW w:w="3251" w:type="dxa"/>
            <w:vAlign w:val="center"/>
          </w:tcPr>
          <w:p w14:paraId="6553EDDF">
            <w:pPr>
              <w:spacing w:line="240" w:lineRule="auto"/>
              <w:jc w:val="center"/>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5000亿元（含）至40000亿元</w:t>
            </w:r>
          </w:p>
        </w:tc>
      </w:tr>
      <w:tr w14:paraId="7DDCE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25D803A9">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45CFC2BC">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392AD96A">
            <w:pPr>
              <w:spacing w:line="240" w:lineRule="auto"/>
              <w:jc w:val="both"/>
              <w:rPr>
                <w:rFonts w:hint="eastAsia" w:ascii="宋体" w:hAnsi="宋体" w:eastAsia="宋体" w:cs="宋体"/>
                <w:color w:val="auto"/>
                <w:spacing w:val="6"/>
                <w:sz w:val="21"/>
                <w:szCs w:val="21"/>
                <w:highlight w:val="none"/>
                <w:vertAlign w:val="baseline"/>
              </w:rPr>
            </w:pPr>
          </w:p>
        </w:tc>
        <w:tc>
          <w:tcPr>
            <w:tcW w:w="1143" w:type="dxa"/>
            <w:vAlign w:val="center"/>
          </w:tcPr>
          <w:p w14:paraId="146F4352">
            <w:pPr>
              <w:spacing w:line="240" w:lineRule="auto"/>
              <w:jc w:val="center"/>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0C955763">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50亿元（含）至5000亿元</w:t>
            </w:r>
          </w:p>
        </w:tc>
      </w:tr>
      <w:tr w14:paraId="73826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244DEC46">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147E3A4E">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543C1290">
            <w:pPr>
              <w:spacing w:line="240" w:lineRule="auto"/>
              <w:jc w:val="both"/>
              <w:rPr>
                <w:rFonts w:hint="eastAsia" w:ascii="宋体" w:hAnsi="宋体" w:eastAsia="宋体" w:cs="宋体"/>
                <w:color w:val="auto"/>
                <w:spacing w:val="6"/>
                <w:sz w:val="21"/>
                <w:szCs w:val="21"/>
                <w:highlight w:val="none"/>
                <w:vertAlign w:val="baseline"/>
              </w:rPr>
            </w:pPr>
          </w:p>
        </w:tc>
        <w:tc>
          <w:tcPr>
            <w:tcW w:w="1143" w:type="dxa"/>
            <w:vAlign w:val="center"/>
          </w:tcPr>
          <w:p w14:paraId="0A8569B9">
            <w:pPr>
              <w:spacing w:line="240" w:lineRule="auto"/>
              <w:jc w:val="center"/>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微型</w:t>
            </w:r>
          </w:p>
        </w:tc>
        <w:tc>
          <w:tcPr>
            <w:tcW w:w="3251" w:type="dxa"/>
            <w:vAlign w:val="center"/>
          </w:tcPr>
          <w:p w14:paraId="29C9E0F4">
            <w:pPr>
              <w:spacing w:line="240" w:lineRule="auto"/>
              <w:jc w:val="center"/>
              <w:rPr>
                <w:rFonts w:hint="eastAsia" w:ascii="宋体" w:hAnsi="宋体" w:eastAsia="宋体" w:cs="宋体"/>
                <w:color w:val="auto"/>
                <w:spacing w:val="6"/>
                <w:sz w:val="21"/>
                <w:szCs w:val="21"/>
                <w:highlight w:val="none"/>
                <w:vertAlign w:val="baseline"/>
                <w:lang w:val="en-US"/>
              </w:rPr>
            </w:pPr>
            <w:r>
              <w:rPr>
                <w:rFonts w:hint="eastAsia" w:ascii="宋体" w:hAnsi="宋体" w:eastAsia="宋体" w:cs="宋体"/>
                <w:color w:val="auto"/>
                <w:spacing w:val="6"/>
                <w:sz w:val="21"/>
                <w:szCs w:val="21"/>
                <w:highlight w:val="none"/>
                <w:vertAlign w:val="baseline"/>
                <w:lang w:val="en-US" w:eastAsia="zh-CN"/>
              </w:rPr>
              <w:t>50亿元以下</w:t>
            </w:r>
          </w:p>
        </w:tc>
      </w:tr>
      <w:tr w14:paraId="1C15D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22A12E1E">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restart"/>
            <w:vAlign w:val="center"/>
          </w:tcPr>
          <w:p w14:paraId="56574B6D">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非货币银行服务</w:t>
            </w:r>
          </w:p>
        </w:tc>
        <w:tc>
          <w:tcPr>
            <w:tcW w:w="1817" w:type="dxa"/>
            <w:vMerge w:val="restart"/>
            <w:vAlign w:val="center"/>
          </w:tcPr>
          <w:p w14:paraId="7DD2F497">
            <w:pPr>
              <w:spacing w:line="240" w:lineRule="auto"/>
              <w:jc w:val="both"/>
              <w:rPr>
                <w:rFonts w:hint="eastAsia" w:ascii="宋体" w:hAnsi="宋体" w:eastAsia="宋体" w:cs="宋体"/>
                <w:color w:val="auto"/>
                <w:spacing w:val="6"/>
                <w:sz w:val="21"/>
                <w:szCs w:val="21"/>
                <w:highlight w:val="none"/>
                <w:vertAlign w:val="baseline"/>
              </w:rPr>
            </w:pPr>
            <w:r>
              <w:rPr>
                <w:rFonts w:hint="eastAsia" w:ascii="宋体" w:hAnsi="宋体" w:eastAsia="宋体" w:cs="宋体"/>
                <w:color w:val="auto"/>
                <w:spacing w:val="6"/>
                <w:sz w:val="21"/>
                <w:szCs w:val="21"/>
                <w:highlight w:val="none"/>
                <w:vertAlign w:val="baseline"/>
                <w:lang w:val="en-US" w:eastAsia="zh-CN"/>
              </w:rPr>
              <w:t>银行业非存款类金融机构</w:t>
            </w:r>
          </w:p>
        </w:tc>
        <w:tc>
          <w:tcPr>
            <w:tcW w:w="1143" w:type="dxa"/>
            <w:shd w:val="clear" w:color="auto" w:fill="auto"/>
            <w:vAlign w:val="center"/>
          </w:tcPr>
          <w:p w14:paraId="46609FB8">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shd w:val="clear" w:color="auto" w:fill="auto"/>
            <w:vAlign w:val="center"/>
          </w:tcPr>
          <w:p w14:paraId="288F5BE5">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200亿元（含）至1000亿元</w:t>
            </w:r>
          </w:p>
        </w:tc>
      </w:tr>
      <w:tr w14:paraId="29DE0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40CFE49B">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1EF9025F">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6CC015F9">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0699B1D7">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56E78EC6">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50亿元（含）至200亿元</w:t>
            </w:r>
          </w:p>
        </w:tc>
      </w:tr>
      <w:tr w14:paraId="0CA59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6EE674B4">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217EDCC4">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7DEB5E22">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24E9D4A7">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vAlign w:val="center"/>
          </w:tcPr>
          <w:p w14:paraId="00D701CA">
            <w:pPr>
              <w:spacing w:line="240" w:lineRule="auto"/>
              <w:jc w:val="center"/>
              <w:rPr>
                <w:rFonts w:hint="eastAsia" w:ascii="宋体" w:hAnsi="宋体" w:eastAsia="宋体" w:cs="宋体"/>
                <w:color w:val="auto"/>
                <w:spacing w:val="6"/>
                <w:sz w:val="21"/>
                <w:szCs w:val="21"/>
                <w:highlight w:val="none"/>
                <w:vertAlign w:val="baseline"/>
              </w:rPr>
            </w:pPr>
            <w:r>
              <w:rPr>
                <w:rFonts w:hint="eastAsia" w:ascii="宋体" w:hAnsi="宋体" w:eastAsia="宋体" w:cs="宋体"/>
                <w:color w:val="auto"/>
                <w:spacing w:val="6"/>
                <w:sz w:val="21"/>
                <w:szCs w:val="21"/>
                <w:highlight w:val="none"/>
                <w:vertAlign w:val="baseline"/>
                <w:lang w:val="en-US" w:eastAsia="zh-CN"/>
              </w:rPr>
              <w:t>50亿元以下</w:t>
            </w:r>
          </w:p>
        </w:tc>
      </w:tr>
      <w:tr w14:paraId="4B534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6D041F7C">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295688AF">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restart"/>
            <w:vAlign w:val="center"/>
          </w:tcPr>
          <w:p w14:paraId="2420EBEF">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贷款公司、小额贷款公司及典当行</w:t>
            </w:r>
          </w:p>
        </w:tc>
        <w:tc>
          <w:tcPr>
            <w:tcW w:w="1143" w:type="dxa"/>
            <w:shd w:val="clear" w:color="auto" w:fill="auto"/>
            <w:vAlign w:val="center"/>
          </w:tcPr>
          <w:p w14:paraId="705DE846">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shd w:val="clear" w:color="auto" w:fill="auto"/>
            <w:vAlign w:val="center"/>
          </w:tcPr>
          <w:p w14:paraId="007BBC2E">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200亿元（含）至1000亿元</w:t>
            </w:r>
          </w:p>
        </w:tc>
      </w:tr>
      <w:tr w14:paraId="39E6E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1180FDC1">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078270CB">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0CBA7696">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2EA1A43D">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220FC05B">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50亿元（含）至200亿元</w:t>
            </w:r>
          </w:p>
        </w:tc>
      </w:tr>
      <w:tr w14:paraId="7A6B2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1C9F23C9">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693061F1">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7241FB1E">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6076913A">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shd w:val="clear" w:color="auto" w:fill="auto"/>
            <w:vAlign w:val="center"/>
          </w:tcPr>
          <w:p w14:paraId="03E9BD7B">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50亿元以下</w:t>
            </w:r>
          </w:p>
        </w:tc>
      </w:tr>
      <w:tr w14:paraId="10E75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restart"/>
            <w:vAlign w:val="center"/>
          </w:tcPr>
          <w:p w14:paraId="3A884F55">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资本市场服务</w:t>
            </w:r>
          </w:p>
        </w:tc>
        <w:tc>
          <w:tcPr>
            <w:tcW w:w="1817" w:type="dxa"/>
            <w:vMerge w:val="restart"/>
            <w:vAlign w:val="center"/>
          </w:tcPr>
          <w:p w14:paraId="6E78CF81">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证券业金融机构</w:t>
            </w:r>
          </w:p>
        </w:tc>
        <w:tc>
          <w:tcPr>
            <w:tcW w:w="1143" w:type="dxa"/>
            <w:shd w:val="clear" w:color="auto" w:fill="auto"/>
            <w:vAlign w:val="center"/>
          </w:tcPr>
          <w:p w14:paraId="04142618">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shd w:val="clear" w:color="auto" w:fill="auto"/>
            <w:vAlign w:val="center"/>
          </w:tcPr>
          <w:p w14:paraId="4444928A">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100亿元（含）至1000亿元</w:t>
            </w:r>
          </w:p>
        </w:tc>
      </w:tr>
      <w:tr w14:paraId="0F1C8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vAlign w:val="center"/>
          </w:tcPr>
          <w:p w14:paraId="43B06C7E">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59421CAF">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54B5A7F4">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1A9C4DFF">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10亿元（含）至100亿元</w:t>
            </w:r>
          </w:p>
        </w:tc>
      </w:tr>
      <w:tr w14:paraId="01E76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vAlign w:val="center"/>
          </w:tcPr>
          <w:p w14:paraId="465FECCF">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7ADD78C9">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60F7AF91">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shd w:val="clear" w:color="auto" w:fill="auto"/>
            <w:vAlign w:val="center"/>
          </w:tcPr>
          <w:p w14:paraId="43D0131F">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10亿元以下</w:t>
            </w:r>
          </w:p>
        </w:tc>
      </w:tr>
      <w:tr w14:paraId="33147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restart"/>
            <w:vAlign w:val="center"/>
          </w:tcPr>
          <w:p w14:paraId="7FAED341">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保险业</w:t>
            </w:r>
          </w:p>
        </w:tc>
        <w:tc>
          <w:tcPr>
            <w:tcW w:w="1817" w:type="dxa"/>
            <w:vMerge w:val="restart"/>
            <w:vAlign w:val="center"/>
          </w:tcPr>
          <w:p w14:paraId="73A1B699">
            <w:pPr>
              <w:spacing w:line="240" w:lineRule="auto"/>
              <w:jc w:val="both"/>
              <w:rPr>
                <w:rFonts w:hint="eastAsia" w:ascii="宋体" w:hAnsi="宋体" w:eastAsia="宋体" w:cs="宋体"/>
                <w:color w:val="auto"/>
                <w:spacing w:val="6"/>
                <w:sz w:val="21"/>
                <w:szCs w:val="21"/>
                <w:highlight w:val="none"/>
                <w:vertAlign w:val="baseline"/>
              </w:rPr>
            </w:pPr>
            <w:r>
              <w:rPr>
                <w:rFonts w:hint="eastAsia" w:ascii="宋体" w:hAnsi="宋体" w:eastAsia="宋体" w:cs="宋体"/>
                <w:color w:val="auto"/>
                <w:spacing w:val="6"/>
                <w:sz w:val="21"/>
                <w:szCs w:val="21"/>
                <w:highlight w:val="none"/>
                <w:vertAlign w:val="baseline"/>
                <w:lang w:val="en-US" w:eastAsia="zh-CN"/>
              </w:rPr>
              <w:t>保险业金融机构</w:t>
            </w:r>
          </w:p>
        </w:tc>
        <w:tc>
          <w:tcPr>
            <w:tcW w:w="1143" w:type="dxa"/>
            <w:shd w:val="clear" w:color="auto" w:fill="auto"/>
            <w:vAlign w:val="center"/>
          </w:tcPr>
          <w:p w14:paraId="7046BDEC">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shd w:val="clear" w:color="auto" w:fill="auto"/>
            <w:vAlign w:val="center"/>
          </w:tcPr>
          <w:p w14:paraId="41B9BB44">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400亿元（含）至5000亿元</w:t>
            </w:r>
          </w:p>
        </w:tc>
      </w:tr>
      <w:tr w14:paraId="386FC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vAlign w:val="center"/>
          </w:tcPr>
          <w:p w14:paraId="48C86132">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62ACF5AB">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361981C2">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7F195A7E">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20亿元（含）至400亿元</w:t>
            </w:r>
          </w:p>
        </w:tc>
      </w:tr>
      <w:tr w14:paraId="13369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vAlign w:val="center"/>
          </w:tcPr>
          <w:p w14:paraId="7051FBA8">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1A95E01E">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5DD1435F">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shd w:val="clear" w:color="auto" w:fill="auto"/>
            <w:vAlign w:val="center"/>
          </w:tcPr>
          <w:p w14:paraId="19F4DBB0">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20亿元以下</w:t>
            </w:r>
          </w:p>
        </w:tc>
      </w:tr>
      <w:tr w14:paraId="1B382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restart"/>
            <w:vAlign w:val="center"/>
          </w:tcPr>
          <w:p w14:paraId="6A4EBA5D">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其他金融业</w:t>
            </w:r>
          </w:p>
        </w:tc>
        <w:tc>
          <w:tcPr>
            <w:tcW w:w="1168" w:type="dxa"/>
            <w:vMerge w:val="restart"/>
            <w:vAlign w:val="center"/>
          </w:tcPr>
          <w:p w14:paraId="741CF031">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金融信托与管理服务</w:t>
            </w:r>
          </w:p>
        </w:tc>
        <w:tc>
          <w:tcPr>
            <w:tcW w:w="1817" w:type="dxa"/>
            <w:vMerge w:val="restart"/>
            <w:vAlign w:val="center"/>
          </w:tcPr>
          <w:p w14:paraId="70836B6C">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信托公司</w:t>
            </w:r>
          </w:p>
        </w:tc>
        <w:tc>
          <w:tcPr>
            <w:tcW w:w="1143" w:type="dxa"/>
            <w:shd w:val="clear" w:color="auto" w:fill="auto"/>
            <w:vAlign w:val="center"/>
          </w:tcPr>
          <w:p w14:paraId="03C999A9">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shd w:val="clear" w:color="auto" w:fill="auto"/>
            <w:vAlign w:val="center"/>
          </w:tcPr>
          <w:p w14:paraId="0C96EEDA">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400亿元（含）至1000亿元</w:t>
            </w:r>
          </w:p>
        </w:tc>
      </w:tr>
      <w:tr w14:paraId="394AA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338E5D4F">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2343FC29">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7EB960A0">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6D76C176">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0E689FDB">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20亿元（含）至400亿元</w:t>
            </w:r>
          </w:p>
        </w:tc>
      </w:tr>
      <w:tr w14:paraId="3E940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71E32AA3">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441AB74F">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715F254D">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160C098A">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shd w:val="clear" w:color="auto" w:fill="auto"/>
            <w:vAlign w:val="center"/>
          </w:tcPr>
          <w:p w14:paraId="33182E48">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20亿元以下</w:t>
            </w:r>
          </w:p>
        </w:tc>
      </w:tr>
      <w:tr w14:paraId="61CA0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0A3463AD">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restart"/>
            <w:vAlign w:val="center"/>
          </w:tcPr>
          <w:p w14:paraId="65B75359">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控股公司服务</w:t>
            </w:r>
          </w:p>
        </w:tc>
        <w:tc>
          <w:tcPr>
            <w:tcW w:w="1817" w:type="dxa"/>
            <w:vMerge w:val="restart"/>
            <w:vAlign w:val="center"/>
          </w:tcPr>
          <w:p w14:paraId="5AA3A788">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金融控股公司</w:t>
            </w:r>
          </w:p>
        </w:tc>
        <w:tc>
          <w:tcPr>
            <w:tcW w:w="1143" w:type="dxa"/>
            <w:shd w:val="clear" w:color="auto" w:fill="auto"/>
            <w:vAlign w:val="center"/>
          </w:tcPr>
          <w:p w14:paraId="6A34EBF4">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shd w:val="clear" w:color="auto" w:fill="auto"/>
            <w:vAlign w:val="center"/>
          </w:tcPr>
          <w:p w14:paraId="2863D8FC">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5000亿元（含）至40000亿元</w:t>
            </w:r>
          </w:p>
        </w:tc>
      </w:tr>
      <w:tr w14:paraId="61EE7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57F9BDD8">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774A5596">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658174A6">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43D84EB3">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434D1F52">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50亿元（含）至5000亿元</w:t>
            </w:r>
          </w:p>
        </w:tc>
      </w:tr>
      <w:tr w14:paraId="245B3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288472CC">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4DB4D286">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72B6EDD2">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472A904B">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shd w:val="clear" w:color="auto" w:fill="auto"/>
            <w:vAlign w:val="center"/>
          </w:tcPr>
          <w:p w14:paraId="1FC344BB">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50亿元以下</w:t>
            </w:r>
          </w:p>
        </w:tc>
      </w:tr>
      <w:tr w14:paraId="3F9EF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119" w:type="dxa"/>
            <w:vMerge w:val="continue"/>
            <w:vAlign w:val="center"/>
          </w:tcPr>
          <w:p w14:paraId="046E9137">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restart"/>
            <w:vAlign w:val="center"/>
          </w:tcPr>
          <w:p w14:paraId="10B14656">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其他未包括的金融业</w:t>
            </w:r>
          </w:p>
        </w:tc>
        <w:tc>
          <w:tcPr>
            <w:tcW w:w="1817" w:type="dxa"/>
            <w:vMerge w:val="restart"/>
            <w:vAlign w:val="center"/>
          </w:tcPr>
          <w:p w14:paraId="3E665F4F">
            <w:pPr>
              <w:spacing w:line="240" w:lineRule="auto"/>
              <w:jc w:val="both"/>
              <w:rPr>
                <w:rFonts w:hint="eastAsia" w:ascii="宋体" w:hAnsi="宋体" w:eastAsia="宋体" w:cs="宋体"/>
                <w:color w:val="auto"/>
                <w:spacing w:val="6"/>
                <w:sz w:val="21"/>
                <w:szCs w:val="21"/>
                <w:highlight w:val="none"/>
                <w:vertAlign w:val="baseline"/>
              </w:rPr>
            </w:pPr>
            <w:r>
              <w:rPr>
                <w:rFonts w:hint="eastAsia" w:ascii="宋体" w:hAnsi="宋体" w:eastAsia="宋体" w:cs="宋体"/>
                <w:color w:val="auto"/>
                <w:spacing w:val="6"/>
                <w:sz w:val="21"/>
                <w:szCs w:val="21"/>
                <w:highlight w:val="none"/>
                <w:vertAlign w:val="baseline"/>
              </w:rPr>
              <w:t>除贷款公司、小额贷款公司、典当行以外的其他金融机构</w:t>
            </w:r>
          </w:p>
        </w:tc>
        <w:tc>
          <w:tcPr>
            <w:tcW w:w="1143" w:type="dxa"/>
            <w:shd w:val="clear" w:color="auto" w:fill="auto"/>
            <w:vAlign w:val="center"/>
          </w:tcPr>
          <w:p w14:paraId="00510279">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shd w:val="clear" w:color="auto" w:fill="auto"/>
            <w:vAlign w:val="center"/>
          </w:tcPr>
          <w:p w14:paraId="6033F5D6">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200亿元（含）至1000亿元</w:t>
            </w:r>
          </w:p>
        </w:tc>
      </w:tr>
      <w:tr w14:paraId="34EBC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119" w:type="dxa"/>
            <w:vMerge w:val="continue"/>
          </w:tcPr>
          <w:p w14:paraId="04848A28">
            <w:pPr>
              <w:spacing w:line="240" w:lineRule="auto"/>
              <w:rPr>
                <w:rFonts w:hint="eastAsia" w:ascii="宋体" w:hAnsi="宋体" w:eastAsia="宋体" w:cs="宋体"/>
                <w:color w:val="auto"/>
                <w:spacing w:val="6"/>
                <w:sz w:val="21"/>
                <w:szCs w:val="21"/>
                <w:highlight w:val="none"/>
                <w:vertAlign w:val="baseline"/>
              </w:rPr>
            </w:pPr>
          </w:p>
        </w:tc>
        <w:tc>
          <w:tcPr>
            <w:tcW w:w="1168" w:type="dxa"/>
            <w:vMerge w:val="continue"/>
          </w:tcPr>
          <w:p w14:paraId="2F2E72F9">
            <w:pPr>
              <w:spacing w:line="240" w:lineRule="auto"/>
              <w:rPr>
                <w:rFonts w:hint="eastAsia" w:ascii="宋体" w:hAnsi="宋体" w:eastAsia="宋体" w:cs="宋体"/>
                <w:color w:val="auto"/>
                <w:spacing w:val="6"/>
                <w:sz w:val="21"/>
                <w:szCs w:val="21"/>
                <w:highlight w:val="none"/>
                <w:vertAlign w:val="baseline"/>
              </w:rPr>
            </w:pPr>
          </w:p>
        </w:tc>
        <w:tc>
          <w:tcPr>
            <w:tcW w:w="1817" w:type="dxa"/>
            <w:vMerge w:val="continue"/>
          </w:tcPr>
          <w:p w14:paraId="179DE2D0">
            <w:pPr>
              <w:spacing w:line="240" w:lineRule="auto"/>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1E623338">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12916BB7">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50亿元（含）至200亿元</w:t>
            </w:r>
          </w:p>
        </w:tc>
      </w:tr>
      <w:tr w14:paraId="6DDCD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119" w:type="dxa"/>
            <w:vMerge w:val="continue"/>
          </w:tcPr>
          <w:p w14:paraId="0F1E7A7B">
            <w:pPr>
              <w:spacing w:line="240" w:lineRule="auto"/>
              <w:rPr>
                <w:rFonts w:hint="eastAsia" w:ascii="宋体" w:hAnsi="宋体" w:eastAsia="宋体" w:cs="宋体"/>
                <w:color w:val="auto"/>
                <w:spacing w:val="6"/>
                <w:sz w:val="21"/>
                <w:szCs w:val="21"/>
                <w:highlight w:val="none"/>
                <w:vertAlign w:val="baseline"/>
              </w:rPr>
            </w:pPr>
          </w:p>
        </w:tc>
        <w:tc>
          <w:tcPr>
            <w:tcW w:w="1168" w:type="dxa"/>
            <w:vMerge w:val="continue"/>
          </w:tcPr>
          <w:p w14:paraId="08010151">
            <w:pPr>
              <w:spacing w:line="240" w:lineRule="auto"/>
              <w:rPr>
                <w:rFonts w:hint="eastAsia" w:ascii="宋体" w:hAnsi="宋体" w:eastAsia="宋体" w:cs="宋体"/>
                <w:color w:val="auto"/>
                <w:spacing w:val="6"/>
                <w:sz w:val="21"/>
                <w:szCs w:val="21"/>
                <w:highlight w:val="none"/>
                <w:vertAlign w:val="baseline"/>
              </w:rPr>
            </w:pPr>
          </w:p>
        </w:tc>
        <w:tc>
          <w:tcPr>
            <w:tcW w:w="1817" w:type="dxa"/>
            <w:vMerge w:val="continue"/>
          </w:tcPr>
          <w:p w14:paraId="71A393FF">
            <w:pPr>
              <w:spacing w:line="240" w:lineRule="auto"/>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668714F1">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shd w:val="clear" w:color="auto" w:fill="auto"/>
            <w:vAlign w:val="center"/>
          </w:tcPr>
          <w:p w14:paraId="1913FA3F">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50亿元以下</w:t>
            </w:r>
          </w:p>
        </w:tc>
      </w:tr>
    </w:tbl>
    <w:p w14:paraId="5BCE9D64">
      <w:pPr>
        <w:rPr>
          <w:rFonts w:cs="宋体"/>
          <w:color w:val="auto"/>
          <w:spacing w:val="6"/>
          <w:sz w:val="21"/>
          <w:szCs w:val="21"/>
          <w:highlight w:val="none"/>
        </w:rPr>
      </w:pPr>
      <w:r>
        <w:rPr>
          <w:rFonts w:cs="宋体"/>
          <w:color w:val="auto"/>
          <w:spacing w:val="6"/>
          <w:sz w:val="21"/>
          <w:szCs w:val="21"/>
          <w:highlight w:val="none"/>
        </w:rPr>
        <w:br w:type="page"/>
      </w:r>
    </w:p>
    <w:p w14:paraId="74DF7AA5">
      <w:pPr>
        <w:pStyle w:val="17"/>
        <w:keepNext w:val="0"/>
        <w:keepLines w:val="0"/>
        <w:pageBreakBefore w:val="0"/>
        <w:widowControl w:val="0"/>
        <w:numPr>
          <w:ilvl w:val="0"/>
          <w:numId w:val="21"/>
        </w:numPr>
        <w:kinsoku/>
        <w:wordWrap/>
        <w:overflowPunct/>
        <w:topLinePunct w:val="0"/>
        <w:autoSpaceDE/>
        <w:autoSpaceDN/>
        <w:bidi w:val="0"/>
        <w:adjustRightInd/>
        <w:snapToGrid/>
        <w:spacing w:line="500" w:lineRule="exact"/>
        <w:jc w:val="both"/>
        <w:textAlignment w:val="auto"/>
        <w:rPr>
          <w:rFonts w:ascii="宋体" w:hAnsi="宋体" w:eastAsia="宋体" w:cs="宋体"/>
          <w:b/>
          <w:bCs/>
          <w:color w:val="auto"/>
          <w:sz w:val="24"/>
          <w:szCs w:val="24"/>
        </w:rPr>
      </w:pPr>
      <w:bookmarkStart w:id="369" w:name="_Toc163492940"/>
      <w:r>
        <w:rPr>
          <w:rFonts w:ascii="宋体" w:hAnsi="宋体" w:eastAsia="宋体" w:cs="宋体"/>
          <w:b/>
          <w:bCs/>
          <w:color w:val="auto"/>
          <w:sz w:val="24"/>
          <w:szCs w:val="24"/>
        </w:rPr>
        <w:t xml:space="preserve">关于符合本国产品标准的声明函（注：此处为必填项） </w:t>
      </w:r>
    </w:p>
    <w:p w14:paraId="1E44FD52">
      <w:pPr>
        <w:pStyle w:val="17"/>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ascii="宋体" w:hAnsi="宋体" w:eastAsia="宋体" w:cs="宋体"/>
          <w:b/>
          <w:bCs/>
          <w:color w:val="auto"/>
          <w:sz w:val="28"/>
          <w:szCs w:val="28"/>
        </w:rPr>
      </w:pPr>
      <w:r>
        <w:rPr>
          <w:rFonts w:ascii="宋体" w:hAnsi="宋体" w:eastAsia="宋体" w:cs="宋体"/>
          <w:b/>
          <w:bCs/>
          <w:color w:val="auto"/>
          <w:sz w:val="28"/>
          <w:szCs w:val="28"/>
        </w:rPr>
        <w:t>关于符合本国产品标准的声明函</w:t>
      </w:r>
    </w:p>
    <w:p w14:paraId="6386F328">
      <w:pPr>
        <w:pStyle w:val="17"/>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ascii="宋体" w:hAnsi="宋体" w:eastAsia="宋体" w:cs="宋体"/>
          <w:color w:val="auto"/>
          <w:sz w:val="24"/>
          <w:szCs w:val="24"/>
        </w:rPr>
      </w:pPr>
      <w:r>
        <w:rPr>
          <w:rFonts w:ascii="宋体" w:hAnsi="宋体" w:eastAsia="宋体" w:cs="宋体"/>
          <w:color w:val="auto"/>
          <w:sz w:val="24"/>
          <w:szCs w:val="24"/>
        </w:rPr>
        <w:t xml:space="preserve">本公司（单位）郑重声明，根据《国务院办公厅关于在政府采购中实施本国产品标准及相关政策的通知》（国办发〔2025〕34号）的规定，本公司（单位）提供的以下产品属于本国产品。具体情况如下： </w:t>
      </w:r>
    </w:p>
    <w:p w14:paraId="616ECE3D">
      <w:pPr>
        <w:pStyle w:val="17"/>
        <w:keepNext w:val="0"/>
        <w:keepLines w:val="0"/>
        <w:pageBreakBefore w:val="0"/>
        <w:widowControl w:val="0"/>
        <w:numPr>
          <w:ilvl w:val="0"/>
          <w:numId w:val="22"/>
        </w:numPr>
        <w:kinsoku/>
        <w:wordWrap/>
        <w:overflowPunct/>
        <w:topLinePunct w:val="0"/>
        <w:autoSpaceDE/>
        <w:autoSpaceDN/>
        <w:bidi w:val="0"/>
        <w:adjustRightInd/>
        <w:snapToGrid/>
        <w:spacing w:line="400" w:lineRule="exact"/>
        <w:ind w:firstLine="480" w:firstLineChars="200"/>
        <w:jc w:val="both"/>
        <w:textAlignment w:val="auto"/>
        <w:rPr>
          <w:rFonts w:ascii="宋体" w:hAnsi="宋体" w:eastAsia="宋体" w:cs="宋体"/>
          <w:color w:val="auto"/>
          <w:sz w:val="24"/>
          <w:szCs w:val="24"/>
        </w:rPr>
      </w:pPr>
      <w:r>
        <w:rPr>
          <w:rFonts w:ascii="宋体" w:hAnsi="宋体" w:eastAsia="宋体" w:cs="宋体"/>
          <w:color w:val="auto"/>
          <w:sz w:val="24"/>
          <w:szCs w:val="24"/>
        </w:rPr>
        <w:t xml:space="preserve">（产品名称1）1，生产厂为（厂名）2，厂址为（生产厂址）。（产品名称1）的中国境内生产的组件成本占比≥（规定比例）3。（产品名称 1）的（关键组件）4在中国境内生产。（产品名称1）的（关键工序）5在中国境内完成。 </w:t>
      </w:r>
    </w:p>
    <w:p w14:paraId="396E95C7">
      <w:pPr>
        <w:pStyle w:val="17"/>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ascii="宋体" w:hAnsi="宋体" w:eastAsia="宋体" w:cs="宋体"/>
          <w:color w:val="auto"/>
          <w:sz w:val="24"/>
          <w:szCs w:val="24"/>
        </w:rPr>
      </w:pPr>
      <w:r>
        <w:rPr>
          <w:rFonts w:ascii="宋体" w:hAnsi="宋体" w:eastAsia="宋体" w:cs="宋体"/>
          <w:color w:val="auto"/>
          <w:sz w:val="24"/>
          <w:szCs w:val="24"/>
        </w:rPr>
        <w:t>2.（产品名称2），生产厂为（厂名），厂址为（生产厂址）。（产品名称2）的中国境内生产的组件成本占比≥（规定比例）。（产品名称2）的（关键组件）在中国境内生产。（产品名称2）的（关键工序）在中国境内完成。</w:t>
      </w:r>
    </w:p>
    <w:p w14:paraId="2057C548">
      <w:pPr>
        <w:pStyle w:val="17"/>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ascii="宋体" w:hAnsi="宋体" w:eastAsia="宋体" w:cs="宋体"/>
          <w:color w:val="auto"/>
          <w:sz w:val="24"/>
          <w:szCs w:val="24"/>
        </w:rPr>
      </w:pPr>
      <w:r>
        <w:rPr>
          <w:rFonts w:ascii="宋体" w:hAnsi="宋体" w:eastAsia="宋体" w:cs="宋体"/>
          <w:color w:val="auto"/>
          <w:sz w:val="24"/>
          <w:szCs w:val="24"/>
        </w:rPr>
        <w:t xml:space="preserve"> …… </w:t>
      </w:r>
    </w:p>
    <w:p w14:paraId="2A74EC49">
      <w:pPr>
        <w:pStyle w:val="17"/>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ascii="宋体" w:hAnsi="宋体" w:eastAsia="宋体" w:cs="宋体"/>
          <w:color w:val="auto"/>
          <w:sz w:val="24"/>
          <w:szCs w:val="24"/>
        </w:rPr>
      </w:pPr>
      <w:r>
        <w:rPr>
          <w:rFonts w:ascii="宋体" w:hAnsi="宋体" w:eastAsia="宋体" w:cs="宋体"/>
          <w:color w:val="auto"/>
          <w:sz w:val="24"/>
          <w:szCs w:val="24"/>
        </w:rPr>
        <w:t xml:space="preserve">本公司（单位）对上述声明内容的真实性负责。如有虚假，愿承担相应法律责任。 </w:t>
      </w:r>
    </w:p>
    <w:p w14:paraId="5C40F6AD">
      <w:pPr>
        <w:pStyle w:val="17"/>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040" w:firstLineChars="2100"/>
        <w:jc w:val="both"/>
        <w:textAlignment w:val="auto"/>
        <w:rPr>
          <w:rFonts w:ascii="宋体" w:hAnsi="宋体" w:eastAsia="宋体" w:cs="宋体"/>
          <w:color w:val="auto"/>
          <w:sz w:val="24"/>
          <w:szCs w:val="24"/>
        </w:rPr>
      </w:pPr>
      <w:r>
        <w:rPr>
          <w:rFonts w:ascii="宋体" w:hAnsi="宋体" w:eastAsia="宋体" w:cs="宋体"/>
          <w:color w:val="auto"/>
          <w:sz w:val="24"/>
          <w:szCs w:val="24"/>
        </w:rPr>
        <w:t xml:space="preserve">公司（单位）名称（盖章）：　 </w:t>
      </w:r>
    </w:p>
    <w:p w14:paraId="09818CAA">
      <w:pPr>
        <w:pStyle w:val="17"/>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040" w:firstLineChars="2100"/>
        <w:jc w:val="both"/>
        <w:textAlignment w:val="auto"/>
        <w:rPr>
          <w:rFonts w:ascii="宋体" w:hAnsi="宋体" w:eastAsia="宋体" w:cs="宋体"/>
          <w:color w:val="auto"/>
          <w:sz w:val="24"/>
          <w:szCs w:val="24"/>
        </w:rPr>
      </w:pPr>
      <w:r>
        <w:rPr>
          <w:rFonts w:ascii="宋体" w:hAnsi="宋体" w:eastAsia="宋体" w:cs="宋体"/>
          <w:color w:val="auto"/>
          <w:sz w:val="24"/>
          <w:szCs w:val="24"/>
        </w:rPr>
        <w:t xml:space="preserve">日期：　 年　 月　 日 </w:t>
      </w:r>
    </w:p>
    <w:p w14:paraId="4CD4AA3A">
      <w:pPr>
        <w:pStyle w:val="17"/>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040" w:firstLineChars="2100"/>
        <w:jc w:val="both"/>
        <w:textAlignment w:val="auto"/>
        <w:rPr>
          <w:rFonts w:ascii="宋体" w:hAnsi="宋体" w:eastAsia="宋体" w:cs="宋体"/>
          <w:color w:val="auto"/>
          <w:sz w:val="24"/>
          <w:szCs w:val="24"/>
        </w:rPr>
      </w:pPr>
    </w:p>
    <w:p w14:paraId="57B83BAE">
      <w:pPr>
        <w:pStyle w:val="17"/>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default" w:ascii="宋体" w:hAnsi="宋体" w:eastAsia="宋体" w:cs="宋体"/>
          <w:strike/>
          <w:dstrike w:val="0"/>
          <w:color w:val="auto"/>
          <w:sz w:val="24"/>
          <w:szCs w:val="24"/>
          <w:u w:val="none"/>
          <w:lang w:val="en-US" w:eastAsia="zh-CN"/>
        </w:rPr>
      </w:pPr>
      <w:r>
        <w:rPr>
          <w:rFonts w:hint="eastAsia" w:ascii="宋体" w:hAnsi="宋体" w:eastAsia="宋体" w:cs="宋体"/>
          <w:strike/>
          <w:dstrike w:val="0"/>
          <w:color w:val="auto"/>
          <w:sz w:val="24"/>
          <w:szCs w:val="24"/>
          <w:u w:val="none"/>
          <w:lang w:val="en-US" w:eastAsia="zh-CN"/>
        </w:rPr>
        <w:t xml:space="preserve">                                                           </w:t>
      </w:r>
    </w:p>
    <w:p w14:paraId="415CEF3C">
      <w:pPr>
        <w:pStyle w:val="17"/>
        <w:keepNext w:val="0"/>
        <w:keepLines w:val="0"/>
        <w:pageBreakBefore w:val="0"/>
        <w:widowControl w:val="0"/>
        <w:numPr>
          <w:ilvl w:val="0"/>
          <w:numId w:val="23"/>
        </w:numPr>
        <w:kinsoku/>
        <w:wordWrap/>
        <w:overflowPunct/>
        <w:topLinePunct w:val="0"/>
        <w:autoSpaceDE/>
        <w:autoSpaceDN/>
        <w:bidi w:val="0"/>
        <w:adjustRightInd/>
        <w:snapToGrid/>
        <w:spacing w:line="400" w:lineRule="exact"/>
        <w:ind w:firstLine="480" w:firstLineChars="200"/>
        <w:jc w:val="both"/>
        <w:textAlignment w:val="auto"/>
        <w:rPr>
          <w:rFonts w:ascii="宋体" w:hAnsi="宋体" w:eastAsia="宋体" w:cs="宋体"/>
          <w:color w:val="auto"/>
          <w:sz w:val="24"/>
          <w:szCs w:val="24"/>
        </w:rPr>
      </w:pPr>
      <w:r>
        <w:rPr>
          <w:rFonts w:ascii="宋体" w:hAnsi="宋体" w:eastAsia="宋体" w:cs="宋体"/>
          <w:color w:val="auto"/>
          <w:sz w:val="24"/>
          <w:szCs w:val="24"/>
        </w:rPr>
        <w:t>产品如有型号，请在“产品名称”栏一并填写。</w:t>
      </w:r>
    </w:p>
    <w:p w14:paraId="628F8392">
      <w:pPr>
        <w:pStyle w:val="17"/>
        <w:keepNext w:val="0"/>
        <w:keepLines w:val="0"/>
        <w:pageBreakBefore w:val="0"/>
        <w:widowControl w:val="0"/>
        <w:numPr>
          <w:ilvl w:val="0"/>
          <w:numId w:val="23"/>
        </w:numPr>
        <w:kinsoku/>
        <w:wordWrap/>
        <w:overflowPunct/>
        <w:topLinePunct w:val="0"/>
        <w:autoSpaceDE/>
        <w:autoSpaceDN/>
        <w:bidi w:val="0"/>
        <w:adjustRightInd/>
        <w:snapToGrid/>
        <w:spacing w:line="400" w:lineRule="exact"/>
        <w:ind w:left="0" w:leftChars="0" w:firstLine="480" w:firstLineChars="200"/>
        <w:jc w:val="both"/>
        <w:textAlignment w:val="auto"/>
        <w:rPr>
          <w:rFonts w:ascii="宋体" w:hAnsi="宋体" w:eastAsia="宋体" w:cs="宋体"/>
          <w:color w:val="auto"/>
          <w:sz w:val="24"/>
          <w:szCs w:val="24"/>
        </w:rPr>
      </w:pPr>
      <w:r>
        <w:rPr>
          <w:rFonts w:ascii="宋体" w:hAnsi="宋体" w:eastAsia="宋体" w:cs="宋体"/>
          <w:color w:val="auto"/>
          <w:sz w:val="24"/>
          <w:szCs w:val="24"/>
        </w:rPr>
        <w:t xml:space="preserve">生产厂名与厂址应与生产厂营业执照载明的相关信息保持一致。 </w:t>
      </w:r>
    </w:p>
    <w:p w14:paraId="263D184B">
      <w:pPr>
        <w:pStyle w:val="17"/>
        <w:keepNext w:val="0"/>
        <w:keepLines w:val="0"/>
        <w:pageBreakBefore w:val="0"/>
        <w:widowControl w:val="0"/>
        <w:numPr>
          <w:ilvl w:val="0"/>
          <w:numId w:val="23"/>
        </w:numPr>
        <w:kinsoku/>
        <w:wordWrap/>
        <w:overflowPunct/>
        <w:topLinePunct w:val="0"/>
        <w:autoSpaceDE/>
        <w:autoSpaceDN/>
        <w:bidi w:val="0"/>
        <w:adjustRightInd/>
        <w:snapToGrid/>
        <w:spacing w:line="400" w:lineRule="exact"/>
        <w:ind w:left="0" w:leftChars="0" w:firstLine="480" w:firstLineChars="200"/>
        <w:jc w:val="both"/>
        <w:textAlignment w:val="auto"/>
        <w:rPr>
          <w:rFonts w:ascii="宋体" w:hAnsi="宋体" w:eastAsia="宋体" w:cs="宋体"/>
          <w:color w:val="auto"/>
          <w:sz w:val="24"/>
          <w:szCs w:val="24"/>
        </w:rPr>
      </w:pPr>
      <w:r>
        <w:rPr>
          <w:rFonts w:ascii="宋体" w:hAnsi="宋体" w:eastAsia="宋体" w:cs="宋体"/>
          <w:color w:val="auto"/>
          <w:sz w:val="24"/>
          <w:szCs w:val="24"/>
        </w:rPr>
        <w:t xml:space="preserve">该产品的中国境内生产的组件成本占比相关要求实施前，“规定比 例”栏可不填，下同。 </w:t>
      </w:r>
    </w:p>
    <w:p w14:paraId="499E4CD9">
      <w:pPr>
        <w:pStyle w:val="17"/>
        <w:keepNext w:val="0"/>
        <w:keepLines w:val="0"/>
        <w:pageBreakBefore w:val="0"/>
        <w:widowControl w:val="0"/>
        <w:numPr>
          <w:ilvl w:val="0"/>
          <w:numId w:val="23"/>
        </w:numPr>
        <w:kinsoku/>
        <w:wordWrap/>
        <w:overflowPunct/>
        <w:topLinePunct w:val="0"/>
        <w:autoSpaceDE/>
        <w:autoSpaceDN/>
        <w:bidi w:val="0"/>
        <w:adjustRightInd/>
        <w:snapToGrid/>
        <w:spacing w:line="400" w:lineRule="exact"/>
        <w:ind w:left="0" w:leftChars="0" w:firstLine="480" w:firstLineChars="200"/>
        <w:jc w:val="both"/>
        <w:textAlignment w:val="auto"/>
        <w:rPr>
          <w:rFonts w:ascii="宋体" w:hAnsi="宋体" w:eastAsia="宋体" w:cs="宋体"/>
          <w:color w:val="auto"/>
          <w:sz w:val="24"/>
          <w:szCs w:val="24"/>
        </w:rPr>
      </w:pPr>
      <w:r>
        <w:rPr>
          <w:rFonts w:ascii="宋体" w:hAnsi="宋体" w:eastAsia="宋体" w:cs="宋体"/>
          <w:color w:val="auto"/>
          <w:sz w:val="24"/>
          <w:szCs w:val="24"/>
        </w:rPr>
        <w:t xml:space="preserve">该产品的关键组件要求实施前，“关键组件”栏可不填，下同。 </w:t>
      </w:r>
    </w:p>
    <w:p w14:paraId="5C97BC7A">
      <w:pPr>
        <w:pStyle w:val="17"/>
        <w:keepNext w:val="0"/>
        <w:keepLines w:val="0"/>
        <w:pageBreakBefore w:val="0"/>
        <w:widowControl w:val="0"/>
        <w:numPr>
          <w:ilvl w:val="0"/>
          <w:numId w:val="23"/>
        </w:numPr>
        <w:kinsoku/>
        <w:wordWrap/>
        <w:overflowPunct/>
        <w:topLinePunct w:val="0"/>
        <w:autoSpaceDE/>
        <w:autoSpaceDN/>
        <w:bidi w:val="0"/>
        <w:adjustRightInd/>
        <w:snapToGrid/>
        <w:spacing w:line="400" w:lineRule="exact"/>
        <w:ind w:left="0" w:leftChars="0" w:firstLine="480" w:firstLineChars="200"/>
        <w:jc w:val="both"/>
        <w:textAlignment w:val="auto"/>
        <w:rPr>
          <w:rFonts w:ascii="宋体" w:hAnsi="宋体" w:eastAsia="宋体" w:cs="宋体"/>
          <w:color w:val="auto"/>
          <w:sz w:val="24"/>
          <w:szCs w:val="24"/>
        </w:rPr>
      </w:pPr>
      <w:r>
        <w:rPr>
          <w:rFonts w:ascii="宋体" w:hAnsi="宋体" w:eastAsia="宋体" w:cs="宋体"/>
          <w:color w:val="auto"/>
          <w:sz w:val="24"/>
          <w:szCs w:val="24"/>
        </w:rPr>
        <w:t>该产品的关键工序要求实施前，“关键工序”栏可不填，下同。</w:t>
      </w:r>
    </w:p>
    <w:p w14:paraId="603304B4">
      <w:pPr>
        <w:pStyle w:val="17"/>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4"/>
          <w:szCs w:val="24"/>
          <w:lang w:val="en-US" w:eastAsia="zh-CN"/>
        </w:rPr>
      </w:pPr>
    </w:p>
    <w:p w14:paraId="10C17F29">
      <w:pPr>
        <w:pStyle w:val="17"/>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w:t>
      </w:r>
      <w:r>
        <w:rPr>
          <w:rFonts w:ascii="宋体" w:hAnsi="宋体" w:eastAsia="宋体" w:cs="宋体"/>
          <w:color w:val="auto"/>
          <w:sz w:val="24"/>
          <w:szCs w:val="24"/>
        </w:rPr>
        <w:t>注:国务院办公厅关于在政府采购中实施本国产品标准及相关政策的通知国办发〔2025〕34号及关于贯彻落实《国务院办公厅关于在政府采购中实施本国产品标准及相关政策的通知》的意见财库〔2025〕30号。请各潜在投标人自行查看了解文件要求及规定，按要求填写。</w:t>
      </w:r>
    </w:p>
    <w:p w14:paraId="7C3D788F">
      <w:pPr>
        <w:pStyle w:val="17"/>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4"/>
          <w:szCs w:val="24"/>
          <w:lang w:val="en-US" w:eastAsia="zh-CN"/>
        </w:rPr>
      </w:pPr>
    </w:p>
    <w:p w14:paraId="0711552D">
      <w:pPr>
        <w:pStyle w:val="4"/>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theme="minorBidi"/>
          <w:b/>
          <w:bCs/>
          <w:color w:val="auto"/>
          <w:kern w:val="2"/>
          <w:sz w:val="24"/>
          <w:szCs w:val="24"/>
          <w:highlight w:val="none"/>
          <w:lang w:val="en-US" w:eastAsia="zh-CN" w:bidi="ar-SA"/>
        </w:rPr>
      </w:pPr>
      <w:r>
        <w:rPr>
          <w:rFonts w:hint="eastAsia" w:ascii="宋体" w:hAnsi="宋体" w:eastAsia="宋体" w:cstheme="minorBidi"/>
          <w:b/>
          <w:bCs/>
          <w:color w:val="auto"/>
          <w:kern w:val="2"/>
          <w:sz w:val="24"/>
          <w:szCs w:val="24"/>
          <w:highlight w:val="none"/>
          <w:lang w:val="en-US" w:eastAsia="zh-CN" w:bidi="ar-SA"/>
        </w:rPr>
        <w:t>（</w:t>
      </w:r>
      <w:r>
        <w:rPr>
          <w:rFonts w:hint="eastAsia" w:cstheme="minorBidi"/>
          <w:b/>
          <w:bCs/>
          <w:color w:val="auto"/>
          <w:kern w:val="2"/>
          <w:sz w:val="24"/>
          <w:szCs w:val="24"/>
          <w:highlight w:val="none"/>
          <w:lang w:val="en-US" w:eastAsia="zh-CN" w:bidi="ar-SA"/>
        </w:rPr>
        <w:t>四</w:t>
      </w:r>
      <w:r>
        <w:rPr>
          <w:rFonts w:hint="eastAsia" w:ascii="宋体" w:hAnsi="宋体" w:eastAsia="宋体" w:cstheme="minorBidi"/>
          <w:b/>
          <w:bCs/>
          <w:color w:val="auto"/>
          <w:kern w:val="2"/>
          <w:sz w:val="24"/>
          <w:szCs w:val="24"/>
          <w:highlight w:val="none"/>
          <w:lang w:val="en-US" w:eastAsia="zh-CN" w:bidi="ar-SA"/>
        </w:rPr>
        <w:t>）监狱企业证明文件</w:t>
      </w:r>
      <w:r>
        <w:rPr>
          <w:rFonts w:hint="eastAsia" w:ascii="宋体" w:hAnsi="宋体" w:eastAsia="宋体" w:cstheme="minorBidi"/>
          <w:b w:val="0"/>
          <w:bCs w:val="0"/>
          <w:color w:val="auto"/>
          <w:kern w:val="2"/>
          <w:sz w:val="24"/>
          <w:szCs w:val="24"/>
          <w:highlight w:val="none"/>
          <w:lang w:val="en-US" w:eastAsia="zh-CN" w:bidi="ar-SA"/>
        </w:rPr>
        <w:t>【如适用】</w:t>
      </w:r>
      <w:bookmarkEnd w:id="369"/>
    </w:p>
    <w:p w14:paraId="744F56E2">
      <w:pPr>
        <w:rPr>
          <w:rFonts w:cs="仿宋_GB2312"/>
          <w:b/>
          <w:color w:val="auto"/>
          <w:sz w:val="28"/>
          <w:szCs w:val="28"/>
          <w:highlight w:val="none"/>
        </w:rPr>
      </w:pPr>
    </w:p>
    <w:p w14:paraId="23D1BFCD">
      <w:pPr>
        <w:adjustRightInd w:val="0"/>
        <w:snapToGrid w:val="0"/>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【监狱企业应当提供由省级及以上监狱管理局、戒毒管理局（含新疆生产建设兵团）出具的监狱企业的证明文件，格式</w:t>
      </w:r>
      <w:r>
        <w:rPr>
          <w:rFonts w:hint="eastAsia" w:ascii="宋体" w:hAnsi="宋体" w:eastAsia="宋体" w:cs="宋体"/>
          <w:color w:val="auto"/>
          <w:sz w:val="24"/>
          <w:szCs w:val="24"/>
          <w:highlight w:val="none"/>
          <w:lang w:val="en-US" w:eastAsia="zh-CN"/>
        </w:rPr>
        <w:t>如下</w:t>
      </w:r>
      <w:r>
        <w:rPr>
          <w:rFonts w:hint="eastAsia" w:ascii="宋体" w:hAnsi="宋体" w:eastAsia="宋体" w:cs="宋体"/>
          <w:color w:val="auto"/>
          <w:sz w:val="24"/>
          <w:szCs w:val="24"/>
          <w:highlight w:val="none"/>
        </w:rPr>
        <w:t>】。</w:t>
      </w:r>
    </w:p>
    <w:p w14:paraId="75238DB1">
      <w:pPr>
        <w:pStyle w:val="17"/>
        <w:spacing w:line="360" w:lineRule="auto"/>
        <w:jc w:val="center"/>
        <w:rPr>
          <w:rFonts w:hint="eastAsia" w:ascii="宋体" w:hAnsi="宋体" w:eastAsia="宋体" w:cs="宋体"/>
          <w:b/>
          <w:bCs w:val="0"/>
          <w:color w:val="auto"/>
          <w:sz w:val="32"/>
          <w:szCs w:val="32"/>
          <w:highlight w:val="none"/>
        </w:rPr>
      </w:pPr>
    </w:p>
    <w:p w14:paraId="3EAA5E2A">
      <w:pPr>
        <w:pStyle w:val="17"/>
        <w:spacing w:line="360" w:lineRule="auto"/>
        <w:jc w:val="center"/>
        <w:rPr>
          <w:rFonts w:hint="eastAsia" w:ascii="宋体" w:hAnsi="宋体" w:eastAsia="宋体" w:cs="宋体"/>
          <w:b/>
          <w:bCs w:val="0"/>
          <w:color w:val="auto"/>
          <w:sz w:val="32"/>
          <w:szCs w:val="32"/>
          <w:highlight w:val="none"/>
        </w:rPr>
      </w:pPr>
      <w:r>
        <w:rPr>
          <w:rFonts w:hint="eastAsia" w:ascii="宋体" w:hAnsi="宋体" w:eastAsia="宋体" w:cs="宋体"/>
          <w:b/>
          <w:bCs w:val="0"/>
          <w:color w:val="auto"/>
          <w:sz w:val="32"/>
          <w:szCs w:val="32"/>
          <w:highlight w:val="none"/>
        </w:rPr>
        <w:t>监狱企业证明函</w:t>
      </w:r>
    </w:p>
    <w:p w14:paraId="73EFA9C1">
      <w:pPr>
        <w:spacing w:line="360" w:lineRule="auto"/>
        <w:rPr>
          <w:rFonts w:hint="eastAsia" w:ascii="仿宋_GB2312" w:hAnsi="仿宋_GB2312" w:eastAsia="仿宋_GB2312" w:cs="仿宋_GB2312"/>
          <w:color w:val="auto"/>
          <w:sz w:val="32"/>
          <w:szCs w:val="32"/>
          <w:highlight w:val="none"/>
        </w:rPr>
      </w:pPr>
    </w:p>
    <w:p w14:paraId="7E6FDB37">
      <w:pPr>
        <w:ind w:firstLine="504" w:firstLineChars="200"/>
        <w:rPr>
          <w:rFonts w:hint="eastAsia" w:ascii="宋体" w:hAnsi="宋体" w:eastAsia="宋体" w:cs="宋体"/>
          <w:color w:val="auto"/>
          <w:spacing w:val="6"/>
          <w:szCs w:val="24"/>
          <w:highlight w:val="none"/>
        </w:rPr>
      </w:pPr>
      <w:r>
        <w:rPr>
          <w:rFonts w:hint="eastAsia" w:ascii="宋体" w:hAnsi="宋体" w:eastAsia="宋体" w:cs="宋体"/>
          <w:color w:val="auto"/>
          <w:spacing w:val="6"/>
          <w:szCs w:val="24"/>
          <w:highlight w:val="none"/>
        </w:rPr>
        <w:t>本公司郑重声明，根据财政部、司法部《关于政府采购支持监狱企业发展有关问题的通知》（财库</w:t>
      </w:r>
      <w:r>
        <w:rPr>
          <w:rFonts w:hint="eastAsia" w:ascii="宋体" w:hAnsi="宋体" w:eastAsia="宋体" w:cs="宋体"/>
          <w:color w:val="auto"/>
          <w:spacing w:val="6"/>
          <w:szCs w:val="24"/>
          <w:highlight w:val="none"/>
          <w:lang w:eastAsia="zh-CN"/>
        </w:rPr>
        <w:t>〔</w:t>
      </w:r>
      <w:r>
        <w:rPr>
          <w:rFonts w:hint="eastAsia" w:ascii="宋体" w:hAnsi="宋体" w:eastAsia="宋体" w:cs="宋体"/>
          <w:color w:val="auto"/>
          <w:spacing w:val="6"/>
          <w:szCs w:val="24"/>
          <w:highlight w:val="none"/>
        </w:rPr>
        <w:t>2014</w:t>
      </w:r>
      <w:r>
        <w:rPr>
          <w:rFonts w:hint="eastAsia" w:ascii="宋体" w:hAnsi="宋体" w:eastAsia="宋体" w:cs="宋体"/>
          <w:color w:val="auto"/>
          <w:spacing w:val="6"/>
          <w:szCs w:val="24"/>
          <w:highlight w:val="none"/>
          <w:lang w:eastAsia="zh-CN"/>
        </w:rPr>
        <w:t>〕</w:t>
      </w:r>
      <w:r>
        <w:rPr>
          <w:rFonts w:hint="eastAsia" w:ascii="宋体" w:hAnsi="宋体" w:eastAsia="宋体" w:cs="宋体"/>
          <w:color w:val="auto"/>
          <w:spacing w:val="6"/>
          <w:szCs w:val="24"/>
          <w:highlight w:val="none"/>
        </w:rPr>
        <w:t>68号）的规定，本公司为监狱企业。</w:t>
      </w:r>
    </w:p>
    <w:p w14:paraId="3C2CE4C6">
      <w:pPr>
        <w:spacing w:line="360" w:lineRule="auto"/>
        <w:rPr>
          <w:rFonts w:hint="eastAsia" w:ascii="宋体" w:hAnsi="宋体" w:eastAsia="宋体" w:cs="宋体"/>
          <w:color w:val="auto"/>
          <w:sz w:val="24"/>
          <w:szCs w:val="24"/>
          <w:highlight w:val="none"/>
        </w:rPr>
      </w:pPr>
    </w:p>
    <w:p w14:paraId="25406F97">
      <w:pPr>
        <w:ind w:firstLine="4440" w:firstLineChars="1850"/>
        <w:rPr>
          <w:rFonts w:hint="eastAsia" w:ascii="宋体" w:hAnsi="宋体" w:eastAsia="宋体" w:cs="宋体"/>
          <w:color w:val="auto"/>
          <w:sz w:val="24"/>
          <w:szCs w:val="24"/>
          <w:highlight w:val="none"/>
        </w:rPr>
      </w:pPr>
    </w:p>
    <w:p w14:paraId="44FF352C">
      <w:pPr>
        <w:ind w:firstLine="4440" w:firstLineChars="1850"/>
        <w:rPr>
          <w:rFonts w:hint="eastAsia" w:ascii="宋体" w:hAnsi="宋体" w:eastAsia="宋体" w:cs="宋体"/>
          <w:color w:val="auto"/>
          <w:sz w:val="24"/>
          <w:szCs w:val="24"/>
          <w:highlight w:val="none"/>
        </w:rPr>
      </w:pPr>
    </w:p>
    <w:p w14:paraId="0841D36F">
      <w:pPr>
        <w:ind w:right="1008" w:firstLine="4284" w:firstLineChars="17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lang w:val="en-US" w:eastAsia="zh-CN"/>
        </w:rPr>
        <w:t>投标人</w:t>
      </w:r>
      <w:r>
        <w:rPr>
          <w:rFonts w:hint="eastAsia" w:ascii="宋体" w:hAnsi="宋体" w:eastAsia="宋体" w:cs="宋体"/>
          <w:color w:val="auto"/>
          <w:spacing w:val="6"/>
          <w:sz w:val="24"/>
          <w:szCs w:val="24"/>
          <w:highlight w:val="none"/>
        </w:rPr>
        <w:t>名称</w:t>
      </w:r>
      <w:r>
        <w:rPr>
          <w:rFonts w:hint="eastAsia" w:ascii="宋体" w:hAnsi="宋体" w:eastAsia="宋体" w:cs="宋体"/>
          <w:color w:val="auto"/>
          <w:szCs w:val="24"/>
          <w:highlight w:val="none"/>
          <w:lang w:eastAsia="zh-CN"/>
        </w:rPr>
        <w:t>（</w:t>
      </w:r>
      <w:r>
        <w:rPr>
          <w:rFonts w:hint="eastAsia" w:ascii="宋体" w:hAnsi="宋体" w:eastAsia="宋体"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eastAsia="宋体" w:cs="宋体"/>
          <w:color w:val="auto"/>
          <w:kern w:val="0"/>
          <w:sz w:val="24"/>
          <w:highlight w:val="none"/>
          <w:lang w:val="zh-CN"/>
        </w:rPr>
        <w:t>)</w:t>
      </w:r>
      <w:r>
        <w:rPr>
          <w:rFonts w:hint="eastAsia" w:ascii="宋体" w:hAnsi="宋体" w:eastAsia="宋体" w:cs="宋体"/>
          <w:color w:val="auto"/>
          <w:spacing w:val="6"/>
          <w:sz w:val="24"/>
          <w:szCs w:val="24"/>
          <w:highlight w:val="none"/>
        </w:rPr>
        <w:t>：</w:t>
      </w:r>
    </w:p>
    <w:p w14:paraId="3678CEA7">
      <w:pPr>
        <w:ind w:right="1008" w:firstLine="4284" w:firstLineChars="1700"/>
        <w:rPr>
          <w:rFonts w:hint="eastAsia" w:ascii="宋体" w:hAnsi="宋体" w:eastAsia="宋体" w:cs="宋体"/>
          <w:color w:val="auto"/>
          <w:spacing w:val="6"/>
          <w:sz w:val="24"/>
          <w:szCs w:val="24"/>
          <w:highlight w:val="none"/>
          <w:lang w:val="en-US" w:eastAsia="zh-CN"/>
        </w:rPr>
      </w:pPr>
      <w:r>
        <w:rPr>
          <w:rFonts w:hint="eastAsia" w:ascii="宋体" w:hAnsi="宋体" w:eastAsia="宋体" w:cs="宋体"/>
          <w:color w:val="auto"/>
          <w:spacing w:val="6"/>
          <w:sz w:val="24"/>
          <w:szCs w:val="24"/>
          <w:highlight w:val="none"/>
        </w:rPr>
        <w:t>日期：</w:t>
      </w:r>
      <w:r>
        <w:rPr>
          <w:rFonts w:hint="eastAsia" w:ascii="宋体" w:hAnsi="宋体" w:eastAsia="宋体" w:cs="宋体"/>
          <w:color w:val="auto"/>
          <w:spacing w:val="6"/>
          <w:sz w:val="24"/>
          <w:szCs w:val="24"/>
          <w:highlight w:val="none"/>
          <w:lang w:val="en-US" w:eastAsia="zh-CN"/>
        </w:rPr>
        <w:t xml:space="preserve">   年  月  日</w:t>
      </w:r>
    </w:p>
    <w:p w14:paraId="75D11779">
      <w:pPr>
        <w:spacing w:line="360" w:lineRule="auto"/>
        <w:ind w:firstLine="240" w:firstLineChars="100"/>
        <w:rPr>
          <w:rFonts w:hint="eastAsia" w:ascii="宋体" w:hAnsi="宋体" w:eastAsia="宋体" w:cs="宋体"/>
          <w:color w:val="auto"/>
          <w:sz w:val="24"/>
          <w:szCs w:val="24"/>
          <w:highlight w:val="none"/>
        </w:rPr>
      </w:pPr>
    </w:p>
    <w:p w14:paraId="7B8735C9">
      <w:pPr>
        <w:spacing w:line="360" w:lineRule="auto"/>
        <w:ind w:firstLine="240" w:firstLineChars="100"/>
        <w:rPr>
          <w:rFonts w:hint="eastAsia" w:ascii="宋体" w:hAnsi="宋体" w:eastAsia="宋体" w:cs="宋体"/>
          <w:color w:val="auto"/>
          <w:sz w:val="24"/>
          <w:szCs w:val="24"/>
          <w:highlight w:val="none"/>
        </w:rPr>
      </w:pPr>
    </w:p>
    <w:p w14:paraId="32722C7E">
      <w:pPr>
        <w:spacing w:line="360" w:lineRule="auto"/>
        <w:ind w:firstLine="3360" w:firstLineChars="1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省级以上监狱管理局、戒毒管理局</w:t>
      </w:r>
    </w:p>
    <w:p w14:paraId="20204BC0">
      <w:pPr>
        <w:ind w:firstLine="3360" w:firstLineChars="1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（含新疆生产建设兵团）</w:t>
      </w:r>
      <w:r>
        <w:rPr>
          <w:rFonts w:hint="eastAsia" w:ascii="宋体" w:hAnsi="宋体" w:eastAsia="宋体" w:cs="宋体"/>
          <w:color w:val="auto"/>
          <w:kern w:val="0"/>
          <w:sz w:val="24"/>
          <w:highlight w:val="none"/>
          <w:lang w:val="zh-CN"/>
        </w:rPr>
        <w:t>(</w:t>
      </w:r>
      <w:r>
        <w:rPr>
          <w:rFonts w:hint="eastAsia" w:ascii="宋体" w:hAnsi="宋体" w:eastAsia="宋体" w:cs="宋体"/>
          <w:color w:val="auto"/>
          <w:kern w:val="0"/>
          <w:sz w:val="24"/>
          <w:szCs w:val="24"/>
          <w:highlight w:val="none"/>
          <w:lang w:eastAsia="zh-CN"/>
        </w:rPr>
        <w:t>盖章</w:t>
      </w:r>
      <w:r>
        <w:rPr>
          <w:rFonts w:hint="eastAsia" w:ascii="宋体" w:hAnsi="宋体" w:eastAsia="宋体" w:cs="宋体"/>
          <w:color w:val="auto"/>
          <w:kern w:val="0"/>
          <w:sz w:val="24"/>
          <w:highlight w:val="none"/>
          <w:lang w:val="zh-CN"/>
        </w:rPr>
        <w:t>)</w:t>
      </w:r>
      <w:r>
        <w:rPr>
          <w:rFonts w:hint="eastAsia" w:ascii="宋体" w:hAnsi="宋体" w:eastAsia="宋体" w:cs="宋体"/>
          <w:color w:val="auto"/>
          <w:sz w:val="24"/>
          <w:szCs w:val="24"/>
          <w:highlight w:val="none"/>
        </w:rPr>
        <w:t xml:space="preserve">：  </w:t>
      </w:r>
    </w:p>
    <w:p w14:paraId="4A414B41">
      <w:pPr>
        <w:ind w:firstLine="4320" w:firstLineChars="18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pacing w:val="6"/>
          <w:sz w:val="24"/>
          <w:szCs w:val="24"/>
          <w:highlight w:val="none"/>
          <w:lang w:val="en-US" w:eastAsia="zh-CN"/>
        </w:rPr>
        <w:t xml:space="preserve">   年  月  日</w:t>
      </w:r>
    </w:p>
    <w:p w14:paraId="028B0253">
      <w:pPr>
        <w:spacing w:line="360" w:lineRule="auto"/>
        <w:ind w:firstLine="240" w:firstLineChars="100"/>
        <w:rPr>
          <w:rFonts w:hint="eastAsia" w:ascii="宋体" w:hAnsi="宋体" w:eastAsia="宋体" w:cs="宋体"/>
          <w:color w:val="auto"/>
          <w:sz w:val="24"/>
          <w:szCs w:val="24"/>
          <w:highlight w:val="none"/>
        </w:rPr>
      </w:pPr>
    </w:p>
    <w:p w14:paraId="4A20867A">
      <w:pPr>
        <w:spacing w:line="360" w:lineRule="auto"/>
        <w:ind w:firstLine="4000" w:firstLineChars="1250"/>
        <w:rPr>
          <w:rFonts w:hint="eastAsia" w:ascii="仿宋_GB2312" w:hAnsi="仿宋_GB2312" w:eastAsia="仿宋_GB2312" w:cs="仿宋_GB2312"/>
          <w:color w:val="auto"/>
          <w:sz w:val="32"/>
          <w:szCs w:val="32"/>
          <w:highlight w:val="none"/>
        </w:rPr>
      </w:pPr>
    </w:p>
    <w:p w14:paraId="206A9633">
      <w:pPr>
        <w:spacing w:line="360" w:lineRule="auto"/>
        <w:rPr>
          <w:rFonts w:hint="eastAsia" w:ascii="仿宋_GB2312" w:hAnsi="仿宋_GB2312" w:eastAsia="仿宋_GB2312" w:cs="仿宋_GB2312"/>
          <w:color w:val="auto"/>
          <w:sz w:val="32"/>
          <w:szCs w:val="32"/>
          <w:highlight w:val="none"/>
        </w:rPr>
      </w:pPr>
    </w:p>
    <w:p w14:paraId="283F77FC">
      <w:pPr>
        <w:widowControl/>
        <w:spacing w:before="100" w:beforeAutospacing="1" w:after="100" w:afterAutospacing="1"/>
        <w:rPr>
          <w:rFonts w:ascii="Arial" w:hAnsi="Arial" w:cs="Arial"/>
          <w:color w:val="auto"/>
          <w:sz w:val="21"/>
          <w:szCs w:val="21"/>
          <w:highlight w:val="none"/>
        </w:rPr>
      </w:pPr>
    </w:p>
    <w:p w14:paraId="3ACDD48E">
      <w:pPr>
        <w:widowControl/>
        <w:spacing w:before="100" w:beforeAutospacing="1" w:after="100" w:afterAutospacing="1"/>
        <w:rPr>
          <w:rFonts w:ascii="Arial" w:hAnsi="Arial" w:cs="Arial"/>
          <w:color w:val="auto"/>
          <w:sz w:val="21"/>
          <w:szCs w:val="21"/>
          <w:highlight w:val="none"/>
        </w:rPr>
      </w:pPr>
    </w:p>
    <w:p w14:paraId="22F7A202">
      <w:pPr>
        <w:widowControl/>
        <w:spacing w:before="100" w:beforeAutospacing="1" w:after="100" w:afterAutospacing="1"/>
        <w:rPr>
          <w:rFonts w:ascii="Arial" w:hAnsi="Arial" w:cs="Arial"/>
          <w:color w:val="auto"/>
          <w:sz w:val="21"/>
          <w:szCs w:val="21"/>
          <w:highlight w:val="none"/>
        </w:rPr>
      </w:pPr>
    </w:p>
    <w:p w14:paraId="2AA0844D">
      <w:pPr>
        <w:pStyle w:val="4"/>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theme="minorBidi"/>
          <w:b/>
          <w:bCs/>
          <w:color w:val="auto"/>
          <w:kern w:val="2"/>
          <w:sz w:val="24"/>
          <w:szCs w:val="24"/>
          <w:highlight w:val="none"/>
          <w:lang w:val="en-US" w:eastAsia="zh-CN" w:bidi="ar-SA"/>
        </w:rPr>
      </w:pPr>
      <w:bookmarkStart w:id="370" w:name="_Toc163492941"/>
    </w:p>
    <w:p w14:paraId="05E6EFA2">
      <w:pPr>
        <w:pStyle w:val="4"/>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theme="minorBidi"/>
          <w:b/>
          <w:bCs/>
          <w:color w:val="auto"/>
          <w:kern w:val="2"/>
          <w:sz w:val="24"/>
          <w:szCs w:val="24"/>
          <w:highlight w:val="none"/>
          <w:lang w:val="en-US" w:eastAsia="zh-CN" w:bidi="ar-SA"/>
        </w:rPr>
      </w:pPr>
      <w:r>
        <w:rPr>
          <w:rFonts w:hint="eastAsia" w:ascii="宋体" w:hAnsi="宋体" w:eastAsia="宋体" w:cstheme="minorBidi"/>
          <w:b/>
          <w:bCs/>
          <w:color w:val="auto"/>
          <w:kern w:val="2"/>
          <w:sz w:val="24"/>
          <w:szCs w:val="24"/>
          <w:highlight w:val="none"/>
          <w:lang w:val="en-US" w:eastAsia="zh-CN" w:bidi="ar-SA"/>
        </w:rPr>
        <w:t>（</w:t>
      </w:r>
      <w:r>
        <w:rPr>
          <w:rFonts w:hint="eastAsia" w:cstheme="minorBidi"/>
          <w:b/>
          <w:bCs/>
          <w:color w:val="auto"/>
          <w:kern w:val="2"/>
          <w:sz w:val="24"/>
          <w:szCs w:val="24"/>
          <w:highlight w:val="none"/>
          <w:lang w:val="en-US" w:eastAsia="zh-CN" w:bidi="ar-SA"/>
        </w:rPr>
        <w:t>五</w:t>
      </w:r>
      <w:r>
        <w:rPr>
          <w:rFonts w:hint="eastAsia" w:ascii="宋体" w:hAnsi="宋体" w:eastAsia="宋体" w:cstheme="minorBidi"/>
          <w:b/>
          <w:bCs/>
          <w:color w:val="auto"/>
          <w:kern w:val="2"/>
          <w:sz w:val="24"/>
          <w:szCs w:val="24"/>
          <w:highlight w:val="none"/>
          <w:lang w:val="en-US" w:eastAsia="zh-CN" w:bidi="ar-SA"/>
        </w:rPr>
        <w:t>）残疾人福利性单位声明函</w:t>
      </w:r>
      <w:r>
        <w:rPr>
          <w:rFonts w:hint="eastAsia" w:ascii="宋体" w:hAnsi="宋体" w:eastAsia="宋体" w:cstheme="minorBidi"/>
          <w:b w:val="0"/>
          <w:bCs w:val="0"/>
          <w:color w:val="auto"/>
          <w:kern w:val="2"/>
          <w:sz w:val="24"/>
          <w:szCs w:val="24"/>
          <w:highlight w:val="none"/>
          <w:lang w:val="en-US" w:eastAsia="zh-CN" w:bidi="ar-SA"/>
        </w:rPr>
        <w:t>【如适用】</w:t>
      </w:r>
      <w:bookmarkEnd w:id="370"/>
    </w:p>
    <w:p w14:paraId="0EAC9468">
      <w:pPr>
        <w:pStyle w:val="39"/>
        <w:numPr>
          <w:ilvl w:val="0"/>
          <w:numId w:val="0"/>
        </w:numPr>
        <w:ind w:left="420" w:leftChars="0" w:hanging="420" w:firstLineChars="0"/>
        <w:jc w:val="center"/>
        <w:rPr>
          <w:rFonts w:hint="eastAsia"/>
          <w:b/>
          <w:bCs/>
          <w:color w:val="auto"/>
          <w:sz w:val="32"/>
          <w:szCs w:val="32"/>
          <w:highlight w:val="none"/>
        </w:rPr>
      </w:pPr>
    </w:p>
    <w:p w14:paraId="091B47EA">
      <w:pPr>
        <w:pStyle w:val="39"/>
        <w:numPr>
          <w:ilvl w:val="0"/>
          <w:numId w:val="0"/>
        </w:numPr>
        <w:ind w:left="420" w:leftChars="0" w:hanging="420" w:firstLineChars="0"/>
        <w:jc w:val="center"/>
        <w:rPr>
          <w:b/>
          <w:bCs/>
          <w:color w:val="auto"/>
          <w:sz w:val="32"/>
          <w:szCs w:val="32"/>
          <w:highlight w:val="none"/>
        </w:rPr>
      </w:pPr>
      <w:r>
        <w:rPr>
          <w:rFonts w:hint="eastAsia"/>
          <w:b/>
          <w:bCs/>
          <w:color w:val="auto"/>
          <w:sz w:val="32"/>
          <w:szCs w:val="32"/>
          <w:highlight w:val="none"/>
        </w:rPr>
        <w:t>残疾人福利性单位声明函</w:t>
      </w:r>
    </w:p>
    <w:p w14:paraId="28D13EE8">
      <w:pPr>
        <w:wordWrap w:val="0"/>
        <w:ind w:firstLine="480" w:firstLineChars="200"/>
        <w:rPr>
          <w:rFonts w:hint="eastAsia"/>
          <w:color w:val="auto"/>
          <w:szCs w:val="24"/>
          <w:highlight w:val="none"/>
        </w:rPr>
      </w:pPr>
    </w:p>
    <w:p w14:paraId="2B2B6A0A">
      <w:pPr>
        <w:wordWrap w:val="0"/>
        <w:ind w:firstLine="480" w:firstLineChars="200"/>
        <w:rPr>
          <w:i w:val="0"/>
          <w:iCs w:val="0"/>
          <w:color w:val="auto"/>
          <w:szCs w:val="24"/>
          <w:highlight w:val="none"/>
        </w:rPr>
      </w:pPr>
      <w:r>
        <w:rPr>
          <w:rFonts w:hint="eastAsia"/>
          <w:i w:val="0"/>
          <w:iCs w:val="0"/>
          <w:color w:val="auto"/>
          <w:szCs w:val="24"/>
          <w:highlight w:val="none"/>
        </w:rPr>
        <w:t>本公司（联合体）郑重声明，根据《财政部 民政部 中国残疾人联合会关于促进残疾人就业政府采购政策的通知》（财库〔2017〕141号）的规定，本公司（联合体）参加</w:t>
      </w:r>
      <w:r>
        <w:rPr>
          <w:rFonts w:hint="eastAsia"/>
          <w:i w:val="0"/>
          <w:iCs w:val="0"/>
          <w:color w:val="auto"/>
          <w:szCs w:val="24"/>
          <w:highlight w:val="none"/>
          <w:u w:val="single"/>
        </w:rPr>
        <w:t xml:space="preserve"> （单位名称） </w:t>
      </w:r>
      <w:r>
        <w:rPr>
          <w:rFonts w:hint="eastAsia"/>
          <w:i w:val="0"/>
          <w:iCs w:val="0"/>
          <w:color w:val="auto"/>
          <w:szCs w:val="24"/>
          <w:highlight w:val="none"/>
        </w:rPr>
        <w:t>的</w:t>
      </w:r>
      <w:r>
        <w:rPr>
          <w:rFonts w:hint="eastAsia"/>
          <w:i w:val="0"/>
          <w:iCs w:val="0"/>
          <w:color w:val="auto"/>
          <w:szCs w:val="24"/>
          <w:highlight w:val="none"/>
          <w:u w:val="single"/>
        </w:rPr>
        <w:t xml:space="preserve"> （项目名称） </w:t>
      </w:r>
      <w:r>
        <w:rPr>
          <w:rFonts w:hint="eastAsia"/>
          <w:i w:val="0"/>
          <w:iCs w:val="0"/>
          <w:color w:val="auto"/>
          <w:szCs w:val="24"/>
          <w:highlight w:val="none"/>
        </w:rPr>
        <w:t>采购活动，提供的货物</w:t>
      </w:r>
      <w:r>
        <w:rPr>
          <w:rFonts w:hint="eastAsia"/>
          <w:b/>
          <w:i w:val="0"/>
          <w:iCs w:val="0"/>
          <w:color w:val="auto"/>
          <w:szCs w:val="24"/>
          <w:highlight w:val="none"/>
        </w:rPr>
        <w:t>全部由</w:t>
      </w:r>
      <w:r>
        <w:rPr>
          <w:rFonts w:hint="eastAsia"/>
          <w:i w:val="0"/>
          <w:iCs w:val="0"/>
          <w:color w:val="auto"/>
          <w:szCs w:val="24"/>
          <w:highlight w:val="none"/>
        </w:rPr>
        <w:t>符合政策要求的</w:t>
      </w:r>
      <w:r>
        <w:rPr>
          <w:rFonts w:hint="eastAsia"/>
          <w:b/>
          <w:i w:val="0"/>
          <w:iCs w:val="0"/>
          <w:color w:val="auto"/>
          <w:szCs w:val="24"/>
          <w:highlight w:val="none"/>
        </w:rPr>
        <w:t>残疾人福利性单位制造</w:t>
      </w:r>
      <w:r>
        <w:rPr>
          <w:rFonts w:hint="eastAsia"/>
          <w:i w:val="0"/>
          <w:iCs w:val="0"/>
          <w:color w:val="auto"/>
          <w:szCs w:val="24"/>
          <w:highlight w:val="none"/>
        </w:rPr>
        <w:t>。相关企业（含联合体中的残疾人福利性单位、签订分包意向协议</w:t>
      </w:r>
      <w:r>
        <w:rPr>
          <w:rFonts w:hint="eastAsia"/>
          <w:i w:val="0"/>
          <w:iCs w:val="0"/>
          <w:color w:val="auto"/>
          <w:szCs w:val="24"/>
          <w:highlight w:val="none"/>
          <w:lang w:val="en-US" w:eastAsia="zh-CN"/>
        </w:rPr>
        <w:t>书</w:t>
      </w:r>
      <w:r>
        <w:rPr>
          <w:rFonts w:hint="eastAsia"/>
          <w:i w:val="0"/>
          <w:iCs w:val="0"/>
          <w:color w:val="auto"/>
          <w:szCs w:val="24"/>
          <w:highlight w:val="none"/>
        </w:rPr>
        <w:t>的残疾人福利性单位）的具体情况如下：</w:t>
      </w:r>
    </w:p>
    <w:p w14:paraId="2B0D31AB">
      <w:pPr>
        <w:wordWrap w:val="0"/>
        <w:ind w:firstLine="480" w:firstLineChars="200"/>
        <w:rPr>
          <w:i w:val="0"/>
          <w:iCs w:val="0"/>
          <w:color w:val="auto"/>
          <w:szCs w:val="24"/>
          <w:highlight w:val="none"/>
        </w:rPr>
      </w:pPr>
      <w:r>
        <w:rPr>
          <w:rFonts w:hint="eastAsia"/>
          <w:i w:val="0"/>
          <w:iCs w:val="0"/>
          <w:color w:val="auto"/>
          <w:szCs w:val="24"/>
          <w:highlight w:val="none"/>
        </w:rPr>
        <w:t>1.</w:t>
      </w:r>
      <w:r>
        <w:rPr>
          <w:rFonts w:hint="eastAsia"/>
          <w:i w:val="0"/>
          <w:iCs w:val="0"/>
          <w:color w:val="auto"/>
          <w:szCs w:val="24"/>
          <w:highlight w:val="none"/>
          <w:u w:val="single"/>
        </w:rPr>
        <w:t xml:space="preserve"> （标的名称） </w:t>
      </w:r>
      <w:r>
        <w:rPr>
          <w:rFonts w:hint="eastAsia"/>
          <w:i w:val="0"/>
          <w:iCs w:val="0"/>
          <w:color w:val="auto"/>
          <w:szCs w:val="24"/>
          <w:highlight w:val="none"/>
        </w:rPr>
        <w:t xml:space="preserve">，制造商为 </w:t>
      </w:r>
      <w:r>
        <w:rPr>
          <w:i w:val="0"/>
          <w:iCs w:val="0"/>
          <w:color w:val="auto"/>
          <w:szCs w:val="24"/>
          <w:highlight w:val="none"/>
          <w:u w:val="single"/>
        </w:rPr>
        <w:t xml:space="preserve">  </w:t>
      </w:r>
      <w:r>
        <w:rPr>
          <w:rFonts w:hint="eastAsia"/>
          <w:i w:val="0"/>
          <w:iCs w:val="0"/>
          <w:color w:val="auto"/>
          <w:szCs w:val="24"/>
          <w:highlight w:val="none"/>
          <w:u w:val="single"/>
        </w:rPr>
        <w:t xml:space="preserve">（企业名称） </w:t>
      </w:r>
      <w:r>
        <w:rPr>
          <w:rFonts w:hint="eastAsia"/>
          <w:i w:val="0"/>
          <w:iCs w:val="0"/>
          <w:color w:val="auto"/>
          <w:szCs w:val="24"/>
          <w:highlight w:val="none"/>
        </w:rPr>
        <w:t>，属于残疾人福利性单位；</w:t>
      </w:r>
    </w:p>
    <w:p w14:paraId="138F8FD5">
      <w:pPr>
        <w:wordWrap w:val="0"/>
        <w:ind w:firstLine="480" w:firstLineChars="200"/>
        <w:rPr>
          <w:i w:val="0"/>
          <w:iCs w:val="0"/>
          <w:color w:val="auto"/>
          <w:szCs w:val="24"/>
          <w:highlight w:val="none"/>
        </w:rPr>
      </w:pPr>
      <w:r>
        <w:rPr>
          <w:rFonts w:hint="eastAsia"/>
          <w:i w:val="0"/>
          <w:iCs w:val="0"/>
          <w:color w:val="auto"/>
          <w:szCs w:val="24"/>
          <w:highlight w:val="none"/>
        </w:rPr>
        <w:t xml:space="preserve">2. </w:t>
      </w:r>
      <w:r>
        <w:rPr>
          <w:rFonts w:hint="eastAsia"/>
          <w:i w:val="0"/>
          <w:iCs w:val="0"/>
          <w:color w:val="auto"/>
          <w:szCs w:val="24"/>
          <w:highlight w:val="none"/>
          <w:u w:val="single"/>
        </w:rPr>
        <w:t xml:space="preserve">（标的名称） </w:t>
      </w:r>
      <w:r>
        <w:rPr>
          <w:rFonts w:hint="eastAsia"/>
          <w:i w:val="0"/>
          <w:iCs w:val="0"/>
          <w:color w:val="auto"/>
          <w:szCs w:val="24"/>
          <w:highlight w:val="none"/>
        </w:rPr>
        <w:t xml:space="preserve">，制造商为 </w:t>
      </w:r>
      <w:r>
        <w:rPr>
          <w:i w:val="0"/>
          <w:iCs w:val="0"/>
          <w:color w:val="auto"/>
          <w:szCs w:val="24"/>
          <w:highlight w:val="none"/>
          <w:u w:val="single"/>
        </w:rPr>
        <w:t xml:space="preserve">  </w:t>
      </w:r>
      <w:r>
        <w:rPr>
          <w:rFonts w:hint="eastAsia"/>
          <w:i w:val="0"/>
          <w:iCs w:val="0"/>
          <w:color w:val="auto"/>
          <w:szCs w:val="24"/>
          <w:highlight w:val="none"/>
          <w:u w:val="single"/>
        </w:rPr>
        <w:t xml:space="preserve">（企业名称） </w:t>
      </w:r>
      <w:r>
        <w:rPr>
          <w:rFonts w:hint="eastAsia"/>
          <w:i w:val="0"/>
          <w:iCs w:val="0"/>
          <w:color w:val="auto"/>
          <w:szCs w:val="24"/>
          <w:highlight w:val="none"/>
        </w:rPr>
        <w:t>，属于残疾人福利性单位；</w:t>
      </w:r>
    </w:p>
    <w:p w14:paraId="7FB12063">
      <w:pPr>
        <w:wordWrap w:val="0"/>
        <w:ind w:firstLine="480" w:firstLineChars="200"/>
        <w:rPr>
          <w:i w:val="0"/>
          <w:iCs w:val="0"/>
          <w:color w:val="auto"/>
          <w:szCs w:val="24"/>
          <w:highlight w:val="none"/>
        </w:rPr>
      </w:pPr>
      <w:r>
        <w:rPr>
          <w:rFonts w:hint="eastAsia"/>
          <w:i w:val="0"/>
          <w:iCs w:val="0"/>
          <w:color w:val="auto"/>
          <w:szCs w:val="24"/>
          <w:highlight w:val="none"/>
        </w:rPr>
        <w:t>……</w:t>
      </w:r>
    </w:p>
    <w:p w14:paraId="7B8F3287">
      <w:pPr>
        <w:wordWrap w:val="0"/>
        <w:ind w:firstLine="480" w:firstLineChars="200"/>
        <w:rPr>
          <w:i w:val="0"/>
          <w:iCs w:val="0"/>
          <w:color w:val="auto"/>
          <w:szCs w:val="24"/>
          <w:highlight w:val="none"/>
        </w:rPr>
      </w:pPr>
      <w:r>
        <w:rPr>
          <w:rFonts w:hint="eastAsia"/>
          <w:i w:val="0"/>
          <w:iCs w:val="0"/>
          <w:color w:val="auto"/>
          <w:szCs w:val="24"/>
          <w:highlight w:val="none"/>
        </w:rPr>
        <w:t>以上企业，不属于大企业的分支机构，不存在控股股东为大企业的情形，也不存在与大企业的负责人为同一人的情形。</w:t>
      </w:r>
    </w:p>
    <w:p w14:paraId="18EB7223">
      <w:pPr>
        <w:wordWrap w:val="0"/>
        <w:ind w:left="1087" w:leftChars="200" w:hanging="607" w:hangingChars="253"/>
        <w:rPr>
          <w:i w:val="0"/>
          <w:iCs w:val="0"/>
          <w:color w:val="auto"/>
          <w:szCs w:val="24"/>
          <w:highlight w:val="none"/>
        </w:rPr>
      </w:pPr>
      <w:r>
        <w:rPr>
          <w:rFonts w:hint="eastAsia"/>
          <w:i w:val="0"/>
          <w:iCs w:val="0"/>
          <w:color w:val="auto"/>
          <w:szCs w:val="24"/>
          <w:highlight w:val="none"/>
        </w:rPr>
        <w:t>本企业对上述声明内容的真实性负责。如有虚假，将依法承担相应责任。</w:t>
      </w:r>
    </w:p>
    <w:p w14:paraId="44C7A080">
      <w:pPr>
        <w:wordWrap w:val="0"/>
        <w:ind w:left="1091" w:hanging="1091" w:hangingChars="453"/>
        <w:rPr>
          <w:b/>
          <w:bCs/>
          <w:i w:val="0"/>
          <w:iCs w:val="0"/>
          <w:color w:val="auto"/>
          <w:szCs w:val="24"/>
          <w:highlight w:val="none"/>
        </w:rPr>
      </w:pPr>
    </w:p>
    <w:p w14:paraId="43523196">
      <w:pPr>
        <w:wordWrap w:val="0"/>
        <w:ind w:left="1091" w:hanging="1091" w:hangingChars="453"/>
        <w:rPr>
          <w:bCs/>
          <w:i w:val="0"/>
          <w:iCs w:val="0"/>
          <w:color w:val="auto"/>
          <w:szCs w:val="24"/>
          <w:highlight w:val="none"/>
        </w:rPr>
      </w:pPr>
      <w:r>
        <w:rPr>
          <w:rFonts w:hint="eastAsia"/>
          <w:b/>
          <w:bCs/>
          <w:i w:val="0"/>
          <w:iCs w:val="0"/>
          <w:color w:val="auto"/>
          <w:szCs w:val="24"/>
          <w:highlight w:val="none"/>
        </w:rPr>
        <w:t>说明：</w:t>
      </w:r>
      <w:r>
        <w:rPr>
          <w:rFonts w:hint="eastAsia"/>
          <w:bCs/>
          <w:i w:val="0"/>
          <w:iCs w:val="0"/>
          <w:color w:val="auto"/>
          <w:szCs w:val="24"/>
          <w:highlight w:val="none"/>
        </w:rPr>
        <w:t>1、</w:t>
      </w:r>
      <w:r>
        <w:rPr>
          <w:rFonts w:hint="eastAsia"/>
          <w:bCs/>
          <w:i w:val="0"/>
          <w:iCs w:val="0"/>
          <w:color w:val="auto"/>
          <w:szCs w:val="21"/>
          <w:highlight w:val="none"/>
          <w:lang w:val="zh-CN"/>
        </w:rPr>
        <w:t>货物应当全部由符合政策要求的残疾人福利性单位生产且使用该残疾人福利性单位商号或注册商标（与代理商或投标人无关）；应当严格按上述格式及内容进行填写（应当明确每个标的的生产企业类型及相关数据），否则导致的后果由投标人自行承担；</w:t>
      </w:r>
    </w:p>
    <w:p w14:paraId="2288B711">
      <w:pPr>
        <w:wordWrap w:val="0"/>
        <w:ind w:left="1087" w:hanging="1087" w:hangingChars="453"/>
        <w:rPr>
          <w:rFonts w:cs="Courier New"/>
          <w:color w:val="auto"/>
          <w:szCs w:val="21"/>
          <w:highlight w:val="none"/>
        </w:rPr>
      </w:pPr>
      <w:r>
        <w:rPr>
          <w:rFonts w:hint="eastAsia"/>
          <w:bCs/>
          <w:i w:val="0"/>
          <w:iCs w:val="0"/>
          <w:color w:val="auto"/>
          <w:szCs w:val="21"/>
          <w:highlight w:val="none"/>
          <w:lang w:val="zh-CN"/>
        </w:rPr>
        <w:t xml:space="preserve">      2、</w:t>
      </w:r>
      <w:r>
        <w:rPr>
          <w:rFonts w:hint="eastAsia" w:cs="Courier New"/>
          <w:i w:val="0"/>
          <w:iCs w:val="0"/>
          <w:color w:val="auto"/>
          <w:szCs w:val="21"/>
          <w:highlight w:val="none"/>
        </w:rPr>
        <w:t>以联合体形式参加的，应</w:t>
      </w:r>
      <w:r>
        <w:rPr>
          <w:rFonts w:hint="eastAsia"/>
          <w:bCs/>
          <w:i w:val="0"/>
          <w:iCs w:val="0"/>
          <w:color w:val="auto"/>
          <w:szCs w:val="21"/>
          <w:highlight w:val="none"/>
          <w:lang w:val="zh-CN"/>
        </w:rPr>
        <w:t>当</w:t>
      </w:r>
      <w:r>
        <w:rPr>
          <w:rFonts w:hint="eastAsia" w:cs="Courier New"/>
          <w:i w:val="0"/>
          <w:iCs w:val="0"/>
          <w:color w:val="auto"/>
          <w:szCs w:val="21"/>
          <w:highlight w:val="none"/>
        </w:rPr>
        <w:t>由联合体各方盖章。</w:t>
      </w:r>
    </w:p>
    <w:p w14:paraId="71983F83">
      <w:pPr>
        <w:wordWrap w:val="0"/>
        <w:spacing w:before="100" w:beforeAutospacing="1" w:after="100" w:afterAutospacing="1"/>
        <w:ind w:firstLine="3316" w:firstLineChars="1382"/>
        <w:rPr>
          <w:bCs/>
          <w:color w:val="auto"/>
          <w:szCs w:val="21"/>
          <w:highlight w:val="none"/>
          <w:lang w:val="zh-CN"/>
        </w:rPr>
      </w:pPr>
      <w:r>
        <w:rPr>
          <w:rFonts w:hint="eastAsia"/>
          <w:bCs/>
          <w:color w:val="auto"/>
          <w:szCs w:val="21"/>
          <w:highlight w:val="none"/>
          <w:lang w:val="zh-CN"/>
        </w:rPr>
        <w:t>投标人</w:t>
      </w:r>
      <w:r>
        <w:rPr>
          <w:rFonts w:hint="eastAsia"/>
          <w:bCs/>
          <w:color w:val="auto"/>
          <w:szCs w:val="21"/>
          <w:highlight w:val="none"/>
          <w:lang w:val="en-US" w:eastAsia="zh-CN"/>
        </w:rPr>
        <w:t>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hint="eastAsia"/>
          <w:bCs/>
          <w:color w:val="auto"/>
          <w:szCs w:val="21"/>
          <w:highlight w:val="none"/>
          <w:lang w:val="zh-CN"/>
        </w:rPr>
        <w:t>：</w:t>
      </w:r>
      <w:r>
        <w:rPr>
          <w:rFonts w:hint="eastAsia"/>
          <w:bCs/>
          <w:color w:val="auto"/>
          <w:szCs w:val="21"/>
          <w:highlight w:val="none"/>
          <w:u w:val="single"/>
          <w:lang w:val="zh-CN"/>
        </w:rPr>
        <w:t xml:space="preserve">              </w:t>
      </w:r>
    </w:p>
    <w:p w14:paraId="3A972AC9">
      <w:pPr>
        <w:wordWrap w:val="0"/>
        <w:spacing w:before="100" w:beforeAutospacing="1" w:after="100" w:afterAutospacing="1"/>
        <w:ind w:firstLine="3316" w:firstLineChars="1382"/>
        <w:rPr>
          <w:color w:val="auto"/>
          <w:highlight w:val="none"/>
        </w:rPr>
      </w:pPr>
      <w:r>
        <w:rPr>
          <w:rFonts w:hint="eastAsia"/>
          <w:color w:val="auto"/>
          <w:szCs w:val="24"/>
          <w:highlight w:val="none"/>
        </w:rPr>
        <w:t>日</w:t>
      </w:r>
      <w:r>
        <w:rPr>
          <w:color w:val="auto"/>
          <w:szCs w:val="24"/>
          <w:highlight w:val="none"/>
        </w:rPr>
        <w:t xml:space="preserve">  </w:t>
      </w:r>
      <w:r>
        <w:rPr>
          <w:rFonts w:hint="eastAsia"/>
          <w:color w:val="auto"/>
          <w:szCs w:val="24"/>
          <w:highlight w:val="none"/>
        </w:rPr>
        <w:t>期：</w:t>
      </w:r>
      <w:r>
        <w:rPr>
          <w:bCs/>
          <w:color w:val="auto"/>
          <w:szCs w:val="24"/>
          <w:highlight w:val="none"/>
          <w:u w:val="single"/>
        </w:rPr>
        <w:t xml:space="preserve">                         </w:t>
      </w:r>
    </w:p>
    <w:p w14:paraId="6F5F8DCA">
      <w:pPr>
        <w:ind w:left="4620" w:firstLine="281" w:firstLineChars="100"/>
        <w:rPr>
          <w:rFonts w:cs="仿宋_GB2312"/>
          <w:b/>
          <w:color w:val="auto"/>
          <w:sz w:val="28"/>
          <w:szCs w:val="28"/>
          <w:highlight w:val="none"/>
        </w:rPr>
      </w:pPr>
    </w:p>
    <w:p w14:paraId="7BDD1A80">
      <w:pPr>
        <w:rPr>
          <w:color w:val="auto"/>
          <w:highlight w:val="none"/>
        </w:rPr>
      </w:pPr>
      <w:r>
        <w:rPr>
          <w:color w:val="auto"/>
          <w:highlight w:val="none"/>
        </w:rPr>
        <w:br w:type="page"/>
      </w:r>
    </w:p>
    <w:p w14:paraId="4044E1FE">
      <w:pPr>
        <w:pStyle w:val="4"/>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theme="minorBidi"/>
          <w:b/>
          <w:bCs/>
          <w:color w:val="auto"/>
          <w:kern w:val="2"/>
          <w:sz w:val="24"/>
          <w:szCs w:val="24"/>
          <w:highlight w:val="none"/>
          <w:lang w:val="en-US" w:eastAsia="zh-CN" w:bidi="ar-SA"/>
        </w:rPr>
      </w:pPr>
      <w:bookmarkStart w:id="371" w:name="_Toc163492942"/>
    </w:p>
    <w:p w14:paraId="4B9EE2D8">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eastAsia" w:cstheme="majorBidi"/>
          <w:b/>
          <w:bCs/>
          <w:color w:val="auto"/>
          <w:kern w:val="2"/>
          <w:sz w:val="28"/>
          <w:szCs w:val="28"/>
          <w:highlight w:val="none"/>
          <w:lang w:val="en-US" w:eastAsia="zh-CN" w:bidi="ar-SA"/>
        </w:rPr>
      </w:pPr>
      <w:bookmarkStart w:id="372" w:name="_Toc18544"/>
      <w:r>
        <w:rPr>
          <w:rFonts w:hint="eastAsia" w:cstheme="majorBidi"/>
          <w:b/>
          <w:bCs/>
          <w:color w:val="auto"/>
          <w:kern w:val="2"/>
          <w:sz w:val="28"/>
          <w:szCs w:val="28"/>
          <w:highlight w:val="none"/>
          <w:lang w:val="en-US" w:eastAsia="zh-CN" w:bidi="ar-SA"/>
        </w:rPr>
        <w:t>五、不参与围标串标承诺书</w:t>
      </w:r>
      <w:bookmarkEnd w:id="372"/>
    </w:p>
    <w:p w14:paraId="70D7F20B">
      <w:pPr>
        <w:pStyle w:val="3"/>
        <w:keepNext/>
        <w:keepLines/>
        <w:pageBreakBefore w:val="0"/>
        <w:widowControl w:val="0"/>
        <w:numPr>
          <w:ilvl w:val="0"/>
          <w:numId w:val="0"/>
        </w:numPr>
        <w:kinsoku/>
        <w:wordWrap/>
        <w:overflowPunct/>
        <w:topLinePunct w:val="0"/>
        <w:autoSpaceDE/>
        <w:autoSpaceDN/>
        <w:bidi w:val="0"/>
        <w:adjustRightInd/>
        <w:snapToGrid/>
        <w:spacing w:before="100" w:after="100" w:line="240" w:lineRule="auto"/>
        <w:ind w:left="420" w:leftChars="0" w:hanging="420" w:firstLineChars="0"/>
        <w:textAlignment w:val="auto"/>
        <w:rPr>
          <w:rFonts w:hint="eastAsia" w:eastAsia="宋体" w:asciiTheme="majorHAnsi" w:hAnsiTheme="majorHAnsi" w:cstheme="majorBidi"/>
          <w:b/>
          <w:bCs/>
          <w:color w:val="auto"/>
          <w:kern w:val="2"/>
          <w:sz w:val="32"/>
          <w:szCs w:val="32"/>
          <w:highlight w:val="none"/>
          <w:lang w:val="en-US" w:eastAsia="zh-CN" w:bidi="ar-SA"/>
        </w:rPr>
      </w:pPr>
    </w:p>
    <w:p w14:paraId="75FF23AC">
      <w:pPr>
        <w:jc w:val="center"/>
        <w:rPr>
          <w:rFonts w:hint="eastAsia"/>
          <w:color w:val="auto"/>
          <w:highlight w:val="none"/>
          <w:lang w:val="en-US" w:eastAsia="zh-CN"/>
        </w:rPr>
      </w:pPr>
      <w:r>
        <w:rPr>
          <w:rFonts w:hint="eastAsia" w:cstheme="majorBidi"/>
          <w:b/>
          <w:bCs/>
          <w:color w:val="auto"/>
          <w:kern w:val="2"/>
          <w:sz w:val="32"/>
          <w:szCs w:val="32"/>
          <w:highlight w:val="none"/>
          <w:lang w:val="en-US" w:eastAsia="zh-CN" w:bidi="ar-SA"/>
        </w:rPr>
        <w:t>不参与围标串标承诺书</w:t>
      </w:r>
    </w:p>
    <w:p w14:paraId="6B233C07">
      <w:pPr>
        <w:rPr>
          <w:rFonts w:hint="eastAsia"/>
          <w:color w:val="auto"/>
          <w:highlight w:val="none"/>
          <w:lang w:val="en-US" w:eastAsia="zh-CN"/>
        </w:rPr>
      </w:pPr>
      <w:r>
        <w:rPr>
          <w:rFonts w:hint="eastAsia"/>
          <w:color w:val="auto"/>
          <w:highlight w:val="none"/>
          <w:lang w:val="en-US" w:eastAsia="zh-CN"/>
        </w:rPr>
        <w:t>  </w:t>
      </w:r>
    </w:p>
    <w:p w14:paraId="1ACC5C3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olor w:val="auto"/>
          <w:highlight w:val="none"/>
          <w:lang w:val="en-US" w:eastAsia="zh-CN"/>
        </w:rPr>
      </w:pPr>
      <w:r>
        <w:rPr>
          <w:rFonts w:hint="eastAsia"/>
          <w:color w:val="auto"/>
          <w:highlight w:val="none"/>
          <w:lang w:val="en-US" w:eastAsia="zh-CN"/>
        </w:rPr>
        <w:t>本人作为经授权的投标人代表,清楚知晓我单位本项目投标活动,对以下事项作出承诺：</w:t>
      </w:r>
    </w:p>
    <w:p w14:paraId="398E608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olor w:val="auto"/>
          <w:highlight w:val="none"/>
          <w:lang w:val="en-US" w:eastAsia="zh-CN"/>
        </w:rPr>
      </w:pPr>
    </w:p>
    <w:p w14:paraId="26BB11E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olor w:val="auto"/>
          <w:highlight w:val="none"/>
          <w:lang w:val="en-US" w:eastAsia="zh-CN"/>
        </w:rPr>
      </w:pPr>
      <w:r>
        <w:rPr>
          <w:rFonts w:hint="eastAsia"/>
          <w:color w:val="auto"/>
          <w:highlight w:val="none"/>
          <w:lang w:val="en-US" w:eastAsia="zh-CN"/>
        </w:rPr>
        <w:t>一、我单位和我本人遵循公开透明、公平竞争、公正和诚实信用的原则,依法依规参与本项目竞标。</w:t>
      </w:r>
    </w:p>
    <w:p w14:paraId="10BBFC5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olor w:val="auto"/>
          <w:highlight w:val="none"/>
          <w:lang w:val="en-US" w:eastAsia="zh-CN"/>
        </w:rPr>
      </w:pPr>
      <w:r>
        <w:rPr>
          <w:rFonts w:hint="eastAsia"/>
          <w:color w:val="auto"/>
          <w:highlight w:val="none"/>
          <w:lang w:val="en-US" w:eastAsia="zh-CN"/>
        </w:rPr>
        <w:t>二、我单位和我本人在本项目政府采购投标活动中,未参与围标串标。</w:t>
      </w:r>
    </w:p>
    <w:p w14:paraId="1A7E347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olor w:val="auto"/>
          <w:highlight w:val="none"/>
          <w:lang w:val="en-US" w:eastAsia="zh-CN"/>
        </w:rPr>
      </w:pPr>
      <w:r>
        <w:rPr>
          <w:rFonts w:hint="eastAsia"/>
          <w:color w:val="auto"/>
          <w:highlight w:val="none"/>
          <w:lang w:val="en-US" w:eastAsia="zh-CN"/>
        </w:rPr>
        <w:t>三、我单位如被查实在本项目政府采购投标活动中存在围标串标的，递交投标文件行为作为实施串通投标违法行为的关键环节,由我单位及法定代表人承担相应的法律责任，接受相应行政处罚和失信惩戒。</w:t>
      </w:r>
    </w:p>
    <w:p w14:paraId="29E3C848">
      <w:pPr>
        <w:pStyle w:val="13"/>
        <w:rPr>
          <w:rFonts w:hint="eastAsia"/>
          <w:color w:val="auto"/>
          <w:highlight w:val="none"/>
          <w:lang w:val="en-US" w:eastAsia="zh-CN"/>
        </w:rPr>
      </w:pPr>
    </w:p>
    <w:p w14:paraId="39CB3E48">
      <w:pPr>
        <w:spacing w:line="560" w:lineRule="exact"/>
        <w:rPr>
          <w:rFonts w:hint="eastAsia" w:ascii="宋体" w:hAnsi="宋体" w:eastAsia="宋体" w:cs="宋体"/>
          <w:color w:val="auto"/>
          <w:kern w:val="0"/>
          <w:sz w:val="24"/>
          <w:szCs w:val="24"/>
          <w:highlight w:val="none"/>
        </w:rPr>
      </w:pPr>
    </w:p>
    <w:p w14:paraId="19648C53">
      <w:pPr>
        <w:spacing w:line="560" w:lineRule="exact"/>
        <w:rPr>
          <w:rFonts w:hint="eastAsia" w:ascii="宋体" w:hAnsi="宋体" w:eastAsia="宋体" w:cs="宋体"/>
          <w:color w:val="auto"/>
          <w:kern w:val="0"/>
          <w:sz w:val="24"/>
          <w:szCs w:val="24"/>
          <w:highlight w:val="none"/>
        </w:rPr>
      </w:pPr>
      <w:r>
        <w:rPr>
          <w:rFonts w:hint="eastAsia" w:cs="宋体"/>
          <w:color w:val="auto"/>
          <w:kern w:val="0"/>
          <w:sz w:val="24"/>
          <w:szCs w:val="24"/>
          <w:highlight w:val="none"/>
          <w:lang w:val="en-US" w:eastAsia="zh-CN"/>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hint="eastAsia" w:ascii="宋体" w:hAnsi="宋体" w:eastAsia="宋体" w:cs="宋体"/>
          <w:color w:val="auto"/>
          <w:kern w:val="0"/>
          <w:sz w:val="24"/>
          <w:szCs w:val="24"/>
          <w:highlight w:val="none"/>
        </w:rPr>
        <w:t>：</w:t>
      </w:r>
    </w:p>
    <w:p w14:paraId="2CCE383A">
      <w:pPr>
        <w:spacing w:line="56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法定代表人</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负责人</w:t>
      </w:r>
      <w:r>
        <w:rPr>
          <w:rFonts w:hint="eastAsia" w:ascii="宋体" w:hAnsi="宋体" w:eastAsia="宋体" w:cs="宋体"/>
          <w:color w:val="auto"/>
          <w:kern w:val="0"/>
          <w:sz w:val="24"/>
          <w:szCs w:val="24"/>
          <w:highlight w:val="none"/>
          <w:lang w:val="en-US" w:eastAsia="zh-CN"/>
        </w:rPr>
        <w:t>或</w:t>
      </w:r>
      <w:r>
        <w:rPr>
          <w:rFonts w:hint="eastAsia" w:ascii="宋体" w:hAnsi="宋体" w:eastAsia="宋体" w:cs="宋体"/>
          <w:color w:val="auto"/>
          <w:kern w:val="0"/>
          <w:sz w:val="24"/>
          <w:szCs w:val="24"/>
          <w:highlight w:val="none"/>
        </w:rPr>
        <w:t>本人</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或授权代表</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签字或</w:t>
      </w:r>
      <w:r>
        <w:rPr>
          <w:rFonts w:hint="eastAsia" w:cs="宋体"/>
          <w:color w:val="auto"/>
          <w:kern w:val="0"/>
          <w:sz w:val="24"/>
          <w:szCs w:val="24"/>
          <w:highlight w:val="none"/>
          <w:lang w:eastAsia="zh-CN"/>
        </w:rPr>
        <w:t>盖</w:t>
      </w:r>
      <w:r>
        <w:rPr>
          <w:rFonts w:hint="eastAsia" w:ascii="宋体" w:hAnsi="宋体" w:eastAsia="宋体" w:cs="宋体"/>
          <w:color w:val="auto"/>
          <w:kern w:val="0"/>
          <w:sz w:val="24"/>
          <w:szCs w:val="24"/>
          <w:highlight w:val="none"/>
          <w:lang w:eastAsia="zh-CN"/>
        </w:rPr>
        <w:t>章）</w:t>
      </w:r>
      <w:r>
        <w:rPr>
          <w:rFonts w:hint="eastAsia" w:ascii="宋体" w:hAnsi="宋体" w:eastAsia="宋体" w:cs="宋体"/>
          <w:color w:val="auto"/>
          <w:kern w:val="0"/>
          <w:sz w:val="24"/>
          <w:szCs w:val="24"/>
          <w:highlight w:val="none"/>
        </w:rPr>
        <w:t>：</w:t>
      </w:r>
    </w:p>
    <w:p w14:paraId="692B3277">
      <w:pPr>
        <w:spacing w:line="56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日期： 年 月 日</w:t>
      </w:r>
    </w:p>
    <w:p w14:paraId="13DA43E0">
      <w:pPr>
        <w:widowControl/>
        <w:spacing w:line="560" w:lineRule="exact"/>
        <w:ind w:firstLine="630"/>
        <w:jc w:val="left"/>
        <w:rPr>
          <w:rFonts w:hint="eastAsia" w:ascii="宋体" w:hAnsi="宋体" w:eastAsia="宋体" w:cs="宋体"/>
          <w:color w:val="auto"/>
          <w:kern w:val="0"/>
          <w:sz w:val="24"/>
          <w:szCs w:val="24"/>
          <w:highlight w:val="none"/>
        </w:rPr>
      </w:pPr>
    </w:p>
    <w:p w14:paraId="7CD72A88">
      <w:pPr>
        <w:pStyle w:val="13"/>
        <w:rPr>
          <w:rFonts w:hint="eastAsia"/>
          <w:color w:val="auto"/>
          <w:highlight w:val="none"/>
          <w:lang w:val="en-US" w:eastAsia="zh-CN"/>
        </w:rPr>
      </w:pPr>
    </w:p>
    <w:p w14:paraId="6FC519D1">
      <w:pPr>
        <w:pStyle w:val="13"/>
        <w:rPr>
          <w:rFonts w:hint="eastAsia"/>
          <w:color w:val="auto"/>
          <w:highlight w:val="none"/>
          <w:lang w:val="en-US" w:eastAsia="zh-CN"/>
        </w:rPr>
      </w:pPr>
    </w:p>
    <w:p w14:paraId="7500053D">
      <w:pPr>
        <w:pStyle w:val="13"/>
        <w:rPr>
          <w:rFonts w:hint="eastAsia"/>
          <w:color w:val="auto"/>
          <w:highlight w:val="none"/>
          <w:lang w:val="en-US" w:eastAsia="zh-CN"/>
        </w:rPr>
      </w:pPr>
    </w:p>
    <w:p w14:paraId="5BF64493">
      <w:pPr>
        <w:pStyle w:val="13"/>
        <w:rPr>
          <w:rFonts w:hint="eastAsia"/>
          <w:color w:val="auto"/>
          <w:highlight w:val="none"/>
          <w:lang w:val="en-US" w:eastAsia="zh-CN"/>
        </w:rPr>
      </w:pPr>
    </w:p>
    <w:p w14:paraId="5CA01A8B">
      <w:pPr>
        <w:pStyle w:val="13"/>
        <w:rPr>
          <w:rFonts w:hint="eastAsia"/>
          <w:color w:val="auto"/>
          <w:highlight w:val="none"/>
          <w:lang w:val="en-US" w:eastAsia="zh-CN"/>
        </w:rPr>
      </w:pPr>
    </w:p>
    <w:p w14:paraId="029F743D">
      <w:pPr>
        <w:pStyle w:val="13"/>
        <w:rPr>
          <w:rFonts w:hint="eastAsia"/>
          <w:color w:val="auto"/>
          <w:highlight w:val="none"/>
          <w:lang w:val="en-US" w:eastAsia="zh-CN"/>
        </w:rPr>
      </w:pPr>
    </w:p>
    <w:p w14:paraId="41587146">
      <w:pPr>
        <w:pStyle w:val="13"/>
        <w:rPr>
          <w:rFonts w:hint="eastAsia"/>
          <w:color w:val="auto"/>
          <w:highlight w:val="none"/>
          <w:lang w:val="en-US" w:eastAsia="zh-CN"/>
        </w:rPr>
      </w:pPr>
    </w:p>
    <w:p w14:paraId="34406338">
      <w:pPr>
        <w:pStyle w:val="13"/>
        <w:rPr>
          <w:rFonts w:hint="eastAsia"/>
          <w:color w:val="auto"/>
          <w:highlight w:val="none"/>
          <w:lang w:val="en-US" w:eastAsia="zh-CN"/>
        </w:rPr>
      </w:pPr>
    </w:p>
    <w:p w14:paraId="13DEAFB3">
      <w:pPr>
        <w:pStyle w:val="4"/>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theme="minorBidi"/>
          <w:b/>
          <w:bCs/>
          <w:color w:val="auto"/>
          <w:kern w:val="2"/>
          <w:sz w:val="24"/>
          <w:szCs w:val="24"/>
          <w:highlight w:val="none"/>
          <w:lang w:val="en-US" w:eastAsia="zh-CN" w:bidi="ar-SA"/>
        </w:rPr>
      </w:pPr>
    </w:p>
    <w:p w14:paraId="30C8D33E">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eastAsia" w:eastAsia="宋体" w:asciiTheme="majorHAnsi" w:hAnsiTheme="majorHAnsi" w:cstheme="majorBidi"/>
          <w:b/>
          <w:bCs/>
          <w:color w:val="auto"/>
          <w:kern w:val="2"/>
          <w:sz w:val="28"/>
          <w:szCs w:val="28"/>
          <w:highlight w:val="none"/>
          <w:lang w:val="zh-CN" w:eastAsia="zh-CN" w:bidi="ar-SA"/>
        </w:rPr>
      </w:pPr>
      <w:bookmarkStart w:id="373" w:name="_Toc28472"/>
      <w:r>
        <w:rPr>
          <w:rFonts w:hint="eastAsia" w:cstheme="majorBidi"/>
          <w:b/>
          <w:bCs/>
          <w:color w:val="auto"/>
          <w:kern w:val="2"/>
          <w:sz w:val="28"/>
          <w:szCs w:val="28"/>
          <w:highlight w:val="none"/>
          <w:lang w:val="en-US" w:eastAsia="zh-CN" w:bidi="ar-SA"/>
        </w:rPr>
        <w:t>六</w:t>
      </w:r>
      <w:r>
        <w:rPr>
          <w:rFonts w:hint="eastAsia" w:eastAsia="宋体" w:asciiTheme="majorHAnsi" w:hAnsiTheme="majorHAnsi" w:cstheme="majorBidi"/>
          <w:b/>
          <w:bCs/>
          <w:color w:val="auto"/>
          <w:kern w:val="2"/>
          <w:sz w:val="28"/>
          <w:szCs w:val="28"/>
          <w:highlight w:val="none"/>
          <w:lang w:val="en-US" w:eastAsia="zh-CN" w:bidi="ar-SA"/>
        </w:rPr>
        <w:t>、</w:t>
      </w:r>
      <w:bookmarkEnd w:id="371"/>
      <w:r>
        <w:rPr>
          <w:rFonts w:hint="eastAsia" w:eastAsia="宋体" w:asciiTheme="majorHAnsi" w:hAnsiTheme="majorHAnsi" w:cstheme="majorBidi"/>
          <w:b/>
          <w:bCs/>
          <w:color w:val="auto"/>
          <w:kern w:val="2"/>
          <w:sz w:val="28"/>
          <w:szCs w:val="28"/>
          <w:highlight w:val="none"/>
          <w:lang w:val="zh-CN" w:eastAsia="zh-CN" w:bidi="ar-SA"/>
        </w:rPr>
        <w:t>其他资格证明文件</w:t>
      </w:r>
      <w:bookmarkEnd w:id="373"/>
    </w:p>
    <w:p w14:paraId="0C24F0AE">
      <w:pPr>
        <w:pStyle w:val="37"/>
        <w:rPr>
          <w:rFonts w:hint="eastAsia"/>
          <w:color w:val="auto"/>
          <w:highlight w:val="none"/>
        </w:rPr>
      </w:pPr>
      <w:r>
        <w:rPr>
          <w:rFonts w:hint="eastAsia" w:cs="Courier New"/>
          <w:color w:val="auto"/>
          <w:szCs w:val="24"/>
          <w:highlight w:val="none"/>
        </w:rPr>
        <w:t>投标人认为需提供的其它相关资格证明材料</w:t>
      </w:r>
    </w:p>
    <w:p w14:paraId="7C2C3E83">
      <w:pPr>
        <w:pStyle w:val="37"/>
        <w:rPr>
          <w:rFonts w:hint="eastAsia"/>
          <w:color w:val="auto"/>
          <w:highlight w:val="none"/>
        </w:rPr>
      </w:pPr>
    </w:p>
    <w:p w14:paraId="58A36194">
      <w:pPr>
        <w:pStyle w:val="37"/>
        <w:rPr>
          <w:rFonts w:hint="eastAsia"/>
          <w:color w:val="auto"/>
          <w:highlight w:val="none"/>
        </w:rPr>
      </w:pPr>
    </w:p>
    <w:p w14:paraId="3553B395">
      <w:pPr>
        <w:pStyle w:val="37"/>
        <w:rPr>
          <w:rFonts w:hint="eastAsia"/>
          <w:color w:val="auto"/>
          <w:highlight w:val="none"/>
        </w:rPr>
      </w:pPr>
    </w:p>
    <w:p w14:paraId="49D404FC">
      <w:pPr>
        <w:pStyle w:val="37"/>
        <w:rPr>
          <w:rFonts w:hint="eastAsia"/>
          <w:color w:val="auto"/>
          <w:highlight w:val="none"/>
        </w:rPr>
      </w:pPr>
    </w:p>
    <w:p w14:paraId="4B98E4B6">
      <w:pPr>
        <w:pStyle w:val="37"/>
        <w:rPr>
          <w:rFonts w:hint="eastAsia"/>
          <w:color w:val="auto"/>
          <w:highlight w:val="none"/>
        </w:rPr>
      </w:pPr>
    </w:p>
    <w:p w14:paraId="737FEDD3">
      <w:pPr>
        <w:pStyle w:val="37"/>
        <w:rPr>
          <w:rFonts w:hint="eastAsia"/>
          <w:color w:val="auto"/>
          <w:highlight w:val="none"/>
        </w:rPr>
      </w:pPr>
    </w:p>
    <w:p w14:paraId="1C876135">
      <w:pPr>
        <w:pStyle w:val="37"/>
        <w:rPr>
          <w:rFonts w:hint="eastAsia"/>
          <w:color w:val="auto"/>
          <w:highlight w:val="none"/>
        </w:rPr>
      </w:pPr>
    </w:p>
    <w:p w14:paraId="7E85C842">
      <w:pPr>
        <w:pStyle w:val="37"/>
        <w:rPr>
          <w:rFonts w:hint="eastAsia"/>
          <w:color w:val="auto"/>
          <w:highlight w:val="none"/>
        </w:rPr>
      </w:pPr>
    </w:p>
    <w:p w14:paraId="4CBE3B0D">
      <w:pPr>
        <w:pStyle w:val="37"/>
        <w:rPr>
          <w:rFonts w:hint="eastAsia"/>
          <w:color w:val="auto"/>
          <w:highlight w:val="none"/>
        </w:rPr>
      </w:pPr>
    </w:p>
    <w:p w14:paraId="2E6E451F">
      <w:pPr>
        <w:pStyle w:val="37"/>
        <w:rPr>
          <w:rFonts w:hint="eastAsia"/>
          <w:color w:val="auto"/>
          <w:highlight w:val="none"/>
        </w:rPr>
      </w:pPr>
    </w:p>
    <w:p w14:paraId="38DC2C55">
      <w:pPr>
        <w:pStyle w:val="37"/>
        <w:rPr>
          <w:rFonts w:hint="eastAsia"/>
          <w:color w:val="auto"/>
          <w:highlight w:val="none"/>
        </w:rPr>
      </w:pPr>
    </w:p>
    <w:p w14:paraId="04DAFD3C">
      <w:pPr>
        <w:pStyle w:val="37"/>
        <w:rPr>
          <w:rFonts w:hint="eastAsia"/>
          <w:color w:val="auto"/>
          <w:highlight w:val="none"/>
        </w:rPr>
      </w:pPr>
    </w:p>
    <w:p w14:paraId="51E24CDC">
      <w:pPr>
        <w:pStyle w:val="37"/>
        <w:rPr>
          <w:rFonts w:hint="eastAsia"/>
          <w:color w:val="auto"/>
          <w:highlight w:val="none"/>
        </w:rPr>
      </w:pPr>
    </w:p>
    <w:p w14:paraId="1AC1942E">
      <w:pPr>
        <w:pStyle w:val="37"/>
        <w:rPr>
          <w:rFonts w:hint="eastAsia"/>
          <w:color w:val="auto"/>
          <w:highlight w:val="none"/>
        </w:rPr>
      </w:pPr>
    </w:p>
    <w:p w14:paraId="4722E259">
      <w:pPr>
        <w:pStyle w:val="37"/>
        <w:rPr>
          <w:rFonts w:hint="eastAsia"/>
          <w:color w:val="auto"/>
          <w:highlight w:val="none"/>
        </w:rPr>
      </w:pPr>
    </w:p>
    <w:p w14:paraId="07033BD3">
      <w:pPr>
        <w:pStyle w:val="37"/>
        <w:rPr>
          <w:rFonts w:hint="eastAsia"/>
          <w:color w:val="auto"/>
          <w:highlight w:val="none"/>
        </w:rPr>
      </w:pPr>
    </w:p>
    <w:p w14:paraId="6E1D094D">
      <w:pPr>
        <w:pStyle w:val="37"/>
        <w:rPr>
          <w:rFonts w:hint="eastAsia"/>
          <w:color w:val="auto"/>
          <w:highlight w:val="none"/>
        </w:rPr>
      </w:pPr>
    </w:p>
    <w:p w14:paraId="23B0DB54">
      <w:pPr>
        <w:pStyle w:val="37"/>
        <w:rPr>
          <w:rFonts w:hint="eastAsia"/>
          <w:color w:val="auto"/>
          <w:highlight w:val="none"/>
        </w:rPr>
      </w:pPr>
    </w:p>
    <w:p w14:paraId="07159DF6">
      <w:pPr>
        <w:pStyle w:val="37"/>
        <w:rPr>
          <w:rFonts w:hint="eastAsia"/>
          <w:color w:val="auto"/>
          <w:highlight w:val="none"/>
        </w:rPr>
      </w:pPr>
    </w:p>
    <w:p w14:paraId="44B3A5AA">
      <w:pPr>
        <w:pStyle w:val="37"/>
        <w:rPr>
          <w:rFonts w:hint="eastAsia"/>
          <w:color w:val="auto"/>
          <w:highlight w:val="none"/>
        </w:rPr>
      </w:pPr>
    </w:p>
    <w:p w14:paraId="05BB178A">
      <w:pPr>
        <w:pStyle w:val="37"/>
        <w:rPr>
          <w:rFonts w:hint="eastAsia"/>
          <w:color w:val="auto"/>
          <w:highlight w:val="none"/>
        </w:rPr>
      </w:pPr>
    </w:p>
    <w:p w14:paraId="0E7980AB">
      <w:pPr>
        <w:pStyle w:val="37"/>
        <w:rPr>
          <w:rFonts w:hint="eastAsia"/>
          <w:color w:val="auto"/>
          <w:highlight w:val="none"/>
        </w:rPr>
      </w:pPr>
    </w:p>
    <w:p w14:paraId="5A09B930">
      <w:pPr>
        <w:pStyle w:val="37"/>
        <w:rPr>
          <w:rFonts w:hint="eastAsia"/>
          <w:color w:val="auto"/>
          <w:highlight w:val="none"/>
        </w:rPr>
      </w:pPr>
    </w:p>
    <w:p w14:paraId="3FB1F62E">
      <w:pPr>
        <w:pStyle w:val="37"/>
        <w:rPr>
          <w:rFonts w:hint="eastAsia"/>
          <w:color w:val="auto"/>
          <w:highlight w:val="none"/>
        </w:rPr>
      </w:pPr>
    </w:p>
    <w:p w14:paraId="69D25AC1">
      <w:pPr>
        <w:pStyle w:val="37"/>
        <w:rPr>
          <w:rFonts w:hint="eastAsia"/>
          <w:color w:val="auto"/>
          <w:highlight w:val="none"/>
        </w:rPr>
      </w:pPr>
    </w:p>
    <w:p w14:paraId="3E9AC4C9">
      <w:pPr>
        <w:pStyle w:val="37"/>
        <w:rPr>
          <w:rFonts w:hint="eastAsia"/>
          <w:color w:val="auto"/>
          <w:highlight w:val="none"/>
        </w:rPr>
      </w:pPr>
    </w:p>
    <w:p w14:paraId="04384634">
      <w:pPr>
        <w:pStyle w:val="63"/>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40582944">
      <w:pPr>
        <w:ind w:firstLine="480" w:firstLineChars="200"/>
        <w:rPr>
          <w:rFonts w:cs="仿宋_GB2312"/>
          <w:color w:val="auto"/>
          <w:szCs w:val="24"/>
          <w:highlight w:val="none"/>
          <w:lang w:val="zh-CN"/>
        </w:rPr>
      </w:pPr>
      <w:r>
        <w:rPr>
          <w:rFonts w:hint="eastAsia" w:cs="仿宋_GB2312"/>
          <w:color w:val="auto"/>
          <w:szCs w:val="24"/>
          <w:highlight w:val="none"/>
          <w:lang w:val="zh-CN"/>
        </w:rPr>
        <w:t>封面：</w:t>
      </w:r>
    </w:p>
    <w:p w14:paraId="4D1553A3">
      <w:pPr>
        <w:autoSpaceDE w:val="0"/>
        <w:autoSpaceDN w:val="0"/>
        <w:adjustRightInd w:val="0"/>
        <w:rPr>
          <w:color w:val="auto"/>
          <w:sz w:val="21"/>
          <w:szCs w:val="24"/>
          <w:highlight w:val="none"/>
        </w:rPr>
      </w:pPr>
    </w:p>
    <w:p w14:paraId="4625D57D">
      <w:pPr>
        <w:autoSpaceDE w:val="0"/>
        <w:autoSpaceDN w:val="0"/>
        <w:adjustRightInd w:val="0"/>
        <w:rPr>
          <w:color w:val="auto"/>
          <w:sz w:val="21"/>
          <w:szCs w:val="24"/>
          <w:highlight w:val="none"/>
        </w:rPr>
      </w:pPr>
    </w:p>
    <w:p w14:paraId="426BCEA1">
      <w:pPr>
        <w:autoSpaceDE w:val="0"/>
        <w:autoSpaceDN w:val="0"/>
        <w:adjustRightInd w:val="0"/>
        <w:jc w:val="center"/>
        <w:rPr>
          <w:color w:val="auto"/>
          <w:sz w:val="21"/>
          <w:szCs w:val="24"/>
          <w:highlight w:val="none"/>
        </w:rPr>
      </w:pPr>
    </w:p>
    <w:p w14:paraId="3902644C">
      <w:pPr>
        <w:autoSpaceDE w:val="0"/>
        <w:autoSpaceDN w:val="0"/>
        <w:adjustRightInd w:val="0"/>
        <w:jc w:val="center"/>
        <w:rPr>
          <w:b/>
          <w:color w:val="auto"/>
          <w:sz w:val="84"/>
          <w:szCs w:val="84"/>
          <w:highlight w:val="none"/>
        </w:rPr>
      </w:pPr>
      <w:r>
        <w:rPr>
          <w:rFonts w:hint="eastAsia"/>
          <w:b/>
          <w:color w:val="auto"/>
          <w:sz w:val="84"/>
          <w:szCs w:val="84"/>
          <w:highlight w:val="none"/>
        </w:rPr>
        <w:t>投 标 文 件</w:t>
      </w:r>
    </w:p>
    <w:p w14:paraId="5B89FC04">
      <w:pPr>
        <w:autoSpaceDE w:val="0"/>
        <w:autoSpaceDN w:val="0"/>
        <w:adjustRightInd w:val="0"/>
        <w:jc w:val="center"/>
        <w:rPr>
          <w:rFonts w:hint="eastAsia"/>
          <w:b/>
          <w:color w:val="auto"/>
          <w:sz w:val="56"/>
          <w:szCs w:val="56"/>
          <w:highlight w:val="none"/>
          <w:lang w:val="en-US" w:eastAsia="zh-CN"/>
        </w:rPr>
      </w:pPr>
      <w:r>
        <w:rPr>
          <w:rFonts w:hint="eastAsia"/>
          <w:b/>
          <w:color w:val="auto"/>
          <w:sz w:val="56"/>
          <w:szCs w:val="56"/>
          <w:highlight w:val="none"/>
          <w:lang w:val="en-US" w:eastAsia="zh-CN"/>
        </w:rPr>
        <w:t>报价文件</w:t>
      </w:r>
    </w:p>
    <w:p w14:paraId="5531C7E5">
      <w:pPr>
        <w:autoSpaceDE w:val="0"/>
        <w:autoSpaceDN w:val="0"/>
        <w:adjustRightInd w:val="0"/>
        <w:jc w:val="center"/>
        <w:rPr>
          <w:rFonts w:hint="eastAsia" w:eastAsia="宋体"/>
          <w:color w:val="auto"/>
          <w:sz w:val="36"/>
          <w:szCs w:val="36"/>
          <w:highlight w:val="none"/>
          <w:lang w:eastAsia="zh-CN"/>
        </w:rPr>
      </w:pPr>
      <w:r>
        <w:rPr>
          <w:rFonts w:hint="eastAsia"/>
          <w:color w:val="auto"/>
          <w:sz w:val="36"/>
          <w:szCs w:val="36"/>
          <w:highlight w:val="none"/>
          <w:lang w:val="en-US" w:eastAsia="zh-CN"/>
        </w:rPr>
        <w:t>（第XX包</w:t>
      </w:r>
      <w:r>
        <w:rPr>
          <w:rFonts w:hint="eastAsia"/>
          <w:color w:val="auto"/>
          <w:sz w:val="36"/>
          <w:szCs w:val="36"/>
          <w:highlight w:val="none"/>
          <w:lang w:eastAsia="zh-CN"/>
        </w:rPr>
        <w:t>）【</w:t>
      </w:r>
      <w:r>
        <w:rPr>
          <w:rFonts w:hint="eastAsia"/>
          <w:color w:val="auto"/>
          <w:sz w:val="36"/>
          <w:szCs w:val="36"/>
          <w:highlight w:val="none"/>
          <w:lang w:val="en-US" w:eastAsia="zh-CN"/>
        </w:rPr>
        <w:t>如不分包，请删去本行</w:t>
      </w:r>
      <w:r>
        <w:rPr>
          <w:rFonts w:hint="eastAsia"/>
          <w:color w:val="auto"/>
          <w:sz w:val="36"/>
          <w:szCs w:val="36"/>
          <w:highlight w:val="none"/>
          <w:lang w:eastAsia="zh-CN"/>
        </w:rPr>
        <w:t>】</w:t>
      </w:r>
    </w:p>
    <w:p w14:paraId="054E0C81">
      <w:pPr>
        <w:pStyle w:val="3"/>
        <w:rPr>
          <w:color w:val="auto"/>
          <w:sz w:val="21"/>
          <w:szCs w:val="21"/>
          <w:highlight w:val="none"/>
        </w:rPr>
      </w:pPr>
    </w:p>
    <w:p w14:paraId="425E1EDC">
      <w:pPr>
        <w:rPr>
          <w:color w:val="auto"/>
          <w:sz w:val="21"/>
          <w:szCs w:val="21"/>
          <w:highlight w:val="none"/>
        </w:rPr>
      </w:pPr>
    </w:p>
    <w:p w14:paraId="5FFD5616">
      <w:pPr>
        <w:rPr>
          <w:color w:val="auto"/>
          <w:highlight w:val="none"/>
        </w:rPr>
      </w:pPr>
    </w:p>
    <w:p w14:paraId="0338FA55">
      <w:pPr>
        <w:autoSpaceDE w:val="0"/>
        <w:autoSpaceDN w:val="0"/>
        <w:adjustRightInd w:val="0"/>
        <w:rPr>
          <w:color w:val="auto"/>
          <w:sz w:val="21"/>
          <w:szCs w:val="21"/>
          <w:highlight w:val="none"/>
        </w:rPr>
      </w:pPr>
    </w:p>
    <w:p w14:paraId="336C0AE3">
      <w:pPr>
        <w:autoSpaceDE w:val="0"/>
        <w:autoSpaceDN w:val="0"/>
        <w:adjustRightInd w:val="0"/>
        <w:rPr>
          <w:color w:val="auto"/>
          <w:sz w:val="21"/>
          <w:szCs w:val="21"/>
          <w:highlight w:val="none"/>
        </w:rPr>
      </w:pPr>
    </w:p>
    <w:p w14:paraId="6F475132">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项目编号</w:t>
      </w:r>
      <w:r>
        <w:rPr>
          <w:rFonts w:hint="eastAsia" w:ascii="宋体" w:hAnsi="宋体" w:eastAsia="宋体" w:cs="宋体"/>
          <w:color w:val="auto"/>
          <w:sz w:val="36"/>
          <w:szCs w:val="36"/>
          <w:highlight w:val="none"/>
          <w:lang w:val="en-US" w:eastAsia="zh-CN"/>
        </w:rPr>
        <w:t>/包号</w:t>
      </w:r>
      <w:r>
        <w:rPr>
          <w:rFonts w:hint="eastAsia" w:ascii="宋体" w:hAnsi="宋体" w:eastAsia="宋体" w:cs="宋体"/>
          <w:color w:val="auto"/>
          <w:sz w:val="36"/>
          <w:szCs w:val="36"/>
          <w:highlight w:val="none"/>
        </w:rPr>
        <w:t>：</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0173F70E">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项目名称：</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101680F9">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投</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rPr>
        <w:t>标</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rPr>
        <w:t>人：</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13B6644C">
      <w:pPr>
        <w:ind w:left="840" w:firstLine="420"/>
        <w:rPr>
          <w:b/>
          <w:bCs/>
          <w:color w:val="auto"/>
          <w:sz w:val="28"/>
          <w:szCs w:val="28"/>
          <w:highlight w:val="none"/>
        </w:rPr>
      </w:pPr>
    </w:p>
    <w:p w14:paraId="5776D25B">
      <w:pPr>
        <w:ind w:left="840" w:firstLine="420"/>
        <w:rPr>
          <w:b/>
          <w:bCs/>
          <w:color w:val="auto"/>
          <w:sz w:val="28"/>
          <w:szCs w:val="28"/>
          <w:highlight w:val="none"/>
        </w:rPr>
      </w:pPr>
    </w:p>
    <w:p w14:paraId="153E0B10">
      <w:pPr>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2B025C97">
      <w:pPr>
        <w:rPr>
          <w:color w:val="auto"/>
          <w:highlight w:val="none"/>
          <w:lang w:val="zh-CN"/>
        </w:rPr>
      </w:pPr>
      <w:r>
        <w:rPr>
          <w:color w:val="auto"/>
          <w:highlight w:val="none"/>
          <w:lang w:val="zh-CN"/>
        </w:rPr>
        <w:br w:type="page"/>
      </w:r>
    </w:p>
    <w:p w14:paraId="5A6B7717">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cstheme="majorBidi"/>
          <w:b/>
          <w:bCs/>
          <w:color w:val="auto"/>
          <w:kern w:val="2"/>
          <w:sz w:val="32"/>
          <w:szCs w:val="32"/>
          <w:highlight w:val="none"/>
          <w:lang w:val="en-US" w:eastAsia="zh-CN" w:bidi="ar-SA"/>
        </w:rPr>
      </w:pPr>
    </w:p>
    <w:p w14:paraId="730DA0BC">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cstheme="majorBidi"/>
          <w:b/>
          <w:bCs/>
          <w:color w:val="auto"/>
          <w:kern w:val="2"/>
          <w:sz w:val="32"/>
          <w:szCs w:val="32"/>
          <w:highlight w:val="none"/>
          <w:lang w:val="en-US" w:eastAsia="zh-CN" w:bidi="ar-SA"/>
        </w:rPr>
      </w:pPr>
      <w:bookmarkStart w:id="374" w:name="_Toc27358"/>
      <w:r>
        <w:rPr>
          <w:rFonts w:hint="eastAsia" w:cstheme="majorBidi"/>
          <w:b/>
          <w:bCs/>
          <w:color w:val="auto"/>
          <w:kern w:val="2"/>
          <w:sz w:val="32"/>
          <w:szCs w:val="32"/>
          <w:highlight w:val="none"/>
          <w:lang w:val="en-US" w:eastAsia="zh-CN" w:bidi="ar-SA"/>
        </w:rPr>
        <w:t>一、开标一览表</w:t>
      </w:r>
      <w:bookmarkEnd w:id="374"/>
    </w:p>
    <w:p w14:paraId="2AB3D72A">
      <w:pPr>
        <w:spacing w:line="300" w:lineRule="auto"/>
        <w:rPr>
          <w:rFonts w:cs="仿宋_GB2312"/>
          <w:color w:val="auto"/>
          <w:szCs w:val="24"/>
          <w:highlight w:val="none"/>
        </w:rPr>
      </w:pPr>
    </w:p>
    <w:p w14:paraId="599D3A7B">
      <w:pPr>
        <w:rPr>
          <w:b w:val="0"/>
          <w:bCs/>
          <w:color w:val="auto"/>
          <w:szCs w:val="21"/>
          <w:highlight w:val="none"/>
          <w:lang w:val="zh-CN"/>
        </w:rPr>
      </w:pPr>
      <w:r>
        <w:rPr>
          <w:rFonts w:hint="eastAsia"/>
          <w:b w:val="0"/>
          <w:bCs/>
          <w:color w:val="auto"/>
          <w:szCs w:val="21"/>
          <w:highlight w:val="none"/>
          <w:lang w:val="zh-CN"/>
        </w:rPr>
        <w:t>项目名称：</w:t>
      </w:r>
      <w:r>
        <w:rPr>
          <w:rFonts w:hint="eastAsia"/>
          <w:b w:val="0"/>
          <w:bCs/>
          <w:color w:val="auto"/>
          <w:szCs w:val="21"/>
          <w:highlight w:val="none"/>
          <w:u w:val="single"/>
          <w:lang w:val="zh-CN"/>
        </w:rPr>
        <w:t xml:space="preserve">                     </w:t>
      </w:r>
    </w:p>
    <w:p w14:paraId="0CABFDF4">
      <w:pPr>
        <w:rPr>
          <w:b w:val="0"/>
          <w:bCs/>
          <w:color w:val="auto"/>
          <w:szCs w:val="21"/>
          <w:highlight w:val="none"/>
          <w:u w:val="single"/>
          <w:lang w:val="zh-CN"/>
        </w:rPr>
      </w:pPr>
      <w:r>
        <w:rPr>
          <w:rFonts w:hint="eastAsia"/>
          <w:b w:val="0"/>
          <w:bCs/>
          <w:color w:val="auto"/>
          <w:szCs w:val="21"/>
          <w:highlight w:val="none"/>
          <w:lang w:val="zh-CN"/>
        </w:rPr>
        <w:t>项目编号</w:t>
      </w:r>
      <w:r>
        <w:rPr>
          <w:rFonts w:hint="eastAsia"/>
          <w:b w:val="0"/>
          <w:bCs/>
          <w:color w:val="auto"/>
          <w:szCs w:val="21"/>
          <w:highlight w:val="none"/>
          <w:lang w:val="en-US" w:eastAsia="zh-CN"/>
        </w:rPr>
        <w:t>/</w:t>
      </w:r>
      <w:r>
        <w:rPr>
          <w:rFonts w:hint="eastAsia"/>
          <w:b w:val="0"/>
          <w:bCs/>
          <w:color w:val="auto"/>
          <w:szCs w:val="21"/>
          <w:highlight w:val="none"/>
          <w:lang w:val="zh-CN"/>
        </w:rPr>
        <w:t>包号：</w:t>
      </w:r>
      <w:r>
        <w:rPr>
          <w:rFonts w:hint="eastAsia"/>
          <w:b w:val="0"/>
          <w:bCs/>
          <w:color w:val="auto"/>
          <w:szCs w:val="21"/>
          <w:highlight w:val="none"/>
          <w:u w:val="single"/>
          <w:lang w:val="zh-CN"/>
        </w:rPr>
        <w:t xml:space="preserve">                </w:t>
      </w:r>
    </w:p>
    <w:tbl>
      <w:tblPr>
        <w:tblStyle w:val="30"/>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3"/>
        <w:gridCol w:w="2352"/>
        <w:gridCol w:w="2161"/>
        <w:gridCol w:w="2611"/>
      </w:tblGrid>
      <w:tr w14:paraId="5F27D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1403" w:type="dxa"/>
            <w:vAlign w:val="center"/>
          </w:tcPr>
          <w:p w14:paraId="68B46E6E">
            <w:pPr>
              <w:widowControl/>
              <w:autoSpaceDE w:val="0"/>
              <w:autoSpaceDN w:val="0"/>
              <w:spacing w:line="240" w:lineRule="auto"/>
              <w:jc w:val="center"/>
              <w:textAlignment w:val="bottom"/>
              <w:rPr>
                <w:color w:val="auto"/>
                <w:sz w:val="24"/>
                <w:szCs w:val="24"/>
                <w:highlight w:val="none"/>
              </w:rPr>
            </w:pPr>
            <w:r>
              <w:rPr>
                <w:rFonts w:hint="eastAsia"/>
                <w:color w:val="auto"/>
                <w:sz w:val="24"/>
                <w:szCs w:val="24"/>
                <w:highlight w:val="none"/>
              </w:rPr>
              <w:t>序号</w:t>
            </w:r>
          </w:p>
        </w:tc>
        <w:tc>
          <w:tcPr>
            <w:tcW w:w="2352" w:type="dxa"/>
            <w:vAlign w:val="center"/>
          </w:tcPr>
          <w:p w14:paraId="5D10FF2E">
            <w:pPr>
              <w:widowControl/>
              <w:autoSpaceDE w:val="0"/>
              <w:autoSpaceDN w:val="0"/>
              <w:spacing w:line="240" w:lineRule="auto"/>
              <w:ind w:left="851" w:hanging="851"/>
              <w:jc w:val="center"/>
              <w:textAlignment w:val="bottom"/>
              <w:rPr>
                <w:color w:val="auto"/>
                <w:sz w:val="24"/>
                <w:szCs w:val="24"/>
                <w:highlight w:val="none"/>
              </w:rPr>
            </w:pPr>
            <w:r>
              <w:rPr>
                <w:rFonts w:hint="eastAsia"/>
                <w:color w:val="auto"/>
                <w:sz w:val="24"/>
                <w:szCs w:val="24"/>
                <w:highlight w:val="none"/>
              </w:rPr>
              <w:t>投标报价</w:t>
            </w:r>
          </w:p>
        </w:tc>
        <w:tc>
          <w:tcPr>
            <w:tcW w:w="2161" w:type="dxa"/>
            <w:vAlign w:val="center"/>
          </w:tcPr>
          <w:p w14:paraId="48CC1886">
            <w:pPr>
              <w:widowControl/>
              <w:autoSpaceDE w:val="0"/>
              <w:autoSpaceDN w:val="0"/>
              <w:spacing w:line="240" w:lineRule="auto"/>
              <w:ind w:left="851" w:hanging="851"/>
              <w:jc w:val="center"/>
              <w:textAlignment w:val="bottom"/>
              <w:rPr>
                <w:color w:val="auto"/>
                <w:sz w:val="24"/>
                <w:szCs w:val="24"/>
                <w:highlight w:val="none"/>
              </w:rPr>
            </w:pPr>
            <w:r>
              <w:rPr>
                <w:rFonts w:hint="eastAsia"/>
                <w:color w:val="auto"/>
                <w:sz w:val="24"/>
                <w:szCs w:val="24"/>
                <w:highlight w:val="none"/>
              </w:rPr>
              <w:t>交货期限</w:t>
            </w:r>
          </w:p>
        </w:tc>
        <w:tc>
          <w:tcPr>
            <w:tcW w:w="2611" w:type="dxa"/>
            <w:vAlign w:val="center"/>
          </w:tcPr>
          <w:p w14:paraId="620875ED">
            <w:pPr>
              <w:widowControl/>
              <w:autoSpaceDE w:val="0"/>
              <w:autoSpaceDN w:val="0"/>
              <w:spacing w:line="240" w:lineRule="auto"/>
              <w:jc w:val="center"/>
              <w:textAlignment w:val="bottom"/>
              <w:rPr>
                <w:color w:val="auto"/>
                <w:sz w:val="24"/>
                <w:szCs w:val="24"/>
                <w:highlight w:val="none"/>
              </w:rPr>
            </w:pPr>
            <w:r>
              <w:rPr>
                <w:rFonts w:hint="eastAsia"/>
                <w:color w:val="auto"/>
                <w:sz w:val="24"/>
                <w:szCs w:val="24"/>
                <w:highlight w:val="none"/>
              </w:rPr>
              <w:t>备注（如有）</w:t>
            </w:r>
          </w:p>
        </w:tc>
      </w:tr>
      <w:tr w14:paraId="1B090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1403" w:type="dxa"/>
            <w:vAlign w:val="center"/>
          </w:tcPr>
          <w:p w14:paraId="73431128">
            <w:pPr>
              <w:widowControl/>
              <w:autoSpaceDE w:val="0"/>
              <w:autoSpaceDN w:val="0"/>
              <w:spacing w:line="240" w:lineRule="auto"/>
              <w:ind w:left="851" w:hanging="851"/>
              <w:jc w:val="center"/>
              <w:textAlignment w:val="bottom"/>
              <w:rPr>
                <w:rFonts w:hint="eastAsia"/>
                <w:color w:val="auto"/>
                <w:sz w:val="24"/>
                <w:szCs w:val="24"/>
                <w:highlight w:val="none"/>
              </w:rPr>
            </w:pPr>
          </w:p>
        </w:tc>
        <w:tc>
          <w:tcPr>
            <w:tcW w:w="2352" w:type="dxa"/>
            <w:vAlign w:val="center"/>
          </w:tcPr>
          <w:p w14:paraId="45A40F19">
            <w:pPr>
              <w:widowControl/>
              <w:shd w:val="clear"/>
              <w:autoSpaceDE w:val="0"/>
              <w:autoSpaceDN w:val="0"/>
              <w:spacing w:line="240" w:lineRule="auto"/>
              <w:ind w:left="851" w:hanging="851"/>
              <w:jc w:val="both"/>
              <w:textAlignment w:val="bottom"/>
              <w:rPr>
                <w:rFonts w:hint="eastAsia"/>
                <w:color w:val="auto"/>
                <w:sz w:val="24"/>
                <w:szCs w:val="24"/>
                <w:highlight w:val="none"/>
                <w:lang w:val="en-US" w:eastAsia="zh-CN"/>
              </w:rPr>
            </w:pPr>
            <w:r>
              <w:rPr>
                <w:rFonts w:hint="eastAsia"/>
                <w:color w:val="auto"/>
                <w:sz w:val="24"/>
                <w:szCs w:val="24"/>
                <w:highlight w:val="none"/>
                <w:lang w:val="en-US" w:eastAsia="zh-CN"/>
              </w:rPr>
              <w:t>小写：</w:t>
            </w:r>
          </w:p>
          <w:p w14:paraId="11F7915D">
            <w:pPr>
              <w:widowControl/>
              <w:shd w:val="clear"/>
              <w:autoSpaceDE w:val="0"/>
              <w:autoSpaceDN w:val="0"/>
              <w:spacing w:line="240" w:lineRule="auto"/>
              <w:ind w:left="851" w:hanging="851"/>
              <w:jc w:val="both"/>
              <w:textAlignment w:val="bottom"/>
              <w:rPr>
                <w:rFonts w:hint="default"/>
                <w:color w:val="auto"/>
                <w:sz w:val="24"/>
                <w:szCs w:val="24"/>
                <w:highlight w:val="none"/>
                <w:lang w:val="en-US" w:eastAsia="zh-CN"/>
              </w:rPr>
            </w:pPr>
            <w:r>
              <w:rPr>
                <w:rFonts w:hint="eastAsia"/>
                <w:color w:val="auto"/>
                <w:sz w:val="24"/>
                <w:szCs w:val="24"/>
                <w:highlight w:val="none"/>
                <w:lang w:val="en-US" w:eastAsia="zh-CN"/>
              </w:rPr>
              <w:t>大写：</w:t>
            </w:r>
          </w:p>
        </w:tc>
        <w:tc>
          <w:tcPr>
            <w:tcW w:w="2161" w:type="dxa"/>
            <w:vAlign w:val="center"/>
          </w:tcPr>
          <w:p w14:paraId="3409D243">
            <w:pPr>
              <w:widowControl/>
              <w:autoSpaceDE w:val="0"/>
              <w:autoSpaceDN w:val="0"/>
              <w:spacing w:line="240" w:lineRule="auto"/>
              <w:ind w:left="851" w:hanging="851"/>
              <w:jc w:val="center"/>
              <w:textAlignment w:val="bottom"/>
              <w:rPr>
                <w:rFonts w:hint="eastAsia"/>
                <w:color w:val="auto"/>
                <w:sz w:val="24"/>
                <w:szCs w:val="24"/>
                <w:highlight w:val="none"/>
              </w:rPr>
            </w:pPr>
          </w:p>
        </w:tc>
        <w:tc>
          <w:tcPr>
            <w:tcW w:w="2611" w:type="dxa"/>
            <w:vAlign w:val="center"/>
          </w:tcPr>
          <w:p w14:paraId="35602B49">
            <w:pPr>
              <w:widowControl/>
              <w:autoSpaceDE w:val="0"/>
              <w:autoSpaceDN w:val="0"/>
              <w:spacing w:line="240" w:lineRule="auto"/>
              <w:ind w:left="851" w:hanging="851"/>
              <w:jc w:val="center"/>
              <w:textAlignment w:val="bottom"/>
              <w:rPr>
                <w:rFonts w:hint="eastAsia"/>
                <w:color w:val="auto"/>
                <w:sz w:val="24"/>
                <w:szCs w:val="24"/>
                <w:highlight w:val="none"/>
              </w:rPr>
            </w:pPr>
          </w:p>
        </w:tc>
      </w:tr>
    </w:tbl>
    <w:p w14:paraId="486E37D7">
      <w:pPr>
        <w:spacing w:line="300" w:lineRule="auto"/>
        <w:rPr>
          <w:rFonts w:ascii="Arial" w:hAnsi="Arial" w:cs="Arial"/>
          <w:color w:val="auto"/>
          <w:szCs w:val="21"/>
          <w:highlight w:val="none"/>
          <w:u w:val="single"/>
        </w:rPr>
      </w:pPr>
    </w:p>
    <w:p w14:paraId="0270EFB4">
      <w:pPr>
        <w:spacing w:line="300" w:lineRule="auto"/>
        <w:rPr>
          <w:rFonts w:ascii="Arial" w:hAnsi="Arial" w:cs="Arial"/>
          <w:color w:val="auto"/>
          <w:szCs w:val="21"/>
          <w:highlight w:val="none"/>
        </w:rPr>
      </w:pPr>
      <w:r>
        <w:rPr>
          <w:rFonts w:ascii="Arial" w:hAnsi="Arial" w:cs="Arial"/>
          <w:color w:val="auto"/>
          <w:szCs w:val="21"/>
          <w:highlight w:val="none"/>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ascii="Arial" w:hAnsi="Arial" w:cs="Arial"/>
          <w:color w:val="auto"/>
          <w:szCs w:val="21"/>
          <w:highlight w:val="none"/>
        </w:rPr>
        <w:t>：</w:t>
      </w:r>
    </w:p>
    <w:p w14:paraId="6302F8A6">
      <w:pPr>
        <w:spacing w:line="300" w:lineRule="auto"/>
        <w:rPr>
          <w:rFonts w:ascii="Arial" w:hAnsi="Arial" w:cs="Arial"/>
          <w:color w:val="auto"/>
          <w:szCs w:val="21"/>
          <w:highlight w:val="none"/>
          <w:u w:val="single"/>
        </w:rPr>
      </w:pPr>
      <w:r>
        <w:rPr>
          <w:rFonts w:ascii="Arial" w:hAnsi="Arial" w:cs="Arial"/>
          <w:color w:val="auto"/>
          <w:szCs w:val="21"/>
          <w:highlight w:val="none"/>
        </w:rPr>
        <w:t>日期：</w:t>
      </w:r>
    </w:p>
    <w:p w14:paraId="722CC087">
      <w:pPr>
        <w:rPr>
          <w:rFonts w:cs="Arial"/>
          <w:color w:val="auto"/>
          <w:szCs w:val="24"/>
          <w:highlight w:val="none"/>
        </w:rPr>
      </w:pPr>
    </w:p>
    <w:p w14:paraId="21BB3A26">
      <w:pPr>
        <w:pStyle w:val="13"/>
        <w:rPr>
          <w:rFonts w:cs="Arial"/>
          <w:color w:val="auto"/>
          <w:szCs w:val="24"/>
          <w:highlight w:val="none"/>
        </w:rPr>
      </w:pPr>
    </w:p>
    <w:p w14:paraId="4C551945">
      <w:pPr>
        <w:pStyle w:val="13"/>
        <w:rPr>
          <w:rFonts w:cs="Arial"/>
          <w:color w:val="auto"/>
          <w:szCs w:val="24"/>
          <w:highlight w:val="none"/>
        </w:rPr>
      </w:pPr>
    </w:p>
    <w:p w14:paraId="09ACCEBB">
      <w:pPr>
        <w:pStyle w:val="13"/>
        <w:rPr>
          <w:rFonts w:cs="Arial"/>
          <w:color w:val="auto"/>
          <w:szCs w:val="24"/>
          <w:highlight w:val="none"/>
        </w:rPr>
      </w:pPr>
    </w:p>
    <w:p w14:paraId="54CAC625">
      <w:pPr>
        <w:pStyle w:val="13"/>
        <w:rPr>
          <w:rFonts w:cs="Arial"/>
          <w:color w:val="auto"/>
          <w:szCs w:val="24"/>
          <w:highlight w:val="none"/>
        </w:rPr>
      </w:pPr>
    </w:p>
    <w:p w14:paraId="5D119674">
      <w:pPr>
        <w:spacing w:line="360" w:lineRule="auto"/>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eastAsia="zh-CN"/>
        </w:rPr>
        <w:t>注：</w:t>
      </w:r>
    </w:p>
    <w:p w14:paraId="7BF32ACE">
      <w:pPr>
        <w:spacing w:line="360" w:lineRule="auto"/>
        <w:ind w:firstLine="43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1.所报费用包含为运输费、保险费、税金、服务等其他各项费用，供应商报价不得超出最高限价，否则按无效标处理。</w:t>
      </w:r>
    </w:p>
    <w:p w14:paraId="7C885789">
      <w:pPr>
        <w:spacing w:line="360" w:lineRule="auto"/>
        <w:ind w:firstLine="43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2.表中投标报价即为优惠后报价，并作为评审及定标依据。任何有选择或有条件的投标报价，或者表中某一包填写多个报价，均为无效报价。</w:t>
      </w:r>
    </w:p>
    <w:p w14:paraId="68588FF0">
      <w:pPr>
        <w:pStyle w:val="13"/>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.表中大写与小写不一致的，以大写为准。</w:t>
      </w:r>
    </w:p>
    <w:p w14:paraId="4D6E4C40">
      <w:pPr>
        <w:pStyle w:val="13"/>
        <w:ind w:firstLine="480" w:firstLineChars="200"/>
        <w:rPr>
          <w:rFonts w:hint="eastAsia" w:ascii="宋体" w:hAnsi="宋体" w:eastAsia="宋体" w:cs="宋体"/>
          <w:color w:val="auto"/>
          <w:sz w:val="24"/>
          <w:szCs w:val="24"/>
          <w:highlight w:val="none"/>
        </w:rPr>
      </w:pPr>
    </w:p>
    <w:p w14:paraId="5E0B168A">
      <w:pPr>
        <w:pStyle w:val="13"/>
        <w:ind w:firstLine="480" w:firstLineChars="200"/>
        <w:rPr>
          <w:rFonts w:hint="eastAsia" w:ascii="宋体" w:hAnsi="宋体" w:eastAsia="宋体" w:cs="宋体"/>
          <w:color w:val="auto"/>
          <w:sz w:val="24"/>
          <w:szCs w:val="24"/>
          <w:highlight w:val="none"/>
        </w:rPr>
      </w:pPr>
    </w:p>
    <w:p w14:paraId="050DEE08">
      <w:pPr>
        <w:pStyle w:val="13"/>
        <w:ind w:firstLine="480" w:firstLineChars="200"/>
        <w:rPr>
          <w:rFonts w:hint="eastAsia" w:ascii="宋体" w:hAnsi="宋体" w:eastAsia="宋体" w:cs="宋体"/>
          <w:color w:val="auto"/>
          <w:sz w:val="24"/>
          <w:szCs w:val="24"/>
          <w:highlight w:val="none"/>
        </w:rPr>
      </w:pPr>
    </w:p>
    <w:p w14:paraId="455BA4BD">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cstheme="majorBidi"/>
          <w:b/>
          <w:bCs/>
          <w:color w:val="auto"/>
          <w:kern w:val="2"/>
          <w:sz w:val="32"/>
          <w:szCs w:val="32"/>
          <w:highlight w:val="none"/>
          <w:lang w:val="en-US" w:eastAsia="zh-CN" w:bidi="ar-SA"/>
        </w:rPr>
        <w:sectPr>
          <w:footerReference r:id="rId9"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cols w:space="425" w:num="1"/>
          <w:docGrid w:type="lines" w:linePitch="312" w:charSpace="0"/>
        </w:sectPr>
      </w:pPr>
    </w:p>
    <w:p w14:paraId="7B2B178E">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cstheme="majorBidi"/>
          <w:b/>
          <w:bCs/>
          <w:color w:val="auto"/>
          <w:kern w:val="2"/>
          <w:sz w:val="32"/>
          <w:szCs w:val="32"/>
          <w:highlight w:val="none"/>
          <w:lang w:val="en-US" w:eastAsia="zh-CN" w:bidi="ar-SA"/>
        </w:rPr>
      </w:pPr>
      <w:bookmarkStart w:id="375" w:name="_Toc1503"/>
      <w:r>
        <w:rPr>
          <w:rFonts w:hint="eastAsia" w:cstheme="majorBidi"/>
          <w:b/>
          <w:bCs/>
          <w:color w:val="auto"/>
          <w:kern w:val="2"/>
          <w:sz w:val="32"/>
          <w:szCs w:val="32"/>
          <w:highlight w:val="none"/>
          <w:lang w:val="en-US" w:eastAsia="zh-CN" w:bidi="ar-SA"/>
        </w:rPr>
        <w:t>二、分项报价表</w:t>
      </w:r>
      <w:bookmarkEnd w:id="375"/>
    </w:p>
    <w:p w14:paraId="3C0402CB">
      <w:pPr>
        <w:rPr>
          <w:b w:val="0"/>
          <w:bCs/>
          <w:color w:val="auto"/>
          <w:szCs w:val="21"/>
          <w:highlight w:val="none"/>
          <w:lang w:val="zh-CN"/>
        </w:rPr>
      </w:pPr>
      <w:r>
        <w:rPr>
          <w:rFonts w:hint="eastAsia"/>
          <w:b w:val="0"/>
          <w:bCs/>
          <w:color w:val="auto"/>
          <w:szCs w:val="21"/>
          <w:highlight w:val="none"/>
          <w:lang w:val="zh-CN"/>
        </w:rPr>
        <w:t>项目名称：</w:t>
      </w:r>
      <w:r>
        <w:rPr>
          <w:rFonts w:hint="eastAsia"/>
          <w:b w:val="0"/>
          <w:bCs/>
          <w:color w:val="auto"/>
          <w:szCs w:val="21"/>
          <w:highlight w:val="none"/>
          <w:u w:val="single"/>
          <w:lang w:val="zh-CN"/>
        </w:rPr>
        <w:t xml:space="preserve">                  </w:t>
      </w:r>
      <w:r>
        <w:rPr>
          <w:rFonts w:hint="eastAsia"/>
          <w:b w:val="0"/>
          <w:bCs/>
          <w:color w:val="auto"/>
          <w:szCs w:val="21"/>
          <w:highlight w:val="none"/>
          <w:u w:val="single"/>
          <w:lang w:val="en-US" w:eastAsia="zh-CN"/>
        </w:rPr>
        <w:t xml:space="preserve">     </w:t>
      </w:r>
      <w:r>
        <w:rPr>
          <w:rFonts w:hint="eastAsia"/>
          <w:b w:val="0"/>
          <w:bCs/>
          <w:color w:val="auto"/>
          <w:szCs w:val="21"/>
          <w:highlight w:val="none"/>
          <w:u w:val="single"/>
          <w:lang w:val="zh-CN"/>
        </w:rPr>
        <w:t xml:space="preserve">   </w:t>
      </w:r>
    </w:p>
    <w:p w14:paraId="5456D210">
      <w:pPr>
        <w:rPr>
          <w:rFonts w:hint="eastAsia"/>
          <w:b w:val="0"/>
          <w:bCs/>
          <w:color w:val="auto"/>
          <w:szCs w:val="21"/>
          <w:highlight w:val="none"/>
          <w:u w:val="single"/>
          <w:lang w:val="zh-CN"/>
        </w:rPr>
      </w:pPr>
      <w:r>
        <w:rPr>
          <w:rFonts w:hint="eastAsia"/>
          <w:b w:val="0"/>
          <w:bCs/>
          <w:color w:val="auto"/>
          <w:szCs w:val="21"/>
          <w:highlight w:val="none"/>
          <w:lang w:val="zh-CN"/>
        </w:rPr>
        <w:t>项目编号</w:t>
      </w:r>
      <w:r>
        <w:rPr>
          <w:rFonts w:hint="eastAsia"/>
          <w:b w:val="0"/>
          <w:bCs/>
          <w:color w:val="auto"/>
          <w:szCs w:val="21"/>
          <w:highlight w:val="none"/>
          <w:lang w:val="en-US" w:eastAsia="zh-CN"/>
        </w:rPr>
        <w:t>/</w:t>
      </w:r>
      <w:r>
        <w:rPr>
          <w:rFonts w:hint="eastAsia"/>
          <w:b w:val="0"/>
          <w:bCs/>
          <w:color w:val="auto"/>
          <w:szCs w:val="21"/>
          <w:highlight w:val="none"/>
          <w:lang w:val="zh-CN"/>
        </w:rPr>
        <w:t>包号：</w:t>
      </w:r>
      <w:r>
        <w:rPr>
          <w:rFonts w:hint="eastAsia"/>
          <w:b w:val="0"/>
          <w:bCs/>
          <w:color w:val="auto"/>
          <w:szCs w:val="21"/>
          <w:highlight w:val="none"/>
          <w:u w:val="single"/>
          <w:lang w:val="zh-CN"/>
        </w:rPr>
        <w:t xml:space="preserve">                     </w:t>
      </w:r>
      <w:r>
        <w:rPr>
          <w:rFonts w:hint="eastAsia"/>
          <w:b w:val="0"/>
          <w:bCs/>
          <w:color w:val="auto"/>
          <w:szCs w:val="21"/>
          <w:highlight w:val="none"/>
          <w:lang w:val="zh-CN"/>
        </w:rPr>
        <w:t xml:space="preserve">      </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4"/>
        <w:gridCol w:w="1066"/>
        <w:gridCol w:w="1067"/>
        <w:gridCol w:w="1040"/>
        <w:gridCol w:w="1383"/>
        <w:gridCol w:w="1008"/>
        <w:gridCol w:w="1464"/>
        <w:gridCol w:w="1025"/>
        <w:gridCol w:w="863"/>
        <w:gridCol w:w="1324"/>
        <w:gridCol w:w="1026"/>
        <w:gridCol w:w="923"/>
        <w:gridCol w:w="1091"/>
      </w:tblGrid>
      <w:tr w14:paraId="33107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dxa"/>
            <w:vAlign w:val="center"/>
          </w:tcPr>
          <w:p w14:paraId="2D51E33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1"/>
                <w:szCs w:val="21"/>
                <w:highlight w:val="none"/>
                <w:u w:val="none"/>
                <w:vertAlign w:val="baseline"/>
                <w:lang w:val="zh-CN"/>
              </w:rPr>
            </w:pPr>
            <w:r>
              <w:rPr>
                <w:rFonts w:hint="eastAsia" w:ascii="宋体" w:hAnsi="宋体" w:eastAsia="宋体" w:cs="宋体"/>
                <w:b w:val="0"/>
                <w:bCs/>
                <w:color w:val="auto"/>
                <w:kern w:val="2"/>
                <w:sz w:val="21"/>
                <w:szCs w:val="21"/>
                <w:highlight w:val="none"/>
              </w:rPr>
              <w:t>序号</w:t>
            </w:r>
          </w:p>
        </w:tc>
        <w:tc>
          <w:tcPr>
            <w:tcW w:w="1066" w:type="dxa"/>
            <w:vAlign w:val="center"/>
          </w:tcPr>
          <w:p w14:paraId="31DAB90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1"/>
                <w:szCs w:val="21"/>
                <w:highlight w:val="none"/>
                <w:u w:val="none"/>
                <w:vertAlign w:val="baseline"/>
                <w:lang w:val="zh-CN"/>
              </w:rPr>
            </w:pPr>
            <w:r>
              <w:rPr>
                <w:rFonts w:hint="eastAsia" w:ascii="宋体" w:hAnsi="宋体" w:eastAsia="宋体" w:cs="宋体"/>
                <w:b w:val="0"/>
                <w:bCs/>
                <w:color w:val="auto"/>
                <w:sz w:val="21"/>
                <w:szCs w:val="21"/>
                <w:highlight w:val="none"/>
                <w:lang w:val="en-US" w:eastAsia="zh-CN"/>
              </w:rPr>
              <w:t>分项</w:t>
            </w:r>
            <w:r>
              <w:rPr>
                <w:rFonts w:hint="eastAsia" w:ascii="宋体" w:hAnsi="宋体" w:eastAsia="宋体" w:cs="宋体"/>
                <w:b w:val="0"/>
                <w:bCs/>
                <w:color w:val="auto"/>
                <w:sz w:val="21"/>
                <w:szCs w:val="21"/>
                <w:highlight w:val="none"/>
              </w:rPr>
              <w:t>名称</w:t>
            </w:r>
          </w:p>
        </w:tc>
        <w:tc>
          <w:tcPr>
            <w:tcW w:w="1067" w:type="dxa"/>
            <w:vAlign w:val="center"/>
          </w:tcPr>
          <w:p w14:paraId="1FEEAE5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1"/>
                <w:szCs w:val="21"/>
                <w:highlight w:val="none"/>
                <w:u w:val="none"/>
                <w:vertAlign w:val="baseline"/>
                <w:lang w:val="zh-CN"/>
              </w:rPr>
            </w:pPr>
            <w:r>
              <w:rPr>
                <w:rFonts w:hint="eastAsia" w:ascii="宋体" w:hAnsi="宋体" w:eastAsia="宋体" w:cs="宋体"/>
                <w:b w:val="0"/>
                <w:bCs/>
                <w:color w:val="auto"/>
                <w:sz w:val="21"/>
                <w:szCs w:val="21"/>
                <w:highlight w:val="none"/>
                <w:lang w:val="en-US" w:eastAsia="zh-CN"/>
              </w:rPr>
              <w:t>制造商</w:t>
            </w:r>
          </w:p>
        </w:tc>
        <w:tc>
          <w:tcPr>
            <w:tcW w:w="1040" w:type="dxa"/>
            <w:vAlign w:val="center"/>
          </w:tcPr>
          <w:p w14:paraId="264DEDB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1"/>
                <w:szCs w:val="21"/>
                <w:highlight w:val="none"/>
                <w:u w:val="none"/>
                <w:vertAlign w:val="baseline"/>
                <w:lang w:val="zh-CN"/>
              </w:rPr>
            </w:pPr>
            <w:r>
              <w:rPr>
                <w:rFonts w:hint="eastAsia" w:ascii="宋体" w:hAnsi="宋体" w:eastAsia="宋体" w:cs="宋体"/>
                <w:b w:val="0"/>
                <w:bCs/>
                <w:color w:val="auto"/>
                <w:sz w:val="21"/>
                <w:szCs w:val="21"/>
                <w:highlight w:val="none"/>
                <w:lang w:val="en-US" w:eastAsia="zh-CN"/>
              </w:rPr>
              <w:t>产地/国别</w:t>
            </w:r>
          </w:p>
        </w:tc>
        <w:tc>
          <w:tcPr>
            <w:tcW w:w="1383" w:type="dxa"/>
            <w:vAlign w:val="center"/>
          </w:tcPr>
          <w:p w14:paraId="64AC8BC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制造商</w:t>
            </w:r>
          </w:p>
          <w:p w14:paraId="09B31A8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1"/>
                <w:szCs w:val="21"/>
                <w:highlight w:val="none"/>
                <w:u w:val="none"/>
                <w:vertAlign w:val="baseline"/>
                <w:lang w:val="zh-CN"/>
              </w:rPr>
            </w:pPr>
            <w:r>
              <w:rPr>
                <w:rFonts w:hint="eastAsia" w:ascii="宋体" w:hAnsi="宋体" w:eastAsia="宋体" w:cs="宋体"/>
                <w:b w:val="0"/>
                <w:bCs/>
                <w:color w:val="auto"/>
                <w:sz w:val="21"/>
                <w:szCs w:val="21"/>
                <w:highlight w:val="none"/>
                <w:lang w:val="en-US" w:eastAsia="zh-CN"/>
              </w:rPr>
              <w:t>统一社会信用代码</w:t>
            </w:r>
          </w:p>
        </w:tc>
        <w:tc>
          <w:tcPr>
            <w:tcW w:w="1008" w:type="dxa"/>
            <w:vAlign w:val="center"/>
          </w:tcPr>
          <w:p w14:paraId="7A390D4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1"/>
                <w:szCs w:val="21"/>
                <w:highlight w:val="none"/>
                <w:u w:val="none"/>
                <w:vertAlign w:val="baseline"/>
                <w:lang w:val="zh-CN"/>
              </w:rPr>
            </w:pPr>
            <w:r>
              <w:rPr>
                <w:rFonts w:hint="eastAsia" w:ascii="宋体" w:hAnsi="宋体" w:eastAsia="宋体" w:cs="宋体"/>
                <w:b w:val="0"/>
                <w:bCs/>
                <w:color w:val="auto"/>
                <w:sz w:val="21"/>
                <w:szCs w:val="21"/>
                <w:highlight w:val="none"/>
                <w:lang w:val="en-US" w:eastAsia="zh-CN"/>
              </w:rPr>
              <w:t>制造商规模</w:t>
            </w:r>
          </w:p>
        </w:tc>
        <w:tc>
          <w:tcPr>
            <w:tcW w:w="1464" w:type="dxa"/>
            <w:vAlign w:val="center"/>
          </w:tcPr>
          <w:p w14:paraId="3A9B2DE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1"/>
                <w:szCs w:val="21"/>
                <w:highlight w:val="none"/>
                <w:u w:val="none"/>
                <w:vertAlign w:val="baseline"/>
                <w:lang w:val="en-US"/>
              </w:rPr>
            </w:pPr>
            <w:r>
              <w:rPr>
                <w:rFonts w:hint="eastAsia" w:ascii="宋体" w:hAnsi="宋体" w:eastAsia="宋体" w:cs="宋体"/>
                <w:b w:val="0"/>
                <w:bCs/>
                <w:color w:val="auto"/>
                <w:sz w:val="21"/>
                <w:szCs w:val="21"/>
                <w:highlight w:val="none"/>
                <w:lang w:val="en-US" w:eastAsia="zh-CN"/>
              </w:rPr>
              <w:t>制造商实际控制人性别</w:t>
            </w:r>
          </w:p>
        </w:tc>
        <w:tc>
          <w:tcPr>
            <w:tcW w:w="1025" w:type="dxa"/>
            <w:vAlign w:val="center"/>
          </w:tcPr>
          <w:p w14:paraId="37BD30C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1"/>
                <w:szCs w:val="21"/>
                <w:highlight w:val="none"/>
                <w:u w:val="none"/>
                <w:vertAlign w:val="baseline"/>
                <w:lang w:val="zh-CN"/>
              </w:rPr>
            </w:pPr>
            <w:r>
              <w:rPr>
                <w:rFonts w:hint="eastAsia" w:ascii="宋体" w:hAnsi="宋体" w:eastAsia="宋体" w:cs="宋体"/>
                <w:b w:val="0"/>
                <w:bCs/>
                <w:color w:val="auto"/>
                <w:sz w:val="21"/>
                <w:szCs w:val="21"/>
                <w:highlight w:val="none"/>
                <w:lang w:val="en-US" w:eastAsia="zh-CN"/>
              </w:rPr>
              <w:t>外商投资类型</w:t>
            </w:r>
          </w:p>
        </w:tc>
        <w:tc>
          <w:tcPr>
            <w:tcW w:w="863" w:type="dxa"/>
            <w:vAlign w:val="center"/>
          </w:tcPr>
          <w:p w14:paraId="60D081D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1"/>
                <w:szCs w:val="21"/>
                <w:highlight w:val="none"/>
                <w:u w:val="none"/>
                <w:vertAlign w:val="baseline"/>
                <w:lang w:val="zh-CN"/>
              </w:rPr>
            </w:pPr>
            <w:r>
              <w:rPr>
                <w:rFonts w:hint="eastAsia" w:ascii="宋体" w:hAnsi="宋体" w:eastAsia="宋体" w:cs="宋体"/>
                <w:b w:val="0"/>
                <w:bCs/>
                <w:color w:val="auto"/>
                <w:sz w:val="21"/>
                <w:szCs w:val="21"/>
                <w:highlight w:val="none"/>
              </w:rPr>
              <w:t>品牌</w:t>
            </w:r>
          </w:p>
        </w:tc>
        <w:tc>
          <w:tcPr>
            <w:tcW w:w="1324" w:type="dxa"/>
            <w:vAlign w:val="center"/>
          </w:tcPr>
          <w:p w14:paraId="6B3AFBF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1"/>
                <w:szCs w:val="21"/>
                <w:highlight w:val="none"/>
                <w:u w:val="none"/>
                <w:vertAlign w:val="baseline"/>
                <w:lang w:val="zh-CN"/>
              </w:rPr>
            </w:pPr>
            <w:r>
              <w:rPr>
                <w:rFonts w:hint="eastAsia" w:ascii="宋体" w:hAnsi="宋体" w:eastAsia="宋体" w:cs="宋体"/>
                <w:b w:val="0"/>
                <w:bCs/>
                <w:color w:val="auto"/>
                <w:sz w:val="21"/>
                <w:szCs w:val="21"/>
                <w:highlight w:val="none"/>
                <w:lang w:val="en-US" w:eastAsia="zh-CN"/>
              </w:rPr>
              <w:t>规格、</w:t>
            </w:r>
            <w:r>
              <w:rPr>
                <w:rFonts w:hint="eastAsia" w:ascii="宋体" w:hAnsi="宋体" w:eastAsia="宋体" w:cs="宋体"/>
                <w:b w:val="0"/>
                <w:bCs/>
                <w:color w:val="auto"/>
                <w:sz w:val="21"/>
                <w:szCs w:val="21"/>
                <w:highlight w:val="none"/>
              </w:rPr>
              <w:t>型号</w:t>
            </w:r>
          </w:p>
        </w:tc>
        <w:tc>
          <w:tcPr>
            <w:tcW w:w="1026" w:type="dxa"/>
            <w:vAlign w:val="center"/>
          </w:tcPr>
          <w:p w14:paraId="45014B84">
            <w:pPr>
              <w:spacing w:line="240" w:lineRule="auto"/>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单价</w:t>
            </w:r>
          </w:p>
          <w:p w14:paraId="145DF2E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1"/>
                <w:szCs w:val="21"/>
                <w:highlight w:val="none"/>
                <w:u w:val="none"/>
                <w:vertAlign w:val="baseline"/>
                <w:lang w:val="zh-CN"/>
              </w:rPr>
            </w:pPr>
            <w:r>
              <w:rPr>
                <w:rFonts w:hint="eastAsia" w:ascii="宋体" w:hAnsi="宋体" w:eastAsia="宋体" w:cs="宋体"/>
                <w:b w:val="0"/>
                <w:bCs/>
                <w:color w:val="auto"/>
                <w:sz w:val="21"/>
                <w:szCs w:val="21"/>
                <w:highlight w:val="none"/>
              </w:rPr>
              <w:t>（元）</w:t>
            </w:r>
          </w:p>
        </w:tc>
        <w:tc>
          <w:tcPr>
            <w:tcW w:w="923" w:type="dxa"/>
            <w:vAlign w:val="center"/>
          </w:tcPr>
          <w:p w14:paraId="3BCEDFC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1"/>
                <w:szCs w:val="21"/>
                <w:highlight w:val="none"/>
                <w:u w:val="none"/>
                <w:vertAlign w:val="baseline"/>
                <w:lang w:val="zh-CN"/>
              </w:rPr>
            </w:pPr>
            <w:r>
              <w:rPr>
                <w:rFonts w:hint="eastAsia" w:ascii="宋体" w:hAnsi="宋体" w:eastAsia="宋体" w:cs="宋体"/>
                <w:b w:val="0"/>
                <w:bCs/>
                <w:color w:val="auto"/>
                <w:sz w:val="21"/>
                <w:szCs w:val="21"/>
                <w:highlight w:val="none"/>
              </w:rPr>
              <w:t>数量</w:t>
            </w:r>
          </w:p>
        </w:tc>
        <w:tc>
          <w:tcPr>
            <w:tcW w:w="1091" w:type="dxa"/>
            <w:vAlign w:val="center"/>
          </w:tcPr>
          <w:p w14:paraId="577D0E39">
            <w:pPr>
              <w:spacing w:line="240" w:lineRule="auto"/>
              <w:jc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合价</w:t>
            </w:r>
          </w:p>
          <w:p w14:paraId="2EC37A2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1"/>
                <w:szCs w:val="21"/>
                <w:highlight w:val="none"/>
                <w:u w:val="none"/>
                <w:vertAlign w:val="baseline"/>
                <w:lang w:val="zh-CN"/>
              </w:rPr>
            </w:pPr>
            <w:r>
              <w:rPr>
                <w:rFonts w:hint="eastAsia" w:ascii="宋体" w:hAnsi="宋体" w:eastAsia="宋体" w:cs="宋体"/>
                <w:b w:val="0"/>
                <w:bCs/>
                <w:color w:val="auto"/>
                <w:sz w:val="21"/>
                <w:szCs w:val="21"/>
                <w:highlight w:val="none"/>
              </w:rPr>
              <w:t>（元）</w:t>
            </w:r>
          </w:p>
        </w:tc>
      </w:tr>
      <w:tr w14:paraId="3DDD7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dxa"/>
            <w:vAlign w:val="center"/>
          </w:tcPr>
          <w:p w14:paraId="76007496">
            <w:pPr>
              <w:jc w:val="center"/>
              <w:rPr>
                <w:rFonts w:hint="eastAsia" w:ascii="宋体" w:hAnsi="宋体" w:eastAsia="宋体" w:cs="宋体"/>
                <w:b w:val="0"/>
                <w:bCs/>
                <w:color w:val="auto"/>
                <w:sz w:val="21"/>
                <w:szCs w:val="21"/>
                <w:highlight w:val="none"/>
                <w:u w:val="none"/>
                <w:vertAlign w:val="baseline"/>
                <w:lang w:val="en-US" w:eastAsia="zh-CN"/>
              </w:rPr>
            </w:pPr>
            <w:r>
              <w:rPr>
                <w:rFonts w:hint="eastAsia" w:ascii="宋体" w:hAnsi="宋体" w:eastAsia="宋体" w:cs="宋体"/>
                <w:b w:val="0"/>
                <w:bCs/>
                <w:color w:val="auto"/>
                <w:sz w:val="21"/>
                <w:szCs w:val="21"/>
                <w:highlight w:val="none"/>
                <w:u w:val="none"/>
                <w:vertAlign w:val="baseline"/>
                <w:lang w:val="en-US" w:eastAsia="zh-CN"/>
              </w:rPr>
              <w:t>1</w:t>
            </w:r>
          </w:p>
        </w:tc>
        <w:tc>
          <w:tcPr>
            <w:tcW w:w="1066" w:type="dxa"/>
            <w:vAlign w:val="center"/>
          </w:tcPr>
          <w:p w14:paraId="5185A0F8">
            <w:pPr>
              <w:jc w:val="center"/>
              <w:rPr>
                <w:rFonts w:hint="eastAsia" w:ascii="宋体" w:hAnsi="宋体" w:eastAsia="宋体" w:cs="宋体"/>
                <w:b w:val="0"/>
                <w:bCs/>
                <w:color w:val="auto"/>
                <w:sz w:val="21"/>
                <w:szCs w:val="21"/>
                <w:highlight w:val="none"/>
                <w:u w:val="none"/>
                <w:vertAlign w:val="baseline"/>
                <w:lang w:val="zh-CN"/>
              </w:rPr>
            </w:pPr>
          </w:p>
        </w:tc>
        <w:tc>
          <w:tcPr>
            <w:tcW w:w="1067" w:type="dxa"/>
            <w:vAlign w:val="center"/>
          </w:tcPr>
          <w:p w14:paraId="440761B0">
            <w:pPr>
              <w:jc w:val="center"/>
              <w:rPr>
                <w:rFonts w:hint="eastAsia" w:ascii="宋体" w:hAnsi="宋体" w:eastAsia="宋体" w:cs="宋体"/>
                <w:b w:val="0"/>
                <w:bCs/>
                <w:color w:val="auto"/>
                <w:sz w:val="21"/>
                <w:szCs w:val="21"/>
                <w:highlight w:val="none"/>
                <w:u w:val="none"/>
                <w:vertAlign w:val="baseline"/>
                <w:lang w:val="zh-CN"/>
              </w:rPr>
            </w:pPr>
          </w:p>
        </w:tc>
        <w:tc>
          <w:tcPr>
            <w:tcW w:w="1040" w:type="dxa"/>
            <w:vAlign w:val="center"/>
          </w:tcPr>
          <w:p w14:paraId="2042EBA7">
            <w:pPr>
              <w:jc w:val="center"/>
              <w:rPr>
                <w:rFonts w:hint="eastAsia" w:ascii="宋体" w:hAnsi="宋体" w:eastAsia="宋体" w:cs="宋体"/>
                <w:b w:val="0"/>
                <w:bCs/>
                <w:color w:val="auto"/>
                <w:sz w:val="21"/>
                <w:szCs w:val="21"/>
                <w:highlight w:val="none"/>
                <w:u w:val="none"/>
                <w:vertAlign w:val="baseline"/>
                <w:lang w:val="zh-CN"/>
              </w:rPr>
            </w:pPr>
          </w:p>
        </w:tc>
        <w:tc>
          <w:tcPr>
            <w:tcW w:w="1383" w:type="dxa"/>
            <w:vAlign w:val="center"/>
          </w:tcPr>
          <w:p w14:paraId="74B97F46">
            <w:pPr>
              <w:jc w:val="center"/>
              <w:rPr>
                <w:rFonts w:hint="eastAsia" w:ascii="宋体" w:hAnsi="宋体" w:eastAsia="宋体" w:cs="宋体"/>
                <w:b w:val="0"/>
                <w:bCs/>
                <w:color w:val="auto"/>
                <w:sz w:val="21"/>
                <w:szCs w:val="21"/>
                <w:highlight w:val="none"/>
                <w:u w:val="none"/>
                <w:vertAlign w:val="baseline"/>
                <w:lang w:val="zh-CN"/>
              </w:rPr>
            </w:pPr>
          </w:p>
        </w:tc>
        <w:tc>
          <w:tcPr>
            <w:tcW w:w="1008" w:type="dxa"/>
            <w:vAlign w:val="center"/>
          </w:tcPr>
          <w:p w14:paraId="339AD079">
            <w:pPr>
              <w:jc w:val="center"/>
              <w:rPr>
                <w:rFonts w:hint="eastAsia" w:ascii="宋体" w:hAnsi="宋体" w:eastAsia="宋体" w:cs="宋体"/>
                <w:b w:val="0"/>
                <w:bCs/>
                <w:color w:val="auto"/>
                <w:sz w:val="21"/>
                <w:szCs w:val="21"/>
                <w:highlight w:val="none"/>
                <w:u w:val="none"/>
                <w:vertAlign w:val="baseline"/>
                <w:lang w:val="zh-CN"/>
              </w:rPr>
            </w:pPr>
          </w:p>
        </w:tc>
        <w:tc>
          <w:tcPr>
            <w:tcW w:w="1464" w:type="dxa"/>
            <w:vAlign w:val="center"/>
          </w:tcPr>
          <w:p w14:paraId="0CB6EDE3">
            <w:pPr>
              <w:jc w:val="center"/>
              <w:rPr>
                <w:rFonts w:hint="eastAsia" w:ascii="宋体" w:hAnsi="宋体" w:eastAsia="宋体" w:cs="宋体"/>
                <w:b w:val="0"/>
                <w:bCs/>
                <w:color w:val="auto"/>
                <w:sz w:val="21"/>
                <w:szCs w:val="21"/>
                <w:highlight w:val="none"/>
                <w:u w:val="none"/>
                <w:vertAlign w:val="baseline"/>
                <w:lang w:val="zh-CN"/>
              </w:rPr>
            </w:pPr>
          </w:p>
        </w:tc>
        <w:tc>
          <w:tcPr>
            <w:tcW w:w="1025" w:type="dxa"/>
            <w:vAlign w:val="center"/>
          </w:tcPr>
          <w:p w14:paraId="2B5545C8">
            <w:pPr>
              <w:jc w:val="center"/>
              <w:rPr>
                <w:rFonts w:hint="eastAsia" w:ascii="宋体" w:hAnsi="宋体" w:eastAsia="宋体" w:cs="宋体"/>
                <w:b w:val="0"/>
                <w:bCs/>
                <w:color w:val="auto"/>
                <w:sz w:val="21"/>
                <w:szCs w:val="21"/>
                <w:highlight w:val="none"/>
                <w:u w:val="none"/>
                <w:vertAlign w:val="baseline"/>
                <w:lang w:val="zh-CN"/>
              </w:rPr>
            </w:pPr>
          </w:p>
        </w:tc>
        <w:tc>
          <w:tcPr>
            <w:tcW w:w="863" w:type="dxa"/>
            <w:vAlign w:val="center"/>
          </w:tcPr>
          <w:p w14:paraId="58D4443B">
            <w:pPr>
              <w:jc w:val="center"/>
              <w:rPr>
                <w:rFonts w:hint="eastAsia" w:ascii="宋体" w:hAnsi="宋体" w:eastAsia="宋体" w:cs="宋体"/>
                <w:b w:val="0"/>
                <w:bCs/>
                <w:color w:val="auto"/>
                <w:sz w:val="21"/>
                <w:szCs w:val="21"/>
                <w:highlight w:val="none"/>
                <w:u w:val="none"/>
                <w:vertAlign w:val="baseline"/>
                <w:lang w:val="zh-CN"/>
              </w:rPr>
            </w:pPr>
          </w:p>
        </w:tc>
        <w:tc>
          <w:tcPr>
            <w:tcW w:w="1324" w:type="dxa"/>
            <w:vAlign w:val="center"/>
          </w:tcPr>
          <w:p w14:paraId="38890D30">
            <w:pPr>
              <w:jc w:val="center"/>
              <w:rPr>
                <w:rFonts w:hint="eastAsia" w:ascii="宋体" w:hAnsi="宋体" w:eastAsia="宋体" w:cs="宋体"/>
                <w:b w:val="0"/>
                <w:bCs/>
                <w:color w:val="auto"/>
                <w:sz w:val="21"/>
                <w:szCs w:val="21"/>
                <w:highlight w:val="none"/>
                <w:u w:val="none"/>
                <w:vertAlign w:val="baseline"/>
                <w:lang w:val="zh-CN"/>
              </w:rPr>
            </w:pPr>
          </w:p>
        </w:tc>
        <w:tc>
          <w:tcPr>
            <w:tcW w:w="1026" w:type="dxa"/>
            <w:vAlign w:val="center"/>
          </w:tcPr>
          <w:p w14:paraId="50753003">
            <w:pPr>
              <w:jc w:val="center"/>
              <w:rPr>
                <w:rFonts w:hint="eastAsia" w:ascii="宋体" w:hAnsi="宋体" w:eastAsia="宋体" w:cs="宋体"/>
                <w:b w:val="0"/>
                <w:bCs/>
                <w:color w:val="auto"/>
                <w:sz w:val="21"/>
                <w:szCs w:val="21"/>
                <w:highlight w:val="none"/>
                <w:u w:val="none"/>
                <w:vertAlign w:val="baseline"/>
                <w:lang w:val="zh-CN"/>
              </w:rPr>
            </w:pPr>
          </w:p>
        </w:tc>
        <w:tc>
          <w:tcPr>
            <w:tcW w:w="923" w:type="dxa"/>
            <w:vAlign w:val="center"/>
          </w:tcPr>
          <w:p w14:paraId="722E72FF">
            <w:pPr>
              <w:jc w:val="center"/>
              <w:rPr>
                <w:rFonts w:hint="eastAsia" w:ascii="宋体" w:hAnsi="宋体" w:eastAsia="宋体" w:cs="宋体"/>
                <w:b w:val="0"/>
                <w:bCs/>
                <w:color w:val="auto"/>
                <w:sz w:val="21"/>
                <w:szCs w:val="21"/>
                <w:highlight w:val="none"/>
                <w:u w:val="none"/>
                <w:vertAlign w:val="baseline"/>
                <w:lang w:val="zh-CN"/>
              </w:rPr>
            </w:pPr>
          </w:p>
        </w:tc>
        <w:tc>
          <w:tcPr>
            <w:tcW w:w="1091" w:type="dxa"/>
            <w:vAlign w:val="center"/>
          </w:tcPr>
          <w:p w14:paraId="1F020DC5">
            <w:pPr>
              <w:jc w:val="center"/>
              <w:rPr>
                <w:rFonts w:hint="eastAsia" w:ascii="宋体" w:hAnsi="宋体" w:eastAsia="宋体" w:cs="宋体"/>
                <w:b w:val="0"/>
                <w:bCs/>
                <w:color w:val="auto"/>
                <w:sz w:val="21"/>
                <w:szCs w:val="21"/>
                <w:highlight w:val="none"/>
                <w:u w:val="none"/>
                <w:vertAlign w:val="baseline"/>
                <w:lang w:val="zh-CN"/>
              </w:rPr>
            </w:pPr>
          </w:p>
        </w:tc>
      </w:tr>
      <w:tr w14:paraId="327B8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dxa"/>
            <w:vAlign w:val="center"/>
          </w:tcPr>
          <w:p w14:paraId="2DA2FC9F">
            <w:pPr>
              <w:jc w:val="center"/>
              <w:rPr>
                <w:rFonts w:hint="eastAsia" w:ascii="宋体" w:hAnsi="宋体" w:eastAsia="宋体" w:cs="宋体"/>
                <w:b w:val="0"/>
                <w:bCs/>
                <w:color w:val="auto"/>
                <w:sz w:val="21"/>
                <w:szCs w:val="21"/>
                <w:highlight w:val="none"/>
                <w:u w:val="none"/>
                <w:vertAlign w:val="baseline"/>
                <w:lang w:val="en-US" w:eastAsia="zh-CN"/>
              </w:rPr>
            </w:pPr>
            <w:r>
              <w:rPr>
                <w:rFonts w:hint="eastAsia" w:ascii="宋体" w:hAnsi="宋体" w:eastAsia="宋体" w:cs="宋体"/>
                <w:b w:val="0"/>
                <w:bCs/>
                <w:color w:val="auto"/>
                <w:sz w:val="21"/>
                <w:szCs w:val="21"/>
                <w:highlight w:val="none"/>
                <w:u w:val="none"/>
                <w:vertAlign w:val="baseline"/>
                <w:lang w:val="en-US" w:eastAsia="zh-CN"/>
              </w:rPr>
              <w:t>2</w:t>
            </w:r>
          </w:p>
        </w:tc>
        <w:tc>
          <w:tcPr>
            <w:tcW w:w="1066" w:type="dxa"/>
            <w:vAlign w:val="center"/>
          </w:tcPr>
          <w:p w14:paraId="022E3F12">
            <w:pPr>
              <w:jc w:val="center"/>
              <w:rPr>
                <w:rFonts w:hint="eastAsia" w:ascii="宋体" w:hAnsi="宋体" w:eastAsia="宋体" w:cs="宋体"/>
                <w:b w:val="0"/>
                <w:bCs/>
                <w:color w:val="auto"/>
                <w:sz w:val="21"/>
                <w:szCs w:val="21"/>
                <w:highlight w:val="none"/>
                <w:u w:val="none"/>
                <w:vertAlign w:val="baseline"/>
                <w:lang w:val="zh-CN"/>
              </w:rPr>
            </w:pPr>
          </w:p>
        </w:tc>
        <w:tc>
          <w:tcPr>
            <w:tcW w:w="1067" w:type="dxa"/>
            <w:vAlign w:val="center"/>
          </w:tcPr>
          <w:p w14:paraId="3FFF5518">
            <w:pPr>
              <w:jc w:val="center"/>
              <w:rPr>
                <w:rFonts w:hint="eastAsia" w:ascii="宋体" w:hAnsi="宋体" w:eastAsia="宋体" w:cs="宋体"/>
                <w:b w:val="0"/>
                <w:bCs/>
                <w:color w:val="auto"/>
                <w:sz w:val="21"/>
                <w:szCs w:val="21"/>
                <w:highlight w:val="none"/>
                <w:u w:val="none"/>
                <w:vertAlign w:val="baseline"/>
                <w:lang w:val="zh-CN"/>
              </w:rPr>
            </w:pPr>
          </w:p>
        </w:tc>
        <w:tc>
          <w:tcPr>
            <w:tcW w:w="1040" w:type="dxa"/>
            <w:vAlign w:val="center"/>
          </w:tcPr>
          <w:p w14:paraId="0C93B94B">
            <w:pPr>
              <w:jc w:val="center"/>
              <w:rPr>
                <w:rFonts w:hint="eastAsia" w:ascii="宋体" w:hAnsi="宋体" w:eastAsia="宋体" w:cs="宋体"/>
                <w:b w:val="0"/>
                <w:bCs/>
                <w:color w:val="auto"/>
                <w:sz w:val="21"/>
                <w:szCs w:val="21"/>
                <w:highlight w:val="none"/>
                <w:u w:val="none"/>
                <w:vertAlign w:val="baseline"/>
                <w:lang w:val="zh-CN"/>
              </w:rPr>
            </w:pPr>
          </w:p>
        </w:tc>
        <w:tc>
          <w:tcPr>
            <w:tcW w:w="1383" w:type="dxa"/>
            <w:vAlign w:val="center"/>
          </w:tcPr>
          <w:p w14:paraId="43F08D28">
            <w:pPr>
              <w:jc w:val="center"/>
              <w:rPr>
                <w:rFonts w:hint="eastAsia" w:ascii="宋体" w:hAnsi="宋体" w:eastAsia="宋体" w:cs="宋体"/>
                <w:b w:val="0"/>
                <w:bCs/>
                <w:color w:val="auto"/>
                <w:sz w:val="21"/>
                <w:szCs w:val="21"/>
                <w:highlight w:val="none"/>
                <w:u w:val="none"/>
                <w:vertAlign w:val="baseline"/>
                <w:lang w:val="zh-CN"/>
              </w:rPr>
            </w:pPr>
          </w:p>
        </w:tc>
        <w:tc>
          <w:tcPr>
            <w:tcW w:w="1008" w:type="dxa"/>
            <w:vAlign w:val="center"/>
          </w:tcPr>
          <w:p w14:paraId="4F7A043B">
            <w:pPr>
              <w:jc w:val="center"/>
              <w:rPr>
                <w:rFonts w:hint="eastAsia" w:ascii="宋体" w:hAnsi="宋体" w:eastAsia="宋体" w:cs="宋体"/>
                <w:b w:val="0"/>
                <w:bCs/>
                <w:color w:val="auto"/>
                <w:sz w:val="21"/>
                <w:szCs w:val="21"/>
                <w:highlight w:val="none"/>
                <w:u w:val="none"/>
                <w:vertAlign w:val="baseline"/>
                <w:lang w:val="zh-CN"/>
              </w:rPr>
            </w:pPr>
          </w:p>
        </w:tc>
        <w:tc>
          <w:tcPr>
            <w:tcW w:w="1464" w:type="dxa"/>
            <w:vAlign w:val="center"/>
          </w:tcPr>
          <w:p w14:paraId="2BA9D216">
            <w:pPr>
              <w:jc w:val="center"/>
              <w:rPr>
                <w:rFonts w:hint="eastAsia" w:ascii="宋体" w:hAnsi="宋体" w:eastAsia="宋体" w:cs="宋体"/>
                <w:b w:val="0"/>
                <w:bCs/>
                <w:color w:val="auto"/>
                <w:sz w:val="21"/>
                <w:szCs w:val="21"/>
                <w:highlight w:val="none"/>
                <w:u w:val="none"/>
                <w:vertAlign w:val="baseline"/>
                <w:lang w:val="zh-CN"/>
              </w:rPr>
            </w:pPr>
          </w:p>
        </w:tc>
        <w:tc>
          <w:tcPr>
            <w:tcW w:w="1025" w:type="dxa"/>
            <w:vAlign w:val="center"/>
          </w:tcPr>
          <w:p w14:paraId="0E652E37">
            <w:pPr>
              <w:jc w:val="center"/>
              <w:rPr>
                <w:rFonts w:hint="eastAsia" w:ascii="宋体" w:hAnsi="宋体" w:eastAsia="宋体" w:cs="宋体"/>
                <w:b w:val="0"/>
                <w:bCs/>
                <w:color w:val="auto"/>
                <w:sz w:val="21"/>
                <w:szCs w:val="21"/>
                <w:highlight w:val="none"/>
                <w:u w:val="none"/>
                <w:vertAlign w:val="baseline"/>
                <w:lang w:val="zh-CN"/>
              </w:rPr>
            </w:pPr>
          </w:p>
        </w:tc>
        <w:tc>
          <w:tcPr>
            <w:tcW w:w="863" w:type="dxa"/>
            <w:vAlign w:val="center"/>
          </w:tcPr>
          <w:p w14:paraId="22025CB6">
            <w:pPr>
              <w:jc w:val="center"/>
              <w:rPr>
                <w:rFonts w:hint="eastAsia" w:ascii="宋体" w:hAnsi="宋体" w:eastAsia="宋体" w:cs="宋体"/>
                <w:b w:val="0"/>
                <w:bCs/>
                <w:color w:val="auto"/>
                <w:sz w:val="21"/>
                <w:szCs w:val="21"/>
                <w:highlight w:val="none"/>
                <w:u w:val="none"/>
                <w:vertAlign w:val="baseline"/>
                <w:lang w:val="zh-CN"/>
              </w:rPr>
            </w:pPr>
          </w:p>
        </w:tc>
        <w:tc>
          <w:tcPr>
            <w:tcW w:w="1324" w:type="dxa"/>
            <w:vAlign w:val="center"/>
          </w:tcPr>
          <w:p w14:paraId="62DDA3C2">
            <w:pPr>
              <w:jc w:val="center"/>
              <w:rPr>
                <w:rFonts w:hint="eastAsia" w:ascii="宋体" w:hAnsi="宋体" w:eastAsia="宋体" w:cs="宋体"/>
                <w:b w:val="0"/>
                <w:bCs/>
                <w:color w:val="auto"/>
                <w:sz w:val="21"/>
                <w:szCs w:val="21"/>
                <w:highlight w:val="none"/>
                <w:u w:val="none"/>
                <w:vertAlign w:val="baseline"/>
                <w:lang w:val="zh-CN"/>
              </w:rPr>
            </w:pPr>
          </w:p>
        </w:tc>
        <w:tc>
          <w:tcPr>
            <w:tcW w:w="1026" w:type="dxa"/>
            <w:vAlign w:val="center"/>
          </w:tcPr>
          <w:p w14:paraId="703F39B0">
            <w:pPr>
              <w:jc w:val="center"/>
              <w:rPr>
                <w:rFonts w:hint="eastAsia" w:ascii="宋体" w:hAnsi="宋体" w:eastAsia="宋体" w:cs="宋体"/>
                <w:b w:val="0"/>
                <w:bCs/>
                <w:color w:val="auto"/>
                <w:sz w:val="21"/>
                <w:szCs w:val="21"/>
                <w:highlight w:val="none"/>
                <w:u w:val="none"/>
                <w:vertAlign w:val="baseline"/>
                <w:lang w:val="zh-CN"/>
              </w:rPr>
            </w:pPr>
          </w:p>
        </w:tc>
        <w:tc>
          <w:tcPr>
            <w:tcW w:w="923" w:type="dxa"/>
            <w:vAlign w:val="center"/>
          </w:tcPr>
          <w:p w14:paraId="454AC89A">
            <w:pPr>
              <w:jc w:val="center"/>
              <w:rPr>
                <w:rFonts w:hint="eastAsia" w:ascii="宋体" w:hAnsi="宋体" w:eastAsia="宋体" w:cs="宋体"/>
                <w:b w:val="0"/>
                <w:bCs/>
                <w:color w:val="auto"/>
                <w:sz w:val="21"/>
                <w:szCs w:val="21"/>
                <w:highlight w:val="none"/>
                <w:u w:val="none"/>
                <w:vertAlign w:val="baseline"/>
                <w:lang w:val="zh-CN"/>
              </w:rPr>
            </w:pPr>
          </w:p>
        </w:tc>
        <w:tc>
          <w:tcPr>
            <w:tcW w:w="1091" w:type="dxa"/>
            <w:vAlign w:val="center"/>
          </w:tcPr>
          <w:p w14:paraId="3DE3EDC9">
            <w:pPr>
              <w:jc w:val="center"/>
              <w:rPr>
                <w:rFonts w:hint="eastAsia" w:ascii="宋体" w:hAnsi="宋体" w:eastAsia="宋体" w:cs="宋体"/>
                <w:b w:val="0"/>
                <w:bCs/>
                <w:color w:val="auto"/>
                <w:sz w:val="21"/>
                <w:szCs w:val="21"/>
                <w:highlight w:val="none"/>
                <w:u w:val="none"/>
                <w:vertAlign w:val="baseline"/>
                <w:lang w:val="zh-CN"/>
              </w:rPr>
            </w:pPr>
          </w:p>
        </w:tc>
      </w:tr>
      <w:tr w14:paraId="338F2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dxa"/>
            <w:vAlign w:val="center"/>
          </w:tcPr>
          <w:p w14:paraId="288DC270">
            <w:pPr>
              <w:jc w:val="center"/>
              <w:rPr>
                <w:rFonts w:hint="eastAsia" w:ascii="宋体" w:hAnsi="宋体" w:eastAsia="宋体" w:cs="宋体"/>
                <w:b w:val="0"/>
                <w:bCs/>
                <w:color w:val="auto"/>
                <w:sz w:val="21"/>
                <w:szCs w:val="21"/>
                <w:highlight w:val="none"/>
                <w:u w:val="none"/>
                <w:vertAlign w:val="baseline"/>
                <w:lang w:val="en-US" w:eastAsia="zh-CN"/>
              </w:rPr>
            </w:pPr>
            <w:r>
              <w:rPr>
                <w:rFonts w:hint="eastAsia" w:ascii="宋体" w:hAnsi="宋体" w:eastAsia="宋体" w:cs="宋体"/>
                <w:b w:val="0"/>
                <w:bCs/>
                <w:color w:val="auto"/>
                <w:sz w:val="21"/>
                <w:szCs w:val="21"/>
                <w:highlight w:val="none"/>
                <w:u w:val="none"/>
                <w:vertAlign w:val="baseline"/>
                <w:lang w:val="en-US" w:eastAsia="zh-CN"/>
              </w:rPr>
              <w:t>3</w:t>
            </w:r>
          </w:p>
        </w:tc>
        <w:tc>
          <w:tcPr>
            <w:tcW w:w="1066" w:type="dxa"/>
            <w:vAlign w:val="center"/>
          </w:tcPr>
          <w:p w14:paraId="296B3553">
            <w:pPr>
              <w:jc w:val="center"/>
              <w:rPr>
                <w:rFonts w:hint="eastAsia" w:ascii="宋体" w:hAnsi="宋体" w:eastAsia="宋体" w:cs="宋体"/>
                <w:b w:val="0"/>
                <w:bCs/>
                <w:color w:val="auto"/>
                <w:sz w:val="21"/>
                <w:szCs w:val="21"/>
                <w:highlight w:val="none"/>
                <w:u w:val="none"/>
                <w:vertAlign w:val="baseline"/>
                <w:lang w:val="zh-CN"/>
              </w:rPr>
            </w:pPr>
          </w:p>
        </w:tc>
        <w:tc>
          <w:tcPr>
            <w:tcW w:w="1067" w:type="dxa"/>
            <w:vAlign w:val="center"/>
          </w:tcPr>
          <w:p w14:paraId="11A9BFBA">
            <w:pPr>
              <w:jc w:val="center"/>
              <w:rPr>
                <w:rFonts w:hint="eastAsia" w:ascii="宋体" w:hAnsi="宋体" w:eastAsia="宋体" w:cs="宋体"/>
                <w:b w:val="0"/>
                <w:bCs/>
                <w:color w:val="auto"/>
                <w:sz w:val="21"/>
                <w:szCs w:val="21"/>
                <w:highlight w:val="none"/>
                <w:u w:val="none"/>
                <w:vertAlign w:val="baseline"/>
                <w:lang w:val="zh-CN"/>
              </w:rPr>
            </w:pPr>
          </w:p>
        </w:tc>
        <w:tc>
          <w:tcPr>
            <w:tcW w:w="1040" w:type="dxa"/>
            <w:vAlign w:val="center"/>
          </w:tcPr>
          <w:p w14:paraId="6D34AAEE">
            <w:pPr>
              <w:jc w:val="center"/>
              <w:rPr>
                <w:rFonts w:hint="eastAsia" w:ascii="宋体" w:hAnsi="宋体" w:eastAsia="宋体" w:cs="宋体"/>
                <w:b w:val="0"/>
                <w:bCs/>
                <w:color w:val="auto"/>
                <w:sz w:val="21"/>
                <w:szCs w:val="21"/>
                <w:highlight w:val="none"/>
                <w:u w:val="none"/>
                <w:vertAlign w:val="baseline"/>
                <w:lang w:val="zh-CN"/>
              </w:rPr>
            </w:pPr>
          </w:p>
        </w:tc>
        <w:tc>
          <w:tcPr>
            <w:tcW w:w="1383" w:type="dxa"/>
            <w:vAlign w:val="center"/>
          </w:tcPr>
          <w:p w14:paraId="1895811B">
            <w:pPr>
              <w:jc w:val="center"/>
              <w:rPr>
                <w:rFonts w:hint="eastAsia" w:ascii="宋体" w:hAnsi="宋体" w:eastAsia="宋体" w:cs="宋体"/>
                <w:b w:val="0"/>
                <w:bCs/>
                <w:color w:val="auto"/>
                <w:sz w:val="21"/>
                <w:szCs w:val="21"/>
                <w:highlight w:val="none"/>
                <w:u w:val="none"/>
                <w:vertAlign w:val="baseline"/>
                <w:lang w:val="zh-CN"/>
              </w:rPr>
            </w:pPr>
          </w:p>
        </w:tc>
        <w:tc>
          <w:tcPr>
            <w:tcW w:w="1008" w:type="dxa"/>
            <w:vAlign w:val="center"/>
          </w:tcPr>
          <w:p w14:paraId="5C049FB4">
            <w:pPr>
              <w:jc w:val="center"/>
              <w:rPr>
                <w:rFonts w:hint="eastAsia" w:ascii="宋体" w:hAnsi="宋体" w:eastAsia="宋体" w:cs="宋体"/>
                <w:b w:val="0"/>
                <w:bCs/>
                <w:color w:val="auto"/>
                <w:sz w:val="21"/>
                <w:szCs w:val="21"/>
                <w:highlight w:val="none"/>
                <w:u w:val="none"/>
                <w:vertAlign w:val="baseline"/>
                <w:lang w:val="zh-CN"/>
              </w:rPr>
            </w:pPr>
          </w:p>
        </w:tc>
        <w:tc>
          <w:tcPr>
            <w:tcW w:w="1464" w:type="dxa"/>
            <w:vAlign w:val="center"/>
          </w:tcPr>
          <w:p w14:paraId="1EEF0947">
            <w:pPr>
              <w:jc w:val="center"/>
              <w:rPr>
                <w:rFonts w:hint="eastAsia" w:ascii="宋体" w:hAnsi="宋体" w:eastAsia="宋体" w:cs="宋体"/>
                <w:b w:val="0"/>
                <w:bCs/>
                <w:color w:val="auto"/>
                <w:sz w:val="21"/>
                <w:szCs w:val="21"/>
                <w:highlight w:val="none"/>
                <w:u w:val="none"/>
                <w:vertAlign w:val="baseline"/>
                <w:lang w:val="zh-CN"/>
              </w:rPr>
            </w:pPr>
          </w:p>
        </w:tc>
        <w:tc>
          <w:tcPr>
            <w:tcW w:w="1025" w:type="dxa"/>
            <w:vAlign w:val="center"/>
          </w:tcPr>
          <w:p w14:paraId="7778CA91">
            <w:pPr>
              <w:jc w:val="center"/>
              <w:rPr>
                <w:rFonts w:hint="eastAsia" w:ascii="宋体" w:hAnsi="宋体" w:eastAsia="宋体" w:cs="宋体"/>
                <w:b w:val="0"/>
                <w:bCs/>
                <w:color w:val="auto"/>
                <w:sz w:val="21"/>
                <w:szCs w:val="21"/>
                <w:highlight w:val="none"/>
                <w:u w:val="none"/>
                <w:vertAlign w:val="baseline"/>
                <w:lang w:val="zh-CN"/>
              </w:rPr>
            </w:pPr>
          </w:p>
        </w:tc>
        <w:tc>
          <w:tcPr>
            <w:tcW w:w="863" w:type="dxa"/>
            <w:vAlign w:val="center"/>
          </w:tcPr>
          <w:p w14:paraId="4765FF03">
            <w:pPr>
              <w:jc w:val="center"/>
              <w:rPr>
                <w:rFonts w:hint="eastAsia" w:ascii="宋体" w:hAnsi="宋体" w:eastAsia="宋体" w:cs="宋体"/>
                <w:b w:val="0"/>
                <w:bCs/>
                <w:color w:val="auto"/>
                <w:sz w:val="21"/>
                <w:szCs w:val="21"/>
                <w:highlight w:val="none"/>
                <w:u w:val="none"/>
                <w:vertAlign w:val="baseline"/>
                <w:lang w:val="zh-CN"/>
              </w:rPr>
            </w:pPr>
          </w:p>
        </w:tc>
        <w:tc>
          <w:tcPr>
            <w:tcW w:w="1324" w:type="dxa"/>
            <w:vAlign w:val="center"/>
          </w:tcPr>
          <w:p w14:paraId="1030805C">
            <w:pPr>
              <w:jc w:val="center"/>
              <w:rPr>
                <w:rFonts w:hint="eastAsia" w:ascii="宋体" w:hAnsi="宋体" w:eastAsia="宋体" w:cs="宋体"/>
                <w:b w:val="0"/>
                <w:bCs/>
                <w:color w:val="auto"/>
                <w:sz w:val="21"/>
                <w:szCs w:val="21"/>
                <w:highlight w:val="none"/>
                <w:u w:val="none"/>
                <w:vertAlign w:val="baseline"/>
                <w:lang w:val="zh-CN"/>
              </w:rPr>
            </w:pPr>
          </w:p>
        </w:tc>
        <w:tc>
          <w:tcPr>
            <w:tcW w:w="1026" w:type="dxa"/>
            <w:vAlign w:val="center"/>
          </w:tcPr>
          <w:p w14:paraId="03FD13FA">
            <w:pPr>
              <w:jc w:val="center"/>
              <w:rPr>
                <w:rFonts w:hint="eastAsia" w:ascii="宋体" w:hAnsi="宋体" w:eastAsia="宋体" w:cs="宋体"/>
                <w:b w:val="0"/>
                <w:bCs/>
                <w:color w:val="auto"/>
                <w:sz w:val="21"/>
                <w:szCs w:val="21"/>
                <w:highlight w:val="none"/>
                <w:u w:val="none"/>
                <w:vertAlign w:val="baseline"/>
                <w:lang w:val="zh-CN"/>
              </w:rPr>
            </w:pPr>
          </w:p>
        </w:tc>
        <w:tc>
          <w:tcPr>
            <w:tcW w:w="923" w:type="dxa"/>
            <w:vAlign w:val="center"/>
          </w:tcPr>
          <w:p w14:paraId="16B2BB13">
            <w:pPr>
              <w:jc w:val="center"/>
              <w:rPr>
                <w:rFonts w:hint="eastAsia" w:ascii="宋体" w:hAnsi="宋体" w:eastAsia="宋体" w:cs="宋体"/>
                <w:b w:val="0"/>
                <w:bCs/>
                <w:color w:val="auto"/>
                <w:sz w:val="21"/>
                <w:szCs w:val="21"/>
                <w:highlight w:val="none"/>
                <w:u w:val="none"/>
                <w:vertAlign w:val="baseline"/>
                <w:lang w:val="zh-CN"/>
              </w:rPr>
            </w:pPr>
          </w:p>
        </w:tc>
        <w:tc>
          <w:tcPr>
            <w:tcW w:w="1091" w:type="dxa"/>
            <w:vAlign w:val="center"/>
          </w:tcPr>
          <w:p w14:paraId="568E139E">
            <w:pPr>
              <w:jc w:val="center"/>
              <w:rPr>
                <w:rFonts w:hint="eastAsia" w:ascii="宋体" w:hAnsi="宋体" w:eastAsia="宋体" w:cs="宋体"/>
                <w:b w:val="0"/>
                <w:bCs/>
                <w:color w:val="auto"/>
                <w:sz w:val="21"/>
                <w:szCs w:val="21"/>
                <w:highlight w:val="none"/>
                <w:u w:val="none"/>
                <w:vertAlign w:val="baseline"/>
                <w:lang w:val="zh-CN"/>
              </w:rPr>
            </w:pPr>
          </w:p>
        </w:tc>
      </w:tr>
      <w:tr w14:paraId="1A2CF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dxa"/>
            <w:vAlign w:val="center"/>
          </w:tcPr>
          <w:p w14:paraId="4B0C62D3">
            <w:pPr>
              <w:jc w:val="center"/>
              <w:rPr>
                <w:rFonts w:hint="eastAsia" w:ascii="宋体" w:hAnsi="宋体" w:eastAsia="宋体" w:cs="宋体"/>
                <w:b w:val="0"/>
                <w:bCs/>
                <w:color w:val="auto"/>
                <w:sz w:val="21"/>
                <w:szCs w:val="21"/>
                <w:highlight w:val="none"/>
                <w:u w:val="none"/>
                <w:vertAlign w:val="baseline"/>
                <w:lang w:val="en-US" w:eastAsia="zh-CN"/>
              </w:rPr>
            </w:pPr>
            <w:r>
              <w:rPr>
                <w:rFonts w:hint="eastAsia" w:ascii="宋体" w:hAnsi="宋体" w:eastAsia="宋体" w:cs="宋体"/>
                <w:b w:val="0"/>
                <w:bCs/>
                <w:color w:val="auto"/>
                <w:sz w:val="21"/>
                <w:szCs w:val="21"/>
                <w:highlight w:val="none"/>
                <w:u w:val="none"/>
                <w:vertAlign w:val="baseline"/>
                <w:lang w:val="en-US" w:eastAsia="zh-CN"/>
              </w:rPr>
              <w:t>4</w:t>
            </w:r>
          </w:p>
        </w:tc>
        <w:tc>
          <w:tcPr>
            <w:tcW w:w="1066" w:type="dxa"/>
            <w:vAlign w:val="center"/>
          </w:tcPr>
          <w:p w14:paraId="78D63140">
            <w:pPr>
              <w:jc w:val="center"/>
              <w:rPr>
                <w:rFonts w:hint="eastAsia" w:ascii="宋体" w:hAnsi="宋体" w:eastAsia="宋体" w:cs="宋体"/>
                <w:b w:val="0"/>
                <w:bCs/>
                <w:color w:val="auto"/>
                <w:sz w:val="21"/>
                <w:szCs w:val="21"/>
                <w:highlight w:val="none"/>
                <w:u w:val="none"/>
                <w:vertAlign w:val="baseline"/>
                <w:lang w:val="zh-CN"/>
              </w:rPr>
            </w:pPr>
          </w:p>
        </w:tc>
        <w:tc>
          <w:tcPr>
            <w:tcW w:w="1067" w:type="dxa"/>
            <w:vAlign w:val="center"/>
          </w:tcPr>
          <w:p w14:paraId="36FCE407">
            <w:pPr>
              <w:jc w:val="center"/>
              <w:rPr>
                <w:rFonts w:hint="eastAsia" w:ascii="宋体" w:hAnsi="宋体" w:eastAsia="宋体" w:cs="宋体"/>
                <w:b w:val="0"/>
                <w:bCs/>
                <w:color w:val="auto"/>
                <w:sz w:val="21"/>
                <w:szCs w:val="21"/>
                <w:highlight w:val="none"/>
                <w:u w:val="none"/>
                <w:vertAlign w:val="baseline"/>
                <w:lang w:val="zh-CN"/>
              </w:rPr>
            </w:pPr>
          </w:p>
        </w:tc>
        <w:tc>
          <w:tcPr>
            <w:tcW w:w="1040" w:type="dxa"/>
            <w:vAlign w:val="center"/>
          </w:tcPr>
          <w:p w14:paraId="7B685A3F">
            <w:pPr>
              <w:jc w:val="center"/>
              <w:rPr>
                <w:rFonts w:hint="eastAsia" w:ascii="宋体" w:hAnsi="宋体" w:eastAsia="宋体" w:cs="宋体"/>
                <w:b w:val="0"/>
                <w:bCs/>
                <w:color w:val="auto"/>
                <w:sz w:val="21"/>
                <w:szCs w:val="21"/>
                <w:highlight w:val="none"/>
                <w:u w:val="none"/>
                <w:vertAlign w:val="baseline"/>
                <w:lang w:val="zh-CN"/>
              </w:rPr>
            </w:pPr>
          </w:p>
        </w:tc>
        <w:tc>
          <w:tcPr>
            <w:tcW w:w="1383" w:type="dxa"/>
            <w:vAlign w:val="center"/>
          </w:tcPr>
          <w:p w14:paraId="737DC40C">
            <w:pPr>
              <w:jc w:val="center"/>
              <w:rPr>
                <w:rFonts w:hint="eastAsia" w:ascii="宋体" w:hAnsi="宋体" w:eastAsia="宋体" w:cs="宋体"/>
                <w:b w:val="0"/>
                <w:bCs/>
                <w:color w:val="auto"/>
                <w:sz w:val="21"/>
                <w:szCs w:val="21"/>
                <w:highlight w:val="none"/>
                <w:u w:val="none"/>
                <w:vertAlign w:val="baseline"/>
                <w:lang w:val="zh-CN"/>
              </w:rPr>
            </w:pPr>
          </w:p>
        </w:tc>
        <w:tc>
          <w:tcPr>
            <w:tcW w:w="1008" w:type="dxa"/>
            <w:vAlign w:val="center"/>
          </w:tcPr>
          <w:p w14:paraId="6DC3F2EB">
            <w:pPr>
              <w:jc w:val="center"/>
              <w:rPr>
                <w:rFonts w:hint="eastAsia" w:ascii="宋体" w:hAnsi="宋体" w:eastAsia="宋体" w:cs="宋体"/>
                <w:b w:val="0"/>
                <w:bCs/>
                <w:color w:val="auto"/>
                <w:sz w:val="21"/>
                <w:szCs w:val="21"/>
                <w:highlight w:val="none"/>
                <w:u w:val="none"/>
                <w:vertAlign w:val="baseline"/>
                <w:lang w:val="zh-CN"/>
              </w:rPr>
            </w:pPr>
          </w:p>
        </w:tc>
        <w:tc>
          <w:tcPr>
            <w:tcW w:w="1464" w:type="dxa"/>
            <w:vAlign w:val="center"/>
          </w:tcPr>
          <w:p w14:paraId="04B80A38">
            <w:pPr>
              <w:jc w:val="center"/>
              <w:rPr>
                <w:rFonts w:hint="eastAsia" w:ascii="宋体" w:hAnsi="宋体" w:eastAsia="宋体" w:cs="宋体"/>
                <w:b w:val="0"/>
                <w:bCs/>
                <w:color w:val="auto"/>
                <w:sz w:val="21"/>
                <w:szCs w:val="21"/>
                <w:highlight w:val="none"/>
                <w:u w:val="none"/>
                <w:vertAlign w:val="baseline"/>
                <w:lang w:val="zh-CN"/>
              </w:rPr>
            </w:pPr>
          </w:p>
        </w:tc>
        <w:tc>
          <w:tcPr>
            <w:tcW w:w="1025" w:type="dxa"/>
            <w:vAlign w:val="center"/>
          </w:tcPr>
          <w:p w14:paraId="7E28DCD6">
            <w:pPr>
              <w:jc w:val="center"/>
              <w:rPr>
                <w:rFonts w:hint="eastAsia" w:ascii="宋体" w:hAnsi="宋体" w:eastAsia="宋体" w:cs="宋体"/>
                <w:b w:val="0"/>
                <w:bCs/>
                <w:color w:val="auto"/>
                <w:sz w:val="21"/>
                <w:szCs w:val="21"/>
                <w:highlight w:val="none"/>
                <w:u w:val="none"/>
                <w:vertAlign w:val="baseline"/>
                <w:lang w:val="zh-CN"/>
              </w:rPr>
            </w:pPr>
          </w:p>
        </w:tc>
        <w:tc>
          <w:tcPr>
            <w:tcW w:w="863" w:type="dxa"/>
            <w:vAlign w:val="center"/>
          </w:tcPr>
          <w:p w14:paraId="4E72731F">
            <w:pPr>
              <w:jc w:val="center"/>
              <w:rPr>
                <w:rFonts w:hint="eastAsia" w:ascii="宋体" w:hAnsi="宋体" w:eastAsia="宋体" w:cs="宋体"/>
                <w:b w:val="0"/>
                <w:bCs/>
                <w:color w:val="auto"/>
                <w:sz w:val="21"/>
                <w:szCs w:val="21"/>
                <w:highlight w:val="none"/>
                <w:u w:val="none"/>
                <w:vertAlign w:val="baseline"/>
                <w:lang w:val="zh-CN"/>
              </w:rPr>
            </w:pPr>
          </w:p>
        </w:tc>
        <w:tc>
          <w:tcPr>
            <w:tcW w:w="1324" w:type="dxa"/>
            <w:vAlign w:val="center"/>
          </w:tcPr>
          <w:p w14:paraId="781A2EB9">
            <w:pPr>
              <w:jc w:val="center"/>
              <w:rPr>
                <w:rFonts w:hint="eastAsia" w:ascii="宋体" w:hAnsi="宋体" w:eastAsia="宋体" w:cs="宋体"/>
                <w:b w:val="0"/>
                <w:bCs/>
                <w:color w:val="auto"/>
                <w:sz w:val="21"/>
                <w:szCs w:val="21"/>
                <w:highlight w:val="none"/>
                <w:u w:val="none"/>
                <w:vertAlign w:val="baseline"/>
                <w:lang w:val="zh-CN"/>
              </w:rPr>
            </w:pPr>
          </w:p>
        </w:tc>
        <w:tc>
          <w:tcPr>
            <w:tcW w:w="1026" w:type="dxa"/>
            <w:vAlign w:val="center"/>
          </w:tcPr>
          <w:p w14:paraId="427EE9F9">
            <w:pPr>
              <w:jc w:val="center"/>
              <w:rPr>
                <w:rFonts w:hint="eastAsia" w:ascii="宋体" w:hAnsi="宋体" w:eastAsia="宋体" w:cs="宋体"/>
                <w:b w:val="0"/>
                <w:bCs/>
                <w:color w:val="auto"/>
                <w:sz w:val="21"/>
                <w:szCs w:val="21"/>
                <w:highlight w:val="none"/>
                <w:u w:val="none"/>
                <w:vertAlign w:val="baseline"/>
                <w:lang w:val="zh-CN"/>
              </w:rPr>
            </w:pPr>
          </w:p>
        </w:tc>
        <w:tc>
          <w:tcPr>
            <w:tcW w:w="923" w:type="dxa"/>
            <w:vAlign w:val="center"/>
          </w:tcPr>
          <w:p w14:paraId="12B42903">
            <w:pPr>
              <w:jc w:val="center"/>
              <w:rPr>
                <w:rFonts w:hint="eastAsia" w:ascii="宋体" w:hAnsi="宋体" w:eastAsia="宋体" w:cs="宋体"/>
                <w:b w:val="0"/>
                <w:bCs/>
                <w:color w:val="auto"/>
                <w:sz w:val="21"/>
                <w:szCs w:val="21"/>
                <w:highlight w:val="none"/>
                <w:u w:val="none"/>
                <w:vertAlign w:val="baseline"/>
                <w:lang w:val="zh-CN"/>
              </w:rPr>
            </w:pPr>
          </w:p>
        </w:tc>
        <w:tc>
          <w:tcPr>
            <w:tcW w:w="1091" w:type="dxa"/>
            <w:vAlign w:val="center"/>
          </w:tcPr>
          <w:p w14:paraId="69FF26F0">
            <w:pPr>
              <w:jc w:val="center"/>
              <w:rPr>
                <w:rFonts w:hint="eastAsia" w:ascii="宋体" w:hAnsi="宋体" w:eastAsia="宋体" w:cs="宋体"/>
                <w:b w:val="0"/>
                <w:bCs/>
                <w:color w:val="auto"/>
                <w:sz w:val="21"/>
                <w:szCs w:val="21"/>
                <w:highlight w:val="none"/>
                <w:u w:val="none"/>
                <w:vertAlign w:val="baseline"/>
                <w:lang w:val="zh-CN"/>
              </w:rPr>
            </w:pPr>
          </w:p>
        </w:tc>
      </w:tr>
      <w:tr w14:paraId="49E74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dxa"/>
            <w:vAlign w:val="center"/>
          </w:tcPr>
          <w:p w14:paraId="4442CB85">
            <w:pPr>
              <w:jc w:val="center"/>
              <w:rPr>
                <w:rFonts w:hint="eastAsia" w:ascii="宋体" w:hAnsi="宋体" w:eastAsia="宋体" w:cs="宋体"/>
                <w:b w:val="0"/>
                <w:bCs/>
                <w:color w:val="auto"/>
                <w:sz w:val="21"/>
                <w:szCs w:val="21"/>
                <w:highlight w:val="none"/>
                <w:u w:val="none"/>
                <w:vertAlign w:val="baseline"/>
                <w:lang w:val="en-US" w:eastAsia="zh-CN"/>
              </w:rPr>
            </w:pPr>
            <w:r>
              <w:rPr>
                <w:rFonts w:hint="eastAsia" w:ascii="宋体" w:hAnsi="宋体" w:eastAsia="宋体" w:cs="宋体"/>
                <w:b w:val="0"/>
                <w:bCs/>
                <w:color w:val="auto"/>
                <w:sz w:val="21"/>
                <w:szCs w:val="21"/>
                <w:highlight w:val="none"/>
                <w:u w:val="none"/>
                <w:vertAlign w:val="baseline"/>
                <w:lang w:val="en-US" w:eastAsia="zh-CN"/>
              </w:rPr>
              <w:t>5</w:t>
            </w:r>
          </w:p>
        </w:tc>
        <w:tc>
          <w:tcPr>
            <w:tcW w:w="1066" w:type="dxa"/>
            <w:vAlign w:val="center"/>
          </w:tcPr>
          <w:p w14:paraId="679234AE">
            <w:pPr>
              <w:jc w:val="center"/>
              <w:rPr>
                <w:rFonts w:hint="eastAsia" w:ascii="宋体" w:hAnsi="宋体" w:eastAsia="宋体" w:cs="宋体"/>
                <w:b w:val="0"/>
                <w:bCs/>
                <w:color w:val="auto"/>
                <w:sz w:val="21"/>
                <w:szCs w:val="21"/>
                <w:highlight w:val="none"/>
                <w:u w:val="none"/>
                <w:vertAlign w:val="baseline"/>
                <w:lang w:val="zh-CN"/>
              </w:rPr>
            </w:pPr>
          </w:p>
        </w:tc>
        <w:tc>
          <w:tcPr>
            <w:tcW w:w="1067" w:type="dxa"/>
            <w:vAlign w:val="center"/>
          </w:tcPr>
          <w:p w14:paraId="1677FA79">
            <w:pPr>
              <w:jc w:val="center"/>
              <w:rPr>
                <w:rFonts w:hint="eastAsia" w:ascii="宋体" w:hAnsi="宋体" w:eastAsia="宋体" w:cs="宋体"/>
                <w:b w:val="0"/>
                <w:bCs/>
                <w:color w:val="auto"/>
                <w:sz w:val="21"/>
                <w:szCs w:val="21"/>
                <w:highlight w:val="none"/>
                <w:u w:val="none"/>
                <w:vertAlign w:val="baseline"/>
                <w:lang w:val="zh-CN"/>
              </w:rPr>
            </w:pPr>
          </w:p>
        </w:tc>
        <w:tc>
          <w:tcPr>
            <w:tcW w:w="1040" w:type="dxa"/>
            <w:vAlign w:val="center"/>
          </w:tcPr>
          <w:p w14:paraId="73FE1D76">
            <w:pPr>
              <w:jc w:val="center"/>
              <w:rPr>
                <w:rFonts w:hint="eastAsia" w:ascii="宋体" w:hAnsi="宋体" w:eastAsia="宋体" w:cs="宋体"/>
                <w:b w:val="0"/>
                <w:bCs/>
                <w:color w:val="auto"/>
                <w:sz w:val="21"/>
                <w:szCs w:val="21"/>
                <w:highlight w:val="none"/>
                <w:u w:val="none"/>
                <w:vertAlign w:val="baseline"/>
                <w:lang w:val="zh-CN"/>
              </w:rPr>
            </w:pPr>
          </w:p>
        </w:tc>
        <w:tc>
          <w:tcPr>
            <w:tcW w:w="1383" w:type="dxa"/>
            <w:vAlign w:val="center"/>
          </w:tcPr>
          <w:p w14:paraId="61CBC7D1">
            <w:pPr>
              <w:jc w:val="center"/>
              <w:rPr>
                <w:rFonts w:hint="eastAsia" w:ascii="宋体" w:hAnsi="宋体" w:eastAsia="宋体" w:cs="宋体"/>
                <w:b w:val="0"/>
                <w:bCs/>
                <w:color w:val="auto"/>
                <w:sz w:val="21"/>
                <w:szCs w:val="21"/>
                <w:highlight w:val="none"/>
                <w:u w:val="none"/>
                <w:vertAlign w:val="baseline"/>
                <w:lang w:val="zh-CN"/>
              </w:rPr>
            </w:pPr>
          </w:p>
        </w:tc>
        <w:tc>
          <w:tcPr>
            <w:tcW w:w="1008" w:type="dxa"/>
            <w:vAlign w:val="center"/>
          </w:tcPr>
          <w:p w14:paraId="6A301C20">
            <w:pPr>
              <w:jc w:val="center"/>
              <w:rPr>
                <w:rFonts w:hint="eastAsia" w:ascii="宋体" w:hAnsi="宋体" w:eastAsia="宋体" w:cs="宋体"/>
                <w:b w:val="0"/>
                <w:bCs/>
                <w:color w:val="auto"/>
                <w:sz w:val="21"/>
                <w:szCs w:val="21"/>
                <w:highlight w:val="none"/>
                <w:u w:val="none"/>
                <w:vertAlign w:val="baseline"/>
                <w:lang w:val="zh-CN"/>
              </w:rPr>
            </w:pPr>
          </w:p>
        </w:tc>
        <w:tc>
          <w:tcPr>
            <w:tcW w:w="1464" w:type="dxa"/>
            <w:vAlign w:val="center"/>
          </w:tcPr>
          <w:p w14:paraId="04151E12">
            <w:pPr>
              <w:jc w:val="center"/>
              <w:rPr>
                <w:rFonts w:hint="eastAsia" w:ascii="宋体" w:hAnsi="宋体" w:eastAsia="宋体" w:cs="宋体"/>
                <w:b w:val="0"/>
                <w:bCs/>
                <w:color w:val="auto"/>
                <w:sz w:val="21"/>
                <w:szCs w:val="21"/>
                <w:highlight w:val="none"/>
                <w:u w:val="none"/>
                <w:vertAlign w:val="baseline"/>
                <w:lang w:val="zh-CN"/>
              </w:rPr>
            </w:pPr>
          </w:p>
        </w:tc>
        <w:tc>
          <w:tcPr>
            <w:tcW w:w="1025" w:type="dxa"/>
            <w:vAlign w:val="center"/>
          </w:tcPr>
          <w:p w14:paraId="4252EDFA">
            <w:pPr>
              <w:jc w:val="center"/>
              <w:rPr>
                <w:rFonts w:hint="eastAsia" w:ascii="宋体" w:hAnsi="宋体" w:eastAsia="宋体" w:cs="宋体"/>
                <w:b w:val="0"/>
                <w:bCs/>
                <w:color w:val="auto"/>
                <w:sz w:val="21"/>
                <w:szCs w:val="21"/>
                <w:highlight w:val="none"/>
                <w:u w:val="none"/>
                <w:vertAlign w:val="baseline"/>
                <w:lang w:val="zh-CN"/>
              </w:rPr>
            </w:pPr>
          </w:p>
        </w:tc>
        <w:tc>
          <w:tcPr>
            <w:tcW w:w="863" w:type="dxa"/>
            <w:vAlign w:val="center"/>
          </w:tcPr>
          <w:p w14:paraId="0C1A4B6F">
            <w:pPr>
              <w:jc w:val="center"/>
              <w:rPr>
                <w:rFonts w:hint="eastAsia" w:ascii="宋体" w:hAnsi="宋体" w:eastAsia="宋体" w:cs="宋体"/>
                <w:b w:val="0"/>
                <w:bCs/>
                <w:color w:val="auto"/>
                <w:sz w:val="21"/>
                <w:szCs w:val="21"/>
                <w:highlight w:val="none"/>
                <w:u w:val="none"/>
                <w:vertAlign w:val="baseline"/>
                <w:lang w:val="zh-CN"/>
              </w:rPr>
            </w:pPr>
          </w:p>
        </w:tc>
        <w:tc>
          <w:tcPr>
            <w:tcW w:w="1324" w:type="dxa"/>
            <w:vAlign w:val="center"/>
          </w:tcPr>
          <w:p w14:paraId="42FC6DBD">
            <w:pPr>
              <w:jc w:val="center"/>
              <w:rPr>
                <w:rFonts w:hint="eastAsia" w:ascii="宋体" w:hAnsi="宋体" w:eastAsia="宋体" w:cs="宋体"/>
                <w:b w:val="0"/>
                <w:bCs/>
                <w:color w:val="auto"/>
                <w:sz w:val="21"/>
                <w:szCs w:val="21"/>
                <w:highlight w:val="none"/>
                <w:u w:val="none"/>
                <w:vertAlign w:val="baseline"/>
                <w:lang w:val="zh-CN"/>
              </w:rPr>
            </w:pPr>
          </w:p>
        </w:tc>
        <w:tc>
          <w:tcPr>
            <w:tcW w:w="1026" w:type="dxa"/>
            <w:vAlign w:val="center"/>
          </w:tcPr>
          <w:p w14:paraId="2F3F1C2B">
            <w:pPr>
              <w:jc w:val="center"/>
              <w:rPr>
                <w:rFonts w:hint="eastAsia" w:ascii="宋体" w:hAnsi="宋体" w:eastAsia="宋体" w:cs="宋体"/>
                <w:b w:val="0"/>
                <w:bCs/>
                <w:color w:val="auto"/>
                <w:sz w:val="21"/>
                <w:szCs w:val="21"/>
                <w:highlight w:val="none"/>
                <w:u w:val="none"/>
                <w:vertAlign w:val="baseline"/>
                <w:lang w:val="zh-CN"/>
              </w:rPr>
            </w:pPr>
          </w:p>
        </w:tc>
        <w:tc>
          <w:tcPr>
            <w:tcW w:w="923" w:type="dxa"/>
            <w:vAlign w:val="center"/>
          </w:tcPr>
          <w:p w14:paraId="7843F507">
            <w:pPr>
              <w:jc w:val="center"/>
              <w:rPr>
                <w:rFonts w:hint="eastAsia" w:ascii="宋体" w:hAnsi="宋体" w:eastAsia="宋体" w:cs="宋体"/>
                <w:b w:val="0"/>
                <w:bCs/>
                <w:color w:val="auto"/>
                <w:sz w:val="21"/>
                <w:szCs w:val="21"/>
                <w:highlight w:val="none"/>
                <w:u w:val="none"/>
                <w:vertAlign w:val="baseline"/>
                <w:lang w:val="zh-CN"/>
              </w:rPr>
            </w:pPr>
          </w:p>
        </w:tc>
        <w:tc>
          <w:tcPr>
            <w:tcW w:w="1091" w:type="dxa"/>
            <w:vAlign w:val="center"/>
          </w:tcPr>
          <w:p w14:paraId="5011D80F">
            <w:pPr>
              <w:jc w:val="center"/>
              <w:rPr>
                <w:rFonts w:hint="eastAsia" w:ascii="宋体" w:hAnsi="宋体" w:eastAsia="宋体" w:cs="宋体"/>
                <w:b w:val="0"/>
                <w:bCs/>
                <w:color w:val="auto"/>
                <w:sz w:val="21"/>
                <w:szCs w:val="21"/>
                <w:highlight w:val="none"/>
                <w:u w:val="none"/>
                <w:vertAlign w:val="baseline"/>
                <w:lang w:val="zh-CN"/>
              </w:rPr>
            </w:pPr>
          </w:p>
        </w:tc>
      </w:tr>
      <w:tr w14:paraId="0995B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dxa"/>
            <w:vAlign w:val="center"/>
          </w:tcPr>
          <w:p w14:paraId="60BE0365">
            <w:pPr>
              <w:jc w:val="center"/>
              <w:rPr>
                <w:rFonts w:hint="eastAsia" w:ascii="宋体" w:hAnsi="宋体" w:eastAsia="宋体" w:cs="宋体"/>
                <w:b w:val="0"/>
                <w:bCs/>
                <w:color w:val="auto"/>
                <w:sz w:val="21"/>
                <w:szCs w:val="21"/>
                <w:highlight w:val="none"/>
                <w:u w:val="none"/>
                <w:vertAlign w:val="baseline"/>
                <w:lang w:val="en-US" w:eastAsia="zh-CN"/>
              </w:rPr>
            </w:pPr>
            <w:r>
              <w:rPr>
                <w:rFonts w:hint="eastAsia" w:ascii="宋体" w:hAnsi="宋体" w:eastAsia="宋体" w:cs="宋体"/>
                <w:b w:val="0"/>
                <w:bCs/>
                <w:color w:val="auto"/>
                <w:sz w:val="21"/>
                <w:szCs w:val="21"/>
                <w:highlight w:val="none"/>
                <w:u w:val="none"/>
                <w:vertAlign w:val="baseline"/>
                <w:lang w:val="en-US" w:eastAsia="zh-CN"/>
              </w:rPr>
              <w:t>6</w:t>
            </w:r>
          </w:p>
        </w:tc>
        <w:tc>
          <w:tcPr>
            <w:tcW w:w="1066" w:type="dxa"/>
            <w:vAlign w:val="center"/>
          </w:tcPr>
          <w:p w14:paraId="6D8BCB32">
            <w:pPr>
              <w:jc w:val="center"/>
              <w:rPr>
                <w:rFonts w:hint="eastAsia" w:ascii="宋体" w:hAnsi="宋体" w:eastAsia="宋体" w:cs="宋体"/>
                <w:b w:val="0"/>
                <w:bCs/>
                <w:color w:val="auto"/>
                <w:sz w:val="21"/>
                <w:szCs w:val="21"/>
                <w:highlight w:val="none"/>
                <w:u w:val="none"/>
                <w:vertAlign w:val="baseline"/>
                <w:lang w:val="zh-CN"/>
              </w:rPr>
            </w:pPr>
          </w:p>
        </w:tc>
        <w:tc>
          <w:tcPr>
            <w:tcW w:w="1067" w:type="dxa"/>
            <w:vAlign w:val="center"/>
          </w:tcPr>
          <w:p w14:paraId="517AD61C">
            <w:pPr>
              <w:jc w:val="center"/>
              <w:rPr>
                <w:rFonts w:hint="eastAsia" w:ascii="宋体" w:hAnsi="宋体" w:eastAsia="宋体" w:cs="宋体"/>
                <w:b w:val="0"/>
                <w:bCs/>
                <w:color w:val="auto"/>
                <w:sz w:val="21"/>
                <w:szCs w:val="21"/>
                <w:highlight w:val="none"/>
                <w:u w:val="none"/>
                <w:vertAlign w:val="baseline"/>
                <w:lang w:val="zh-CN"/>
              </w:rPr>
            </w:pPr>
          </w:p>
        </w:tc>
        <w:tc>
          <w:tcPr>
            <w:tcW w:w="1040" w:type="dxa"/>
            <w:vAlign w:val="center"/>
          </w:tcPr>
          <w:p w14:paraId="000621DE">
            <w:pPr>
              <w:jc w:val="center"/>
              <w:rPr>
                <w:rFonts w:hint="eastAsia" w:ascii="宋体" w:hAnsi="宋体" w:eastAsia="宋体" w:cs="宋体"/>
                <w:b w:val="0"/>
                <w:bCs/>
                <w:color w:val="auto"/>
                <w:sz w:val="21"/>
                <w:szCs w:val="21"/>
                <w:highlight w:val="none"/>
                <w:u w:val="none"/>
                <w:vertAlign w:val="baseline"/>
                <w:lang w:val="zh-CN"/>
              </w:rPr>
            </w:pPr>
          </w:p>
        </w:tc>
        <w:tc>
          <w:tcPr>
            <w:tcW w:w="1383" w:type="dxa"/>
            <w:vAlign w:val="center"/>
          </w:tcPr>
          <w:p w14:paraId="62068598">
            <w:pPr>
              <w:jc w:val="center"/>
              <w:rPr>
                <w:rFonts w:hint="eastAsia" w:ascii="宋体" w:hAnsi="宋体" w:eastAsia="宋体" w:cs="宋体"/>
                <w:b w:val="0"/>
                <w:bCs/>
                <w:color w:val="auto"/>
                <w:sz w:val="21"/>
                <w:szCs w:val="21"/>
                <w:highlight w:val="none"/>
                <w:u w:val="none"/>
                <w:vertAlign w:val="baseline"/>
                <w:lang w:val="zh-CN"/>
              </w:rPr>
            </w:pPr>
          </w:p>
        </w:tc>
        <w:tc>
          <w:tcPr>
            <w:tcW w:w="1008" w:type="dxa"/>
            <w:vAlign w:val="center"/>
          </w:tcPr>
          <w:p w14:paraId="7CAA6800">
            <w:pPr>
              <w:jc w:val="center"/>
              <w:rPr>
                <w:rFonts w:hint="eastAsia" w:ascii="宋体" w:hAnsi="宋体" w:eastAsia="宋体" w:cs="宋体"/>
                <w:b w:val="0"/>
                <w:bCs/>
                <w:color w:val="auto"/>
                <w:sz w:val="21"/>
                <w:szCs w:val="21"/>
                <w:highlight w:val="none"/>
                <w:u w:val="none"/>
                <w:vertAlign w:val="baseline"/>
                <w:lang w:val="zh-CN"/>
              </w:rPr>
            </w:pPr>
          </w:p>
        </w:tc>
        <w:tc>
          <w:tcPr>
            <w:tcW w:w="1464" w:type="dxa"/>
            <w:vAlign w:val="center"/>
          </w:tcPr>
          <w:p w14:paraId="45ABB011">
            <w:pPr>
              <w:jc w:val="center"/>
              <w:rPr>
                <w:rFonts w:hint="eastAsia" w:ascii="宋体" w:hAnsi="宋体" w:eastAsia="宋体" w:cs="宋体"/>
                <w:b w:val="0"/>
                <w:bCs/>
                <w:color w:val="auto"/>
                <w:sz w:val="21"/>
                <w:szCs w:val="21"/>
                <w:highlight w:val="none"/>
                <w:u w:val="none"/>
                <w:vertAlign w:val="baseline"/>
                <w:lang w:val="zh-CN"/>
              </w:rPr>
            </w:pPr>
          </w:p>
        </w:tc>
        <w:tc>
          <w:tcPr>
            <w:tcW w:w="1025" w:type="dxa"/>
            <w:vAlign w:val="center"/>
          </w:tcPr>
          <w:p w14:paraId="30B8B0A5">
            <w:pPr>
              <w:jc w:val="center"/>
              <w:rPr>
                <w:rFonts w:hint="eastAsia" w:ascii="宋体" w:hAnsi="宋体" w:eastAsia="宋体" w:cs="宋体"/>
                <w:b w:val="0"/>
                <w:bCs/>
                <w:color w:val="auto"/>
                <w:sz w:val="21"/>
                <w:szCs w:val="21"/>
                <w:highlight w:val="none"/>
                <w:u w:val="none"/>
                <w:vertAlign w:val="baseline"/>
                <w:lang w:val="zh-CN"/>
              </w:rPr>
            </w:pPr>
          </w:p>
        </w:tc>
        <w:tc>
          <w:tcPr>
            <w:tcW w:w="863" w:type="dxa"/>
            <w:vAlign w:val="center"/>
          </w:tcPr>
          <w:p w14:paraId="4202EE98">
            <w:pPr>
              <w:jc w:val="center"/>
              <w:rPr>
                <w:rFonts w:hint="eastAsia" w:ascii="宋体" w:hAnsi="宋体" w:eastAsia="宋体" w:cs="宋体"/>
                <w:b w:val="0"/>
                <w:bCs/>
                <w:color w:val="auto"/>
                <w:sz w:val="21"/>
                <w:szCs w:val="21"/>
                <w:highlight w:val="none"/>
                <w:u w:val="none"/>
                <w:vertAlign w:val="baseline"/>
                <w:lang w:val="zh-CN"/>
              </w:rPr>
            </w:pPr>
          </w:p>
        </w:tc>
        <w:tc>
          <w:tcPr>
            <w:tcW w:w="1324" w:type="dxa"/>
            <w:vAlign w:val="center"/>
          </w:tcPr>
          <w:p w14:paraId="7256613A">
            <w:pPr>
              <w:jc w:val="center"/>
              <w:rPr>
                <w:rFonts w:hint="eastAsia" w:ascii="宋体" w:hAnsi="宋体" w:eastAsia="宋体" w:cs="宋体"/>
                <w:b w:val="0"/>
                <w:bCs/>
                <w:color w:val="auto"/>
                <w:sz w:val="21"/>
                <w:szCs w:val="21"/>
                <w:highlight w:val="none"/>
                <w:u w:val="none"/>
                <w:vertAlign w:val="baseline"/>
                <w:lang w:val="zh-CN"/>
              </w:rPr>
            </w:pPr>
          </w:p>
        </w:tc>
        <w:tc>
          <w:tcPr>
            <w:tcW w:w="1026" w:type="dxa"/>
            <w:vAlign w:val="center"/>
          </w:tcPr>
          <w:p w14:paraId="5EF22610">
            <w:pPr>
              <w:jc w:val="center"/>
              <w:rPr>
                <w:rFonts w:hint="eastAsia" w:ascii="宋体" w:hAnsi="宋体" w:eastAsia="宋体" w:cs="宋体"/>
                <w:b w:val="0"/>
                <w:bCs/>
                <w:color w:val="auto"/>
                <w:sz w:val="21"/>
                <w:szCs w:val="21"/>
                <w:highlight w:val="none"/>
                <w:u w:val="none"/>
                <w:vertAlign w:val="baseline"/>
                <w:lang w:val="zh-CN"/>
              </w:rPr>
            </w:pPr>
          </w:p>
        </w:tc>
        <w:tc>
          <w:tcPr>
            <w:tcW w:w="923" w:type="dxa"/>
            <w:vAlign w:val="center"/>
          </w:tcPr>
          <w:p w14:paraId="60FE5997">
            <w:pPr>
              <w:jc w:val="center"/>
              <w:rPr>
                <w:rFonts w:hint="eastAsia" w:ascii="宋体" w:hAnsi="宋体" w:eastAsia="宋体" w:cs="宋体"/>
                <w:b w:val="0"/>
                <w:bCs/>
                <w:color w:val="auto"/>
                <w:sz w:val="21"/>
                <w:szCs w:val="21"/>
                <w:highlight w:val="none"/>
                <w:u w:val="none"/>
                <w:vertAlign w:val="baseline"/>
                <w:lang w:val="zh-CN"/>
              </w:rPr>
            </w:pPr>
          </w:p>
        </w:tc>
        <w:tc>
          <w:tcPr>
            <w:tcW w:w="1091" w:type="dxa"/>
            <w:vAlign w:val="center"/>
          </w:tcPr>
          <w:p w14:paraId="11199F0C">
            <w:pPr>
              <w:jc w:val="center"/>
              <w:rPr>
                <w:rFonts w:hint="eastAsia" w:ascii="宋体" w:hAnsi="宋体" w:eastAsia="宋体" w:cs="宋体"/>
                <w:b w:val="0"/>
                <w:bCs/>
                <w:color w:val="auto"/>
                <w:sz w:val="21"/>
                <w:szCs w:val="21"/>
                <w:highlight w:val="none"/>
                <w:u w:val="none"/>
                <w:vertAlign w:val="baseline"/>
                <w:lang w:val="zh-CN"/>
              </w:rPr>
            </w:pPr>
          </w:p>
        </w:tc>
      </w:tr>
      <w:tr w14:paraId="24D4E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dxa"/>
            <w:vAlign w:val="center"/>
          </w:tcPr>
          <w:p w14:paraId="0CA1058F">
            <w:pPr>
              <w:jc w:val="center"/>
              <w:rPr>
                <w:rFonts w:hint="eastAsia" w:ascii="宋体" w:hAnsi="宋体" w:eastAsia="宋体" w:cs="宋体"/>
                <w:b w:val="0"/>
                <w:bCs/>
                <w:color w:val="auto"/>
                <w:sz w:val="21"/>
                <w:szCs w:val="21"/>
                <w:highlight w:val="none"/>
                <w:u w:val="none"/>
                <w:vertAlign w:val="baseline"/>
                <w:lang w:val="zh-CN"/>
              </w:rPr>
            </w:pPr>
            <w:r>
              <w:rPr>
                <w:rFonts w:hint="eastAsia" w:ascii="宋体" w:hAnsi="宋体" w:eastAsia="宋体" w:cs="宋体"/>
                <w:b w:val="0"/>
                <w:bCs/>
                <w:color w:val="auto"/>
                <w:sz w:val="21"/>
                <w:szCs w:val="21"/>
                <w:highlight w:val="none"/>
                <w:u w:val="none"/>
                <w:vertAlign w:val="baseline"/>
                <w:lang w:val="zh-CN"/>
              </w:rPr>
              <w:t>…</w:t>
            </w:r>
          </w:p>
        </w:tc>
        <w:tc>
          <w:tcPr>
            <w:tcW w:w="1066" w:type="dxa"/>
            <w:vAlign w:val="center"/>
          </w:tcPr>
          <w:p w14:paraId="07D6C3C7">
            <w:pPr>
              <w:jc w:val="center"/>
              <w:rPr>
                <w:rFonts w:hint="eastAsia" w:ascii="宋体" w:hAnsi="宋体" w:eastAsia="宋体" w:cs="宋体"/>
                <w:b w:val="0"/>
                <w:bCs/>
                <w:color w:val="auto"/>
                <w:sz w:val="21"/>
                <w:szCs w:val="21"/>
                <w:highlight w:val="none"/>
                <w:u w:val="none"/>
                <w:vertAlign w:val="baseline"/>
                <w:lang w:val="zh-CN"/>
              </w:rPr>
            </w:pPr>
          </w:p>
        </w:tc>
        <w:tc>
          <w:tcPr>
            <w:tcW w:w="1067" w:type="dxa"/>
            <w:vAlign w:val="center"/>
          </w:tcPr>
          <w:p w14:paraId="54762713">
            <w:pPr>
              <w:jc w:val="center"/>
              <w:rPr>
                <w:rFonts w:hint="eastAsia" w:ascii="宋体" w:hAnsi="宋体" w:eastAsia="宋体" w:cs="宋体"/>
                <w:b w:val="0"/>
                <w:bCs/>
                <w:color w:val="auto"/>
                <w:sz w:val="21"/>
                <w:szCs w:val="21"/>
                <w:highlight w:val="none"/>
                <w:u w:val="none"/>
                <w:vertAlign w:val="baseline"/>
                <w:lang w:val="zh-CN"/>
              </w:rPr>
            </w:pPr>
          </w:p>
        </w:tc>
        <w:tc>
          <w:tcPr>
            <w:tcW w:w="1040" w:type="dxa"/>
            <w:vAlign w:val="center"/>
          </w:tcPr>
          <w:p w14:paraId="6008D212">
            <w:pPr>
              <w:jc w:val="center"/>
              <w:rPr>
                <w:rFonts w:hint="eastAsia" w:ascii="宋体" w:hAnsi="宋体" w:eastAsia="宋体" w:cs="宋体"/>
                <w:b w:val="0"/>
                <w:bCs/>
                <w:color w:val="auto"/>
                <w:sz w:val="21"/>
                <w:szCs w:val="21"/>
                <w:highlight w:val="none"/>
                <w:u w:val="none"/>
                <w:vertAlign w:val="baseline"/>
                <w:lang w:val="zh-CN"/>
              </w:rPr>
            </w:pPr>
          </w:p>
        </w:tc>
        <w:tc>
          <w:tcPr>
            <w:tcW w:w="1383" w:type="dxa"/>
            <w:vAlign w:val="center"/>
          </w:tcPr>
          <w:p w14:paraId="7BB3E714">
            <w:pPr>
              <w:jc w:val="center"/>
              <w:rPr>
                <w:rFonts w:hint="eastAsia" w:ascii="宋体" w:hAnsi="宋体" w:eastAsia="宋体" w:cs="宋体"/>
                <w:b w:val="0"/>
                <w:bCs/>
                <w:color w:val="auto"/>
                <w:sz w:val="21"/>
                <w:szCs w:val="21"/>
                <w:highlight w:val="none"/>
                <w:u w:val="none"/>
                <w:vertAlign w:val="baseline"/>
                <w:lang w:val="zh-CN"/>
              </w:rPr>
            </w:pPr>
          </w:p>
        </w:tc>
        <w:tc>
          <w:tcPr>
            <w:tcW w:w="1008" w:type="dxa"/>
            <w:vAlign w:val="center"/>
          </w:tcPr>
          <w:p w14:paraId="4B0014E9">
            <w:pPr>
              <w:jc w:val="center"/>
              <w:rPr>
                <w:rFonts w:hint="eastAsia" w:ascii="宋体" w:hAnsi="宋体" w:eastAsia="宋体" w:cs="宋体"/>
                <w:b w:val="0"/>
                <w:bCs/>
                <w:color w:val="auto"/>
                <w:sz w:val="21"/>
                <w:szCs w:val="21"/>
                <w:highlight w:val="none"/>
                <w:u w:val="none"/>
                <w:vertAlign w:val="baseline"/>
                <w:lang w:val="zh-CN"/>
              </w:rPr>
            </w:pPr>
          </w:p>
        </w:tc>
        <w:tc>
          <w:tcPr>
            <w:tcW w:w="1464" w:type="dxa"/>
            <w:vAlign w:val="center"/>
          </w:tcPr>
          <w:p w14:paraId="53F16430">
            <w:pPr>
              <w:jc w:val="center"/>
              <w:rPr>
                <w:rFonts w:hint="eastAsia" w:ascii="宋体" w:hAnsi="宋体" w:eastAsia="宋体" w:cs="宋体"/>
                <w:b w:val="0"/>
                <w:bCs/>
                <w:color w:val="auto"/>
                <w:sz w:val="21"/>
                <w:szCs w:val="21"/>
                <w:highlight w:val="none"/>
                <w:u w:val="none"/>
                <w:vertAlign w:val="baseline"/>
                <w:lang w:val="zh-CN"/>
              </w:rPr>
            </w:pPr>
          </w:p>
        </w:tc>
        <w:tc>
          <w:tcPr>
            <w:tcW w:w="1025" w:type="dxa"/>
            <w:vAlign w:val="center"/>
          </w:tcPr>
          <w:p w14:paraId="2BF5155B">
            <w:pPr>
              <w:jc w:val="center"/>
              <w:rPr>
                <w:rFonts w:hint="eastAsia" w:ascii="宋体" w:hAnsi="宋体" w:eastAsia="宋体" w:cs="宋体"/>
                <w:b w:val="0"/>
                <w:bCs/>
                <w:color w:val="auto"/>
                <w:sz w:val="21"/>
                <w:szCs w:val="21"/>
                <w:highlight w:val="none"/>
                <w:u w:val="none"/>
                <w:vertAlign w:val="baseline"/>
                <w:lang w:val="zh-CN"/>
              </w:rPr>
            </w:pPr>
          </w:p>
        </w:tc>
        <w:tc>
          <w:tcPr>
            <w:tcW w:w="863" w:type="dxa"/>
            <w:vAlign w:val="center"/>
          </w:tcPr>
          <w:p w14:paraId="30E0F0AA">
            <w:pPr>
              <w:jc w:val="center"/>
              <w:rPr>
                <w:rFonts w:hint="eastAsia" w:ascii="宋体" w:hAnsi="宋体" w:eastAsia="宋体" w:cs="宋体"/>
                <w:b w:val="0"/>
                <w:bCs/>
                <w:color w:val="auto"/>
                <w:sz w:val="21"/>
                <w:szCs w:val="21"/>
                <w:highlight w:val="none"/>
                <w:u w:val="none"/>
                <w:vertAlign w:val="baseline"/>
                <w:lang w:val="zh-CN"/>
              </w:rPr>
            </w:pPr>
          </w:p>
        </w:tc>
        <w:tc>
          <w:tcPr>
            <w:tcW w:w="1324" w:type="dxa"/>
            <w:vAlign w:val="center"/>
          </w:tcPr>
          <w:p w14:paraId="77514C69">
            <w:pPr>
              <w:jc w:val="center"/>
              <w:rPr>
                <w:rFonts w:hint="eastAsia" w:ascii="宋体" w:hAnsi="宋体" w:eastAsia="宋体" w:cs="宋体"/>
                <w:b w:val="0"/>
                <w:bCs/>
                <w:color w:val="auto"/>
                <w:sz w:val="21"/>
                <w:szCs w:val="21"/>
                <w:highlight w:val="none"/>
                <w:u w:val="none"/>
                <w:vertAlign w:val="baseline"/>
                <w:lang w:val="zh-CN"/>
              </w:rPr>
            </w:pPr>
          </w:p>
        </w:tc>
        <w:tc>
          <w:tcPr>
            <w:tcW w:w="1026" w:type="dxa"/>
            <w:vAlign w:val="center"/>
          </w:tcPr>
          <w:p w14:paraId="3C51E7DE">
            <w:pPr>
              <w:jc w:val="center"/>
              <w:rPr>
                <w:rFonts w:hint="eastAsia" w:ascii="宋体" w:hAnsi="宋体" w:eastAsia="宋体" w:cs="宋体"/>
                <w:b w:val="0"/>
                <w:bCs/>
                <w:color w:val="auto"/>
                <w:sz w:val="21"/>
                <w:szCs w:val="21"/>
                <w:highlight w:val="none"/>
                <w:u w:val="none"/>
                <w:vertAlign w:val="baseline"/>
                <w:lang w:val="zh-CN"/>
              </w:rPr>
            </w:pPr>
          </w:p>
        </w:tc>
        <w:tc>
          <w:tcPr>
            <w:tcW w:w="923" w:type="dxa"/>
            <w:vAlign w:val="center"/>
          </w:tcPr>
          <w:p w14:paraId="1C3D14DE">
            <w:pPr>
              <w:jc w:val="center"/>
              <w:rPr>
                <w:rFonts w:hint="eastAsia" w:ascii="宋体" w:hAnsi="宋体" w:eastAsia="宋体" w:cs="宋体"/>
                <w:b w:val="0"/>
                <w:bCs/>
                <w:color w:val="auto"/>
                <w:sz w:val="21"/>
                <w:szCs w:val="21"/>
                <w:highlight w:val="none"/>
                <w:u w:val="none"/>
                <w:vertAlign w:val="baseline"/>
                <w:lang w:val="zh-CN"/>
              </w:rPr>
            </w:pPr>
          </w:p>
        </w:tc>
        <w:tc>
          <w:tcPr>
            <w:tcW w:w="1091" w:type="dxa"/>
            <w:vAlign w:val="center"/>
          </w:tcPr>
          <w:p w14:paraId="7C3AA4BD">
            <w:pPr>
              <w:jc w:val="center"/>
              <w:rPr>
                <w:rFonts w:hint="eastAsia" w:ascii="宋体" w:hAnsi="宋体" w:eastAsia="宋体" w:cs="宋体"/>
                <w:b w:val="0"/>
                <w:bCs/>
                <w:color w:val="auto"/>
                <w:sz w:val="21"/>
                <w:szCs w:val="21"/>
                <w:highlight w:val="none"/>
                <w:u w:val="none"/>
                <w:vertAlign w:val="baseline"/>
                <w:lang w:val="zh-CN"/>
              </w:rPr>
            </w:pPr>
          </w:p>
        </w:tc>
      </w:tr>
      <w:tr w14:paraId="0C8AC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83" w:type="dxa"/>
            <w:gridSpan w:val="12"/>
            <w:vAlign w:val="center"/>
          </w:tcPr>
          <w:p w14:paraId="66A2BE18">
            <w:pPr>
              <w:jc w:val="center"/>
              <w:rPr>
                <w:rFonts w:hint="eastAsia" w:ascii="宋体" w:hAnsi="宋体" w:eastAsia="宋体" w:cs="宋体"/>
                <w:b w:val="0"/>
                <w:bCs/>
                <w:color w:val="auto"/>
                <w:sz w:val="21"/>
                <w:szCs w:val="21"/>
                <w:highlight w:val="none"/>
                <w:u w:val="none"/>
                <w:vertAlign w:val="baseline"/>
                <w:lang w:val="en-US" w:eastAsia="zh-CN"/>
              </w:rPr>
            </w:pPr>
            <w:r>
              <w:rPr>
                <w:rFonts w:hint="eastAsia" w:ascii="宋体" w:hAnsi="宋体" w:eastAsia="宋体" w:cs="宋体"/>
                <w:b w:val="0"/>
                <w:bCs/>
                <w:color w:val="auto"/>
                <w:sz w:val="21"/>
                <w:szCs w:val="21"/>
                <w:highlight w:val="none"/>
                <w:u w:val="none"/>
                <w:vertAlign w:val="baseline"/>
                <w:lang w:val="en-US" w:eastAsia="zh-CN"/>
              </w:rPr>
              <w:t>总价</w:t>
            </w:r>
            <w:r>
              <w:rPr>
                <w:rFonts w:hint="eastAsia" w:ascii="宋体" w:hAnsi="宋体" w:eastAsia="宋体" w:cs="宋体"/>
                <w:b w:val="0"/>
                <w:bCs/>
                <w:color w:val="auto"/>
                <w:sz w:val="21"/>
                <w:szCs w:val="21"/>
                <w:highlight w:val="none"/>
              </w:rPr>
              <w:t>（元）</w:t>
            </w:r>
          </w:p>
        </w:tc>
        <w:tc>
          <w:tcPr>
            <w:tcW w:w="1091" w:type="dxa"/>
            <w:vAlign w:val="center"/>
          </w:tcPr>
          <w:p w14:paraId="6386598F">
            <w:pPr>
              <w:jc w:val="center"/>
              <w:rPr>
                <w:rFonts w:hint="eastAsia" w:ascii="宋体" w:hAnsi="宋体" w:eastAsia="宋体" w:cs="宋体"/>
                <w:b w:val="0"/>
                <w:bCs/>
                <w:color w:val="auto"/>
                <w:sz w:val="21"/>
                <w:szCs w:val="21"/>
                <w:highlight w:val="none"/>
                <w:u w:val="none"/>
                <w:vertAlign w:val="baseline"/>
                <w:lang w:val="zh-CN"/>
              </w:rPr>
            </w:pPr>
          </w:p>
        </w:tc>
      </w:tr>
    </w:tbl>
    <w:p w14:paraId="3B42EAA5">
      <w:pPr>
        <w:spacing w:line="300" w:lineRule="auto"/>
        <w:rPr>
          <w:rFonts w:ascii="Arial" w:hAnsi="Arial" w:cs="Arial"/>
          <w:color w:val="auto"/>
          <w:szCs w:val="21"/>
          <w:highlight w:val="none"/>
        </w:rPr>
      </w:pPr>
    </w:p>
    <w:p w14:paraId="51101AF7">
      <w:pPr>
        <w:spacing w:line="300" w:lineRule="auto"/>
        <w:rPr>
          <w:rFonts w:ascii="Arial" w:hAnsi="Arial" w:cs="Arial"/>
          <w:color w:val="auto"/>
          <w:szCs w:val="21"/>
          <w:highlight w:val="none"/>
        </w:rPr>
      </w:pPr>
      <w:r>
        <w:rPr>
          <w:rFonts w:ascii="Arial" w:hAnsi="Arial" w:cs="Arial"/>
          <w:color w:val="auto"/>
          <w:szCs w:val="21"/>
          <w:highlight w:val="none"/>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ascii="Arial" w:hAnsi="Arial" w:cs="Arial"/>
          <w:color w:val="auto"/>
          <w:szCs w:val="21"/>
          <w:highlight w:val="none"/>
        </w:rPr>
        <w:t>：</w:t>
      </w:r>
    </w:p>
    <w:p w14:paraId="2F327AC4">
      <w:pPr>
        <w:spacing w:line="300" w:lineRule="auto"/>
        <w:rPr>
          <w:rFonts w:ascii="Arial" w:hAnsi="Arial" w:cs="Arial"/>
          <w:color w:val="auto"/>
          <w:szCs w:val="21"/>
          <w:highlight w:val="none"/>
        </w:rPr>
      </w:pPr>
      <w:r>
        <w:rPr>
          <w:rFonts w:ascii="Arial" w:hAnsi="Arial" w:cs="Arial"/>
          <w:color w:val="auto"/>
          <w:szCs w:val="21"/>
          <w:highlight w:val="none"/>
        </w:rPr>
        <w:t>日期：</w:t>
      </w:r>
    </w:p>
    <w:p w14:paraId="14EB6496">
      <w:pPr>
        <w:spacing w:line="300" w:lineRule="auto"/>
        <w:rPr>
          <w:rFonts w:hint="eastAsia" w:ascii="宋体" w:hAnsi="宋体" w:eastAsia="宋体" w:cs="宋体"/>
          <w:color w:val="auto"/>
          <w:sz w:val="24"/>
          <w:szCs w:val="24"/>
          <w:highlight w:val="none"/>
        </w:rPr>
      </w:pPr>
    </w:p>
    <w:p w14:paraId="2BD20AC0">
      <w:pPr>
        <w:spacing w:line="360" w:lineRule="auto"/>
        <w:rPr>
          <w:rFonts w:hint="default" w:ascii="宋体" w:hAnsi="宋体" w:eastAsia="宋体" w:cs="宋体"/>
          <w:color w:val="auto"/>
          <w:sz w:val="21"/>
          <w:szCs w:val="21"/>
          <w:highlight w:val="none"/>
          <w:lang w:val="en-US" w:eastAsia="zh-CN"/>
        </w:rPr>
      </w:pPr>
      <w:r>
        <w:rPr>
          <w:rFonts w:hint="eastAsia" w:ascii="宋体" w:hAnsi="宋体" w:eastAsia="宋体" w:cs="宋体"/>
          <w:b/>
          <w:color w:val="auto"/>
          <w:sz w:val="21"/>
          <w:szCs w:val="21"/>
          <w:highlight w:val="none"/>
          <w:lang w:eastAsia="zh-CN"/>
        </w:rPr>
        <w:t>注：</w:t>
      </w:r>
      <w:r>
        <w:rPr>
          <w:rFonts w:hint="eastAsia" w:ascii="宋体" w:hAnsi="宋体" w:eastAsia="宋体" w:cs="宋体"/>
          <w:color w:val="auto"/>
          <w:sz w:val="21"/>
          <w:szCs w:val="21"/>
          <w:highlight w:val="none"/>
          <w:lang w:val="en-US" w:eastAsia="zh-CN"/>
        </w:rPr>
        <w:t>1.</w:t>
      </w:r>
      <w:r>
        <w:rPr>
          <w:rFonts w:hint="default" w:ascii="宋体" w:hAnsi="宋体" w:eastAsia="宋体" w:cs="宋体"/>
          <w:color w:val="auto"/>
          <w:sz w:val="21"/>
          <w:szCs w:val="21"/>
          <w:highlight w:val="none"/>
          <w:lang w:val="en-US" w:eastAsia="zh-CN"/>
        </w:rPr>
        <w:t>按照本表填写的</w:t>
      </w:r>
      <w:r>
        <w:rPr>
          <w:rFonts w:hint="eastAsia" w:cs="宋体"/>
          <w:color w:val="auto"/>
          <w:sz w:val="21"/>
          <w:szCs w:val="21"/>
          <w:highlight w:val="none"/>
          <w:lang w:val="en-US" w:eastAsia="zh-CN"/>
        </w:rPr>
        <w:t>总</w:t>
      </w:r>
      <w:r>
        <w:rPr>
          <w:rFonts w:hint="default" w:ascii="宋体" w:hAnsi="宋体" w:eastAsia="宋体" w:cs="宋体"/>
          <w:color w:val="auto"/>
          <w:sz w:val="21"/>
          <w:szCs w:val="21"/>
          <w:highlight w:val="none"/>
          <w:lang w:val="en-US" w:eastAsia="zh-CN"/>
        </w:rPr>
        <w:t>价填写到</w:t>
      </w:r>
      <w:r>
        <w:rPr>
          <w:rFonts w:hint="eastAsia" w:ascii="宋体" w:hAnsi="宋体" w:eastAsia="宋体" w:cs="宋体"/>
          <w:color w:val="auto"/>
          <w:sz w:val="21"/>
          <w:szCs w:val="21"/>
          <w:highlight w:val="none"/>
          <w:lang w:val="en-US" w:eastAsia="zh-CN"/>
        </w:rPr>
        <w:t>“</w:t>
      </w:r>
      <w:r>
        <w:rPr>
          <w:rFonts w:hint="eastAsia" w:cs="宋体"/>
          <w:color w:val="auto"/>
          <w:sz w:val="21"/>
          <w:szCs w:val="21"/>
          <w:highlight w:val="none"/>
          <w:lang w:val="en-US" w:eastAsia="zh-CN"/>
        </w:rPr>
        <w:t>开标</w:t>
      </w:r>
      <w:r>
        <w:rPr>
          <w:rFonts w:hint="eastAsia" w:ascii="宋体" w:hAnsi="宋体" w:eastAsia="宋体" w:cs="宋体"/>
          <w:color w:val="auto"/>
          <w:sz w:val="21"/>
          <w:szCs w:val="21"/>
          <w:highlight w:val="none"/>
          <w:lang w:val="en-US" w:eastAsia="zh-CN"/>
        </w:rPr>
        <w:t>一览表”</w:t>
      </w:r>
      <w:r>
        <w:rPr>
          <w:rFonts w:hint="default" w:ascii="宋体" w:hAnsi="宋体" w:eastAsia="宋体" w:cs="宋体"/>
          <w:color w:val="auto"/>
          <w:sz w:val="21"/>
          <w:szCs w:val="21"/>
          <w:highlight w:val="none"/>
          <w:lang w:val="en-US" w:eastAsia="zh-CN"/>
        </w:rPr>
        <w:t>中对应的</w:t>
      </w:r>
      <w:r>
        <w:rPr>
          <w:rFonts w:hint="eastAsia" w:cs="宋体"/>
          <w:color w:val="auto"/>
          <w:sz w:val="21"/>
          <w:szCs w:val="21"/>
          <w:highlight w:val="none"/>
          <w:lang w:val="en-US" w:eastAsia="zh-CN"/>
        </w:rPr>
        <w:t>“投标报价”</w:t>
      </w:r>
      <w:r>
        <w:rPr>
          <w:rFonts w:hint="default" w:ascii="宋体" w:hAnsi="宋体" w:eastAsia="宋体" w:cs="宋体"/>
          <w:color w:val="auto"/>
          <w:sz w:val="21"/>
          <w:szCs w:val="21"/>
          <w:highlight w:val="none"/>
          <w:lang w:val="en-US" w:eastAsia="zh-CN"/>
        </w:rPr>
        <w:t>栏中。</w:t>
      </w:r>
    </w:p>
    <w:p w14:paraId="6B43AF2E">
      <w:pPr>
        <w:spacing w:line="360" w:lineRule="auto"/>
        <w:ind w:firstLine="420" w:firstLineChars="200"/>
        <w:rPr>
          <w:rFonts w:hint="eastAsia" w:ascii="宋体" w:hAnsi="宋体" w:eastAsia="宋体" w:cs="宋体"/>
          <w:color w:val="auto"/>
          <w:sz w:val="21"/>
          <w:szCs w:val="21"/>
          <w:highlight w:val="none"/>
        </w:rPr>
      </w:pPr>
      <w:r>
        <w:rPr>
          <w:rFonts w:hint="eastAsia" w:cs="宋体"/>
          <w:color w:val="auto"/>
          <w:sz w:val="21"/>
          <w:szCs w:val="21"/>
          <w:highlight w:val="none"/>
          <w:lang w:val="en-US" w:eastAsia="zh-CN"/>
        </w:rPr>
        <w:t>2</w:t>
      </w:r>
      <w:r>
        <w:rPr>
          <w:rFonts w:hint="eastAsia" w:ascii="宋体" w:hAnsi="宋体" w:eastAsia="宋体" w:cs="宋体"/>
          <w:color w:val="auto"/>
          <w:sz w:val="21"/>
          <w:szCs w:val="21"/>
          <w:highlight w:val="none"/>
        </w:rPr>
        <w:t>.表中所列货物为对应本项目需求的全部货物及所需附件购置费、包装费、运输费、人工费、保险费、安装调试费、各种税费、资料费、售后服务费及完成项目应有的全部费用。如有漏项或缺项，</w:t>
      </w:r>
      <w:r>
        <w:rPr>
          <w:rFonts w:hint="eastAsia" w:cs="宋体"/>
          <w:color w:val="auto"/>
          <w:sz w:val="21"/>
          <w:szCs w:val="21"/>
          <w:highlight w:val="none"/>
          <w:lang w:val="en-US" w:eastAsia="zh-CN"/>
        </w:rPr>
        <w:t>投标人</w:t>
      </w:r>
      <w:r>
        <w:rPr>
          <w:rFonts w:hint="eastAsia" w:ascii="宋体" w:hAnsi="宋体" w:eastAsia="宋体" w:cs="宋体"/>
          <w:color w:val="auto"/>
          <w:sz w:val="21"/>
          <w:szCs w:val="21"/>
          <w:highlight w:val="none"/>
        </w:rPr>
        <w:t>承担全部责任。</w:t>
      </w:r>
    </w:p>
    <w:p w14:paraId="06F958A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cs="宋体"/>
          <w:color w:val="auto"/>
          <w:sz w:val="21"/>
          <w:szCs w:val="21"/>
          <w:highlight w:val="none"/>
          <w:lang w:val="en-US" w:eastAsia="zh-CN"/>
        </w:rPr>
        <w:t>3</w:t>
      </w:r>
      <w:r>
        <w:rPr>
          <w:rFonts w:hint="eastAsia" w:ascii="宋体" w:hAnsi="宋体" w:eastAsia="宋体" w:cs="宋体"/>
          <w:color w:val="auto"/>
          <w:sz w:val="21"/>
          <w:szCs w:val="21"/>
          <w:highlight w:val="none"/>
        </w:rPr>
        <w:t>.表中须明确列出所投产品的</w:t>
      </w:r>
      <w:r>
        <w:rPr>
          <w:rFonts w:hint="eastAsia" w:cs="宋体"/>
          <w:color w:val="auto"/>
          <w:sz w:val="21"/>
          <w:szCs w:val="21"/>
          <w:highlight w:val="none"/>
          <w:lang w:val="en-US" w:eastAsia="zh-CN"/>
        </w:rPr>
        <w:t>分项</w:t>
      </w:r>
      <w:r>
        <w:rPr>
          <w:rFonts w:hint="eastAsia" w:ascii="宋体" w:hAnsi="宋体" w:eastAsia="宋体" w:cs="宋体"/>
          <w:color w:val="auto"/>
          <w:sz w:val="21"/>
          <w:szCs w:val="21"/>
          <w:highlight w:val="none"/>
        </w:rPr>
        <w:t>名称、</w:t>
      </w:r>
      <w:r>
        <w:rPr>
          <w:rFonts w:hint="eastAsia" w:cs="宋体"/>
          <w:color w:val="auto"/>
          <w:sz w:val="21"/>
          <w:szCs w:val="21"/>
          <w:highlight w:val="none"/>
          <w:lang w:val="en-US" w:eastAsia="zh-CN"/>
        </w:rPr>
        <w:t>制造商、</w:t>
      </w:r>
      <w:r>
        <w:rPr>
          <w:rFonts w:hint="eastAsia" w:cs="宋体"/>
          <w:b w:val="0"/>
          <w:bCs/>
          <w:color w:val="auto"/>
          <w:sz w:val="21"/>
          <w:szCs w:val="21"/>
          <w:highlight w:val="none"/>
          <w:lang w:val="en-US" w:eastAsia="zh-CN"/>
        </w:rPr>
        <w:t>产地/国别、</w:t>
      </w:r>
      <w:r>
        <w:rPr>
          <w:rFonts w:hint="eastAsia" w:ascii="宋体" w:hAnsi="宋体" w:eastAsia="宋体" w:cs="宋体"/>
          <w:b w:val="0"/>
          <w:bCs/>
          <w:color w:val="auto"/>
          <w:sz w:val="21"/>
          <w:szCs w:val="21"/>
          <w:highlight w:val="none"/>
          <w:lang w:val="en-US" w:eastAsia="zh-CN"/>
        </w:rPr>
        <w:t>制造商统一社会信用代码</w:t>
      </w:r>
      <w:r>
        <w:rPr>
          <w:rFonts w:hint="eastAsia" w:cs="宋体"/>
          <w:b w:val="0"/>
          <w:bCs/>
          <w:color w:val="auto"/>
          <w:sz w:val="21"/>
          <w:szCs w:val="21"/>
          <w:highlight w:val="none"/>
          <w:lang w:val="en-US" w:eastAsia="zh-CN"/>
        </w:rPr>
        <w:t>、</w:t>
      </w:r>
      <w:r>
        <w:rPr>
          <w:rFonts w:hint="eastAsia" w:ascii="宋体" w:hAnsi="宋体" w:eastAsia="宋体" w:cs="宋体"/>
          <w:b w:val="0"/>
          <w:bCs/>
          <w:color w:val="auto"/>
          <w:sz w:val="21"/>
          <w:szCs w:val="21"/>
          <w:highlight w:val="none"/>
          <w:lang w:val="en-US" w:eastAsia="zh-CN"/>
        </w:rPr>
        <w:t>制造商规模</w:t>
      </w:r>
      <w:r>
        <w:rPr>
          <w:rFonts w:hint="eastAsia" w:cs="宋体"/>
          <w:b w:val="0"/>
          <w:bCs/>
          <w:color w:val="auto"/>
          <w:sz w:val="21"/>
          <w:szCs w:val="21"/>
          <w:highlight w:val="none"/>
          <w:lang w:val="en-US" w:eastAsia="zh-CN"/>
        </w:rPr>
        <w:t>、制造商所属性别、外商投资类型、</w:t>
      </w:r>
      <w:r>
        <w:rPr>
          <w:rFonts w:hint="eastAsia" w:ascii="宋体" w:hAnsi="宋体" w:eastAsia="宋体" w:cs="宋体"/>
          <w:color w:val="auto"/>
          <w:sz w:val="21"/>
          <w:szCs w:val="21"/>
          <w:highlight w:val="none"/>
        </w:rPr>
        <w:t>品牌、</w:t>
      </w:r>
      <w:r>
        <w:rPr>
          <w:rFonts w:hint="eastAsia" w:cs="宋体"/>
          <w:color w:val="auto"/>
          <w:sz w:val="21"/>
          <w:szCs w:val="21"/>
          <w:highlight w:val="none"/>
          <w:lang w:eastAsia="zh-CN"/>
        </w:rPr>
        <w:t>规格、</w:t>
      </w:r>
      <w:r>
        <w:rPr>
          <w:rFonts w:hint="eastAsia" w:ascii="宋体" w:hAnsi="宋体" w:eastAsia="宋体" w:cs="宋体"/>
          <w:color w:val="auto"/>
          <w:sz w:val="21"/>
          <w:szCs w:val="21"/>
          <w:highlight w:val="none"/>
        </w:rPr>
        <w:t>型号、</w:t>
      </w:r>
      <w:r>
        <w:rPr>
          <w:rFonts w:hint="eastAsia" w:cs="宋体"/>
          <w:color w:val="auto"/>
          <w:sz w:val="21"/>
          <w:szCs w:val="21"/>
          <w:highlight w:val="none"/>
          <w:lang w:eastAsia="zh-CN"/>
        </w:rPr>
        <w:t>单价、数量、</w:t>
      </w:r>
      <w:r>
        <w:rPr>
          <w:rFonts w:hint="eastAsia" w:cs="宋体"/>
          <w:color w:val="auto"/>
          <w:sz w:val="21"/>
          <w:szCs w:val="21"/>
          <w:highlight w:val="none"/>
          <w:lang w:val="en-US" w:eastAsia="zh-CN"/>
        </w:rPr>
        <w:t>合价等</w:t>
      </w:r>
      <w:r>
        <w:rPr>
          <w:rFonts w:hint="eastAsia" w:ascii="宋体" w:hAnsi="宋体" w:eastAsia="宋体" w:cs="宋体"/>
          <w:color w:val="auto"/>
          <w:sz w:val="21"/>
          <w:szCs w:val="21"/>
          <w:highlight w:val="none"/>
        </w:rPr>
        <w:t>，否则可能导致</w:t>
      </w:r>
      <w:r>
        <w:rPr>
          <w:rFonts w:hint="eastAsia" w:ascii="宋体" w:hAnsi="宋体" w:eastAsia="宋体" w:cs="宋体"/>
          <w:b/>
          <w:bCs/>
          <w:color w:val="auto"/>
          <w:sz w:val="21"/>
          <w:szCs w:val="21"/>
          <w:highlight w:val="none"/>
        </w:rPr>
        <w:t>响应无效</w:t>
      </w:r>
      <w:r>
        <w:rPr>
          <w:rFonts w:hint="eastAsia" w:ascii="宋体" w:hAnsi="宋体" w:eastAsia="宋体" w:cs="宋体"/>
          <w:color w:val="auto"/>
          <w:sz w:val="21"/>
          <w:szCs w:val="21"/>
          <w:highlight w:val="none"/>
        </w:rPr>
        <w:t>。</w:t>
      </w:r>
    </w:p>
    <w:p w14:paraId="66C30DF1">
      <w:pPr>
        <w:keepNext w:val="0"/>
        <w:keepLines w:val="0"/>
        <w:widowControl/>
        <w:suppressLineNumbers w:val="0"/>
        <w:jc w:val="left"/>
        <w:rPr>
          <w:rFonts w:hint="eastAsia" w:ascii="宋体" w:hAnsi="宋体" w:eastAsia="宋体" w:cs="宋体"/>
          <w:b/>
          <w:bCs/>
          <w:i w:val="0"/>
          <w:iCs w:val="0"/>
          <w:color w:val="auto"/>
          <w:kern w:val="0"/>
          <w:sz w:val="21"/>
          <w:szCs w:val="21"/>
          <w:highlight w:val="none"/>
          <w:lang w:val="en-US" w:eastAsia="zh-CN" w:bidi="ar"/>
        </w:rPr>
      </w:pPr>
    </w:p>
    <w:p w14:paraId="561842FA">
      <w:pPr>
        <w:keepNext w:val="0"/>
        <w:keepLines w:val="0"/>
        <w:widowControl/>
        <w:suppressLineNumbers w:val="0"/>
        <w:jc w:val="left"/>
        <w:rPr>
          <w:rFonts w:hint="eastAsia" w:ascii="宋体" w:hAnsi="宋体" w:eastAsia="宋体" w:cs="宋体"/>
          <w:b w:val="0"/>
          <w:bCs w:val="0"/>
          <w:i w:val="0"/>
          <w:iCs w:val="0"/>
          <w:color w:val="auto"/>
          <w:kern w:val="0"/>
          <w:sz w:val="21"/>
          <w:szCs w:val="21"/>
          <w:highlight w:val="none"/>
          <w:lang w:val="en-US" w:eastAsia="zh-CN" w:bidi="ar"/>
        </w:rPr>
      </w:pPr>
      <w:r>
        <w:rPr>
          <w:rFonts w:hint="eastAsia" w:ascii="宋体" w:hAnsi="宋体" w:eastAsia="宋体" w:cs="宋体"/>
          <w:b/>
          <w:bCs/>
          <w:i w:val="0"/>
          <w:iCs w:val="0"/>
          <w:color w:val="auto"/>
          <w:kern w:val="0"/>
          <w:sz w:val="21"/>
          <w:szCs w:val="21"/>
          <w:highlight w:val="none"/>
          <w:lang w:val="en-US" w:eastAsia="zh-CN" w:bidi="ar"/>
        </w:rPr>
        <w:t>填写说明：</w:t>
      </w:r>
      <w:r>
        <w:rPr>
          <w:rFonts w:hint="eastAsia" w:ascii="宋体" w:hAnsi="宋体" w:eastAsia="宋体" w:cs="宋体"/>
          <w:b w:val="0"/>
          <w:bCs w:val="0"/>
          <w:i w:val="0"/>
          <w:iCs w:val="0"/>
          <w:color w:val="auto"/>
          <w:kern w:val="0"/>
          <w:sz w:val="21"/>
          <w:szCs w:val="21"/>
          <w:highlight w:val="none"/>
          <w:lang w:val="en-US" w:eastAsia="zh-CN" w:bidi="ar"/>
        </w:rPr>
        <w:t>1、</w:t>
      </w:r>
      <w:r>
        <w:rPr>
          <w:rFonts w:hint="eastAsia" w:cs="宋体"/>
          <w:b w:val="0"/>
          <w:bCs w:val="0"/>
          <w:i w:val="0"/>
          <w:iCs w:val="0"/>
          <w:color w:val="auto"/>
          <w:kern w:val="0"/>
          <w:sz w:val="21"/>
          <w:szCs w:val="21"/>
          <w:highlight w:val="none"/>
          <w:lang w:val="en-US" w:eastAsia="zh-CN" w:bidi="ar"/>
        </w:rPr>
        <w:t>“</w:t>
      </w:r>
      <w:r>
        <w:rPr>
          <w:rFonts w:hint="eastAsia" w:ascii="宋体" w:hAnsi="宋体" w:eastAsia="宋体" w:cs="宋体"/>
          <w:b w:val="0"/>
          <w:bCs w:val="0"/>
          <w:i w:val="0"/>
          <w:iCs w:val="0"/>
          <w:color w:val="auto"/>
          <w:kern w:val="0"/>
          <w:sz w:val="21"/>
          <w:szCs w:val="21"/>
          <w:highlight w:val="none"/>
          <w:lang w:val="en-US" w:eastAsia="zh-CN" w:bidi="ar"/>
        </w:rPr>
        <w:t>制造商规模</w:t>
      </w:r>
      <w:r>
        <w:rPr>
          <w:rFonts w:hint="eastAsia" w:cs="宋体"/>
          <w:b w:val="0"/>
          <w:bCs w:val="0"/>
          <w:i w:val="0"/>
          <w:iCs w:val="0"/>
          <w:color w:val="auto"/>
          <w:kern w:val="0"/>
          <w:sz w:val="21"/>
          <w:szCs w:val="21"/>
          <w:highlight w:val="none"/>
          <w:lang w:val="en-US" w:eastAsia="zh-CN" w:bidi="ar"/>
        </w:rPr>
        <w:t>”</w:t>
      </w:r>
      <w:r>
        <w:rPr>
          <w:rFonts w:hint="eastAsia" w:ascii="宋体" w:hAnsi="宋体" w:eastAsia="宋体" w:cs="宋体"/>
          <w:b w:val="0"/>
          <w:bCs w:val="0"/>
          <w:i w:val="0"/>
          <w:iCs w:val="0"/>
          <w:color w:val="auto"/>
          <w:kern w:val="0"/>
          <w:sz w:val="21"/>
          <w:szCs w:val="21"/>
          <w:highlight w:val="none"/>
          <w:lang w:val="en-US" w:eastAsia="zh-CN" w:bidi="ar"/>
        </w:rPr>
        <w:t>请填写“大型”、“中型”、“小型”、“微型”或“其他”，且不应与《中小企业声明函》或《拟分包情况说明》中内容矛盾。</w:t>
      </w:r>
    </w:p>
    <w:p w14:paraId="6D411982">
      <w:pPr>
        <w:keepNext w:val="0"/>
        <w:keepLines w:val="0"/>
        <w:widowControl/>
        <w:suppressLineNumbers w:val="0"/>
        <w:ind w:firstLine="1050" w:firstLineChars="500"/>
        <w:jc w:val="left"/>
        <w:rPr>
          <w:rFonts w:hint="eastAsia" w:ascii="宋体" w:hAnsi="宋体" w:eastAsia="宋体" w:cs="宋体"/>
          <w:b w:val="0"/>
          <w:bCs w:val="0"/>
          <w:i w:val="0"/>
          <w:iCs w:val="0"/>
          <w:color w:val="auto"/>
          <w:sz w:val="21"/>
          <w:szCs w:val="21"/>
          <w:highlight w:val="none"/>
        </w:rPr>
      </w:pPr>
      <w:r>
        <w:rPr>
          <w:rFonts w:hint="eastAsia" w:ascii="宋体" w:hAnsi="宋体" w:eastAsia="宋体" w:cs="宋体"/>
          <w:b w:val="0"/>
          <w:bCs w:val="0"/>
          <w:i w:val="0"/>
          <w:iCs w:val="0"/>
          <w:color w:val="auto"/>
          <w:kern w:val="0"/>
          <w:sz w:val="21"/>
          <w:szCs w:val="21"/>
          <w:highlight w:val="none"/>
          <w:lang w:val="en-US" w:eastAsia="zh-CN" w:bidi="ar"/>
        </w:rPr>
        <w:t>2、</w:t>
      </w:r>
      <w:r>
        <w:rPr>
          <w:rFonts w:hint="eastAsia" w:cs="宋体"/>
          <w:b w:val="0"/>
          <w:bCs w:val="0"/>
          <w:i w:val="0"/>
          <w:iCs w:val="0"/>
          <w:color w:val="auto"/>
          <w:kern w:val="0"/>
          <w:sz w:val="21"/>
          <w:szCs w:val="21"/>
          <w:highlight w:val="none"/>
          <w:lang w:val="en-US" w:eastAsia="zh-CN" w:bidi="ar"/>
        </w:rPr>
        <w:t>“制造</w:t>
      </w:r>
      <w:r>
        <w:rPr>
          <w:rFonts w:hint="eastAsia" w:ascii="宋体" w:hAnsi="宋体" w:eastAsia="宋体" w:cs="宋体"/>
          <w:b w:val="0"/>
          <w:bCs w:val="0"/>
          <w:i w:val="0"/>
          <w:iCs w:val="0"/>
          <w:color w:val="auto"/>
          <w:kern w:val="0"/>
          <w:sz w:val="21"/>
          <w:szCs w:val="21"/>
          <w:highlight w:val="none"/>
          <w:lang w:val="en-US" w:eastAsia="zh-CN" w:bidi="ar"/>
        </w:rPr>
        <w:t>商实际控制人性别</w:t>
      </w:r>
      <w:r>
        <w:rPr>
          <w:rFonts w:hint="eastAsia" w:cs="宋体"/>
          <w:b w:val="0"/>
          <w:bCs w:val="0"/>
          <w:i w:val="0"/>
          <w:iCs w:val="0"/>
          <w:color w:val="auto"/>
          <w:kern w:val="0"/>
          <w:sz w:val="21"/>
          <w:szCs w:val="21"/>
          <w:highlight w:val="none"/>
          <w:lang w:val="en-US" w:eastAsia="zh-CN" w:bidi="ar"/>
        </w:rPr>
        <w:t>”</w:t>
      </w:r>
      <w:r>
        <w:rPr>
          <w:rFonts w:hint="eastAsia" w:ascii="宋体" w:hAnsi="宋体" w:eastAsia="宋体" w:cs="宋体"/>
          <w:b w:val="0"/>
          <w:bCs w:val="0"/>
          <w:i w:val="0"/>
          <w:iCs w:val="0"/>
          <w:color w:val="auto"/>
          <w:kern w:val="0"/>
          <w:sz w:val="21"/>
          <w:szCs w:val="21"/>
          <w:highlight w:val="none"/>
          <w:lang w:val="en-US" w:eastAsia="zh-CN" w:bidi="ar"/>
        </w:rPr>
        <w:t>按</w:t>
      </w:r>
      <w:r>
        <w:rPr>
          <w:rFonts w:hint="eastAsia" w:cs="宋体"/>
          <w:b w:val="0"/>
          <w:bCs w:val="0"/>
          <w:i w:val="0"/>
          <w:iCs w:val="0"/>
          <w:color w:val="auto"/>
          <w:kern w:val="0"/>
          <w:sz w:val="21"/>
          <w:szCs w:val="21"/>
          <w:highlight w:val="none"/>
          <w:lang w:val="en-US" w:eastAsia="zh-CN" w:bidi="ar"/>
        </w:rPr>
        <w:t>制造</w:t>
      </w:r>
      <w:r>
        <w:rPr>
          <w:rFonts w:hint="eastAsia" w:ascii="宋体" w:hAnsi="宋体" w:eastAsia="宋体" w:cs="宋体"/>
          <w:b w:val="0"/>
          <w:bCs w:val="0"/>
          <w:i w:val="0"/>
          <w:iCs w:val="0"/>
          <w:color w:val="auto"/>
          <w:kern w:val="0"/>
          <w:sz w:val="21"/>
          <w:szCs w:val="21"/>
          <w:highlight w:val="none"/>
          <w:lang w:val="en-US" w:eastAsia="zh-CN" w:bidi="ar"/>
        </w:rPr>
        <w:t>商实际控制人性别划分请填写“男”或“女”，指拥有</w:t>
      </w:r>
      <w:r>
        <w:rPr>
          <w:rFonts w:hint="eastAsia" w:cs="宋体"/>
          <w:b w:val="0"/>
          <w:bCs w:val="0"/>
          <w:i w:val="0"/>
          <w:iCs w:val="0"/>
          <w:color w:val="auto"/>
          <w:kern w:val="0"/>
          <w:sz w:val="21"/>
          <w:szCs w:val="21"/>
          <w:highlight w:val="none"/>
          <w:lang w:val="en-US" w:eastAsia="zh-CN" w:bidi="ar"/>
        </w:rPr>
        <w:t>制造商</w:t>
      </w:r>
      <w:r>
        <w:rPr>
          <w:rFonts w:hint="eastAsia" w:ascii="宋体" w:hAnsi="宋体" w:eastAsia="宋体" w:cs="宋体"/>
          <w:b w:val="0"/>
          <w:bCs w:val="0"/>
          <w:i w:val="0"/>
          <w:iCs w:val="0"/>
          <w:color w:val="auto"/>
          <w:kern w:val="0"/>
          <w:sz w:val="21"/>
          <w:szCs w:val="21"/>
          <w:highlight w:val="none"/>
          <w:lang w:val="en-US" w:eastAsia="zh-CN" w:bidi="ar"/>
        </w:rPr>
        <w:t xml:space="preserve"> 51%以上绝对所有权的性别；绝对所有权拥有者可以是一个人，也可以是多人合计计算。 </w:t>
      </w:r>
    </w:p>
    <w:p w14:paraId="67B455A8">
      <w:pPr>
        <w:spacing w:line="300" w:lineRule="auto"/>
        <w:ind w:firstLine="1050" w:firstLineChars="500"/>
        <w:rPr>
          <w:rFonts w:hint="eastAsia" w:ascii="宋体" w:hAnsi="宋体" w:eastAsia="宋体" w:cs="宋体"/>
          <w:color w:val="auto"/>
          <w:sz w:val="21"/>
          <w:szCs w:val="21"/>
          <w:highlight w:val="none"/>
        </w:rPr>
        <w:sectPr>
          <w:pgSz w:w="16838" w:h="11906" w:orient="landscape"/>
          <w:pgMar w:top="1803" w:right="1440" w:bottom="1803" w:left="1440" w:header="851" w:footer="992" w:gutter="0"/>
          <w:pgBorders>
            <w:top w:val="none" w:sz="0" w:space="0"/>
            <w:left w:val="none" w:sz="0" w:space="0"/>
            <w:bottom w:val="none" w:sz="0" w:space="0"/>
            <w:right w:val="none" w:sz="0" w:space="0"/>
          </w:pgBorders>
          <w:pgNumType w:fmt="numberInDash"/>
          <w:cols w:space="0" w:num="1"/>
          <w:rtlGutter w:val="0"/>
          <w:docGrid w:type="lines" w:linePitch="332" w:charSpace="0"/>
        </w:sectPr>
      </w:pPr>
      <w:r>
        <w:rPr>
          <w:rFonts w:hint="eastAsia" w:ascii="宋体" w:hAnsi="宋体" w:eastAsia="宋体" w:cs="宋体"/>
          <w:b w:val="0"/>
          <w:bCs w:val="0"/>
          <w:i w:val="0"/>
          <w:iCs w:val="0"/>
          <w:color w:val="auto"/>
          <w:kern w:val="0"/>
          <w:sz w:val="21"/>
          <w:szCs w:val="21"/>
          <w:highlight w:val="none"/>
          <w:lang w:val="en-US" w:eastAsia="zh-CN" w:bidi="ar"/>
        </w:rPr>
        <w:t>3、</w:t>
      </w:r>
      <w:r>
        <w:rPr>
          <w:rFonts w:hint="eastAsia" w:cs="宋体"/>
          <w:b w:val="0"/>
          <w:bCs w:val="0"/>
          <w:i w:val="0"/>
          <w:iCs w:val="0"/>
          <w:color w:val="auto"/>
          <w:kern w:val="0"/>
          <w:sz w:val="21"/>
          <w:szCs w:val="21"/>
          <w:highlight w:val="none"/>
          <w:lang w:val="en-US" w:eastAsia="zh-CN" w:bidi="ar"/>
        </w:rPr>
        <w:t>“</w:t>
      </w:r>
      <w:r>
        <w:rPr>
          <w:rFonts w:hint="eastAsia" w:ascii="宋体" w:hAnsi="宋体" w:eastAsia="宋体" w:cs="宋体"/>
          <w:b w:val="0"/>
          <w:bCs w:val="0"/>
          <w:i w:val="0"/>
          <w:iCs w:val="0"/>
          <w:color w:val="auto"/>
          <w:kern w:val="0"/>
          <w:sz w:val="21"/>
          <w:szCs w:val="21"/>
          <w:highlight w:val="none"/>
          <w:lang w:val="en-US" w:eastAsia="zh-CN" w:bidi="ar"/>
        </w:rPr>
        <w:t>外商投资类型</w:t>
      </w:r>
      <w:r>
        <w:rPr>
          <w:rFonts w:hint="eastAsia" w:cs="宋体"/>
          <w:b w:val="0"/>
          <w:bCs w:val="0"/>
          <w:i w:val="0"/>
          <w:iCs w:val="0"/>
          <w:color w:val="auto"/>
          <w:kern w:val="0"/>
          <w:sz w:val="21"/>
          <w:szCs w:val="21"/>
          <w:highlight w:val="none"/>
          <w:lang w:val="en-US" w:eastAsia="zh-CN" w:bidi="ar"/>
        </w:rPr>
        <w:t>”</w:t>
      </w:r>
      <w:r>
        <w:rPr>
          <w:rFonts w:hint="eastAsia" w:ascii="宋体" w:hAnsi="宋体" w:eastAsia="宋体" w:cs="宋体"/>
          <w:b w:val="0"/>
          <w:bCs w:val="0"/>
          <w:i w:val="0"/>
          <w:iCs w:val="0"/>
          <w:color w:val="auto"/>
          <w:kern w:val="0"/>
          <w:sz w:val="21"/>
          <w:szCs w:val="21"/>
          <w:highlight w:val="none"/>
          <w:lang w:val="en-US" w:eastAsia="zh-CN" w:bidi="ar"/>
        </w:rPr>
        <w:t>请填写“外商单独投资”、“外商部分投资”或“内资”。</w:t>
      </w:r>
    </w:p>
    <w:p w14:paraId="4A59D451">
      <w:pPr>
        <w:pStyle w:val="63"/>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61810CE8">
      <w:pPr>
        <w:ind w:firstLine="480" w:firstLineChars="200"/>
        <w:rPr>
          <w:rFonts w:cs="仿宋_GB2312"/>
          <w:color w:val="auto"/>
          <w:szCs w:val="24"/>
          <w:highlight w:val="none"/>
          <w:lang w:val="zh-CN"/>
        </w:rPr>
      </w:pPr>
      <w:r>
        <w:rPr>
          <w:rFonts w:hint="eastAsia" w:cs="仿宋_GB2312"/>
          <w:color w:val="auto"/>
          <w:szCs w:val="24"/>
          <w:highlight w:val="none"/>
          <w:lang w:val="zh-CN"/>
        </w:rPr>
        <w:t>封面：</w:t>
      </w:r>
    </w:p>
    <w:p w14:paraId="62869EA6">
      <w:pPr>
        <w:autoSpaceDE w:val="0"/>
        <w:autoSpaceDN w:val="0"/>
        <w:adjustRightInd w:val="0"/>
        <w:rPr>
          <w:color w:val="auto"/>
          <w:sz w:val="21"/>
          <w:szCs w:val="24"/>
          <w:highlight w:val="none"/>
        </w:rPr>
      </w:pPr>
    </w:p>
    <w:p w14:paraId="5B0902B7">
      <w:pPr>
        <w:autoSpaceDE w:val="0"/>
        <w:autoSpaceDN w:val="0"/>
        <w:adjustRightInd w:val="0"/>
        <w:rPr>
          <w:color w:val="auto"/>
          <w:sz w:val="21"/>
          <w:szCs w:val="24"/>
          <w:highlight w:val="none"/>
        </w:rPr>
      </w:pPr>
    </w:p>
    <w:p w14:paraId="5A04F91B">
      <w:pPr>
        <w:autoSpaceDE w:val="0"/>
        <w:autoSpaceDN w:val="0"/>
        <w:adjustRightInd w:val="0"/>
        <w:jc w:val="center"/>
        <w:rPr>
          <w:color w:val="auto"/>
          <w:sz w:val="21"/>
          <w:szCs w:val="24"/>
          <w:highlight w:val="none"/>
        </w:rPr>
      </w:pPr>
    </w:p>
    <w:p w14:paraId="47D22CDA">
      <w:pPr>
        <w:autoSpaceDE w:val="0"/>
        <w:autoSpaceDN w:val="0"/>
        <w:adjustRightInd w:val="0"/>
        <w:jc w:val="center"/>
        <w:rPr>
          <w:b/>
          <w:color w:val="auto"/>
          <w:sz w:val="84"/>
          <w:szCs w:val="84"/>
          <w:highlight w:val="none"/>
        </w:rPr>
      </w:pPr>
      <w:r>
        <w:rPr>
          <w:rFonts w:hint="eastAsia"/>
          <w:b/>
          <w:color w:val="auto"/>
          <w:sz w:val="84"/>
          <w:szCs w:val="84"/>
          <w:highlight w:val="none"/>
        </w:rPr>
        <w:t>投 标 文 件</w:t>
      </w:r>
    </w:p>
    <w:p w14:paraId="2059EAAA">
      <w:pPr>
        <w:autoSpaceDE w:val="0"/>
        <w:autoSpaceDN w:val="0"/>
        <w:adjustRightInd w:val="0"/>
        <w:jc w:val="center"/>
        <w:rPr>
          <w:rFonts w:hint="eastAsia"/>
          <w:b/>
          <w:color w:val="auto"/>
          <w:sz w:val="56"/>
          <w:szCs w:val="56"/>
          <w:highlight w:val="none"/>
          <w:lang w:val="en-US" w:eastAsia="zh-CN"/>
        </w:rPr>
      </w:pPr>
      <w:r>
        <w:rPr>
          <w:rFonts w:hint="eastAsia"/>
          <w:b/>
          <w:color w:val="auto"/>
          <w:sz w:val="56"/>
          <w:szCs w:val="56"/>
          <w:highlight w:val="none"/>
          <w:lang w:val="en-US" w:eastAsia="zh-CN"/>
        </w:rPr>
        <w:t>商务技术文件</w:t>
      </w:r>
    </w:p>
    <w:p w14:paraId="691967E0">
      <w:pPr>
        <w:autoSpaceDE w:val="0"/>
        <w:autoSpaceDN w:val="0"/>
        <w:adjustRightInd w:val="0"/>
        <w:jc w:val="center"/>
        <w:rPr>
          <w:rFonts w:hint="eastAsia" w:eastAsia="宋体"/>
          <w:color w:val="auto"/>
          <w:sz w:val="36"/>
          <w:szCs w:val="36"/>
          <w:highlight w:val="none"/>
          <w:lang w:eastAsia="zh-CN"/>
        </w:rPr>
      </w:pPr>
      <w:r>
        <w:rPr>
          <w:rFonts w:hint="eastAsia"/>
          <w:color w:val="auto"/>
          <w:sz w:val="36"/>
          <w:szCs w:val="36"/>
          <w:highlight w:val="none"/>
          <w:lang w:val="en-US" w:eastAsia="zh-CN"/>
        </w:rPr>
        <w:t>（第XX包</w:t>
      </w:r>
      <w:r>
        <w:rPr>
          <w:rFonts w:hint="eastAsia"/>
          <w:color w:val="auto"/>
          <w:sz w:val="36"/>
          <w:szCs w:val="36"/>
          <w:highlight w:val="none"/>
          <w:lang w:eastAsia="zh-CN"/>
        </w:rPr>
        <w:t>）【</w:t>
      </w:r>
      <w:r>
        <w:rPr>
          <w:rFonts w:hint="eastAsia"/>
          <w:color w:val="auto"/>
          <w:sz w:val="36"/>
          <w:szCs w:val="36"/>
          <w:highlight w:val="none"/>
          <w:lang w:val="en-US" w:eastAsia="zh-CN"/>
        </w:rPr>
        <w:t>如不分包，请删去本行</w:t>
      </w:r>
      <w:r>
        <w:rPr>
          <w:rFonts w:hint="eastAsia"/>
          <w:color w:val="auto"/>
          <w:sz w:val="36"/>
          <w:szCs w:val="36"/>
          <w:highlight w:val="none"/>
          <w:lang w:eastAsia="zh-CN"/>
        </w:rPr>
        <w:t>】</w:t>
      </w:r>
    </w:p>
    <w:p w14:paraId="039027FC">
      <w:pPr>
        <w:pStyle w:val="3"/>
        <w:rPr>
          <w:color w:val="auto"/>
          <w:sz w:val="21"/>
          <w:szCs w:val="21"/>
          <w:highlight w:val="none"/>
        </w:rPr>
      </w:pPr>
    </w:p>
    <w:p w14:paraId="1B35F1EE">
      <w:pPr>
        <w:rPr>
          <w:color w:val="auto"/>
          <w:sz w:val="21"/>
          <w:szCs w:val="21"/>
          <w:highlight w:val="none"/>
        </w:rPr>
      </w:pPr>
    </w:p>
    <w:p w14:paraId="54B78BF7">
      <w:pPr>
        <w:rPr>
          <w:color w:val="auto"/>
          <w:highlight w:val="none"/>
        </w:rPr>
      </w:pPr>
    </w:p>
    <w:p w14:paraId="44CE1222">
      <w:pPr>
        <w:autoSpaceDE w:val="0"/>
        <w:autoSpaceDN w:val="0"/>
        <w:adjustRightInd w:val="0"/>
        <w:rPr>
          <w:color w:val="auto"/>
          <w:sz w:val="21"/>
          <w:szCs w:val="21"/>
          <w:highlight w:val="none"/>
        </w:rPr>
      </w:pPr>
    </w:p>
    <w:p w14:paraId="7AA0A974">
      <w:pPr>
        <w:autoSpaceDE w:val="0"/>
        <w:autoSpaceDN w:val="0"/>
        <w:adjustRightInd w:val="0"/>
        <w:rPr>
          <w:color w:val="auto"/>
          <w:sz w:val="21"/>
          <w:szCs w:val="21"/>
          <w:highlight w:val="none"/>
        </w:rPr>
      </w:pPr>
    </w:p>
    <w:p w14:paraId="037029E5">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项目编号</w:t>
      </w:r>
      <w:r>
        <w:rPr>
          <w:rFonts w:hint="eastAsia" w:ascii="宋体" w:hAnsi="宋体" w:eastAsia="宋体" w:cs="宋体"/>
          <w:color w:val="auto"/>
          <w:sz w:val="36"/>
          <w:szCs w:val="36"/>
          <w:highlight w:val="none"/>
          <w:lang w:val="en-US" w:eastAsia="zh-CN"/>
        </w:rPr>
        <w:t>/包号</w:t>
      </w:r>
      <w:r>
        <w:rPr>
          <w:rFonts w:hint="eastAsia" w:ascii="宋体" w:hAnsi="宋体" w:eastAsia="宋体" w:cs="宋体"/>
          <w:color w:val="auto"/>
          <w:sz w:val="36"/>
          <w:szCs w:val="36"/>
          <w:highlight w:val="none"/>
        </w:rPr>
        <w:t>：</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0538909E">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项目名称：</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6D86FB53">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投</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rPr>
        <w:t>标</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rPr>
        <w:t>人：</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02BCF110">
      <w:pPr>
        <w:ind w:left="420" w:leftChars="175"/>
        <w:rPr>
          <w:rFonts w:ascii="黑体" w:hAnsi="黑体" w:eastAsia="黑体"/>
          <w:color w:val="auto"/>
          <w:sz w:val="32"/>
          <w:szCs w:val="32"/>
          <w:highlight w:val="none"/>
        </w:rPr>
      </w:pPr>
    </w:p>
    <w:p w14:paraId="2EF2CC50">
      <w:pPr>
        <w:ind w:left="840" w:firstLine="420"/>
        <w:rPr>
          <w:b/>
          <w:bCs/>
          <w:color w:val="auto"/>
          <w:sz w:val="28"/>
          <w:szCs w:val="28"/>
          <w:highlight w:val="none"/>
        </w:rPr>
      </w:pPr>
    </w:p>
    <w:p w14:paraId="2451F1DE">
      <w:pPr>
        <w:ind w:left="840" w:firstLine="420"/>
        <w:rPr>
          <w:b/>
          <w:bCs/>
          <w:color w:val="auto"/>
          <w:sz w:val="28"/>
          <w:szCs w:val="28"/>
          <w:highlight w:val="none"/>
        </w:rPr>
      </w:pPr>
    </w:p>
    <w:p w14:paraId="5B12266F">
      <w:pPr>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5C2AEB63">
      <w:pPr>
        <w:rPr>
          <w:color w:val="auto"/>
          <w:highlight w:val="none"/>
          <w:lang w:val="zh-CN"/>
        </w:rPr>
      </w:pPr>
      <w:r>
        <w:rPr>
          <w:color w:val="auto"/>
          <w:highlight w:val="none"/>
          <w:lang w:val="zh-CN"/>
        </w:rPr>
        <w:br w:type="page"/>
      </w:r>
    </w:p>
    <w:p w14:paraId="374BEE88">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376" w:name="_Toc109900327"/>
      <w:bookmarkStart w:id="377" w:name="_Toc109899908"/>
      <w:bookmarkStart w:id="378" w:name="_Toc12594"/>
      <w:bookmarkStart w:id="379" w:name="_Toc155185921"/>
      <w:bookmarkStart w:id="380" w:name="_Toc109899489"/>
      <w:bookmarkStart w:id="381" w:name="_Toc3577"/>
      <w:bookmarkStart w:id="382" w:name="_Toc140132831"/>
      <w:bookmarkStart w:id="383" w:name="_Toc163492915"/>
      <w:bookmarkStart w:id="384" w:name="_Toc25402"/>
      <w:r>
        <w:rPr>
          <w:rFonts w:hint="eastAsia" w:eastAsia="宋体" w:asciiTheme="majorHAnsi" w:hAnsiTheme="majorHAnsi" w:cstheme="majorBidi"/>
          <w:b/>
          <w:bCs/>
          <w:color w:val="auto"/>
          <w:kern w:val="2"/>
          <w:sz w:val="32"/>
          <w:szCs w:val="32"/>
          <w:highlight w:val="none"/>
          <w:lang w:val="en-US" w:eastAsia="zh-CN" w:bidi="ar-SA"/>
        </w:rPr>
        <w:t>一、投标函</w:t>
      </w:r>
      <w:bookmarkEnd w:id="376"/>
      <w:bookmarkEnd w:id="377"/>
      <w:bookmarkEnd w:id="378"/>
      <w:bookmarkEnd w:id="379"/>
      <w:bookmarkEnd w:id="380"/>
      <w:bookmarkEnd w:id="381"/>
      <w:bookmarkEnd w:id="382"/>
      <w:bookmarkEnd w:id="383"/>
      <w:bookmarkEnd w:id="384"/>
    </w:p>
    <w:p w14:paraId="0ABD9EA3">
      <w:pPr>
        <w:rPr>
          <w:color w:val="auto"/>
          <w:highlight w:val="none"/>
        </w:rPr>
      </w:pPr>
      <w:r>
        <w:rPr>
          <w:rFonts w:hint="eastAsia"/>
          <w:color w:val="auto"/>
          <w:highlight w:val="none"/>
        </w:rPr>
        <w:t>致：（采购人）</w:t>
      </w:r>
    </w:p>
    <w:p w14:paraId="35C4266A">
      <w:pPr>
        <w:ind w:firstLine="480" w:firstLineChars="200"/>
        <w:rPr>
          <w:rFonts w:cs="仿宋_GB2312"/>
          <w:b/>
          <w:bCs/>
          <w:color w:val="auto"/>
          <w:szCs w:val="24"/>
          <w:highlight w:val="none"/>
        </w:rPr>
      </w:pPr>
      <w:r>
        <w:rPr>
          <w:rFonts w:hint="eastAsia" w:cs="仿宋_GB2312"/>
          <w:color w:val="auto"/>
          <w:szCs w:val="24"/>
          <w:highlight w:val="none"/>
        </w:rPr>
        <w:t>根据贵方</w:t>
      </w:r>
      <w:r>
        <w:rPr>
          <w:rFonts w:hint="eastAsia" w:cs="仿宋_GB2312"/>
          <w:color w:val="auto"/>
          <w:szCs w:val="24"/>
          <w:highlight w:val="none"/>
          <w:u w:val="single"/>
        </w:rPr>
        <w:t>（项目名称）（项目编号</w:t>
      </w:r>
      <w:r>
        <w:rPr>
          <w:rFonts w:hint="eastAsia" w:cs="仿宋_GB2312"/>
          <w:color w:val="auto"/>
          <w:szCs w:val="24"/>
          <w:highlight w:val="none"/>
          <w:u w:val="single"/>
          <w:lang w:val="en-US" w:eastAsia="zh-CN"/>
        </w:rPr>
        <w:t>/包号</w:t>
      </w:r>
      <w:r>
        <w:rPr>
          <w:rFonts w:hint="eastAsia" w:cs="仿宋_GB2312"/>
          <w:color w:val="auto"/>
          <w:szCs w:val="24"/>
          <w:highlight w:val="none"/>
          <w:u w:val="single"/>
        </w:rPr>
        <w:t>）</w:t>
      </w:r>
      <w:r>
        <w:rPr>
          <w:rFonts w:hint="eastAsia" w:cs="仿宋_GB2312"/>
          <w:color w:val="auto"/>
          <w:szCs w:val="24"/>
          <w:highlight w:val="none"/>
          <w:lang w:val="en-US" w:eastAsia="zh-CN"/>
        </w:rPr>
        <w:t>项目</w:t>
      </w:r>
      <w:r>
        <w:rPr>
          <w:rFonts w:hint="eastAsia" w:cs="仿宋_GB2312"/>
          <w:color w:val="auto"/>
          <w:szCs w:val="24"/>
          <w:highlight w:val="none"/>
        </w:rPr>
        <w:t>的</w:t>
      </w:r>
      <w:r>
        <w:rPr>
          <w:rFonts w:hint="eastAsia" w:cs="仿宋_GB2312"/>
          <w:color w:val="auto"/>
          <w:szCs w:val="24"/>
          <w:highlight w:val="none"/>
          <w:lang w:val="en-US" w:eastAsia="zh-CN"/>
        </w:rPr>
        <w:t>招标公告</w:t>
      </w:r>
      <w:r>
        <w:rPr>
          <w:rFonts w:hint="eastAsia" w:cs="仿宋_GB2312"/>
          <w:color w:val="auto"/>
          <w:szCs w:val="24"/>
          <w:highlight w:val="none"/>
        </w:rPr>
        <w:t>，签字代表</w:t>
      </w:r>
      <w:r>
        <w:rPr>
          <w:rFonts w:hint="eastAsia" w:cs="仿宋_GB2312"/>
          <w:color w:val="auto"/>
          <w:szCs w:val="24"/>
          <w:highlight w:val="none"/>
          <w:u w:val="single"/>
        </w:rPr>
        <w:t>（姓名、职务）</w:t>
      </w:r>
      <w:r>
        <w:rPr>
          <w:rFonts w:hint="eastAsia" w:cs="仿宋_GB2312"/>
          <w:color w:val="auto"/>
          <w:szCs w:val="24"/>
          <w:highlight w:val="none"/>
        </w:rPr>
        <w:t>经正式授权并代表投标人</w:t>
      </w:r>
      <w:r>
        <w:rPr>
          <w:rFonts w:hint="eastAsia" w:cs="仿宋_GB2312"/>
          <w:color w:val="auto"/>
          <w:szCs w:val="24"/>
          <w:highlight w:val="none"/>
          <w:u w:val="single"/>
        </w:rPr>
        <w:t>（投标人名称、地址）</w:t>
      </w:r>
      <w:r>
        <w:rPr>
          <w:rFonts w:hint="eastAsia" w:cs="仿宋_GB2312"/>
          <w:color w:val="auto"/>
          <w:szCs w:val="24"/>
          <w:highlight w:val="none"/>
        </w:rPr>
        <w:t>提交下述文件</w:t>
      </w:r>
      <w:r>
        <w:rPr>
          <w:rFonts w:hint="eastAsia" w:cs="仿宋_GB2312"/>
          <w:b/>
          <w:bCs/>
          <w:color w:val="auto"/>
          <w:szCs w:val="24"/>
          <w:highlight w:val="none"/>
        </w:rPr>
        <w:t>：</w:t>
      </w:r>
    </w:p>
    <w:p w14:paraId="21BBF032">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1.</w:t>
      </w:r>
      <w:r>
        <w:rPr>
          <w:rFonts w:hint="eastAsia" w:cs="Arial"/>
          <w:color w:val="auto"/>
          <w:szCs w:val="24"/>
          <w:highlight w:val="none"/>
        </w:rPr>
        <w:t>资格</w:t>
      </w:r>
      <w:r>
        <w:rPr>
          <w:rFonts w:hint="eastAsia" w:cs="Arial"/>
          <w:color w:val="auto"/>
          <w:szCs w:val="24"/>
          <w:highlight w:val="none"/>
          <w:lang w:val="en-US" w:eastAsia="zh-CN"/>
        </w:rPr>
        <w:t>证明</w:t>
      </w:r>
      <w:r>
        <w:rPr>
          <w:rFonts w:hint="eastAsia" w:cs="Arial"/>
          <w:color w:val="auto"/>
          <w:szCs w:val="24"/>
          <w:highlight w:val="none"/>
        </w:rPr>
        <w:t>文件</w:t>
      </w:r>
      <w:r>
        <w:rPr>
          <w:rFonts w:cs="Arial"/>
          <w:color w:val="auto"/>
          <w:szCs w:val="24"/>
          <w:highlight w:val="none"/>
        </w:rPr>
        <w:t>；</w:t>
      </w:r>
    </w:p>
    <w:p w14:paraId="0A0EA079">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2.</w:t>
      </w:r>
      <w:r>
        <w:rPr>
          <w:rFonts w:hint="eastAsia" w:cs="Arial"/>
          <w:color w:val="auto"/>
          <w:szCs w:val="24"/>
          <w:highlight w:val="none"/>
        </w:rPr>
        <w:t>投标报价</w:t>
      </w:r>
      <w:r>
        <w:rPr>
          <w:rFonts w:cs="Arial"/>
          <w:color w:val="auto"/>
          <w:szCs w:val="24"/>
          <w:highlight w:val="none"/>
        </w:rPr>
        <w:t>文件</w:t>
      </w:r>
      <w:r>
        <w:rPr>
          <w:rFonts w:hint="eastAsia" w:cs="Arial"/>
          <w:color w:val="auto"/>
          <w:szCs w:val="24"/>
          <w:highlight w:val="none"/>
        </w:rPr>
        <w:t>；</w:t>
      </w:r>
    </w:p>
    <w:p w14:paraId="7C008F28">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3.</w:t>
      </w:r>
      <w:r>
        <w:rPr>
          <w:rFonts w:hint="eastAsia" w:cs="Arial"/>
          <w:color w:val="auto"/>
          <w:szCs w:val="24"/>
          <w:highlight w:val="none"/>
          <w:lang w:val="en-US" w:eastAsia="zh-CN"/>
        </w:rPr>
        <w:t>商务技术</w:t>
      </w:r>
      <w:r>
        <w:rPr>
          <w:rFonts w:hint="eastAsia" w:cs="Arial"/>
          <w:color w:val="auto"/>
          <w:szCs w:val="24"/>
          <w:highlight w:val="none"/>
        </w:rPr>
        <w:t>文件</w:t>
      </w:r>
      <w:r>
        <w:rPr>
          <w:rFonts w:cs="Arial"/>
          <w:color w:val="auto"/>
          <w:szCs w:val="24"/>
          <w:highlight w:val="none"/>
        </w:rPr>
        <w:t>。</w:t>
      </w:r>
    </w:p>
    <w:p w14:paraId="2038C573">
      <w:pPr>
        <w:spacing w:line="324" w:lineRule="auto"/>
        <w:ind w:firstLine="480" w:firstLineChars="200"/>
        <w:rPr>
          <w:rFonts w:cs="Arial"/>
          <w:color w:val="auto"/>
          <w:szCs w:val="24"/>
          <w:highlight w:val="none"/>
        </w:rPr>
      </w:pPr>
      <w:r>
        <w:rPr>
          <w:rFonts w:cs="Arial"/>
          <w:color w:val="auto"/>
          <w:szCs w:val="24"/>
          <w:highlight w:val="none"/>
        </w:rPr>
        <w:t>根据此函，签字代表宣布同意如下：</w:t>
      </w:r>
    </w:p>
    <w:p w14:paraId="7021F257">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1.</w:t>
      </w:r>
      <w:r>
        <w:rPr>
          <w:rFonts w:cs="Arial"/>
          <w:color w:val="auto"/>
          <w:szCs w:val="24"/>
          <w:highlight w:val="none"/>
        </w:rPr>
        <w:t>所附投标价格表中规定的应提交和交付的</w:t>
      </w:r>
      <w:r>
        <w:rPr>
          <w:rFonts w:hint="eastAsia" w:cs="Arial"/>
          <w:color w:val="auto"/>
          <w:szCs w:val="24"/>
          <w:highlight w:val="none"/>
        </w:rPr>
        <w:t>货物</w:t>
      </w:r>
      <w:r>
        <w:rPr>
          <w:rFonts w:cs="Arial"/>
          <w:color w:val="auto"/>
          <w:szCs w:val="24"/>
          <w:highlight w:val="none"/>
        </w:rPr>
        <w:t>和</w:t>
      </w:r>
      <w:r>
        <w:rPr>
          <w:rFonts w:hint="eastAsia" w:cs="Arial"/>
          <w:color w:val="auto"/>
          <w:szCs w:val="24"/>
          <w:highlight w:val="none"/>
          <w:lang w:val="en-US" w:eastAsia="zh-CN"/>
        </w:rPr>
        <w:t>相关</w:t>
      </w:r>
      <w:r>
        <w:rPr>
          <w:rFonts w:cs="Arial"/>
          <w:color w:val="auto"/>
          <w:szCs w:val="24"/>
          <w:highlight w:val="none"/>
        </w:rPr>
        <w:t>服务</w:t>
      </w:r>
      <w:r>
        <w:rPr>
          <w:rFonts w:hint="eastAsia" w:cs="Arial"/>
          <w:color w:val="auto"/>
          <w:szCs w:val="24"/>
          <w:highlight w:val="none"/>
        </w:rPr>
        <w:t>（如有）</w:t>
      </w:r>
      <w:r>
        <w:rPr>
          <w:rFonts w:cs="Arial"/>
          <w:color w:val="auto"/>
          <w:szCs w:val="24"/>
          <w:highlight w:val="none"/>
        </w:rPr>
        <w:t>的</w:t>
      </w:r>
      <w:r>
        <w:rPr>
          <w:rFonts w:hint="eastAsia" w:cs="Arial"/>
          <w:color w:val="auto"/>
          <w:szCs w:val="24"/>
          <w:highlight w:val="none"/>
        </w:rPr>
        <w:t>投标报价</w:t>
      </w:r>
      <w:r>
        <w:rPr>
          <w:rFonts w:cs="Arial"/>
          <w:color w:val="auto"/>
          <w:szCs w:val="24"/>
          <w:highlight w:val="none"/>
        </w:rPr>
        <w:t>为</w:t>
      </w:r>
      <w:r>
        <w:rPr>
          <w:rFonts w:hint="eastAsia" w:cs="Arial"/>
          <w:color w:val="auto"/>
          <w:szCs w:val="24"/>
          <w:highlight w:val="none"/>
        </w:rPr>
        <w:t xml:space="preserve"> </w:t>
      </w:r>
      <w:r>
        <w:rPr>
          <w:rFonts w:hint="eastAsia" w:cs="Arial"/>
          <w:color w:val="auto"/>
          <w:szCs w:val="24"/>
          <w:highlight w:val="none"/>
          <w:u w:val="single"/>
        </w:rPr>
        <w:t xml:space="preserve">                  </w:t>
      </w:r>
      <w:r>
        <w:rPr>
          <w:rFonts w:cs="Arial"/>
          <w:color w:val="auto"/>
          <w:szCs w:val="24"/>
          <w:highlight w:val="none"/>
        </w:rPr>
        <w:t>。</w:t>
      </w:r>
    </w:p>
    <w:p w14:paraId="3FF1B405">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2.</w:t>
      </w:r>
      <w:r>
        <w:rPr>
          <w:rFonts w:hint="eastAsia" w:cs="Arial"/>
          <w:color w:val="auto"/>
          <w:szCs w:val="24"/>
          <w:highlight w:val="none"/>
        </w:rPr>
        <w:t>我方</w:t>
      </w:r>
      <w:r>
        <w:rPr>
          <w:rFonts w:cs="Arial"/>
          <w:color w:val="auto"/>
          <w:szCs w:val="24"/>
          <w:highlight w:val="none"/>
        </w:rPr>
        <w:t>将按招标文件的规定履行合同责任和义务。</w:t>
      </w:r>
    </w:p>
    <w:p w14:paraId="464D767C">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3.</w:t>
      </w:r>
      <w:r>
        <w:rPr>
          <w:rFonts w:hint="eastAsia" w:cs="Arial"/>
          <w:color w:val="auto"/>
          <w:szCs w:val="24"/>
          <w:highlight w:val="none"/>
        </w:rPr>
        <w:t>我方</w:t>
      </w:r>
      <w:r>
        <w:rPr>
          <w:rFonts w:cs="Arial"/>
          <w:color w:val="auto"/>
          <w:szCs w:val="24"/>
          <w:highlight w:val="none"/>
        </w:rPr>
        <w:t>已详细审查全部招标文件，包括第</w:t>
      </w:r>
      <w:r>
        <w:rPr>
          <w:rFonts w:cs="Arial"/>
          <w:i w:val="0"/>
          <w:iCs/>
          <w:color w:val="auto"/>
          <w:szCs w:val="24"/>
          <w:highlight w:val="none"/>
          <w:u w:val="single"/>
        </w:rPr>
        <w:t>（编号、补遗书）（如果有的话）</w:t>
      </w:r>
      <w:r>
        <w:rPr>
          <w:rFonts w:cs="Arial"/>
          <w:color w:val="auto"/>
          <w:szCs w:val="24"/>
          <w:highlight w:val="none"/>
        </w:rPr>
        <w:t>。我</w:t>
      </w:r>
      <w:r>
        <w:rPr>
          <w:rFonts w:hint="eastAsia" w:cs="Arial"/>
          <w:color w:val="auto"/>
          <w:szCs w:val="24"/>
          <w:highlight w:val="none"/>
        </w:rPr>
        <w:t>方</w:t>
      </w:r>
      <w:r>
        <w:rPr>
          <w:rFonts w:cs="Arial"/>
          <w:color w:val="auto"/>
          <w:szCs w:val="24"/>
          <w:highlight w:val="none"/>
        </w:rPr>
        <w:t>完全理解并同意放弃对这方面有不明及误解的权力。</w:t>
      </w:r>
    </w:p>
    <w:p w14:paraId="70CAE828">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4.</w:t>
      </w:r>
      <w:r>
        <w:rPr>
          <w:rFonts w:hint="eastAsia" w:cs="Arial"/>
          <w:color w:val="auto"/>
          <w:szCs w:val="24"/>
          <w:highlight w:val="none"/>
        </w:rPr>
        <w:t>投标有效期为自提交投标文件的截止之日起</w:t>
      </w:r>
      <w:r>
        <w:rPr>
          <w:rFonts w:hint="eastAsia" w:cs="Arial"/>
          <w:i/>
          <w:color w:val="auto"/>
          <w:szCs w:val="24"/>
          <w:highlight w:val="none"/>
          <w:u w:val="single"/>
        </w:rPr>
        <w:t xml:space="preserve"> </w:t>
      </w:r>
      <w:r>
        <w:rPr>
          <w:rFonts w:hint="eastAsia" w:cs="Arial"/>
          <w:i w:val="0"/>
          <w:iCs/>
          <w:color w:val="auto"/>
          <w:szCs w:val="24"/>
          <w:highlight w:val="none"/>
          <w:u w:val="single"/>
        </w:rPr>
        <w:t>（由投标人填写）</w:t>
      </w:r>
      <w:r>
        <w:rPr>
          <w:rFonts w:cs="Arial"/>
          <w:color w:val="auto"/>
          <w:szCs w:val="24"/>
          <w:highlight w:val="none"/>
        </w:rPr>
        <w:t>个日历天。</w:t>
      </w:r>
    </w:p>
    <w:p w14:paraId="52EDF2A7">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5.</w:t>
      </w:r>
      <w:r>
        <w:rPr>
          <w:rFonts w:hint="eastAsia" w:cs="Arial"/>
          <w:color w:val="auto"/>
          <w:szCs w:val="24"/>
          <w:highlight w:val="none"/>
        </w:rPr>
        <w:t>我方</w:t>
      </w:r>
      <w:r>
        <w:rPr>
          <w:rFonts w:cs="Arial"/>
          <w:color w:val="auto"/>
          <w:szCs w:val="24"/>
          <w:highlight w:val="none"/>
        </w:rPr>
        <w:t>同意提供按照贵方</w:t>
      </w:r>
      <w:r>
        <w:rPr>
          <w:rFonts w:hint="eastAsia" w:cs="Arial"/>
          <w:color w:val="auto"/>
          <w:szCs w:val="24"/>
          <w:highlight w:val="none"/>
          <w:lang w:val="en-US" w:eastAsia="zh-CN"/>
        </w:rPr>
        <w:t>招标</w:t>
      </w:r>
      <w:r>
        <w:rPr>
          <w:rFonts w:hint="eastAsia" w:cs="Arial"/>
          <w:color w:val="auto"/>
          <w:szCs w:val="24"/>
          <w:highlight w:val="none"/>
        </w:rPr>
        <w:t>文件</w:t>
      </w:r>
      <w:r>
        <w:rPr>
          <w:rFonts w:cs="Arial"/>
          <w:color w:val="auto"/>
          <w:szCs w:val="24"/>
          <w:highlight w:val="none"/>
        </w:rPr>
        <w:t>要求的与投标有关的一切数据或资料，</w:t>
      </w:r>
      <w:r>
        <w:rPr>
          <w:rFonts w:hint="eastAsia" w:cs="Arial"/>
          <w:color w:val="auto"/>
          <w:szCs w:val="24"/>
          <w:highlight w:val="none"/>
        </w:rPr>
        <w:t>采用综合评分法时，我方</w:t>
      </w:r>
      <w:r>
        <w:rPr>
          <w:rFonts w:cs="Arial"/>
          <w:color w:val="auto"/>
          <w:szCs w:val="24"/>
          <w:highlight w:val="none"/>
        </w:rPr>
        <w:t>完全理解贵方不一定接受最低价的投标。</w:t>
      </w:r>
    </w:p>
    <w:p w14:paraId="3CF5A666">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6.</w:t>
      </w:r>
      <w:r>
        <w:rPr>
          <w:rFonts w:hint="eastAsia" w:cs="Arial"/>
          <w:color w:val="auto"/>
          <w:szCs w:val="24"/>
          <w:highlight w:val="none"/>
        </w:rPr>
        <w:t>本项目如由中标人支付采购代理服务费，我方同意按投标人须知前附表中规定向采购代理机构支付采购代理服务费。</w:t>
      </w:r>
    </w:p>
    <w:p w14:paraId="6A150207">
      <w:pPr>
        <w:numPr>
          <w:ilvl w:val="0"/>
          <w:numId w:val="0"/>
        </w:numPr>
        <w:snapToGrid w:val="0"/>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7.</w:t>
      </w:r>
      <w:r>
        <w:rPr>
          <w:rFonts w:hint="eastAsia" w:cs="Arial"/>
          <w:color w:val="auto"/>
          <w:szCs w:val="24"/>
          <w:highlight w:val="none"/>
        </w:rPr>
        <w:t>重要声明：</w:t>
      </w:r>
    </w:p>
    <w:p w14:paraId="40AFB77A">
      <w:pPr>
        <w:snapToGrid w:val="0"/>
        <w:spacing w:line="324" w:lineRule="auto"/>
        <w:ind w:firstLine="480" w:firstLineChars="200"/>
        <w:rPr>
          <w:color w:val="auto"/>
          <w:szCs w:val="24"/>
          <w:highlight w:val="none"/>
        </w:rPr>
      </w:pPr>
      <w:r>
        <w:rPr>
          <w:rFonts w:hint="eastAsia"/>
          <w:color w:val="auto"/>
          <w:szCs w:val="24"/>
          <w:highlight w:val="none"/>
        </w:rPr>
        <w:t>1）与我方单位负责人为同一人的其他单位名称：</w:t>
      </w:r>
    </w:p>
    <w:p w14:paraId="409D2F71">
      <w:pPr>
        <w:snapToGrid w:val="0"/>
        <w:spacing w:line="324" w:lineRule="auto"/>
        <w:ind w:left="456" w:leftChars="190" w:firstLine="355" w:firstLineChars="148"/>
        <w:rPr>
          <w:i w:val="0"/>
          <w:iCs/>
          <w:color w:val="auto"/>
          <w:szCs w:val="24"/>
          <w:highlight w:val="none"/>
        </w:rPr>
      </w:pPr>
      <w:r>
        <w:rPr>
          <w:rFonts w:hint="eastAsia"/>
          <w:color w:val="auto"/>
          <w:szCs w:val="24"/>
          <w:highlight w:val="none"/>
          <w:lang w:eastAsia="zh-CN"/>
        </w:rPr>
        <w:t>□</w:t>
      </w:r>
      <w:r>
        <w:rPr>
          <w:rFonts w:hint="eastAsia"/>
          <w:color w:val="auto"/>
          <w:szCs w:val="24"/>
          <w:highlight w:val="none"/>
        </w:rPr>
        <w:t>无；</w:t>
      </w:r>
      <w:r>
        <w:rPr>
          <w:rFonts w:hint="eastAsia"/>
          <w:color w:val="auto"/>
          <w:szCs w:val="24"/>
          <w:highlight w:val="none"/>
          <w:lang w:eastAsia="zh-CN"/>
        </w:rPr>
        <w:t>□</w:t>
      </w:r>
      <w:r>
        <w:rPr>
          <w:rFonts w:hint="eastAsia"/>
          <w:color w:val="auto"/>
          <w:szCs w:val="24"/>
          <w:highlight w:val="none"/>
        </w:rPr>
        <w:t>有，具体单位名称为：</w:t>
      </w:r>
      <w:r>
        <w:rPr>
          <w:rFonts w:hint="eastAsia" w:cs="Arial"/>
          <w:i w:val="0"/>
          <w:iCs/>
          <w:color w:val="auto"/>
          <w:szCs w:val="24"/>
          <w:highlight w:val="none"/>
          <w:u w:val="single"/>
        </w:rPr>
        <w:t>（由投标人如实填写）</w:t>
      </w:r>
      <w:r>
        <w:rPr>
          <w:rFonts w:hint="eastAsia"/>
          <w:i w:val="0"/>
          <w:iCs/>
          <w:color w:val="auto"/>
          <w:szCs w:val="24"/>
          <w:highlight w:val="none"/>
        </w:rPr>
        <w:t>。</w:t>
      </w:r>
    </w:p>
    <w:p w14:paraId="0B2F52C6">
      <w:pPr>
        <w:snapToGrid w:val="0"/>
        <w:spacing w:line="324" w:lineRule="auto"/>
        <w:ind w:firstLine="480" w:firstLineChars="200"/>
        <w:rPr>
          <w:i w:val="0"/>
          <w:iCs/>
          <w:color w:val="auto"/>
          <w:szCs w:val="24"/>
          <w:highlight w:val="none"/>
        </w:rPr>
      </w:pPr>
      <w:r>
        <w:rPr>
          <w:rFonts w:hint="eastAsia"/>
          <w:i w:val="0"/>
          <w:iCs/>
          <w:color w:val="auto"/>
          <w:szCs w:val="24"/>
          <w:highlight w:val="none"/>
        </w:rPr>
        <w:t>2）与我方存在控股、管理关系的其他单位的名称：</w:t>
      </w:r>
    </w:p>
    <w:p w14:paraId="3BE8BBB8">
      <w:pPr>
        <w:snapToGrid w:val="0"/>
        <w:spacing w:line="324" w:lineRule="auto"/>
        <w:ind w:left="456" w:leftChars="190" w:firstLine="355" w:firstLineChars="148"/>
        <w:rPr>
          <w:color w:val="auto"/>
          <w:szCs w:val="24"/>
          <w:highlight w:val="none"/>
        </w:rPr>
      </w:pPr>
      <w:r>
        <w:rPr>
          <w:rFonts w:hint="eastAsia"/>
          <w:i w:val="0"/>
          <w:iCs/>
          <w:color w:val="auto"/>
          <w:szCs w:val="24"/>
          <w:highlight w:val="none"/>
          <w:lang w:eastAsia="zh-CN"/>
        </w:rPr>
        <w:t>□</w:t>
      </w:r>
      <w:r>
        <w:rPr>
          <w:rFonts w:hint="eastAsia"/>
          <w:i w:val="0"/>
          <w:iCs/>
          <w:color w:val="auto"/>
          <w:szCs w:val="24"/>
          <w:highlight w:val="none"/>
        </w:rPr>
        <w:t xml:space="preserve">无；□有，具体单位名称为： </w:t>
      </w:r>
      <w:r>
        <w:rPr>
          <w:rFonts w:hint="eastAsia" w:cs="Arial"/>
          <w:i w:val="0"/>
          <w:iCs/>
          <w:color w:val="auto"/>
          <w:szCs w:val="24"/>
          <w:highlight w:val="none"/>
          <w:u w:val="single"/>
        </w:rPr>
        <w:t>（由投标人如实填写）</w:t>
      </w:r>
      <w:r>
        <w:rPr>
          <w:rFonts w:hint="eastAsia"/>
          <w:color w:val="auto"/>
          <w:szCs w:val="24"/>
          <w:highlight w:val="none"/>
        </w:rPr>
        <w:t>。</w:t>
      </w:r>
    </w:p>
    <w:p w14:paraId="1103F8A2">
      <w:pPr>
        <w:snapToGrid w:val="0"/>
        <w:spacing w:line="324" w:lineRule="auto"/>
        <w:ind w:firstLine="480" w:firstLineChars="200"/>
        <w:rPr>
          <w:color w:val="auto"/>
          <w:szCs w:val="24"/>
          <w:highlight w:val="none"/>
        </w:rPr>
      </w:pPr>
      <w:r>
        <w:rPr>
          <w:rFonts w:hint="eastAsia"/>
          <w:color w:val="auto"/>
          <w:szCs w:val="24"/>
          <w:highlight w:val="none"/>
        </w:rPr>
        <w:t>3）参与本项目采购活动前，是否为本项目前期准备提供过整体设计、规范编制或者项目管理、监理、检测等服务：</w:t>
      </w:r>
    </w:p>
    <w:p w14:paraId="73BE978C">
      <w:pPr>
        <w:snapToGrid w:val="0"/>
        <w:spacing w:line="324" w:lineRule="auto"/>
        <w:ind w:left="456" w:leftChars="190" w:firstLine="355" w:firstLineChars="148"/>
        <w:rPr>
          <w:color w:val="auto"/>
          <w:szCs w:val="24"/>
          <w:highlight w:val="none"/>
        </w:rPr>
      </w:pPr>
      <w:r>
        <w:rPr>
          <w:rFonts w:hint="eastAsia"/>
          <w:color w:val="auto"/>
          <w:szCs w:val="24"/>
          <w:highlight w:val="none"/>
          <w:lang w:eastAsia="zh-CN"/>
        </w:rPr>
        <w:t>□</w:t>
      </w:r>
      <w:r>
        <w:rPr>
          <w:rFonts w:hint="eastAsia"/>
          <w:color w:val="auto"/>
          <w:szCs w:val="24"/>
          <w:highlight w:val="none"/>
        </w:rPr>
        <w:t>无；□有，已提供的具体服务内容为：</w:t>
      </w:r>
      <w:r>
        <w:rPr>
          <w:rFonts w:hint="eastAsia"/>
          <w:i w:val="0"/>
          <w:iCs w:val="0"/>
          <w:color w:val="auto"/>
          <w:szCs w:val="24"/>
          <w:highlight w:val="none"/>
        </w:rPr>
        <w:t xml:space="preserve"> </w:t>
      </w:r>
      <w:r>
        <w:rPr>
          <w:rFonts w:hint="eastAsia" w:cs="Arial"/>
          <w:i w:val="0"/>
          <w:iCs w:val="0"/>
          <w:color w:val="auto"/>
          <w:szCs w:val="24"/>
          <w:highlight w:val="none"/>
          <w:u w:val="single"/>
        </w:rPr>
        <w:t>（由投标人如实填写）</w:t>
      </w:r>
      <w:r>
        <w:rPr>
          <w:rFonts w:hint="eastAsia"/>
          <w:color w:val="auto"/>
          <w:szCs w:val="24"/>
          <w:highlight w:val="none"/>
        </w:rPr>
        <w:t>。</w:t>
      </w:r>
    </w:p>
    <w:p w14:paraId="4FC84088">
      <w:pPr>
        <w:spacing w:line="324" w:lineRule="auto"/>
        <w:ind w:firstLine="480" w:firstLineChars="200"/>
        <w:rPr>
          <w:color w:val="auto"/>
          <w:szCs w:val="24"/>
          <w:highlight w:val="none"/>
        </w:rPr>
      </w:pPr>
      <w:r>
        <w:rPr>
          <w:rFonts w:hint="eastAsia"/>
          <w:color w:val="auto"/>
          <w:szCs w:val="24"/>
          <w:highlight w:val="none"/>
        </w:rPr>
        <w:t>（备注：以上</w:t>
      </w:r>
      <w:r>
        <w:rPr>
          <w:color w:val="auto"/>
          <w:szCs w:val="24"/>
          <w:highlight w:val="none"/>
        </w:rPr>
        <w:t>3</w:t>
      </w:r>
      <w:r>
        <w:rPr>
          <w:rFonts w:hint="eastAsia"/>
          <w:color w:val="auto"/>
          <w:szCs w:val="24"/>
          <w:highlight w:val="none"/>
        </w:rPr>
        <w:t>项声明，必须如实选择，选中项用</w:t>
      </w:r>
      <w:r>
        <w:rPr>
          <w:rFonts w:hint="eastAsia"/>
          <w:color w:val="auto"/>
          <w:szCs w:val="24"/>
          <w:highlight w:val="none"/>
          <w:lang w:eastAsia="zh-CN"/>
        </w:rPr>
        <w:t>☑</w:t>
      </w:r>
      <w:r>
        <w:rPr>
          <w:rFonts w:hint="eastAsia"/>
          <w:color w:val="auto"/>
          <w:szCs w:val="24"/>
          <w:highlight w:val="none"/>
        </w:rPr>
        <w:t>表示，未选中项用□表示。①“单位负责人”是指单位法定代表人或者法律、行政法规规定代表单位行使职权的主要负责人。②本条所规定的控股、管理关系仅限于直接控股、直接管理关系，不包括间接的控股或管理关系。③供应商如未如实填报，视为提供虚假材料谋取中标，应承担相应法律责任。）</w:t>
      </w:r>
    </w:p>
    <w:p w14:paraId="19A44DC4">
      <w:pPr>
        <w:snapToGrid w:val="0"/>
        <w:spacing w:line="324" w:lineRule="auto"/>
        <w:ind w:firstLine="480" w:firstLineChars="200"/>
        <w:rPr>
          <w:color w:val="auto"/>
          <w:szCs w:val="24"/>
          <w:highlight w:val="none"/>
        </w:rPr>
      </w:pPr>
      <w:r>
        <w:rPr>
          <w:rFonts w:hint="eastAsia"/>
          <w:color w:val="auto"/>
          <w:szCs w:val="24"/>
          <w:highlight w:val="none"/>
        </w:rPr>
        <w:t>4）我方在本投标文件中所提供的全部资料均真实有效，我方承诺对其真实性负责并承担相应后果。</w:t>
      </w:r>
    </w:p>
    <w:p w14:paraId="5FB2607B">
      <w:pPr>
        <w:snapToGrid w:val="0"/>
        <w:spacing w:line="324" w:lineRule="auto"/>
        <w:ind w:firstLine="480" w:firstLineChars="200"/>
        <w:rPr>
          <w:color w:val="auto"/>
          <w:szCs w:val="24"/>
          <w:highlight w:val="none"/>
        </w:rPr>
      </w:pPr>
      <w:r>
        <w:rPr>
          <w:rFonts w:hint="eastAsia"/>
          <w:color w:val="auto"/>
          <w:szCs w:val="24"/>
          <w:highlight w:val="none"/>
        </w:rPr>
        <w:t>5）</w:t>
      </w:r>
      <w:bookmarkStart w:id="385" w:name="_Hlk161604053"/>
      <w:r>
        <w:rPr>
          <w:rFonts w:hint="eastAsia"/>
          <w:color w:val="auto"/>
          <w:szCs w:val="24"/>
          <w:highlight w:val="none"/>
        </w:rPr>
        <w:t>我方承诺本《投标函》的签章对本投标文件全部内容具有约束力并承担法律责任。</w:t>
      </w:r>
      <w:bookmarkEnd w:id="385"/>
    </w:p>
    <w:p w14:paraId="2A195747">
      <w:pPr>
        <w:spacing w:line="300" w:lineRule="auto"/>
        <w:rPr>
          <w:rFonts w:cs="Arial"/>
          <w:color w:val="auto"/>
          <w:szCs w:val="24"/>
          <w:highlight w:val="none"/>
        </w:rPr>
      </w:pPr>
    </w:p>
    <w:p w14:paraId="3F664789">
      <w:pPr>
        <w:spacing w:line="300" w:lineRule="auto"/>
        <w:rPr>
          <w:rFonts w:cs="Arial"/>
          <w:color w:val="auto"/>
          <w:szCs w:val="24"/>
          <w:highlight w:val="none"/>
        </w:rPr>
      </w:pPr>
    </w:p>
    <w:p w14:paraId="6C365FF0">
      <w:pPr>
        <w:spacing w:line="300" w:lineRule="auto"/>
        <w:rPr>
          <w:rFonts w:cs="Arial"/>
          <w:color w:val="auto"/>
          <w:szCs w:val="24"/>
          <w:highlight w:val="none"/>
        </w:rPr>
      </w:pPr>
    </w:p>
    <w:p w14:paraId="448666AB">
      <w:pPr>
        <w:autoSpaceDE w:val="0"/>
        <w:autoSpaceDN w:val="0"/>
        <w:adjustRightInd w:val="0"/>
        <w:snapToGrid w:val="0"/>
        <w:ind w:firstLine="480" w:firstLineChars="200"/>
        <w:rPr>
          <w:rFonts w:hint="eastAsia" w:ascii="宋体" w:hAnsi="宋体" w:cs="宋体"/>
          <w:color w:val="auto"/>
          <w:kern w:val="0"/>
          <w:sz w:val="24"/>
          <w:highlight w:val="none"/>
          <w:lang w:val="zh-CN"/>
        </w:rPr>
      </w:pPr>
      <w:r>
        <w:rPr>
          <w:rFonts w:hint="eastAsia" w:ascii="宋体" w:hAnsi="宋体" w:eastAsia="宋体" w:cs="宋体"/>
          <w:color w:val="auto"/>
          <w:kern w:val="0"/>
          <w:sz w:val="24"/>
          <w:szCs w:val="24"/>
          <w:highlight w:val="none"/>
          <w:lang w:val="en-US" w:eastAsia="zh-CN" w:bidi="ar"/>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p>
    <w:p w14:paraId="1186FA25">
      <w:pPr>
        <w:autoSpaceDE w:val="0"/>
        <w:autoSpaceDN w:val="0"/>
        <w:adjustRightInd w:val="0"/>
        <w:snapToGrid w:val="0"/>
        <w:ind w:firstLine="480" w:firstLineChars="200"/>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法定代表人或授权代表（签字或印章）：</w:t>
      </w:r>
    </w:p>
    <w:p w14:paraId="4CCC9D16">
      <w:pPr>
        <w:autoSpaceDE w:val="0"/>
        <w:autoSpaceDN w:val="0"/>
        <w:adjustRightInd w:val="0"/>
        <w:snapToGrid w:val="0"/>
        <w:ind w:firstLine="480" w:firstLineChars="200"/>
        <w:rPr>
          <w:rFonts w:cs="宋体"/>
          <w:color w:val="auto"/>
          <w:highlight w:val="none"/>
        </w:rPr>
      </w:pPr>
      <w:r>
        <w:rPr>
          <w:rFonts w:hint="eastAsia" w:cs="宋体"/>
          <w:color w:val="auto"/>
          <w:highlight w:val="none"/>
        </w:rPr>
        <w:t>通  讯  地  址：</w:t>
      </w:r>
    </w:p>
    <w:p w14:paraId="268281DA">
      <w:pPr>
        <w:autoSpaceDE w:val="0"/>
        <w:autoSpaceDN w:val="0"/>
        <w:adjustRightInd w:val="0"/>
        <w:snapToGrid w:val="0"/>
        <w:ind w:firstLine="480" w:firstLineChars="200"/>
        <w:rPr>
          <w:rFonts w:cs="宋体"/>
          <w:color w:val="auto"/>
          <w:highlight w:val="none"/>
        </w:rPr>
      </w:pPr>
      <w:r>
        <w:rPr>
          <w:rFonts w:hint="eastAsia" w:cs="宋体"/>
          <w:color w:val="auto"/>
          <w:highlight w:val="none"/>
        </w:rPr>
        <w:t xml:space="preserve">传       </w:t>
      </w:r>
      <w:r>
        <w:rPr>
          <w:rFonts w:cs="宋体"/>
          <w:color w:val="auto"/>
          <w:highlight w:val="none"/>
        </w:rPr>
        <w:t xml:space="preserve">   </w:t>
      </w:r>
      <w:r>
        <w:rPr>
          <w:rFonts w:hint="eastAsia" w:cs="宋体"/>
          <w:color w:val="auto"/>
          <w:highlight w:val="none"/>
        </w:rPr>
        <w:t>真：</w:t>
      </w:r>
    </w:p>
    <w:p w14:paraId="0A396883">
      <w:pPr>
        <w:autoSpaceDE w:val="0"/>
        <w:autoSpaceDN w:val="0"/>
        <w:adjustRightInd w:val="0"/>
        <w:snapToGrid w:val="0"/>
        <w:ind w:firstLine="480" w:firstLineChars="200"/>
        <w:rPr>
          <w:rFonts w:cs="宋体"/>
          <w:color w:val="auto"/>
          <w:highlight w:val="none"/>
        </w:rPr>
      </w:pPr>
      <w:r>
        <w:rPr>
          <w:rFonts w:hint="eastAsia" w:cs="宋体"/>
          <w:color w:val="auto"/>
          <w:highlight w:val="none"/>
        </w:rPr>
        <w:t>电          话：</w:t>
      </w:r>
    </w:p>
    <w:p w14:paraId="63C92097">
      <w:pPr>
        <w:ind w:firstLine="480" w:firstLineChars="200"/>
        <w:rPr>
          <w:rFonts w:cs="Arial"/>
          <w:color w:val="auto"/>
          <w:szCs w:val="24"/>
          <w:highlight w:val="none"/>
        </w:rPr>
      </w:pPr>
      <w:r>
        <w:rPr>
          <w:rFonts w:hint="eastAsia" w:cs="宋体"/>
          <w:color w:val="auto"/>
          <w:highlight w:val="none"/>
        </w:rPr>
        <w:t xml:space="preserve">日     </w:t>
      </w:r>
      <w:r>
        <w:rPr>
          <w:rFonts w:cs="宋体"/>
          <w:color w:val="auto"/>
          <w:highlight w:val="none"/>
        </w:rPr>
        <w:t xml:space="preserve">  </w:t>
      </w:r>
      <w:r>
        <w:rPr>
          <w:rFonts w:hint="eastAsia" w:cs="宋体"/>
          <w:color w:val="auto"/>
          <w:highlight w:val="none"/>
        </w:rPr>
        <w:t xml:space="preserve">    期：</w:t>
      </w:r>
    </w:p>
    <w:p w14:paraId="6674502E">
      <w:pPr>
        <w:rPr>
          <w:rFonts w:cs="Arial"/>
          <w:color w:val="auto"/>
          <w:szCs w:val="24"/>
          <w:highlight w:val="none"/>
          <w:u w:val="single"/>
        </w:rPr>
      </w:pPr>
    </w:p>
    <w:p w14:paraId="478BFBB8">
      <w:pPr>
        <w:rPr>
          <w:rFonts w:cs="Arial"/>
          <w:color w:val="auto"/>
          <w:szCs w:val="24"/>
          <w:highlight w:val="none"/>
          <w:u w:val="single"/>
        </w:rPr>
      </w:pPr>
      <w:r>
        <w:rPr>
          <w:rFonts w:cs="Arial"/>
          <w:color w:val="auto"/>
          <w:szCs w:val="24"/>
          <w:highlight w:val="none"/>
          <w:u w:val="single"/>
        </w:rPr>
        <w:br w:type="page"/>
      </w:r>
    </w:p>
    <w:p w14:paraId="24B4BD65">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386" w:name="_Toc163492918"/>
      <w:bookmarkStart w:id="387" w:name="_Toc155185924"/>
      <w:bookmarkStart w:id="388" w:name="_Toc1962"/>
      <w:r>
        <w:rPr>
          <w:rFonts w:hint="eastAsia" w:cstheme="majorBidi"/>
          <w:b/>
          <w:bCs/>
          <w:color w:val="auto"/>
          <w:kern w:val="2"/>
          <w:sz w:val="32"/>
          <w:szCs w:val="32"/>
          <w:highlight w:val="none"/>
          <w:lang w:val="en-US" w:eastAsia="zh-CN" w:bidi="ar-SA"/>
        </w:rPr>
        <w:t>二</w:t>
      </w:r>
      <w:r>
        <w:rPr>
          <w:rFonts w:hint="eastAsia" w:eastAsia="宋体" w:asciiTheme="majorHAnsi" w:hAnsiTheme="majorHAnsi" w:cstheme="majorBidi"/>
          <w:b/>
          <w:bCs/>
          <w:color w:val="auto"/>
          <w:kern w:val="2"/>
          <w:sz w:val="32"/>
          <w:szCs w:val="32"/>
          <w:highlight w:val="none"/>
          <w:lang w:val="en-US" w:eastAsia="zh-CN" w:bidi="ar-SA"/>
        </w:rPr>
        <w:t>、法定代表人（单位负责人）身份证明</w:t>
      </w:r>
      <w:bookmarkEnd w:id="386"/>
      <w:bookmarkEnd w:id="387"/>
      <w:bookmarkEnd w:id="388"/>
    </w:p>
    <w:p w14:paraId="46CF1AA3">
      <w:pPr>
        <w:spacing w:line="480" w:lineRule="auto"/>
        <w:ind w:firstLine="480" w:firstLineChars="200"/>
        <w:rPr>
          <w:rFonts w:hint="eastAsia" w:cs="仿宋_GB2312"/>
          <w:color w:val="auto"/>
          <w:szCs w:val="24"/>
          <w:highlight w:val="none"/>
        </w:rPr>
      </w:pPr>
      <w:r>
        <w:rPr>
          <w:rFonts w:hint="eastAsia" w:cs="仿宋_GB2312"/>
          <w:color w:val="auto"/>
          <w:szCs w:val="24"/>
          <w:highlight w:val="none"/>
          <w:lang w:val="en-US" w:eastAsia="zh-CN"/>
        </w:rPr>
        <w:t xml:space="preserve">致：（采购人或采购代理机构） </w:t>
      </w:r>
    </w:p>
    <w:p w14:paraId="3DE52D6F">
      <w:pPr>
        <w:spacing w:line="480" w:lineRule="auto"/>
        <w:ind w:firstLine="960" w:firstLineChars="400"/>
        <w:rPr>
          <w:rFonts w:hint="eastAsia" w:cs="仿宋_GB2312"/>
          <w:color w:val="auto"/>
          <w:szCs w:val="24"/>
          <w:highlight w:val="none"/>
        </w:rPr>
      </w:pPr>
      <w:r>
        <w:rPr>
          <w:rFonts w:hint="eastAsia" w:cs="仿宋_GB2312"/>
          <w:color w:val="auto"/>
          <w:szCs w:val="24"/>
          <w:highlight w:val="none"/>
          <w:lang w:val="en-US" w:eastAsia="zh-CN"/>
        </w:rPr>
        <w:t xml:space="preserve">兹证明， </w:t>
      </w:r>
    </w:p>
    <w:p w14:paraId="1D36B9E0">
      <w:pPr>
        <w:spacing w:line="480" w:lineRule="auto"/>
        <w:ind w:firstLine="480" w:firstLineChars="200"/>
        <w:rPr>
          <w:rFonts w:hint="eastAsia" w:cs="仿宋_GB2312"/>
          <w:color w:val="auto"/>
          <w:szCs w:val="24"/>
          <w:highlight w:val="none"/>
        </w:rPr>
      </w:pPr>
      <w:r>
        <w:rPr>
          <w:rFonts w:hint="eastAsia" w:cs="仿宋_GB2312"/>
          <w:color w:val="auto"/>
          <w:szCs w:val="24"/>
          <w:highlight w:val="none"/>
          <w:lang w:val="en-US" w:eastAsia="zh-CN"/>
        </w:rPr>
        <w:t xml:space="preserve">姓名：____性别：____年龄：____职务：____ </w:t>
      </w:r>
    </w:p>
    <w:p w14:paraId="38746EB6">
      <w:pPr>
        <w:spacing w:line="480" w:lineRule="auto"/>
        <w:ind w:firstLine="480" w:firstLineChars="200"/>
        <w:rPr>
          <w:rFonts w:hint="eastAsia" w:cs="仿宋_GB2312"/>
          <w:color w:val="auto"/>
          <w:szCs w:val="24"/>
          <w:highlight w:val="none"/>
        </w:rPr>
      </w:pPr>
      <w:r>
        <w:rPr>
          <w:rFonts w:hint="eastAsia" w:cs="仿宋_GB2312"/>
          <w:color w:val="auto"/>
          <w:szCs w:val="24"/>
          <w:highlight w:val="none"/>
          <w:lang w:val="en-US" w:eastAsia="zh-CN"/>
        </w:rPr>
        <w:t xml:space="preserve">系 </w:t>
      </w:r>
      <w:r>
        <w:rPr>
          <w:rFonts w:hint="eastAsia" w:cs="仿宋_GB2312"/>
          <w:color w:val="auto"/>
          <w:szCs w:val="24"/>
          <w:highlight w:val="none"/>
          <w:u w:val="single"/>
          <w:lang w:val="en-US" w:eastAsia="zh-CN"/>
        </w:rPr>
        <w:t xml:space="preserve">            </w:t>
      </w:r>
      <w:r>
        <w:rPr>
          <w:rFonts w:hint="eastAsia" w:cs="仿宋_GB2312"/>
          <w:color w:val="auto"/>
          <w:szCs w:val="24"/>
          <w:highlight w:val="none"/>
          <w:lang w:val="en-US" w:eastAsia="zh-CN"/>
        </w:rPr>
        <w:t xml:space="preserve">（投标人名称）的法定代表人（单位负责人）。 </w:t>
      </w:r>
    </w:p>
    <w:p w14:paraId="3B002BC6">
      <w:pPr>
        <w:spacing w:line="480" w:lineRule="auto"/>
        <w:ind w:firstLine="480" w:firstLineChars="200"/>
        <w:rPr>
          <w:rFonts w:hint="eastAsia" w:cs="仿宋_GB2312"/>
          <w:color w:val="auto"/>
          <w:szCs w:val="24"/>
          <w:highlight w:val="none"/>
        </w:rPr>
      </w:pPr>
      <w:r>
        <w:rPr>
          <w:rFonts w:hint="eastAsia" w:cs="仿宋_GB2312"/>
          <w:color w:val="auto"/>
          <w:szCs w:val="24"/>
          <w:highlight w:val="none"/>
          <w:lang w:val="en-US" w:eastAsia="zh-CN"/>
        </w:rPr>
        <w:t xml:space="preserve">附：法定代表人（单位负责人）身份证或护照等身份证明文件电子件： </w:t>
      </w:r>
    </w:p>
    <w:p w14:paraId="60A8C36F">
      <w:pPr>
        <w:spacing w:line="480" w:lineRule="auto"/>
        <w:ind w:firstLine="480" w:firstLineChars="200"/>
        <w:rPr>
          <w:rFonts w:cs="仿宋_GB2312"/>
          <w:color w:val="auto"/>
          <w:szCs w:val="24"/>
          <w:highlight w:val="none"/>
        </w:rPr>
      </w:pPr>
    </w:p>
    <w:p w14:paraId="473563CD">
      <w:pPr>
        <w:rPr>
          <w:rFonts w:cs="Arial"/>
          <w:color w:val="auto"/>
          <w:sz w:val="21"/>
          <w:szCs w:val="21"/>
          <w:highlight w:val="none"/>
        </w:rPr>
      </w:pPr>
    </w:p>
    <w:tbl>
      <w:tblPr>
        <w:tblStyle w:val="30"/>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7"/>
      </w:tblGrid>
      <w:tr w14:paraId="2D4F4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1" w:hRule="atLeast"/>
        </w:trPr>
        <w:tc>
          <w:tcPr>
            <w:tcW w:w="8527" w:type="dxa"/>
          </w:tcPr>
          <w:p w14:paraId="4B7B7E19">
            <w:pPr>
              <w:rPr>
                <w:rFonts w:cs="Arial"/>
                <w:color w:val="auto"/>
                <w:highlight w:val="none"/>
              </w:rPr>
            </w:pPr>
          </w:p>
        </w:tc>
      </w:tr>
    </w:tbl>
    <w:p w14:paraId="76B5C725">
      <w:pPr>
        <w:ind w:firstLine="840" w:firstLineChars="350"/>
        <w:jc w:val="center"/>
        <w:rPr>
          <w:rFonts w:cs="Arial"/>
          <w:color w:val="auto"/>
          <w:highlight w:val="none"/>
        </w:rPr>
      </w:pPr>
    </w:p>
    <w:p w14:paraId="4AD74708">
      <w:pPr>
        <w:keepNext w:val="0"/>
        <w:keepLines w:val="0"/>
        <w:widowControl/>
        <w:suppressLineNumbers w:val="0"/>
        <w:jc w:val="left"/>
        <w:rPr>
          <w:color w:val="auto"/>
          <w:highlight w:val="none"/>
        </w:rPr>
      </w:pPr>
      <w:r>
        <w:rPr>
          <w:rFonts w:hint="eastAsia" w:ascii="宋体" w:hAnsi="宋体" w:eastAsia="宋体" w:cs="宋体"/>
          <w:color w:val="auto"/>
          <w:kern w:val="0"/>
          <w:sz w:val="24"/>
          <w:szCs w:val="24"/>
          <w:highlight w:val="none"/>
          <w:lang w:val="en-US" w:eastAsia="zh-CN" w:bidi="ar"/>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hint="eastAsia" w:ascii="宋体" w:hAnsi="宋体" w:eastAsia="宋体" w:cs="宋体"/>
          <w:color w:val="auto"/>
          <w:kern w:val="0"/>
          <w:sz w:val="24"/>
          <w:szCs w:val="24"/>
          <w:highlight w:val="none"/>
          <w:lang w:val="en-US" w:eastAsia="zh-CN" w:bidi="ar"/>
        </w:rPr>
        <w:t>：</w:t>
      </w:r>
      <w:r>
        <w:rPr>
          <w:rFonts w:ascii="DejaVuSans" w:hAnsi="DejaVuSans" w:eastAsia="DejaVuSans" w:cs="DejaVuSans"/>
          <w:color w:val="auto"/>
          <w:kern w:val="0"/>
          <w:sz w:val="24"/>
          <w:szCs w:val="24"/>
          <w:highlight w:val="none"/>
          <w:lang w:val="en-US" w:eastAsia="zh-CN" w:bidi="ar"/>
        </w:rPr>
        <w:t xml:space="preserve">________________ </w:t>
      </w:r>
    </w:p>
    <w:p w14:paraId="364A1245">
      <w:pPr>
        <w:keepNext w:val="0"/>
        <w:keepLines w:val="0"/>
        <w:widowControl/>
        <w:suppressLineNumbers w:val="0"/>
        <w:jc w:val="left"/>
        <w:rPr>
          <w:color w:val="auto"/>
          <w:highlight w:val="none"/>
        </w:rPr>
      </w:pPr>
      <w:r>
        <w:rPr>
          <w:rFonts w:hint="eastAsia" w:ascii="宋体" w:hAnsi="宋体" w:eastAsia="宋体" w:cs="宋体"/>
          <w:color w:val="auto"/>
          <w:kern w:val="0"/>
          <w:sz w:val="24"/>
          <w:szCs w:val="24"/>
          <w:highlight w:val="none"/>
          <w:lang w:val="en-US" w:eastAsia="zh-CN" w:bidi="ar"/>
        </w:rPr>
        <w:t>法定代表人（单位负责人）（签字或</w:t>
      </w:r>
      <w:r>
        <w:rPr>
          <w:rFonts w:hint="eastAsia" w:cs="宋体"/>
          <w:color w:val="auto"/>
          <w:kern w:val="0"/>
          <w:sz w:val="24"/>
          <w:szCs w:val="24"/>
          <w:highlight w:val="none"/>
          <w:lang w:eastAsia="zh-CN"/>
        </w:rPr>
        <w:t>盖</w:t>
      </w:r>
      <w:r>
        <w:rPr>
          <w:rFonts w:hint="eastAsia" w:ascii="宋体" w:hAnsi="宋体" w:eastAsia="宋体" w:cs="宋体"/>
          <w:color w:val="auto"/>
          <w:kern w:val="0"/>
          <w:sz w:val="24"/>
          <w:szCs w:val="24"/>
          <w:highlight w:val="none"/>
          <w:lang w:eastAsia="zh-CN"/>
        </w:rPr>
        <w:t>章</w:t>
      </w:r>
      <w:r>
        <w:rPr>
          <w:rFonts w:hint="eastAsia" w:ascii="宋体" w:hAnsi="宋体" w:eastAsia="宋体" w:cs="宋体"/>
          <w:color w:val="auto"/>
          <w:kern w:val="0"/>
          <w:sz w:val="24"/>
          <w:szCs w:val="24"/>
          <w:highlight w:val="none"/>
          <w:lang w:val="en-US" w:eastAsia="zh-CN" w:bidi="ar"/>
        </w:rPr>
        <w:t>）：</w:t>
      </w:r>
      <w:r>
        <w:rPr>
          <w:rFonts w:hint="default" w:ascii="DejaVuSans" w:hAnsi="DejaVuSans" w:eastAsia="DejaVuSans" w:cs="DejaVuSans"/>
          <w:color w:val="auto"/>
          <w:kern w:val="0"/>
          <w:sz w:val="24"/>
          <w:szCs w:val="24"/>
          <w:highlight w:val="none"/>
          <w:lang w:val="en-US" w:eastAsia="zh-CN" w:bidi="ar"/>
        </w:rPr>
        <w:t xml:space="preserve">_______ </w:t>
      </w:r>
    </w:p>
    <w:p w14:paraId="10B3C29F">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p>
    <w:p w14:paraId="7239FE13">
      <w:pPr>
        <w:keepNext w:val="0"/>
        <w:keepLines w:val="0"/>
        <w:widowControl/>
        <w:suppressLineNumbers w:val="0"/>
        <w:jc w:val="left"/>
        <w:rPr>
          <w:color w:val="auto"/>
          <w:highlight w:val="none"/>
        </w:rPr>
      </w:pPr>
      <w:r>
        <w:rPr>
          <w:rFonts w:hint="eastAsia" w:ascii="宋体" w:hAnsi="宋体" w:eastAsia="宋体" w:cs="宋体"/>
          <w:color w:val="auto"/>
          <w:kern w:val="0"/>
          <w:sz w:val="24"/>
          <w:szCs w:val="24"/>
          <w:highlight w:val="none"/>
          <w:lang w:val="en-US" w:eastAsia="zh-CN" w:bidi="ar"/>
        </w:rPr>
        <w:t>日期：</w:t>
      </w:r>
      <w:r>
        <w:rPr>
          <w:rFonts w:hint="default" w:ascii="DejaVuSans" w:hAnsi="DejaVuSans" w:eastAsia="DejaVuSans" w:cs="DejaVuSans"/>
          <w:color w:val="auto"/>
          <w:kern w:val="0"/>
          <w:sz w:val="24"/>
          <w:szCs w:val="24"/>
          <w:highlight w:val="none"/>
          <w:lang w:val="en-US" w:eastAsia="zh-CN" w:bidi="ar"/>
        </w:rPr>
        <w:t>_____</w:t>
      </w:r>
      <w:r>
        <w:rPr>
          <w:rFonts w:hint="eastAsia" w:ascii="宋体" w:hAnsi="宋体" w:eastAsia="宋体" w:cs="宋体"/>
          <w:color w:val="auto"/>
          <w:kern w:val="0"/>
          <w:sz w:val="24"/>
          <w:szCs w:val="24"/>
          <w:highlight w:val="none"/>
          <w:lang w:val="en-US" w:eastAsia="zh-CN" w:bidi="ar"/>
        </w:rPr>
        <w:t>年</w:t>
      </w:r>
      <w:r>
        <w:rPr>
          <w:rFonts w:hint="default" w:ascii="DejaVuSans" w:hAnsi="DejaVuSans" w:eastAsia="DejaVuSans" w:cs="DejaVuSans"/>
          <w:color w:val="auto"/>
          <w:kern w:val="0"/>
          <w:sz w:val="24"/>
          <w:szCs w:val="24"/>
          <w:highlight w:val="none"/>
          <w:lang w:val="en-US" w:eastAsia="zh-CN" w:bidi="ar"/>
        </w:rPr>
        <w:t>______</w:t>
      </w:r>
      <w:r>
        <w:rPr>
          <w:rFonts w:hint="eastAsia" w:ascii="宋体" w:hAnsi="宋体" w:eastAsia="宋体" w:cs="宋体"/>
          <w:color w:val="auto"/>
          <w:kern w:val="0"/>
          <w:sz w:val="24"/>
          <w:szCs w:val="24"/>
          <w:highlight w:val="none"/>
          <w:lang w:val="en-US" w:eastAsia="zh-CN" w:bidi="ar"/>
        </w:rPr>
        <w:t>月</w:t>
      </w:r>
      <w:r>
        <w:rPr>
          <w:rFonts w:hint="default" w:ascii="DejaVuSans" w:hAnsi="DejaVuSans" w:eastAsia="DejaVuSans" w:cs="DejaVuSans"/>
          <w:color w:val="auto"/>
          <w:kern w:val="0"/>
          <w:sz w:val="24"/>
          <w:szCs w:val="24"/>
          <w:highlight w:val="none"/>
          <w:lang w:val="en-US" w:eastAsia="zh-CN" w:bidi="ar"/>
        </w:rPr>
        <w:t>______</w:t>
      </w:r>
      <w:r>
        <w:rPr>
          <w:rFonts w:hint="eastAsia" w:ascii="宋体" w:hAnsi="宋体" w:eastAsia="宋体" w:cs="宋体"/>
          <w:color w:val="auto"/>
          <w:kern w:val="0"/>
          <w:sz w:val="24"/>
          <w:szCs w:val="24"/>
          <w:highlight w:val="none"/>
          <w:lang w:val="en-US" w:eastAsia="zh-CN" w:bidi="ar"/>
        </w:rPr>
        <w:t>日</w:t>
      </w:r>
    </w:p>
    <w:p w14:paraId="6948CD78">
      <w:pPr>
        <w:rPr>
          <w:b/>
          <w:color w:val="auto"/>
          <w:sz w:val="28"/>
          <w:szCs w:val="28"/>
          <w:highlight w:val="none"/>
        </w:rPr>
      </w:pPr>
    </w:p>
    <w:p w14:paraId="04FDD702">
      <w:pPr>
        <w:rPr>
          <w:b/>
          <w:color w:val="auto"/>
          <w:sz w:val="28"/>
          <w:szCs w:val="28"/>
          <w:highlight w:val="none"/>
        </w:rPr>
      </w:pPr>
      <w:r>
        <w:rPr>
          <w:b/>
          <w:color w:val="auto"/>
          <w:sz w:val="28"/>
          <w:szCs w:val="28"/>
          <w:highlight w:val="none"/>
        </w:rPr>
        <w:br w:type="page"/>
      </w:r>
    </w:p>
    <w:p w14:paraId="0EEE8A23">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389" w:name="_Toc155185925"/>
      <w:bookmarkStart w:id="390" w:name="_Toc21146"/>
      <w:bookmarkStart w:id="391" w:name="_Toc163492919"/>
      <w:r>
        <w:rPr>
          <w:rFonts w:hint="eastAsia" w:cstheme="majorBidi"/>
          <w:b/>
          <w:bCs/>
          <w:color w:val="auto"/>
          <w:kern w:val="2"/>
          <w:sz w:val="32"/>
          <w:szCs w:val="32"/>
          <w:highlight w:val="none"/>
          <w:lang w:val="en-US" w:eastAsia="zh-CN" w:bidi="ar-SA"/>
        </w:rPr>
        <w:t>三</w:t>
      </w:r>
      <w:r>
        <w:rPr>
          <w:rFonts w:hint="eastAsia" w:eastAsia="宋体" w:asciiTheme="majorHAnsi" w:hAnsiTheme="majorHAnsi" w:cstheme="majorBidi"/>
          <w:b/>
          <w:bCs/>
          <w:color w:val="auto"/>
          <w:kern w:val="2"/>
          <w:sz w:val="32"/>
          <w:szCs w:val="32"/>
          <w:highlight w:val="none"/>
          <w:lang w:val="en-US" w:eastAsia="zh-CN" w:bidi="ar-SA"/>
        </w:rPr>
        <w:t>、授权委托书</w:t>
      </w:r>
      <w:bookmarkEnd w:id="389"/>
      <w:bookmarkEnd w:id="390"/>
      <w:bookmarkEnd w:id="391"/>
    </w:p>
    <w:p w14:paraId="593F068D">
      <w:pPr>
        <w:ind w:firstLine="480" w:firstLineChars="200"/>
        <w:rPr>
          <w:rFonts w:cs="仿宋_GB2312"/>
          <w:color w:val="auto"/>
          <w:szCs w:val="24"/>
          <w:highlight w:val="none"/>
        </w:rPr>
      </w:pPr>
      <w:r>
        <w:rPr>
          <w:rFonts w:hint="eastAsia" w:cs="仿宋_GB2312"/>
          <w:color w:val="auto"/>
          <w:szCs w:val="24"/>
          <w:highlight w:val="none"/>
        </w:rPr>
        <w:t>本人</w:t>
      </w:r>
      <w:r>
        <w:rPr>
          <w:rFonts w:cs="仿宋_GB2312"/>
          <w:color w:val="auto"/>
          <w:szCs w:val="24"/>
          <w:highlight w:val="none"/>
          <w:u w:val="single"/>
        </w:rPr>
        <w:t xml:space="preserve">     </w:t>
      </w:r>
      <w:r>
        <w:rPr>
          <w:rFonts w:hint="eastAsia" w:cs="仿宋_GB2312"/>
          <w:color w:val="auto"/>
          <w:szCs w:val="24"/>
          <w:highlight w:val="none"/>
          <w:u w:val="none"/>
        </w:rPr>
        <w:t>（姓名）</w:t>
      </w:r>
      <w:r>
        <w:rPr>
          <w:rFonts w:hint="eastAsia" w:cs="仿宋_GB2312"/>
          <w:color w:val="auto"/>
          <w:szCs w:val="24"/>
          <w:highlight w:val="none"/>
        </w:rPr>
        <w:t>系</w:t>
      </w:r>
      <w:r>
        <w:rPr>
          <w:rFonts w:hint="eastAsia" w:cs="仿宋_GB2312"/>
          <w:color w:val="auto"/>
          <w:szCs w:val="24"/>
          <w:highlight w:val="none"/>
          <w:u w:val="single"/>
        </w:rPr>
        <w:t xml:space="preserve">   </w:t>
      </w:r>
      <w:r>
        <w:rPr>
          <w:rFonts w:hint="eastAsia" w:cs="仿宋_GB2312"/>
          <w:color w:val="auto"/>
          <w:szCs w:val="24"/>
          <w:highlight w:val="none"/>
          <w:u w:val="single"/>
          <w:lang w:val="en-US" w:eastAsia="zh-CN"/>
        </w:rPr>
        <w:t xml:space="preserve">     </w:t>
      </w:r>
      <w:r>
        <w:rPr>
          <w:rFonts w:hint="eastAsia" w:cs="仿宋_GB2312"/>
          <w:color w:val="auto"/>
          <w:szCs w:val="24"/>
          <w:highlight w:val="none"/>
          <w:u w:val="single"/>
        </w:rPr>
        <w:t xml:space="preserve">  </w:t>
      </w:r>
      <w:r>
        <w:rPr>
          <w:rFonts w:hint="eastAsia" w:cs="仿宋_GB2312"/>
          <w:color w:val="auto"/>
          <w:szCs w:val="24"/>
          <w:highlight w:val="none"/>
          <w:u w:val="none"/>
        </w:rPr>
        <w:t>（投标人名称）</w:t>
      </w:r>
      <w:r>
        <w:rPr>
          <w:rFonts w:hint="eastAsia" w:cs="仿宋_GB2312"/>
          <w:color w:val="auto"/>
          <w:szCs w:val="24"/>
          <w:highlight w:val="none"/>
        </w:rPr>
        <w:t>的法定代表人</w:t>
      </w:r>
      <w:r>
        <w:rPr>
          <w:rFonts w:hint="eastAsia"/>
          <w:color w:val="auto"/>
          <w:highlight w:val="none"/>
        </w:rPr>
        <w:t>（</w:t>
      </w:r>
      <w:r>
        <w:rPr>
          <w:rFonts w:hint="eastAsia"/>
          <w:color w:val="auto"/>
          <w:highlight w:val="none"/>
          <w:lang w:val="en-US" w:eastAsia="zh-CN"/>
        </w:rPr>
        <w:t>单位</w:t>
      </w:r>
      <w:r>
        <w:rPr>
          <w:rFonts w:hint="eastAsia"/>
          <w:color w:val="auto"/>
          <w:highlight w:val="none"/>
        </w:rPr>
        <w:t>负责人）</w:t>
      </w:r>
      <w:r>
        <w:rPr>
          <w:rFonts w:hint="eastAsia" w:cs="仿宋_GB2312"/>
          <w:color w:val="auto"/>
          <w:szCs w:val="24"/>
          <w:highlight w:val="none"/>
        </w:rPr>
        <w:t>，现委托</w:t>
      </w:r>
      <w:r>
        <w:rPr>
          <w:rFonts w:hint="eastAsia" w:cs="仿宋_GB2312"/>
          <w:color w:val="auto"/>
          <w:szCs w:val="24"/>
          <w:highlight w:val="none"/>
          <w:u w:val="single"/>
        </w:rPr>
        <w:t xml:space="preserve">     </w:t>
      </w:r>
      <w:r>
        <w:rPr>
          <w:rFonts w:hint="eastAsia" w:cs="仿宋_GB2312"/>
          <w:color w:val="auto"/>
          <w:szCs w:val="24"/>
          <w:highlight w:val="none"/>
        </w:rPr>
        <w:t>（姓名）为我方代理人。代理人根据授权，以我方名义签署、澄清</w:t>
      </w:r>
      <w:r>
        <w:rPr>
          <w:rFonts w:hint="eastAsia" w:cs="仿宋_GB2312"/>
          <w:color w:val="auto"/>
          <w:szCs w:val="24"/>
          <w:highlight w:val="none"/>
          <w:lang w:val="en-US" w:eastAsia="zh-CN"/>
        </w:rPr>
        <w:t>确认</w:t>
      </w:r>
      <w:r>
        <w:rPr>
          <w:rFonts w:hint="eastAsia" w:cs="仿宋_GB2312"/>
          <w:color w:val="auto"/>
          <w:szCs w:val="24"/>
          <w:highlight w:val="none"/>
        </w:rPr>
        <w:t>、说明、补正、递交、撤回、修改</w:t>
      </w:r>
      <w:r>
        <w:rPr>
          <w:rFonts w:hint="eastAsia" w:cs="仿宋_GB2312"/>
          <w:color w:val="auto"/>
          <w:szCs w:val="24"/>
          <w:highlight w:val="none"/>
          <w:u w:val="single"/>
        </w:rPr>
        <w:t xml:space="preserve">   </w:t>
      </w:r>
      <w:r>
        <w:rPr>
          <w:rFonts w:hint="eastAsia" w:cs="仿宋_GB2312"/>
          <w:color w:val="auto"/>
          <w:szCs w:val="24"/>
          <w:highlight w:val="none"/>
          <w:u w:val="single"/>
          <w:lang w:val="en-US" w:eastAsia="zh-CN"/>
        </w:rPr>
        <w:t xml:space="preserve">      </w:t>
      </w:r>
      <w:r>
        <w:rPr>
          <w:rFonts w:hint="eastAsia" w:cs="仿宋_GB2312"/>
          <w:color w:val="auto"/>
          <w:szCs w:val="24"/>
          <w:highlight w:val="none"/>
          <w:u w:val="single"/>
        </w:rPr>
        <w:t xml:space="preserve">  </w:t>
      </w:r>
      <w:r>
        <w:rPr>
          <w:rFonts w:hint="eastAsia" w:cs="仿宋_GB2312"/>
          <w:color w:val="auto"/>
          <w:szCs w:val="24"/>
          <w:highlight w:val="none"/>
        </w:rPr>
        <w:t>（项目名称）投标文件、签订合同和处理有关事宜，其法律后果由我方承担。</w:t>
      </w:r>
    </w:p>
    <w:p w14:paraId="56B80D1C">
      <w:pPr>
        <w:ind w:firstLine="480" w:firstLineChars="200"/>
        <w:rPr>
          <w:rFonts w:hint="eastAsia" w:cs="仿宋_GB2312"/>
          <w:color w:val="auto"/>
          <w:szCs w:val="24"/>
          <w:highlight w:val="none"/>
        </w:rPr>
      </w:pPr>
      <w:r>
        <w:rPr>
          <w:rFonts w:hint="eastAsia" w:cs="仿宋_GB2312"/>
          <w:color w:val="auto"/>
          <w:szCs w:val="24"/>
          <w:highlight w:val="none"/>
        </w:rPr>
        <w:t>委托期限：</w:t>
      </w:r>
      <w:r>
        <w:rPr>
          <w:rFonts w:hint="eastAsia" w:cs="仿宋_GB2312"/>
          <w:color w:val="auto"/>
          <w:szCs w:val="24"/>
          <w:highlight w:val="none"/>
          <w:lang w:val="en-US" w:eastAsia="zh-CN"/>
        </w:rPr>
        <w:t>自本授权委托书签署之日起至投标有效期届满之日止。</w:t>
      </w:r>
    </w:p>
    <w:p w14:paraId="0A605ABE">
      <w:pPr>
        <w:ind w:firstLine="480" w:firstLineChars="200"/>
        <w:rPr>
          <w:rFonts w:cs="仿宋_GB2312"/>
          <w:color w:val="auto"/>
          <w:szCs w:val="24"/>
          <w:highlight w:val="none"/>
        </w:rPr>
      </w:pPr>
      <w:r>
        <w:rPr>
          <w:rFonts w:hint="eastAsia" w:cs="仿宋_GB2312"/>
          <w:color w:val="auto"/>
          <w:szCs w:val="24"/>
          <w:highlight w:val="none"/>
        </w:rPr>
        <w:t>代理人无转委托权。</w:t>
      </w:r>
    </w:p>
    <w:p w14:paraId="03C5EAD4">
      <w:pPr>
        <w:keepNext w:val="0"/>
        <w:keepLines w:val="0"/>
        <w:pageBreakBefore w:val="0"/>
        <w:widowControl w:val="0"/>
        <w:kinsoku/>
        <w:wordWrap/>
        <w:overflowPunct/>
        <w:topLinePunct w:val="0"/>
        <w:autoSpaceDE/>
        <w:autoSpaceDN/>
        <w:bidi w:val="0"/>
        <w:adjustRightInd/>
        <w:snapToGrid/>
        <w:spacing w:line="240" w:lineRule="exact"/>
        <w:ind w:firstLine="480" w:firstLineChars="200"/>
        <w:textAlignment w:val="auto"/>
        <w:rPr>
          <w:rFonts w:hint="eastAsia" w:cs="仿宋_GB2312"/>
          <w:color w:val="auto"/>
          <w:szCs w:val="24"/>
          <w:highlight w:val="none"/>
        </w:rPr>
      </w:pPr>
    </w:p>
    <w:p w14:paraId="27333291">
      <w:pPr>
        <w:keepNext w:val="0"/>
        <w:keepLines w:val="0"/>
        <w:pageBreakBefore w:val="0"/>
        <w:widowControl/>
        <w:suppressLineNumbers w:val="0"/>
        <w:kinsoku/>
        <w:wordWrap/>
        <w:overflowPunct/>
        <w:topLinePunct w:val="0"/>
        <w:autoSpaceDE/>
        <w:autoSpaceDN/>
        <w:bidi w:val="0"/>
        <w:adjustRightInd/>
        <w:snapToGrid/>
        <w:jc w:val="left"/>
        <w:textAlignment w:val="auto"/>
        <w:rPr>
          <w:color w:val="auto"/>
          <w:highlight w:val="none"/>
        </w:rPr>
      </w:pPr>
      <w:r>
        <w:rPr>
          <w:rFonts w:hint="eastAsia" w:ascii="宋体" w:hAnsi="宋体" w:eastAsia="宋体" w:cs="宋体"/>
          <w:color w:val="auto"/>
          <w:kern w:val="0"/>
          <w:sz w:val="24"/>
          <w:szCs w:val="24"/>
          <w:highlight w:val="none"/>
          <w:lang w:val="en-US" w:eastAsia="zh-CN" w:bidi="ar"/>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hint="eastAsia" w:ascii="宋体" w:hAnsi="宋体" w:eastAsia="宋体" w:cs="宋体"/>
          <w:color w:val="auto"/>
          <w:kern w:val="0"/>
          <w:sz w:val="24"/>
          <w:szCs w:val="24"/>
          <w:highlight w:val="none"/>
          <w:lang w:val="en-US" w:eastAsia="zh-CN" w:bidi="ar"/>
        </w:rPr>
        <w:t>：</w:t>
      </w:r>
      <w:r>
        <w:rPr>
          <w:rFonts w:ascii="DejaVuSans" w:hAnsi="DejaVuSans" w:eastAsia="DejaVuSans" w:cs="DejaVuSans"/>
          <w:color w:val="auto"/>
          <w:kern w:val="0"/>
          <w:sz w:val="24"/>
          <w:szCs w:val="24"/>
          <w:highlight w:val="none"/>
          <w:lang w:val="en-US" w:eastAsia="zh-CN" w:bidi="ar"/>
        </w:rPr>
        <w:t xml:space="preserve">________________ </w:t>
      </w:r>
    </w:p>
    <w:p w14:paraId="4CD5B2EF">
      <w:pPr>
        <w:keepNext w:val="0"/>
        <w:keepLines w:val="0"/>
        <w:pageBreakBefore w:val="0"/>
        <w:widowControl/>
        <w:suppressLineNumbers w:val="0"/>
        <w:kinsoku/>
        <w:wordWrap/>
        <w:overflowPunct/>
        <w:topLinePunct w:val="0"/>
        <w:autoSpaceDE/>
        <w:autoSpaceDN/>
        <w:bidi w:val="0"/>
        <w:adjustRightInd/>
        <w:snapToGrid/>
        <w:jc w:val="left"/>
        <w:textAlignment w:val="auto"/>
        <w:rPr>
          <w:color w:val="auto"/>
          <w:highlight w:val="none"/>
        </w:rPr>
      </w:pPr>
      <w:r>
        <w:rPr>
          <w:rFonts w:hint="eastAsia" w:ascii="宋体" w:hAnsi="宋体" w:eastAsia="宋体" w:cs="宋体"/>
          <w:color w:val="auto"/>
          <w:kern w:val="0"/>
          <w:sz w:val="24"/>
          <w:szCs w:val="24"/>
          <w:highlight w:val="none"/>
          <w:lang w:val="en-US" w:eastAsia="zh-CN" w:bidi="ar"/>
        </w:rPr>
        <w:t>法定代表人（单位负责人）（签字或</w:t>
      </w:r>
      <w:r>
        <w:rPr>
          <w:rFonts w:hint="eastAsia" w:cs="宋体"/>
          <w:color w:val="auto"/>
          <w:kern w:val="0"/>
          <w:sz w:val="24"/>
          <w:szCs w:val="24"/>
          <w:highlight w:val="none"/>
          <w:lang w:eastAsia="zh-CN"/>
        </w:rPr>
        <w:t>盖</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hint="eastAsia" w:ascii="宋体" w:hAnsi="宋体" w:eastAsia="宋体" w:cs="宋体"/>
          <w:color w:val="auto"/>
          <w:kern w:val="0"/>
          <w:sz w:val="24"/>
          <w:szCs w:val="24"/>
          <w:highlight w:val="none"/>
          <w:lang w:val="en-US" w:eastAsia="zh-CN" w:bidi="ar"/>
        </w:rPr>
        <w:t>：</w:t>
      </w:r>
      <w:r>
        <w:rPr>
          <w:rFonts w:hint="default" w:ascii="DejaVuSans" w:hAnsi="DejaVuSans" w:eastAsia="DejaVuSans" w:cs="DejaVuSans"/>
          <w:color w:val="auto"/>
          <w:kern w:val="0"/>
          <w:sz w:val="24"/>
          <w:szCs w:val="24"/>
          <w:highlight w:val="none"/>
          <w:lang w:val="en-US" w:eastAsia="zh-CN" w:bidi="ar"/>
        </w:rPr>
        <w:t xml:space="preserve">________________ </w:t>
      </w:r>
    </w:p>
    <w:p w14:paraId="77AA3C36">
      <w:pPr>
        <w:keepNext w:val="0"/>
        <w:keepLines w:val="0"/>
        <w:pageBreakBefore w:val="0"/>
        <w:widowControl/>
        <w:suppressLineNumbers w:val="0"/>
        <w:kinsoku/>
        <w:wordWrap/>
        <w:overflowPunct/>
        <w:topLinePunct w:val="0"/>
        <w:autoSpaceDE/>
        <w:autoSpaceDN/>
        <w:bidi w:val="0"/>
        <w:adjustRightInd/>
        <w:snapToGrid/>
        <w:jc w:val="left"/>
        <w:textAlignment w:val="auto"/>
        <w:rPr>
          <w:rFonts w:hint="default"/>
          <w:color w:val="auto"/>
          <w:highlight w:val="none"/>
          <w:lang w:val="en-US"/>
        </w:rPr>
      </w:pPr>
      <w:r>
        <w:rPr>
          <w:rFonts w:hint="eastAsia" w:ascii="宋体" w:hAnsi="宋体" w:eastAsia="宋体" w:cs="宋体"/>
          <w:color w:val="auto"/>
          <w:kern w:val="0"/>
          <w:sz w:val="24"/>
          <w:szCs w:val="24"/>
          <w:highlight w:val="none"/>
          <w:lang w:val="en-US" w:eastAsia="zh-CN" w:bidi="ar"/>
        </w:rPr>
        <w:t>委托代理人（签字或</w:t>
      </w:r>
      <w:r>
        <w:rPr>
          <w:rFonts w:hint="eastAsia" w:cs="宋体"/>
          <w:color w:val="auto"/>
          <w:kern w:val="0"/>
          <w:sz w:val="24"/>
          <w:szCs w:val="24"/>
          <w:highlight w:val="none"/>
          <w:lang w:eastAsia="zh-CN"/>
        </w:rPr>
        <w:t>盖</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hint="eastAsia" w:ascii="宋体" w:hAnsi="宋体" w:eastAsia="宋体" w:cs="宋体"/>
          <w:color w:val="auto"/>
          <w:kern w:val="0"/>
          <w:sz w:val="24"/>
          <w:szCs w:val="24"/>
          <w:highlight w:val="none"/>
          <w:lang w:val="en-US" w:eastAsia="zh-CN" w:bidi="ar"/>
        </w:rPr>
        <w:t>：</w:t>
      </w:r>
      <w:r>
        <w:rPr>
          <w:rFonts w:hint="default" w:ascii="DejaVuSans" w:hAnsi="DejaVuSans" w:eastAsia="DejaVuSans" w:cs="DejaVuSans"/>
          <w:color w:val="auto"/>
          <w:kern w:val="0"/>
          <w:sz w:val="24"/>
          <w:szCs w:val="24"/>
          <w:highlight w:val="none"/>
          <w:lang w:val="en-US" w:eastAsia="zh-CN" w:bidi="ar"/>
        </w:rPr>
        <w:t xml:space="preserve">________________ </w:t>
      </w:r>
      <w:r>
        <w:rPr>
          <w:rFonts w:hint="eastAsia" w:ascii="DejaVuSans" w:hAnsi="DejaVuSans" w:eastAsia="DejaVuSans" w:cs="DejaVuSans"/>
          <w:color w:val="auto"/>
          <w:kern w:val="0"/>
          <w:sz w:val="24"/>
          <w:szCs w:val="24"/>
          <w:highlight w:val="none"/>
          <w:lang w:val="en-US" w:eastAsia="zh-CN" w:bidi="ar"/>
        </w:rPr>
        <w:t xml:space="preserve">   联系电话：</w:t>
      </w:r>
      <w:r>
        <w:rPr>
          <w:rFonts w:hint="default" w:ascii="DejaVuSans" w:hAnsi="DejaVuSans" w:eastAsia="DejaVuSans" w:cs="DejaVuSans"/>
          <w:color w:val="auto"/>
          <w:kern w:val="0"/>
          <w:sz w:val="24"/>
          <w:szCs w:val="24"/>
          <w:highlight w:val="none"/>
          <w:lang w:val="en-US" w:eastAsia="zh-CN" w:bidi="ar"/>
        </w:rPr>
        <w:t>________</w:t>
      </w:r>
    </w:p>
    <w:p w14:paraId="4FD66B47">
      <w:pPr>
        <w:keepNext w:val="0"/>
        <w:keepLines w:val="0"/>
        <w:pageBreakBefore w:val="0"/>
        <w:widowControl/>
        <w:suppressLineNumbers w:val="0"/>
        <w:kinsoku/>
        <w:wordWrap/>
        <w:overflowPunct/>
        <w:topLinePunct w:val="0"/>
        <w:autoSpaceDE/>
        <w:autoSpaceDN/>
        <w:bidi w:val="0"/>
        <w:adjustRightInd/>
        <w:snapToGrid/>
        <w:jc w:val="left"/>
        <w:textAlignment w:val="auto"/>
        <w:rPr>
          <w:color w:val="auto"/>
          <w:highlight w:val="none"/>
        </w:rPr>
      </w:pPr>
      <w:r>
        <w:rPr>
          <w:rFonts w:hint="eastAsia" w:ascii="宋体" w:hAnsi="宋体" w:eastAsia="宋体" w:cs="宋体"/>
          <w:color w:val="auto"/>
          <w:kern w:val="0"/>
          <w:sz w:val="24"/>
          <w:szCs w:val="24"/>
          <w:highlight w:val="none"/>
          <w:lang w:val="en-US" w:eastAsia="zh-CN" w:bidi="ar"/>
        </w:rPr>
        <w:t>日期：</w:t>
      </w:r>
      <w:r>
        <w:rPr>
          <w:rFonts w:hint="default" w:ascii="DejaVuSans" w:hAnsi="DejaVuSans" w:eastAsia="DejaVuSans" w:cs="DejaVuSans"/>
          <w:color w:val="auto"/>
          <w:kern w:val="0"/>
          <w:sz w:val="24"/>
          <w:szCs w:val="24"/>
          <w:highlight w:val="none"/>
          <w:lang w:val="en-US" w:eastAsia="zh-CN" w:bidi="ar"/>
        </w:rPr>
        <w:t>_____</w:t>
      </w:r>
      <w:r>
        <w:rPr>
          <w:rFonts w:hint="eastAsia" w:ascii="宋体" w:hAnsi="宋体" w:eastAsia="宋体" w:cs="宋体"/>
          <w:color w:val="auto"/>
          <w:kern w:val="0"/>
          <w:sz w:val="24"/>
          <w:szCs w:val="24"/>
          <w:highlight w:val="none"/>
          <w:lang w:val="en-US" w:eastAsia="zh-CN" w:bidi="ar"/>
        </w:rPr>
        <w:t>年</w:t>
      </w:r>
      <w:r>
        <w:rPr>
          <w:rFonts w:hint="default" w:ascii="DejaVuSans" w:hAnsi="DejaVuSans" w:eastAsia="DejaVuSans" w:cs="DejaVuSans"/>
          <w:color w:val="auto"/>
          <w:kern w:val="0"/>
          <w:sz w:val="24"/>
          <w:szCs w:val="24"/>
          <w:highlight w:val="none"/>
          <w:lang w:val="en-US" w:eastAsia="zh-CN" w:bidi="ar"/>
        </w:rPr>
        <w:t>______</w:t>
      </w:r>
      <w:r>
        <w:rPr>
          <w:rFonts w:hint="eastAsia" w:ascii="宋体" w:hAnsi="宋体" w:eastAsia="宋体" w:cs="宋体"/>
          <w:color w:val="auto"/>
          <w:kern w:val="0"/>
          <w:sz w:val="24"/>
          <w:szCs w:val="24"/>
          <w:highlight w:val="none"/>
          <w:lang w:val="en-US" w:eastAsia="zh-CN" w:bidi="ar"/>
        </w:rPr>
        <w:t>月</w:t>
      </w:r>
      <w:r>
        <w:rPr>
          <w:rFonts w:hint="default" w:ascii="DejaVuSans" w:hAnsi="DejaVuSans" w:eastAsia="DejaVuSans" w:cs="DejaVuSans"/>
          <w:color w:val="auto"/>
          <w:kern w:val="0"/>
          <w:sz w:val="24"/>
          <w:szCs w:val="24"/>
          <w:highlight w:val="none"/>
          <w:lang w:val="en-US" w:eastAsia="zh-CN" w:bidi="ar"/>
        </w:rPr>
        <w:t>______</w:t>
      </w:r>
      <w:r>
        <w:rPr>
          <w:rFonts w:hint="eastAsia" w:ascii="宋体" w:hAnsi="宋体" w:eastAsia="宋体" w:cs="宋体"/>
          <w:color w:val="auto"/>
          <w:kern w:val="0"/>
          <w:sz w:val="24"/>
          <w:szCs w:val="24"/>
          <w:highlight w:val="none"/>
          <w:lang w:val="en-US" w:eastAsia="zh-CN" w:bidi="ar"/>
        </w:rPr>
        <w:t xml:space="preserve">日 </w:t>
      </w:r>
    </w:p>
    <w:p w14:paraId="0D7E210D">
      <w:pPr>
        <w:keepNext w:val="0"/>
        <w:keepLines w:val="0"/>
        <w:pageBreakBefore w:val="0"/>
        <w:widowControl w:val="0"/>
        <w:kinsoku/>
        <w:wordWrap/>
        <w:overflowPunct/>
        <w:topLinePunct w:val="0"/>
        <w:autoSpaceDE/>
        <w:autoSpaceDN/>
        <w:bidi w:val="0"/>
        <w:adjustRightInd/>
        <w:snapToGrid/>
        <w:spacing w:line="240" w:lineRule="exact"/>
        <w:ind w:firstLine="480" w:firstLineChars="200"/>
        <w:textAlignment w:val="auto"/>
        <w:rPr>
          <w:rFonts w:hint="eastAsia" w:cs="仿宋_GB2312"/>
          <w:color w:val="auto"/>
          <w:szCs w:val="24"/>
          <w:highlight w:val="none"/>
          <w:lang w:val="en-US" w:eastAsia="zh-CN"/>
        </w:rPr>
      </w:pPr>
    </w:p>
    <w:p w14:paraId="7CE346A7">
      <w:pPr>
        <w:keepNext w:val="0"/>
        <w:keepLines w:val="0"/>
        <w:pageBreakBefore w:val="0"/>
        <w:widowControl/>
        <w:suppressLineNumbers w:val="0"/>
        <w:kinsoku/>
        <w:wordWrap/>
        <w:overflowPunct/>
        <w:topLinePunct w:val="0"/>
        <w:autoSpaceDE/>
        <w:autoSpaceDN/>
        <w:bidi w:val="0"/>
        <w:adjustRightInd/>
        <w:snapToGrid/>
        <w:jc w:val="left"/>
        <w:textAlignment w:val="auto"/>
        <w:rPr>
          <w:color w:val="auto"/>
          <w:highlight w:val="none"/>
        </w:rPr>
      </w:pPr>
      <w:r>
        <w:rPr>
          <w:rFonts w:hint="eastAsia" w:ascii="宋体" w:hAnsi="宋体" w:eastAsia="宋体" w:cs="宋体"/>
          <w:color w:val="auto"/>
          <w:kern w:val="0"/>
          <w:sz w:val="24"/>
          <w:szCs w:val="24"/>
          <w:highlight w:val="none"/>
          <w:lang w:val="en-US" w:eastAsia="zh-CN" w:bidi="ar"/>
        </w:rPr>
        <w:t xml:space="preserve">附：法定代表人及委托代理人身份证明文件电子件： </w:t>
      </w:r>
    </w:p>
    <w:tbl>
      <w:tblPr>
        <w:tblStyle w:val="30"/>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7"/>
      </w:tblGrid>
      <w:tr w14:paraId="6A575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1" w:hRule="atLeast"/>
        </w:trPr>
        <w:tc>
          <w:tcPr>
            <w:tcW w:w="8527" w:type="dxa"/>
          </w:tcPr>
          <w:p w14:paraId="66EBC6FA">
            <w:pPr>
              <w:rPr>
                <w:rFonts w:cs="Arial"/>
                <w:color w:val="auto"/>
                <w:highlight w:val="none"/>
              </w:rPr>
            </w:pPr>
          </w:p>
        </w:tc>
      </w:tr>
    </w:tbl>
    <w:p w14:paraId="003FC2D7">
      <w:pPr>
        <w:ind w:firstLine="480" w:firstLineChars="200"/>
        <w:rPr>
          <w:rFonts w:hint="eastAsia" w:cs="仿宋_GB2312"/>
          <w:color w:val="auto"/>
          <w:szCs w:val="24"/>
          <w:highlight w:val="none"/>
        </w:rPr>
      </w:pPr>
      <w:r>
        <w:rPr>
          <w:rFonts w:hint="eastAsia" w:cs="仿宋_GB2312"/>
          <w:color w:val="auto"/>
          <w:szCs w:val="24"/>
          <w:highlight w:val="none"/>
          <w:lang w:val="en-US" w:eastAsia="zh-CN"/>
        </w:rPr>
        <w:t xml:space="preserve">说明： </w:t>
      </w:r>
    </w:p>
    <w:p w14:paraId="6A6FAC65">
      <w:pPr>
        <w:ind w:firstLine="480" w:firstLineChars="200"/>
        <w:rPr>
          <w:rFonts w:hint="eastAsia" w:cs="仿宋_GB2312"/>
          <w:color w:val="auto"/>
          <w:szCs w:val="24"/>
          <w:highlight w:val="none"/>
        </w:rPr>
      </w:pPr>
      <w:r>
        <w:rPr>
          <w:rFonts w:hint="eastAsia" w:cs="仿宋_GB2312"/>
          <w:color w:val="auto"/>
          <w:szCs w:val="24"/>
          <w:highlight w:val="none"/>
          <w:lang w:val="en-US" w:eastAsia="zh-CN"/>
        </w:rPr>
        <w:t xml:space="preserve">1.若投标人为事业单位或其他组织或分支机构，则法定代表人（单位负责人）处的签署人可为单位负责人。 </w:t>
      </w:r>
    </w:p>
    <w:p w14:paraId="7579C425">
      <w:pPr>
        <w:ind w:firstLine="480" w:firstLineChars="200"/>
        <w:rPr>
          <w:rFonts w:hint="eastAsia" w:cs="仿宋_GB2312"/>
          <w:color w:val="auto"/>
          <w:szCs w:val="24"/>
          <w:highlight w:val="none"/>
        </w:rPr>
      </w:pPr>
      <w:r>
        <w:rPr>
          <w:rFonts w:hint="default" w:cs="仿宋_GB2312"/>
          <w:color w:val="auto"/>
          <w:szCs w:val="24"/>
          <w:highlight w:val="none"/>
          <w:lang w:val="en-US" w:eastAsia="zh-CN"/>
        </w:rPr>
        <w:t>2.</w:t>
      </w:r>
      <w:r>
        <w:rPr>
          <w:rFonts w:hint="eastAsia" w:cs="仿宋_GB2312"/>
          <w:color w:val="auto"/>
          <w:szCs w:val="24"/>
          <w:highlight w:val="none"/>
          <w:lang w:val="en-US" w:eastAsia="zh-CN"/>
        </w:rPr>
        <w:t xml:space="preserve">若投标文件中签字之处均为法定代表人（单位负责人）本人签署，则可不提供本《授权委托书》，但须提供《法定代表人（单位负责人）身份证明》。 </w:t>
      </w:r>
    </w:p>
    <w:p w14:paraId="7D81952A">
      <w:pPr>
        <w:ind w:firstLine="480" w:firstLineChars="200"/>
        <w:rPr>
          <w:rFonts w:hint="eastAsia" w:cs="仿宋_GB2312"/>
          <w:color w:val="auto"/>
          <w:szCs w:val="24"/>
          <w:highlight w:val="none"/>
        </w:rPr>
      </w:pPr>
      <w:r>
        <w:rPr>
          <w:rFonts w:hint="default" w:cs="仿宋_GB2312"/>
          <w:color w:val="auto"/>
          <w:szCs w:val="24"/>
          <w:highlight w:val="none"/>
          <w:lang w:val="en-US" w:eastAsia="zh-CN"/>
        </w:rPr>
        <w:t>3.</w:t>
      </w:r>
      <w:r>
        <w:rPr>
          <w:rFonts w:hint="eastAsia" w:cs="仿宋_GB2312"/>
          <w:color w:val="auto"/>
          <w:szCs w:val="24"/>
          <w:highlight w:val="none"/>
          <w:lang w:val="en-US" w:eastAsia="zh-CN"/>
        </w:rPr>
        <w:t xml:space="preserve">投标人为自然人的情形，可不提供本《授权委托书》。 </w:t>
      </w:r>
    </w:p>
    <w:p w14:paraId="16E91B57">
      <w:pPr>
        <w:ind w:firstLine="480" w:firstLineChars="200"/>
        <w:rPr>
          <w:rFonts w:hint="eastAsia" w:cs="仿宋_GB2312"/>
          <w:color w:val="auto"/>
          <w:szCs w:val="24"/>
          <w:highlight w:val="none"/>
        </w:rPr>
      </w:pPr>
      <w:r>
        <w:rPr>
          <w:rFonts w:hint="default" w:cs="仿宋_GB2312"/>
          <w:color w:val="auto"/>
          <w:szCs w:val="24"/>
          <w:highlight w:val="none"/>
          <w:lang w:val="en-US" w:eastAsia="zh-CN"/>
        </w:rPr>
        <w:t>4.</w:t>
      </w:r>
      <w:r>
        <w:rPr>
          <w:rFonts w:hint="eastAsia" w:cs="仿宋_GB2312"/>
          <w:color w:val="auto"/>
          <w:szCs w:val="24"/>
          <w:highlight w:val="none"/>
          <w:lang w:val="en-US" w:eastAsia="zh-CN"/>
        </w:rPr>
        <w:t>投标人应随本《授权委托书》同时提供法定代表人（单位负责人）及委托代理人的有效的身份证或护照等身份证明文件电子件。提供身份证的，应同时提供身份证</w:t>
      </w:r>
      <w:r>
        <w:rPr>
          <w:rFonts w:hint="eastAsia" w:cs="仿宋_GB2312"/>
          <w:b/>
          <w:bCs/>
          <w:color w:val="auto"/>
          <w:szCs w:val="24"/>
          <w:highlight w:val="none"/>
          <w:lang w:val="en-US" w:eastAsia="zh-CN"/>
        </w:rPr>
        <w:t>双面</w:t>
      </w:r>
      <w:r>
        <w:rPr>
          <w:rFonts w:hint="eastAsia" w:cs="仿宋_GB2312"/>
          <w:color w:val="auto"/>
          <w:szCs w:val="24"/>
          <w:highlight w:val="none"/>
          <w:lang w:val="en-US" w:eastAsia="zh-CN"/>
        </w:rPr>
        <w:t>电子件。</w:t>
      </w:r>
    </w:p>
    <w:p w14:paraId="0B2EBA16">
      <w:pPr>
        <w:rPr>
          <w:color w:val="auto"/>
          <w:highlight w:val="none"/>
        </w:rPr>
      </w:pPr>
      <w:r>
        <w:rPr>
          <w:color w:val="auto"/>
          <w:highlight w:val="none"/>
        </w:rPr>
        <w:br w:type="page"/>
      </w:r>
    </w:p>
    <w:p w14:paraId="117D25C9">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392" w:name="_Toc163492928"/>
      <w:bookmarkStart w:id="393" w:name="_Toc155185934"/>
      <w:bookmarkStart w:id="394" w:name="_Toc16301"/>
      <w:r>
        <w:rPr>
          <w:rFonts w:hint="eastAsia" w:cstheme="majorBidi"/>
          <w:b/>
          <w:bCs/>
          <w:color w:val="auto"/>
          <w:kern w:val="2"/>
          <w:sz w:val="32"/>
          <w:szCs w:val="32"/>
          <w:highlight w:val="none"/>
          <w:lang w:val="en-US" w:eastAsia="zh-CN" w:bidi="ar-SA"/>
        </w:rPr>
        <w:t>四</w:t>
      </w:r>
      <w:r>
        <w:rPr>
          <w:rFonts w:hint="eastAsia" w:eastAsia="宋体" w:asciiTheme="majorHAnsi" w:hAnsiTheme="majorHAnsi" w:cstheme="majorBidi"/>
          <w:b/>
          <w:bCs/>
          <w:color w:val="auto"/>
          <w:kern w:val="2"/>
          <w:sz w:val="32"/>
          <w:szCs w:val="32"/>
          <w:highlight w:val="none"/>
          <w:lang w:val="en-US" w:eastAsia="zh-CN" w:bidi="ar-SA"/>
        </w:rPr>
        <w:t>、</w:t>
      </w:r>
      <w:bookmarkEnd w:id="392"/>
      <w:bookmarkEnd w:id="393"/>
      <w:bookmarkStart w:id="395" w:name="_Toc163492929"/>
      <w:r>
        <w:rPr>
          <w:rFonts w:hint="eastAsia" w:eastAsia="宋体" w:asciiTheme="majorHAnsi" w:hAnsiTheme="majorHAnsi" w:cstheme="majorBidi"/>
          <w:b/>
          <w:bCs/>
          <w:color w:val="auto"/>
          <w:kern w:val="2"/>
          <w:sz w:val="32"/>
          <w:szCs w:val="32"/>
          <w:highlight w:val="none"/>
          <w:lang w:val="zh-CN" w:eastAsia="zh-CN" w:bidi="ar-SA"/>
        </w:rPr>
        <w:t>政府采购</w:t>
      </w:r>
      <w:r>
        <w:rPr>
          <w:rFonts w:hint="eastAsia" w:cstheme="majorBidi"/>
          <w:b/>
          <w:bCs/>
          <w:color w:val="auto"/>
          <w:kern w:val="2"/>
          <w:sz w:val="32"/>
          <w:szCs w:val="32"/>
          <w:highlight w:val="none"/>
          <w:lang w:val="en-US" w:eastAsia="zh-CN" w:bidi="ar-SA"/>
        </w:rPr>
        <w:t>投标人</w:t>
      </w:r>
      <w:r>
        <w:rPr>
          <w:rFonts w:hint="eastAsia" w:eastAsia="宋体" w:asciiTheme="majorHAnsi" w:hAnsiTheme="majorHAnsi" w:cstheme="majorBidi"/>
          <w:b/>
          <w:bCs/>
          <w:color w:val="auto"/>
          <w:kern w:val="2"/>
          <w:sz w:val="32"/>
          <w:szCs w:val="32"/>
          <w:highlight w:val="none"/>
          <w:lang w:val="zh-CN" w:eastAsia="zh-CN" w:bidi="ar-SA"/>
        </w:rPr>
        <w:t>廉洁自律承诺书</w:t>
      </w:r>
      <w:bookmarkEnd w:id="394"/>
    </w:p>
    <w:p w14:paraId="2AB445CF">
      <w:pPr>
        <w:pStyle w:val="13"/>
        <w:rPr>
          <w:color w:val="auto"/>
          <w:highlight w:val="none"/>
        </w:rPr>
      </w:pPr>
    </w:p>
    <w:p w14:paraId="2CE177B4">
      <w:pPr>
        <w:snapToGrid w:val="0"/>
        <w:spacing w:line="360" w:lineRule="auto"/>
        <w:rPr>
          <w:rFonts w:ascii="宋体" w:hAnsi="宋体" w:cs="宋体"/>
          <w:color w:val="auto"/>
          <w:kern w:val="0"/>
          <w:sz w:val="24"/>
          <w:szCs w:val="24"/>
          <w:highlight w:val="none"/>
        </w:rPr>
      </w:pPr>
      <w:r>
        <w:rPr>
          <w:rFonts w:hint="eastAsia" w:ascii="宋体" w:hAnsi="宋体" w:cs="宋体"/>
          <w:color w:val="auto"/>
          <w:sz w:val="24"/>
          <w:szCs w:val="24"/>
          <w:highlight w:val="none"/>
        </w:rPr>
        <w:t>（采购人）、（采购代理机构）</w:t>
      </w:r>
      <w:r>
        <w:rPr>
          <w:rFonts w:hint="eastAsia" w:ascii="宋体" w:hAnsi="宋体" w:cs="宋体"/>
          <w:color w:val="auto"/>
          <w:kern w:val="0"/>
          <w:sz w:val="24"/>
          <w:szCs w:val="24"/>
          <w:highlight w:val="none"/>
          <w:lang w:val="zh-CN"/>
        </w:rPr>
        <w:t>：</w:t>
      </w:r>
    </w:p>
    <w:p w14:paraId="2139BFB4">
      <w:pPr>
        <w:autoSpaceDE w:val="0"/>
        <w:autoSpaceDN w:val="0"/>
        <w:spacing w:line="360" w:lineRule="auto"/>
        <w:ind w:left="2" w:leftChars="1" w:firstLine="480" w:firstLineChars="200"/>
        <w:jc w:val="left"/>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我单位响应你</w:t>
      </w:r>
      <w:r>
        <w:rPr>
          <w:rFonts w:hint="eastAsia" w:ascii="宋体" w:hAnsi="宋体" w:cs="宋体"/>
          <w:color w:val="auto"/>
          <w:sz w:val="24"/>
          <w:szCs w:val="24"/>
          <w:highlight w:val="none"/>
        </w:rPr>
        <w:t>单位</w:t>
      </w:r>
      <w:r>
        <w:rPr>
          <w:rFonts w:hint="eastAsia" w:ascii="宋体" w:hAnsi="宋体" w:cs="宋体"/>
          <w:color w:val="auto"/>
          <w:kern w:val="0"/>
          <w:sz w:val="24"/>
          <w:szCs w:val="24"/>
          <w:highlight w:val="none"/>
          <w:lang w:val="zh-CN"/>
        </w:rPr>
        <w:t>项目招标</w:t>
      </w:r>
      <w:r>
        <w:rPr>
          <w:rFonts w:hint="eastAsia" w:ascii="宋体" w:hAnsi="宋体" w:cs="宋体"/>
          <w:color w:val="auto"/>
          <w:kern w:val="0"/>
          <w:sz w:val="24"/>
          <w:szCs w:val="24"/>
          <w:highlight w:val="none"/>
          <w:lang w:val="en-US" w:eastAsia="zh-CN"/>
        </w:rPr>
        <w:t>文件</w:t>
      </w:r>
      <w:r>
        <w:rPr>
          <w:rFonts w:hint="eastAsia" w:ascii="宋体" w:hAnsi="宋体" w:cs="宋体"/>
          <w:color w:val="auto"/>
          <w:kern w:val="0"/>
          <w:sz w:val="24"/>
          <w:szCs w:val="24"/>
          <w:highlight w:val="none"/>
          <w:lang w:val="zh-CN"/>
        </w:rPr>
        <w:t>要求参加投标。在这次投标过程中和中标后，我们将严格遵守国家法律法规要求，并郑重承诺：</w:t>
      </w:r>
    </w:p>
    <w:p w14:paraId="2B87D13C">
      <w:pPr>
        <w:autoSpaceDE w:val="0"/>
        <w:autoSpaceDN w:val="0"/>
        <w:spacing w:line="360" w:lineRule="auto"/>
        <w:ind w:left="2" w:leftChars="1" w:firstLine="480" w:firstLineChars="200"/>
        <w:jc w:val="lef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 xml:space="preserve">一、不向项目有关人员及部门赠送礼金礼物、有价证券、回扣以及中介费、介绍费、咨询费等好处费； </w:t>
      </w:r>
    </w:p>
    <w:p w14:paraId="063D62B4">
      <w:pPr>
        <w:autoSpaceDE w:val="0"/>
        <w:autoSpaceDN w:val="0"/>
        <w:spacing w:line="360" w:lineRule="auto"/>
        <w:ind w:left="2" w:leftChars="1" w:firstLine="480" w:firstLineChars="200"/>
        <w:jc w:val="lef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 xml:space="preserve">二、不为项目有关人员及部门报销应由你方单位或个人支付的费用； </w:t>
      </w:r>
    </w:p>
    <w:p w14:paraId="5ADDE615">
      <w:pPr>
        <w:autoSpaceDE w:val="0"/>
        <w:autoSpaceDN w:val="0"/>
        <w:spacing w:line="360" w:lineRule="auto"/>
        <w:ind w:left="2" w:leftChars="1" w:firstLine="480" w:firstLineChars="200"/>
        <w:jc w:val="lef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三、不向项目有关人员及部门提供有可能影响公正的宴请和健身娱乐等活动；</w:t>
      </w:r>
    </w:p>
    <w:p w14:paraId="6B70337F">
      <w:pPr>
        <w:autoSpaceDE w:val="0"/>
        <w:autoSpaceDN w:val="0"/>
        <w:spacing w:line="360" w:lineRule="auto"/>
        <w:ind w:left="2" w:leftChars="1" w:firstLine="480" w:firstLineChars="200"/>
        <w:jc w:val="lef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四、不为项目有关人员及部门出国（境）、旅游等提供方便；</w:t>
      </w:r>
    </w:p>
    <w:p w14:paraId="6421E616">
      <w:pPr>
        <w:autoSpaceDE w:val="0"/>
        <w:autoSpaceDN w:val="0"/>
        <w:spacing w:line="360" w:lineRule="auto"/>
        <w:ind w:left="2" w:leftChars="1" w:firstLine="480" w:firstLineChars="200"/>
        <w:jc w:val="lef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五、不为项目有关人员个人装修住房、婚丧嫁娶、配偶子女工作安排等提供好处；</w:t>
      </w:r>
    </w:p>
    <w:p w14:paraId="663761CE">
      <w:pPr>
        <w:autoSpaceDE w:val="0"/>
        <w:autoSpaceDN w:val="0"/>
        <w:spacing w:line="360" w:lineRule="auto"/>
        <w:ind w:left="2" w:leftChars="1" w:firstLine="480" w:firstLineChars="200"/>
        <w:jc w:val="lef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六、严格遵守《中华人民共和国政府采购法》《中华人民共和国政府采购法</w:t>
      </w:r>
      <w:r>
        <w:rPr>
          <w:rFonts w:hint="eastAsia" w:cs="宋体"/>
          <w:color w:val="auto"/>
          <w:kern w:val="0"/>
          <w:sz w:val="24"/>
          <w:szCs w:val="24"/>
          <w:highlight w:val="none"/>
          <w:lang w:val="en-US" w:eastAsia="zh-CN"/>
        </w:rPr>
        <w:t>实施条例</w:t>
      </w:r>
      <w:r>
        <w:rPr>
          <w:rFonts w:hint="eastAsia" w:ascii="宋体" w:hAnsi="宋体" w:cs="宋体"/>
          <w:color w:val="auto"/>
          <w:kern w:val="0"/>
          <w:sz w:val="24"/>
          <w:szCs w:val="24"/>
          <w:highlight w:val="none"/>
          <w:lang w:val="zh-CN"/>
        </w:rPr>
        <w:t xml:space="preserve">》《中华人民共和国民法典》等法律法规，诚实守信，合法经营，坚决抵制各种违法违纪行为。 </w:t>
      </w:r>
    </w:p>
    <w:p w14:paraId="5C8FD2B8">
      <w:pPr>
        <w:autoSpaceDE w:val="0"/>
        <w:autoSpaceDN w:val="0"/>
        <w:spacing w:line="360" w:lineRule="auto"/>
        <w:ind w:left="2" w:leftChars="1" w:firstLine="480" w:firstLineChars="200"/>
        <w:jc w:val="lef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如违反上述承诺，你单位有权立即取消我单位投标、中标或在建项目的建设资格，有权拒绝我单位在一定时期内进入你单位进行项目建设或其他经营活动，并通报</w:t>
      </w:r>
      <w:r>
        <w:rPr>
          <w:rFonts w:hint="eastAsia" w:cs="宋体"/>
          <w:color w:val="auto"/>
          <w:kern w:val="0"/>
          <w:sz w:val="24"/>
          <w:szCs w:val="24"/>
          <w:highlight w:val="none"/>
          <w:lang w:val="en-US" w:eastAsia="zh-CN"/>
        </w:rPr>
        <w:t>兵团</w:t>
      </w:r>
      <w:r>
        <w:rPr>
          <w:rFonts w:hint="eastAsia" w:ascii="宋体" w:hAnsi="宋体" w:cs="宋体"/>
          <w:color w:val="auto"/>
          <w:kern w:val="0"/>
          <w:sz w:val="24"/>
          <w:szCs w:val="24"/>
          <w:highlight w:val="none"/>
          <w:lang w:val="zh-CN"/>
        </w:rPr>
        <w:t>财政局。由此引起的相应损失均由我单位承担。</w:t>
      </w:r>
    </w:p>
    <w:p w14:paraId="5E22ECB4">
      <w:pPr>
        <w:autoSpaceDE w:val="0"/>
        <w:autoSpaceDN w:val="0"/>
        <w:spacing w:line="360" w:lineRule="auto"/>
        <w:ind w:left="2"/>
        <w:jc w:val="left"/>
        <w:rPr>
          <w:rFonts w:ascii="宋体" w:hAnsi="宋体" w:cs="宋体"/>
          <w:color w:val="auto"/>
          <w:kern w:val="0"/>
          <w:sz w:val="24"/>
          <w:szCs w:val="24"/>
          <w:highlight w:val="none"/>
          <w:lang w:val="zh-CN"/>
        </w:rPr>
      </w:pPr>
    </w:p>
    <w:p w14:paraId="0914ACDE">
      <w:pPr>
        <w:autoSpaceDE w:val="0"/>
        <w:autoSpaceDN w:val="0"/>
        <w:spacing w:line="360" w:lineRule="auto"/>
        <w:ind w:left="2"/>
        <w:jc w:val="left"/>
        <w:rPr>
          <w:rFonts w:ascii="宋体" w:hAnsi="宋体" w:cs="宋体"/>
          <w:color w:val="auto"/>
          <w:kern w:val="0"/>
          <w:sz w:val="24"/>
          <w:szCs w:val="24"/>
          <w:highlight w:val="none"/>
          <w:lang w:val="zh-CN"/>
        </w:rPr>
      </w:pPr>
    </w:p>
    <w:p w14:paraId="02E01AF0">
      <w:pPr>
        <w:autoSpaceDE w:val="0"/>
        <w:autoSpaceDN w:val="0"/>
        <w:spacing w:line="360" w:lineRule="auto"/>
        <w:ind w:left="2"/>
        <w:jc w:val="left"/>
        <w:rPr>
          <w:rFonts w:ascii="宋体" w:hAnsi="宋体" w:cs="宋体"/>
          <w:color w:val="auto"/>
          <w:kern w:val="0"/>
          <w:sz w:val="24"/>
          <w:szCs w:val="24"/>
          <w:highlight w:val="none"/>
          <w:lang w:val="zh-CN"/>
        </w:rPr>
      </w:pPr>
    </w:p>
    <w:p w14:paraId="3EA46769">
      <w:pPr>
        <w:autoSpaceDE w:val="0"/>
        <w:autoSpaceDN w:val="0"/>
        <w:spacing w:line="360" w:lineRule="auto"/>
        <w:ind w:left="2" w:leftChars="1" w:right="1120" w:firstLine="4560" w:firstLineChars="1900"/>
        <w:jc w:val="left"/>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hint="eastAsia" w:ascii="宋体" w:hAnsi="宋体" w:cs="宋体"/>
          <w:color w:val="auto"/>
          <w:kern w:val="0"/>
          <w:sz w:val="24"/>
          <w:szCs w:val="24"/>
          <w:highlight w:val="none"/>
          <w:lang w:val="zh-CN"/>
        </w:rPr>
        <w:t xml:space="preserve">：                                                                                                                                                                                                               </w:t>
      </w:r>
    </w:p>
    <w:p w14:paraId="0FD8A2DC">
      <w:pPr>
        <w:ind w:firstLine="4560" w:firstLineChars="1900"/>
        <w:rPr>
          <w:rFonts w:hint="eastAsia" w:eastAsia="宋体" w:asciiTheme="majorHAnsi" w:hAnsiTheme="majorHAnsi" w:cstheme="majorBidi"/>
          <w:b/>
          <w:bCs/>
          <w:color w:val="auto"/>
          <w:kern w:val="2"/>
          <w:sz w:val="24"/>
          <w:szCs w:val="24"/>
          <w:highlight w:val="none"/>
          <w:lang w:val="en-US" w:eastAsia="zh-CN" w:bidi="ar-SA"/>
        </w:rPr>
      </w:pPr>
      <w:r>
        <w:rPr>
          <w:rFonts w:hint="eastAsia" w:ascii="宋体" w:hAnsi="宋体" w:cs="宋体"/>
          <w:color w:val="auto"/>
          <w:kern w:val="0"/>
          <w:sz w:val="24"/>
          <w:szCs w:val="24"/>
          <w:highlight w:val="none"/>
          <w:lang w:val="zh-CN"/>
        </w:rPr>
        <w:t>日期</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val="zh-CN"/>
        </w:rPr>
        <w:t xml:space="preserve">   年   月   日</w:t>
      </w:r>
    </w:p>
    <w:p w14:paraId="5AA40BF9">
      <w:pPr>
        <w:rPr>
          <w:rFonts w:hint="eastAsia" w:eastAsia="宋体" w:asciiTheme="majorHAnsi" w:hAnsiTheme="majorHAnsi" w:cstheme="majorBidi"/>
          <w:b/>
          <w:bCs/>
          <w:color w:val="auto"/>
          <w:kern w:val="2"/>
          <w:sz w:val="24"/>
          <w:szCs w:val="24"/>
          <w:highlight w:val="none"/>
          <w:lang w:val="en-US" w:eastAsia="zh-CN" w:bidi="ar-SA"/>
        </w:rPr>
      </w:pPr>
    </w:p>
    <w:p w14:paraId="2917743B">
      <w:pPr>
        <w:pStyle w:val="13"/>
        <w:rPr>
          <w:rFonts w:hint="eastAsia" w:eastAsia="宋体" w:asciiTheme="majorHAnsi" w:hAnsiTheme="majorHAnsi" w:cstheme="majorBidi"/>
          <w:b/>
          <w:bCs/>
          <w:color w:val="auto"/>
          <w:kern w:val="2"/>
          <w:sz w:val="24"/>
          <w:szCs w:val="24"/>
          <w:highlight w:val="none"/>
          <w:lang w:val="en-US" w:eastAsia="zh-CN" w:bidi="ar-SA"/>
        </w:rPr>
      </w:pPr>
    </w:p>
    <w:p w14:paraId="2CC927CA">
      <w:pPr>
        <w:pStyle w:val="13"/>
        <w:rPr>
          <w:rFonts w:hint="eastAsia" w:eastAsia="宋体" w:asciiTheme="majorHAnsi" w:hAnsiTheme="majorHAnsi" w:cstheme="majorBidi"/>
          <w:b/>
          <w:bCs/>
          <w:color w:val="auto"/>
          <w:kern w:val="2"/>
          <w:sz w:val="24"/>
          <w:szCs w:val="24"/>
          <w:highlight w:val="none"/>
          <w:lang w:val="en-US" w:eastAsia="zh-CN" w:bidi="ar-SA"/>
        </w:rPr>
      </w:pPr>
    </w:p>
    <w:p w14:paraId="18FDCDE0">
      <w:pPr>
        <w:pStyle w:val="13"/>
        <w:rPr>
          <w:rFonts w:hint="eastAsia" w:eastAsia="宋体" w:asciiTheme="majorHAnsi" w:hAnsiTheme="majorHAnsi" w:cstheme="majorBidi"/>
          <w:b/>
          <w:bCs/>
          <w:color w:val="auto"/>
          <w:kern w:val="2"/>
          <w:sz w:val="24"/>
          <w:szCs w:val="24"/>
          <w:highlight w:val="none"/>
          <w:lang w:val="en-US" w:eastAsia="zh-CN" w:bidi="ar-SA"/>
        </w:rPr>
      </w:pPr>
    </w:p>
    <w:p w14:paraId="74E8B7C7">
      <w:pPr>
        <w:pStyle w:val="4"/>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center"/>
        <w:textAlignment w:val="auto"/>
        <w:rPr>
          <w:rFonts w:hint="default" w:ascii="宋体" w:hAnsi="宋体" w:eastAsia="宋体" w:cstheme="minorBidi"/>
          <w:b/>
          <w:bCs/>
          <w:color w:val="auto"/>
          <w:kern w:val="2"/>
          <w:sz w:val="30"/>
          <w:szCs w:val="32"/>
          <w:highlight w:val="none"/>
          <w:lang w:val="en-US" w:eastAsia="zh-CN" w:bidi="ar-SA"/>
        </w:rPr>
      </w:pPr>
      <w:r>
        <w:rPr>
          <w:rFonts w:hint="eastAsia" w:eastAsia="宋体" w:asciiTheme="majorHAnsi" w:hAnsiTheme="majorHAnsi" w:cstheme="majorBidi"/>
          <w:b/>
          <w:bCs/>
          <w:color w:val="auto"/>
          <w:kern w:val="2"/>
          <w:sz w:val="32"/>
          <w:szCs w:val="32"/>
          <w:highlight w:val="none"/>
          <w:lang w:val="en-US" w:eastAsia="zh-CN" w:bidi="ar-SA"/>
        </w:rPr>
        <w:t>五、</w:t>
      </w:r>
      <w:r>
        <w:rPr>
          <w:rFonts w:hint="eastAsia" w:eastAsia="宋体" w:asciiTheme="majorHAnsi" w:hAnsiTheme="majorHAnsi" w:cstheme="majorBidi"/>
          <w:b/>
          <w:bCs/>
          <w:color w:val="auto"/>
          <w:kern w:val="2"/>
          <w:sz w:val="32"/>
          <w:szCs w:val="32"/>
          <w:highlight w:val="none"/>
          <w:lang w:val="zh-CN" w:eastAsia="zh-CN" w:bidi="ar-SA"/>
        </w:rPr>
        <w:t>实质性响应一览表</w:t>
      </w:r>
      <w:r>
        <w:rPr>
          <w:rFonts w:hint="eastAsia" w:ascii="宋体" w:hAnsi="宋体" w:eastAsia="宋体" w:cstheme="minorBidi"/>
          <w:b/>
          <w:bCs/>
          <w:color w:val="auto"/>
          <w:kern w:val="2"/>
          <w:sz w:val="30"/>
          <w:szCs w:val="32"/>
          <w:highlight w:val="none"/>
          <w:lang w:val="zh-CN" w:eastAsia="zh-CN" w:bidi="ar-SA"/>
        </w:rPr>
        <w:t>【</w:t>
      </w:r>
      <w:r>
        <w:rPr>
          <w:rFonts w:hint="eastAsia" w:ascii="宋体" w:hAnsi="宋体" w:eastAsia="宋体" w:cstheme="minorBidi"/>
          <w:b/>
          <w:bCs/>
          <w:color w:val="auto"/>
          <w:kern w:val="2"/>
          <w:sz w:val="30"/>
          <w:szCs w:val="32"/>
          <w:highlight w:val="none"/>
          <w:lang w:val="en-US" w:eastAsia="zh-CN" w:bidi="ar-SA"/>
        </w:rPr>
        <w:t>本表须与第五章的一致】</w:t>
      </w:r>
    </w:p>
    <w:p w14:paraId="3FC7E450">
      <w:pPr>
        <w:shd w:val="clear" w:color="auto" w:fill="FFFFFF"/>
        <w:tabs>
          <w:tab w:val="left" w:pos="3045"/>
        </w:tabs>
        <w:autoSpaceDE w:val="0"/>
        <w:autoSpaceDN w:val="0"/>
        <w:adjustRightInd w:val="0"/>
        <w:snapToGrid w:val="0"/>
        <w:spacing w:line="360" w:lineRule="exact"/>
        <w:jc w:val="center"/>
        <w:rPr>
          <w:rFonts w:hint="eastAsia" w:ascii="宋体" w:hAnsi="宋体" w:cs="宋体"/>
          <w:b w:val="0"/>
          <w:bCs/>
          <w:color w:val="auto"/>
          <w:sz w:val="24"/>
          <w:highlight w:val="none"/>
        </w:rPr>
      </w:pPr>
      <w:r>
        <w:rPr>
          <w:rFonts w:hint="eastAsia" w:ascii="宋体" w:hAnsi="宋体" w:cs="宋体"/>
          <w:b w:val="0"/>
          <w:bCs/>
          <w:color w:val="auto"/>
          <w:sz w:val="24"/>
          <w:highlight w:val="none"/>
        </w:rPr>
        <w:t>（</w:t>
      </w:r>
      <w:r>
        <w:rPr>
          <w:rFonts w:hint="eastAsia" w:cs="宋体"/>
          <w:b w:val="0"/>
          <w:bCs/>
          <w:color w:val="auto"/>
          <w:sz w:val="24"/>
          <w:highlight w:val="none"/>
          <w:lang w:val="en-US" w:eastAsia="zh-CN"/>
        </w:rPr>
        <w:t>投标人</w:t>
      </w:r>
      <w:r>
        <w:rPr>
          <w:rFonts w:hint="eastAsia" w:ascii="宋体" w:hAnsi="宋体" w:cs="宋体"/>
          <w:b w:val="0"/>
          <w:bCs/>
          <w:color w:val="auto"/>
          <w:sz w:val="24"/>
          <w:highlight w:val="none"/>
        </w:rPr>
        <w:t>须对本附表所有内容逐条响应且无负偏离，否则</w:t>
      </w:r>
      <w:r>
        <w:rPr>
          <w:rFonts w:hint="eastAsia" w:cs="宋体"/>
          <w:b w:val="0"/>
          <w:bCs/>
          <w:color w:val="auto"/>
          <w:sz w:val="24"/>
          <w:highlight w:val="none"/>
          <w:lang w:val="en-US" w:eastAsia="zh-CN"/>
        </w:rPr>
        <w:t>其</w:t>
      </w:r>
      <w:r>
        <w:rPr>
          <w:rFonts w:hint="eastAsia" w:ascii="宋体" w:hAnsi="宋体" w:cs="宋体"/>
          <w:b/>
          <w:bCs w:val="0"/>
          <w:color w:val="auto"/>
          <w:sz w:val="24"/>
          <w:highlight w:val="none"/>
        </w:rPr>
        <w:t>投标无效</w:t>
      </w:r>
      <w:r>
        <w:rPr>
          <w:rFonts w:hint="eastAsia" w:ascii="宋体" w:hAnsi="宋体" w:cs="宋体"/>
          <w:b w:val="0"/>
          <w:bCs/>
          <w:color w:val="auto"/>
          <w:sz w:val="24"/>
          <w:highlight w:val="none"/>
        </w:rPr>
        <w:t>）</w:t>
      </w:r>
    </w:p>
    <w:p w14:paraId="3B3C031E">
      <w:pPr>
        <w:pStyle w:val="24"/>
        <w:rPr>
          <w:rFonts w:hint="eastAsia" w:ascii="宋体" w:hAnsi="宋体" w:cs="宋体"/>
          <w:color w:val="auto"/>
          <w:highlight w:val="none"/>
        </w:rPr>
      </w:pPr>
    </w:p>
    <w:tbl>
      <w:tblPr>
        <w:tblStyle w:val="30"/>
        <w:tblW w:w="5294" w:type="pct"/>
        <w:tblInd w:w="-2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8"/>
        <w:gridCol w:w="1992"/>
        <w:gridCol w:w="3744"/>
        <w:gridCol w:w="1956"/>
        <w:gridCol w:w="924"/>
      </w:tblGrid>
      <w:tr w14:paraId="2EF50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26" w:type="pct"/>
            <w:vMerge w:val="restart"/>
            <w:noWrap w:val="0"/>
            <w:vAlign w:val="center"/>
          </w:tcPr>
          <w:p w14:paraId="101C805A">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3178" w:type="pct"/>
            <w:gridSpan w:val="2"/>
            <w:noWrap w:val="0"/>
            <w:vAlign w:val="center"/>
          </w:tcPr>
          <w:p w14:paraId="02D60536">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rPr>
              <w:t>文件要求的实质性响应内容</w:t>
            </w:r>
          </w:p>
        </w:tc>
        <w:tc>
          <w:tcPr>
            <w:tcW w:w="1083" w:type="pct"/>
            <w:vMerge w:val="restart"/>
            <w:noWrap w:val="0"/>
            <w:vAlign w:val="center"/>
          </w:tcPr>
          <w:p w14:paraId="56144F2B">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投标文件响应</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rPr>
              <w:t>具体内容</w:t>
            </w:r>
          </w:p>
        </w:tc>
        <w:tc>
          <w:tcPr>
            <w:tcW w:w="511" w:type="pct"/>
            <w:vMerge w:val="restart"/>
            <w:noWrap w:val="0"/>
            <w:vAlign w:val="center"/>
          </w:tcPr>
          <w:p w14:paraId="3D4BAC2B">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14:paraId="48FB1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226" w:type="pct"/>
            <w:vMerge w:val="continue"/>
            <w:noWrap w:val="0"/>
            <w:vAlign w:val="center"/>
          </w:tcPr>
          <w:p w14:paraId="61353542">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rPr>
            </w:pPr>
          </w:p>
        </w:tc>
        <w:tc>
          <w:tcPr>
            <w:tcW w:w="1103" w:type="pct"/>
            <w:noWrap w:val="0"/>
            <w:vAlign w:val="center"/>
          </w:tcPr>
          <w:p w14:paraId="6B0E1646">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实质性要求</w:t>
            </w:r>
          </w:p>
        </w:tc>
        <w:tc>
          <w:tcPr>
            <w:tcW w:w="2074" w:type="pct"/>
            <w:noWrap w:val="0"/>
            <w:vAlign w:val="center"/>
          </w:tcPr>
          <w:p w14:paraId="3466A6AA">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招标文件中的规定</w:t>
            </w:r>
          </w:p>
        </w:tc>
        <w:tc>
          <w:tcPr>
            <w:tcW w:w="1083" w:type="pct"/>
            <w:vMerge w:val="continue"/>
            <w:noWrap w:val="0"/>
            <w:vAlign w:val="center"/>
          </w:tcPr>
          <w:p w14:paraId="230A57B0">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rPr>
            </w:pPr>
          </w:p>
        </w:tc>
        <w:tc>
          <w:tcPr>
            <w:tcW w:w="511" w:type="pct"/>
            <w:vMerge w:val="continue"/>
            <w:noWrap w:val="0"/>
            <w:vAlign w:val="center"/>
          </w:tcPr>
          <w:p w14:paraId="1401563E">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rPr>
            </w:pPr>
          </w:p>
        </w:tc>
      </w:tr>
      <w:tr w14:paraId="0FCF1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noWrap w:val="0"/>
            <w:vAlign w:val="center"/>
          </w:tcPr>
          <w:p w14:paraId="5D4136A9">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103" w:type="pct"/>
            <w:shd w:val="clear" w:color="auto" w:fill="auto"/>
            <w:noWrap w:val="0"/>
            <w:vAlign w:val="center"/>
          </w:tcPr>
          <w:p w14:paraId="11E3D909">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p>
        </w:tc>
        <w:tc>
          <w:tcPr>
            <w:tcW w:w="2074" w:type="pct"/>
            <w:shd w:val="clear" w:color="auto" w:fill="auto"/>
            <w:noWrap w:val="0"/>
            <w:vAlign w:val="center"/>
          </w:tcPr>
          <w:p w14:paraId="2D62742B">
            <w:pPr>
              <w:keepNext w:val="0"/>
              <w:keepLines w:val="0"/>
              <w:pageBreakBefore w:val="0"/>
              <w:widowControl w:val="0"/>
              <w:shd w:val="clear" w:color="auto" w:fill="FFFFFF"/>
              <w:kinsoku/>
              <w:wordWrap/>
              <w:overflowPunct/>
              <w:topLinePunct w:val="0"/>
              <w:autoSpaceDE w:val="0"/>
              <w:autoSpaceDN w:val="0"/>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p>
        </w:tc>
        <w:tc>
          <w:tcPr>
            <w:tcW w:w="1083" w:type="pct"/>
            <w:noWrap w:val="0"/>
            <w:vAlign w:val="center"/>
          </w:tcPr>
          <w:p w14:paraId="1E4B729D">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c>
          <w:tcPr>
            <w:tcW w:w="511" w:type="pct"/>
            <w:noWrap w:val="0"/>
            <w:vAlign w:val="center"/>
          </w:tcPr>
          <w:p w14:paraId="2ED2EBD7">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r>
      <w:tr w14:paraId="29B14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noWrap w:val="0"/>
            <w:vAlign w:val="center"/>
          </w:tcPr>
          <w:p w14:paraId="708A3B90">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103" w:type="pct"/>
            <w:shd w:val="clear" w:color="auto" w:fill="auto"/>
            <w:noWrap w:val="0"/>
            <w:vAlign w:val="center"/>
          </w:tcPr>
          <w:p w14:paraId="7DC773BD">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p>
        </w:tc>
        <w:tc>
          <w:tcPr>
            <w:tcW w:w="2074" w:type="pct"/>
            <w:shd w:val="clear" w:color="auto" w:fill="auto"/>
            <w:noWrap w:val="0"/>
            <w:vAlign w:val="center"/>
          </w:tcPr>
          <w:p w14:paraId="011D967C">
            <w:pPr>
              <w:keepNext w:val="0"/>
              <w:keepLines w:val="0"/>
              <w:pageBreakBefore w:val="0"/>
              <w:widowControl w:val="0"/>
              <w:shd w:val="clear" w:color="auto" w:fill="FFFFFF"/>
              <w:kinsoku/>
              <w:wordWrap/>
              <w:overflowPunct/>
              <w:topLinePunct w:val="0"/>
              <w:autoSpaceDE w:val="0"/>
              <w:autoSpaceDN w:val="0"/>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p>
        </w:tc>
        <w:tc>
          <w:tcPr>
            <w:tcW w:w="1083" w:type="pct"/>
            <w:noWrap w:val="0"/>
            <w:vAlign w:val="center"/>
          </w:tcPr>
          <w:p w14:paraId="58F62CE4">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c>
          <w:tcPr>
            <w:tcW w:w="511" w:type="pct"/>
            <w:noWrap w:val="0"/>
            <w:vAlign w:val="center"/>
          </w:tcPr>
          <w:p w14:paraId="194CC2D3">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r>
      <w:tr w14:paraId="547BF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shd w:val="clear" w:color="auto" w:fill="auto"/>
            <w:noWrap w:val="0"/>
            <w:vAlign w:val="center"/>
          </w:tcPr>
          <w:p w14:paraId="6A2DB15C">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3</w:t>
            </w:r>
          </w:p>
        </w:tc>
        <w:tc>
          <w:tcPr>
            <w:tcW w:w="1103" w:type="pct"/>
            <w:shd w:val="clear" w:color="auto" w:fill="auto"/>
            <w:noWrap w:val="0"/>
            <w:vAlign w:val="center"/>
          </w:tcPr>
          <w:p w14:paraId="46BFE239">
            <w:pPr>
              <w:pStyle w:val="49"/>
              <w:rPr>
                <w:rFonts w:hint="eastAsia" w:ascii="宋体" w:hAnsi="宋体" w:eastAsia="宋体" w:cs="宋体"/>
                <w:color w:val="auto"/>
                <w:kern w:val="2"/>
                <w:sz w:val="24"/>
                <w:szCs w:val="24"/>
                <w:highlight w:val="none"/>
                <w:lang w:val="en-US" w:eastAsia="zh-CN" w:bidi="ar-SA"/>
              </w:rPr>
            </w:pPr>
          </w:p>
        </w:tc>
        <w:tc>
          <w:tcPr>
            <w:tcW w:w="2074" w:type="pct"/>
            <w:shd w:val="clear" w:color="auto" w:fill="auto"/>
            <w:noWrap w:val="0"/>
            <w:vAlign w:val="center"/>
          </w:tcPr>
          <w:p w14:paraId="486ABA85">
            <w:pPr>
              <w:pStyle w:val="49"/>
              <w:rPr>
                <w:rFonts w:hint="eastAsia" w:ascii="宋体" w:hAnsi="宋体" w:eastAsia="宋体" w:cs="宋体"/>
                <w:color w:val="auto"/>
                <w:kern w:val="2"/>
                <w:sz w:val="24"/>
                <w:szCs w:val="24"/>
                <w:highlight w:val="none"/>
                <w:lang w:val="en-US" w:eastAsia="zh-CN" w:bidi="ar-SA"/>
              </w:rPr>
            </w:pPr>
          </w:p>
        </w:tc>
        <w:tc>
          <w:tcPr>
            <w:tcW w:w="1083" w:type="pct"/>
            <w:noWrap w:val="0"/>
            <w:vAlign w:val="center"/>
          </w:tcPr>
          <w:p w14:paraId="59491DC1">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c>
          <w:tcPr>
            <w:tcW w:w="511" w:type="pct"/>
            <w:noWrap w:val="0"/>
            <w:vAlign w:val="center"/>
          </w:tcPr>
          <w:p w14:paraId="1511A2DD">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r>
      <w:tr w14:paraId="5B874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shd w:val="clear" w:color="auto" w:fill="auto"/>
            <w:noWrap w:val="0"/>
            <w:vAlign w:val="center"/>
          </w:tcPr>
          <w:p w14:paraId="12289F6C">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4</w:t>
            </w:r>
          </w:p>
        </w:tc>
        <w:tc>
          <w:tcPr>
            <w:tcW w:w="1103" w:type="pct"/>
            <w:shd w:val="clear" w:color="auto" w:fill="auto"/>
            <w:noWrap w:val="0"/>
            <w:vAlign w:val="center"/>
          </w:tcPr>
          <w:p w14:paraId="1D3E0310">
            <w:pPr>
              <w:pStyle w:val="49"/>
              <w:rPr>
                <w:rFonts w:hint="eastAsia" w:ascii="宋体" w:hAnsi="宋体" w:eastAsia="宋体" w:cs="宋体"/>
                <w:color w:val="auto"/>
                <w:kern w:val="2"/>
                <w:sz w:val="24"/>
                <w:szCs w:val="24"/>
                <w:highlight w:val="none"/>
                <w:lang w:val="en-US" w:eastAsia="zh-CN" w:bidi="ar-SA"/>
              </w:rPr>
            </w:pPr>
          </w:p>
        </w:tc>
        <w:tc>
          <w:tcPr>
            <w:tcW w:w="2074" w:type="pct"/>
            <w:shd w:val="clear" w:color="auto" w:fill="auto"/>
            <w:noWrap w:val="0"/>
            <w:vAlign w:val="center"/>
          </w:tcPr>
          <w:p w14:paraId="281089E1">
            <w:pPr>
              <w:pStyle w:val="49"/>
              <w:rPr>
                <w:rFonts w:hint="eastAsia" w:ascii="宋体" w:hAnsi="宋体" w:eastAsia="宋体" w:cs="宋体"/>
                <w:color w:val="auto"/>
                <w:kern w:val="2"/>
                <w:sz w:val="24"/>
                <w:szCs w:val="24"/>
                <w:highlight w:val="none"/>
                <w:lang w:val="en-US" w:eastAsia="zh-CN" w:bidi="ar-SA"/>
              </w:rPr>
            </w:pPr>
          </w:p>
        </w:tc>
        <w:tc>
          <w:tcPr>
            <w:tcW w:w="1083" w:type="pct"/>
            <w:noWrap w:val="0"/>
            <w:vAlign w:val="center"/>
          </w:tcPr>
          <w:p w14:paraId="6CCA3E71">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c>
          <w:tcPr>
            <w:tcW w:w="511" w:type="pct"/>
            <w:noWrap w:val="0"/>
            <w:vAlign w:val="center"/>
          </w:tcPr>
          <w:p w14:paraId="0A8FC1EC">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r>
      <w:tr w14:paraId="70A77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shd w:val="clear" w:color="auto" w:fill="auto"/>
            <w:noWrap w:val="0"/>
            <w:vAlign w:val="center"/>
          </w:tcPr>
          <w:p w14:paraId="36B59CD3">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5</w:t>
            </w:r>
          </w:p>
        </w:tc>
        <w:tc>
          <w:tcPr>
            <w:tcW w:w="1103" w:type="pct"/>
            <w:noWrap w:val="0"/>
            <w:vAlign w:val="center"/>
          </w:tcPr>
          <w:p w14:paraId="43A0BEF0">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rPr>
              <w:t>……</w:t>
            </w:r>
          </w:p>
        </w:tc>
        <w:tc>
          <w:tcPr>
            <w:tcW w:w="2074" w:type="pct"/>
            <w:noWrap w:val="0"/>
            <w:vAlign w:val="center"/>
          </w:tcPr>
          <w:p w14:paraId="310F1D1A">
            <w:pPr>
              <w:pStyle w:val="76"/>
              <w:keepNext w:val="0"/>
              <w:keepLines w:val="0"/>
              <w:pageBreakBefore w:val="0"/>
              <w:widowControl w:val="0"/>
              <w:shd w:val="clear" w:color="auto" w:fill="FFFFFF"/>
              <w:kinsoku/>
              <w:wordWrap/>
              <w:overflowPunct/>
              <w:topLinePunct w:val="0"/>
              <w:bidi w:val="0"/>
              <w:adjustRightInd/>
              <w:snapToGrid/>
              <w:spacing w:line="360" w:lineRule="exact"/>
              <w:ind w:firstLine="0" w:firstLineChars="0"/>
              <w:textAlignment w:val="auto"/>
              <w:rPr>
                <w:rFonts w:hint="eastAsia" w:ascii="宋体" w:hAnsi="宋体" w:eastAsia="宋体" w:cs="宋体"/>
                <w:color w:val="auto"/>
                <w:kern w:val="0"/>
                <w:sz w:val="24"/>
                <w:szCs w:val="24"/>
                <w:highlight w:val="none"/>
                <w:lang w:val="en-US" w:eastAsia="zh-CN" w:bidi="ar-SA"/>
              </w:rPr>
            </w:pPr>
          </w:p>
        </w:tc>
        <w:tc>
          <w:tcPr>
            <w:tcW w:w="1083" w:type="pct"/>
            <w:noWrap w:val="0"/>
            <w:vAlign w:val="center"/>
          </w:tcPr>
          <w:p w14:paraId="492A3FE6">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c>
          <w:tcPr>
            <w:tcW w:w="511" w:type="pct"/>
            <w:noWrap w:val="0"/>
            <w:vAlign w:val="center"/>
          </w:tcPr>
          <w:p w14:paraId="7AFD0B5E">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r>
      <w:tr w14:paraId="366B3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shd w:val="clear" w:color="auto" w:fill="auto"/>
            <w:noWrap w:val="0"/>
            <w:vAlign w:val="center"/>
          </w:tcPr>
          <w:p w14:paraId="0C145DE9">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6</w:t>
            </w:r>
          </w:p>
        </w:tc>
        <w:tc>
          <w:tcPr>
            <w:tcW w:w="1103" w:type="pct"/>
            <w:noWrap w:val="0"/>
            <w:vAlign w:val="center"/>
          </w:tcPr>
          <w:p w14:paraId="24DF7F3A">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rPr>
              <w:t>……</w:t>
            </w:r>
          </w:p>
        </w:tc>
        <w:tc>
          <w:tcPr>
            <w:tcW w:w="2074" w:type="pct"/>
            <w:noWrap w:val="0"/>
            <w:vAlign w:val="center"/>
          </w:tcPr>
          <w:p w14:paraId="5482D5FB">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p>
        </w:tc>
        <w:tc>
          <w:tcPr>
            <w:tcW w:w="1083" w:type="pct"/>
            <w:noWrap w:val="0"/>
            <w:vAlign w:val="center"/>
          </w:tcPr>
          <w:p w14:paraId="24D82CE2">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c>
          <w:tcPr>
            <w:tcW w:w="511" w:type="pct"/>
            <w:noWrap w:val="0"/>
            <w:vAlign w:val="center"/>
          </w:tcPr>
          <w:p w14:paraId="190A3A2D">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r>
      <w:tr w14:paraId="2E09A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shd w:val="clear" w:color="auto" w:fill="auto"/>
            <w:noWrap w:val="0"/>
            <w:vAlign w:val="center"/>
          </w:tcPr>
          <w:p w14:paraId="2F26FC6B">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7</w:t>
            </w:r>
          </w:p>
        </w:tc>
        <w:tc>
          <w:tcPr>
            <w:tcW w:w="1103" w:type="pct"/>
            <w:noWrap w:val="0"/>
            <w:vAlign w:val="center"/>
          </w:tcPr>
          <w:p w14:paraId="7BD1DFF1">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rPr>
              <w:t>……</w:t>
            </w:r>
          </w:p>
        </w:tc>
        <w:tc>
          <w:tcPr>
            <w:tcW w:w="2074" w:type="pct"/>
            <w:noWrap w:val="0"/>
            <w:vAlign w:val="center"/>
          </w:tcPr>
          <w:p w14:paraId="0998D7BE">
            <w:pPr>
              <w:keepNext w:val="0"/>
              <w:keepLines w:val="0"/>
              <w:pageBreakBefore w:val="0"/>
              <w:widowControl w:val="0"/>
              <w:shd w:val="clear" w:color="auto" w:fill="FFFFFF"/>
              <w:kinsoku/>
              <w:wordWrap/>
              <w:overflowPunct/>
              <w:topLinePunct w:val="0"/>
              <w:autoSpaceDE/>
              <w:autoSpaceDN/>
              <w:bidi w:val="0"/>
              <w:adjustRightInd/>
              <w:snapToGrid/>
              <w:spacing w:line="400" w:lineRule="atLeast"/>
              <w:textAlignment w:val="auto"/>
              <w:rPr>
                <w:rFonts w:hint="eastAsia" w:ascii="宋体" w:hAnsi="宋体" w:eastAsia="宋体" w:cs="宋体"/>
                <w:color w:val="auto"/>
                <w:sz w:val="24"/>
                <w:szCs w:val="24"/>
                <w:highlight w:val="none"/>
                <w:lang w:val="en-US" w:eastAsia="zh-CN"/>
              </w:rPr>
            </w:pPr>
          </w:p>
        </w:tc>
        <w:tc>
          <w:tcPr>
            <w:tcW w:w="1083" w:type="pct"/>
            <w:noWrap w:val="0"/>
            <w:vAlign w:val="center"/>
          </w:tcPr>
          <w:p w14:paraId="4CB98610">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c>
          <w:tcPr>
            <w:tcW w:w="511" w:type="pct"/>
            <w:noWrap w:val="0"/>
            <w:vAlign w:val="center"/>
          </w:tcPr>
          <w:p w14:paraId="015D30C8">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r>
      <w:tr w14:paraId="5EA1B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noWrap w:val="0"/>
            <w:vAlign w:val="center"/>
          </w:tcPr>
          <w:p w14:paraId="4ED2BCC7">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lang w:val="en-US" w:eastAsia="zh-CN"/>
              </w:rPr>
            </w:pPr>
          </w:p>
        </w:tc>
        <w:tc>
          <w:tcPr>
            <w:tcW w:w="1103" w:type="pct"/>
            <w:shd w:val="clear" w:color="auto" w:fill="auto"/>
            <w:noWrap w:val="0"/>
            <w:vAlign w:val="center"/>
          </w:tcPr>
          <w:p w14:paraId="28BAA9A6">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rPr>
              <w:t>……</w:t>
            </w:r>
          </w:p>
        </w:tc>
        <w:tc>
          <w:tcPr>
            <w:tcW w:w="2074" w:type="pct"/>
            <w:noWrap w:val="0"/>
            <w:vAlign w:val="center"/>
          </w:tcPr>
          <w:p w14:paraId="6246E55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lang w:eastAsia="zh-CN"/>
              </w:rPr>
            </w:pPr>
          </w:p>
        </w:tc>
        <w:tc>
          <w:tcPr>
            <w:tcW w:w="1083" w:type="pct"/>
            <w:noWrap w:val="0"/>
            <w:vAlign w:val="center"/>
          </w:tcPr>
          <w:p w14:paraId="18530101">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c>
          <w:tcPr>
            <w:tcW w:w="511" w:type="pct"/>
            <w:noWrap w:val="0"/>
            <w:vAlign w:val="center"/>
          </w:tcPr>
          <w:p w14:paraId="796ECCFA">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r>
    </w:tbl>
    <w:p w14:paraId="1BAA11FC">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eastAsia="宋体" w:asciiTheme="majorHAnsi" w:hAnsiTheme="majorHAnsi" w:cstheme="majorBidi"/>
          <w:b/>
          <w:bCs/>
          <w:color w:val="auto"/>
          <w:kern w:val="2"/>
          <w:sz w:val="28"/>
          <w:szCs w:val="28"/>
          <w:highlight w:val="none"/>
          <w:lang w:val="en-US" w:eastAsia="zh-CN" w:bidi="ar-SA"/>
        </w:rPr>
      </w:pPr>
    </w:p>
    <w:p w14:paraId="61F3D6B1">
      <w:pPr>
        <w:pStyle w:val="3"/>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cstheme="majorBidi"/>
          <w:b/>
          <w:bCs/>
          <w:color w:val="auto"/>
          <w:kern w:val="2"/>
          <w:sz w:val="32"/>
          <w:szCs w:val="32"/>
          <w:highlight w:val="none"/>
          <w:lang w:val="en-US" w:eastAsia="zh-CN" w:bidi="ar-SA"/>
        </w:rPr>
      </w:pPr>
    </w:p>
    <w:p w14:paraId="01639337">
      <w:pPr>
        <w:pStyle w:val="3"/>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cstheme="majorBidi"/>
          <w:b/>
          <w:bCs/>
          <w:color w:val="auto"/>
          <w:kern w:val="2"/>
          <w:sz w:val="32"/>
          <w:szCs w:val="32"/>
          <w:highlight w:val="none"/>
          <w:lang w:val="en-US" w:eastAsia="zh-CN" w:bidi="ar-SA"/>
        </w:rPr>
      </w:pPr>
    </w:p>
    <w:p w14:paraId="626EF50E">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396" w:name="_Toc9210"/>
      <w:r>
        <w:rPr>
          <w:rFonts w:hint="eastAsia" w:cstheme="majorBidi"/>
          <w:b/>
          <w:bCs/>
          <w:color w:val="auto"/>
          <w:kern w:val="2"/>
          <w:sz w:val="32"/>
          <w:szCs w:val="32"/>
          <w:highlight w:val="none"/>
          <w:lang w:val="en-US" w:eastAsia="zh-CN" w:bidi="ar-SA"/>
        </w:rPr>
        <w:t>六</w:t>
      </w:r>
      <w:r>
        <w:rPr>
          <w:rFonts w:hint="eastAsia" w:eastAsia="宋体" w:asciiTheme="majorHAnsi" w:hAnsiTheme="majorHAnsi" w:cstheme="majorBidi"/>
          <w:b/>
          <w:bCs/>
          <w:color w:val="auto"/>
          <w:kern w:val="2"/>
          <w:sz w:val="32"/>
          <w:szCs w:val="32"/>
          <w:highlight w:val="none"/>
          <w:lang w:val="en-US" w:eastAsia="zh-CN" w:bidi="ar-SA"/>
        </w:rPr>
        <w:t>、商务响应偏离表</w:t>
      </w:r>
      <w:bookmarkEnd w:id="395"/>
      <w:bookmarkEnd w:id="396"/>
    </w:p>
    <w:p w14:paraId="21AF32D6">
      <w:pPr>
        <w:rPr>
          <w:rFonts w:cs="仿宋_GB2312"/>
          <w:color w:val="auto"/>
          <w:szCs w:val="24"/>
          <w:highlight w:val="none"/>
        </w:rPr>
      </w:pPr>
      <w:r>
        <w:rPr>
          <w:rFonts w:hint="eastAsia" w:cs="仿宋_GB2312"/>
          <w:color w:val="auto"/>
          <w:szCs w:val="24"/>
          <w:highlight w:val="none"/>
        </w:rPr>
        <w:t xml:space="preserve">项目名称：                                         </w:t>
      </w:r>
    </w:p>
    <w:p w14:paraId="0424C095">
      <w:pPr>
        <w:rPr>
          <w:rFonts w:cs="仿宋_GB2312"/>
          <w:color w:val="auto"/>
          <w:szCs w:val="24"/>
          <w:highlight w:val="none"/>
        </w:rPr>
      </w:pPr>
      <w:r>
        <w:rPr>
          <w:rFonts w:hint="eastAsia" w:cs="仿宋_GB2312"/>
          <w:color w:val="auto"/>
          <w:szCs w:val="24"/>
          <w:highlight w:val="none"/>
        </w:rPr>
        <w:t>项目编号</w:t>
      </w:r>
      <w:r>
        <w:rPr>
          <w:rFonts w:hint="eastAsia"/>
          <w:b w:val="0"/>
          <w:bCs/>
          <w:color w:val="auto"/>
          <w:szCs w:val="21"/>
          <w:highlight w:val="none"/>
          <w:lang w:val="en-US" w:eastAsia="zh-CN"/>
        </w:rPr>
        <w:t>/</w:t>
      </w:r>
      <w:r>
        <w:rPr>
          <w:rFonts w:hint="eastAsia"/>
          <w:b w:val="0"/>
          <w:bCs/>
          <w:color w:val="auto"/>
          <w:szCs w:val="21"/>
          <w:highlight w:val="none"/>
          <w:lang w:val="zh-CN"/>
        </w:rPr>
        <w:t>包号</w:t>
      </w:r>
      <w:r>
        <w:rPr>
          <w:rFonts w:hint="eastAsia" w:cs="仿宋_GB2312"/>
          <w:color w:val="auto"/>
          <w:szCs w:val="24"/>
          <w:highlight w:val="none"/>
        </w:rPr>
        <w:t xml:space="preserve">：        </w:t>
      </w:r>
    </w:p>
    <w:tbl>
      <w:tblPr>
        <w:tblStyle w:val="30"/>
        <w:tblW w:w="503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1"/>
        <w:gridCol w:w="2394"/>
        <w:gridCol w:w="1720"/>
        <w:gridCol w:w="1871"/>
        <w:gridCol w:w="1871"/>
      </w:tblGrid>
      <w:tr w14:paraId="16BE7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420" w:type="pct"/>
            <w:vAlign w:val="center"/>
          </w:tcPr>
          <w:p w14:paraId="1A4BE3A9">
            <w:pPr>
              <w:pStyle w:val="4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395" w:type="pct"/>
            <w:vAlign w:val="center"/>
          </w:tcPr>
          <w:p w14:paraId="7CB83CD6">
            <w:pPr>
              <w:pStyle w:val="4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招标文件的商务条款</w:t>
            </w:r>
          </w:p>
        </w:tc>
        <w:tc>
          <w:tcPr>
            <w:tcW w:w="1002" w:type="pct"/>
            <w:vAlign w:val="center"/>
          </w:tcPr>
          <w:p w14:paraId="55A47B57">
            <w:pPr>
              <w:pStyle w:val="4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投标文件的响应内容</w:t>
            </w:r>
          </w:p>
        </w:tc>
        <w:tc>
          <w:tcPr>
            <w:tcW w:w="1090" w:type="pct"/>
            <w:vAlign w:val="center"/>
          </w:tcPr>
          <w:p w14:paraId="2572E859">
            <w:pPr>
              <w:pStyle w:val="4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响应情况</w:t>
            </w:r>
          </w:p>
        </w:tc>
        <w:tc>
          <w:tcPr>
            <w:tcW w:w="1090" w:type="pct"/>
            <w:vAlign w:val="center"/>
          </w:tcPr>
          <w:p w14:paraId="7884F206">
            <w:pPr>
              <w:pStyle w:val="4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说明及索引</w:t>
            </w:r>
          </w:p>
        </w:tc>
      </w:tr>
      <w:tr w14:paraId="07285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0156411A">
            <w:pPr>
              <w:pStyle w:val="4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395" w:type="pct"/>
            <w:vAlign w:val="center"/>
          </w:tcPr>
          <w:p w14:paraId="34566CA0">
            <w:pPr>
              <w:pStyle w:val="4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02" w:type="pct"/>
            <w:vAlign w:val="center"/>
          </w:tcPr>
          <w:p w14:paraId="1C6482B4">
            <w:pPr>
              <w:pStyle w:val="4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90" w:type="pct"/>
            <w:vAlign w:val="center"/>
          </w:tcPr>
          <w:p w14:paraId="1BBD0417">
            <w:pPr>
              <w:pStyle w:val="4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响应/偏离</w:t>
            </w:r>
          </w:p>
        </w:tc>
        <w:tc>
          <w:tcPr>
            <w:tcW w:w="1090" w:type="pct"/>
            <w:vAlign w:val="center"/>
          </w:tcPr>
          <w:p w14:paraId="1A90E39C">
            <w:pPr>
              <w:pStyle w:val="49"/>
              <w:jc w:val="center"/>
              <w:rPr>
                <w:rFonts w:hint="eastAsia" w:ascii="宋体" w:hAnsi="宋体" w:eastAsia="宋体" w:cs="宋体"/>
                <w:color w:val="auto"/>
                <w:sz w:val="21"/>
                <w:szCs w:val="21"/>
                <w:highlight w:val="none"/>
              </w:rPr>
            </w:pPr>
          </w:p>
        </w:tc>
      </w:tr>
      <w:tr w14:paraId="7C832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05821036">
            <w:pPr>
              <w:pStyle w:val="4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395" w:type="pct"/>
            <w:vAlign w:val="center"/>
          </w:tcPr>
          <w:p w14:paraId="2A717A55">
            <w:pPr>
              <w:pStyle w:val="4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02" w:type="pct"/>
            <w:vAlign w:val="center"/>
          </w:tcPr>
          <w:p w14:paraId="20EC7575">
            <w:pPr>
              <w:pStyle w:val="4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90" w:type="pct"/>
            <w:vAlign w:val="center"/>
          </w:tcPr>
          <w:p w14:paraId="5923E58D">
            <w:pPr>
              <w:pStyle w:val="49"/>
              <w:jc w:val="center"/>
              <w:rPr>
                <w:rFonts w:hint="eastAsia" w:ascii="宋体" w:hAnsi="宋体" w:eastAsia="宋体" w:cs="宋体"/>
                <w:color w:val="auto"/>
                <w:sz w:val="21"/>
                <w:szCs w:val="21"/>
                <w:highlight w:val="none"/>
              </w:rPr>
            </w:pPr>
          </w:p>
        </w:tc>
        <w:tc>
          <w:tcPr>
            <w:tcW w:w="1090" w:type="pct"/>
            <w:vAlign w:val="center"/>
          </w:tcPr>
          <w:p w14:paraId="59C2C317">
            <w:pPr>
              <w:pStyle w:val="49"/>
              <w:jc w:val="center"/>
              <w:rPr>
                <w:rFonts w:hint="eastAsia" w:ascii="宋体" w:hAnsi="宋体" w:eastAsia="宋体" w:cs="宋体"/>
                <w:color w:val="auto"/>
                <w:sz w:val="21"/>
                <w:szCs w:val="21"/>
                <w:highlight w:val="none"/>
              </w:rPr>
            </w:pPr>
          </w:p>
        </w:tc>
      </w:tr>
      <w:tr w14:paraId="64353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6D563CA4">
            <w:pPr>
              <w:pStyle w:val="4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395" w:type="pct"/>
            <w:vAlign w:val="center"/>
          </w:tcPr>
          <w:p w14:paraId="595245DB">
            <w:pPr>
              <w:pStyle w:val="4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02" w:type="pct"/>
            <w:vAlign w:val="center"/>
          </w:tcPr>
          <w:p w14:paraId="0A16B4B6">
            <w:pPr>
              <w:pStyle w:val="4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90" w:type="pct"/>
            <w:vAlign w:val="center"/>
          </w:tcPr>
          <w:p w14:paraId="58535F72">
            <w:pPr>
              <w:pStyle w:val="49"/>
              <w:jc w:val="center"/>
              <w:rPr>
                <w:rFonts w:hint="eastAsia" w:ascii="宋体" w:hAnsi="宋体" w:eastAsia="宋体" w:cs="宋体"/>
                <w:color w:val="auto"/>
                <w:sz w:val="21"/>
                <w:szCs w:val="21"/>
                <w:highlight w:val="none"/>
              </w:rPr>
            </w:pPr>
          </w:p>
        </w:tc>
        <w:tc>
          <w:tcPr>
            <w:tcW w:w="1090" w:type="pct"/>
            <w:vAlign w:val="center"/>
          </w:tcPr>
          <w:p w14:paraId="50AB520B">
            <w:pPr>
              <w:pStyle w:val="49"/>
              <w:jc w:val="center"/>
              <w:rPr>
                <w:rFonts w:hint="eastAsia" w:ascii="宋体" w:hAnsi="宋体" w:eastAsia="宋体" w:cs="宋体"/>
                <w:color w:val="auto"/>
                <w:sz w:val="21"/>
                <w:szCs w:val="21"/>
                <w:highlight w:val="none"/>
              </w:rPr>
            </w:pPr>
          </w:p>
        </w:tc>
      </w:tr>
      <w:tr w14:paraId="669EA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74127D5E">
            <w:pPr>
              <w:pStyle w:val="49"/>
              <w:jc w:val="center"/>
              <w:rPr>
                <w:rFonts w:hint="eastAsia" w:ascii="宋体" w:hAnsi="宋体" w:eastAsia="宋体" w:cs="宋体"/>
                <w:color w:val="auto"/>
                <w:sz w:val="21"/>
                <w:szCs w:val="21"/>
                <w:highlight w:val="none"/>
              </w:rPr>
            </w:pPr>
          </w:p>
        </w:tc>
        <w:tc>
          <w:tcPr>
            <w:tcW w:w="1395" w:type="pct"/>
            <w:vAlign w:val="center"/>
          </w:tcPr>
          <w:p w14:paraId="14968038">
            <w:pPr>
              <w:pStyle w:val="49"/>
              <w:jc w:val="center"/>
              <w:rPr>
                <w:rFonts w:hint="eastAsia" w:ascii="宋体" w:hAnsi="宋体" w:eastAsia="宋体" w:cs="宋体"/>
                <w:color w:val="auto"/>
                <w:sz w:val="21"/>
                <w:szCs w:val="21"/>
                <w:highlight w:val="none"/>
              </w:rPr>
            </w:pPr>
          </w:p>
        </w:tc>
        <w:tc>
          <w:tcPr>
            <w:tcW w:w="1002" w:type="pct"/>
            <w:vAlign w:val="center"/>
          </w:tcPr>
          <w:p w14:paraId="10A6B59E">
            <w:pPr>
              <w:pStyle w:val="49"/>
              <w:jc w:val="center"/>
              <w:rPr>
                <w:rFonts w:hint="eastAsia" w:ascii="宋体" w:hAnsi="宋体" w:eastAsia="宋体" w:cs="宋体"/>
                <w:color w:val="auto"/>
                <w:sz w:val="21"/>
                <w:szCs w:val="21"/>
                <w:highlight w:val="none"/>
              </w:rPr>
            </w:pPr>
          </w:p>
        </w:tc>
        <w:tc>
          <w:tcPr>
            <w:tcW w:w="1090" w:type="pct"/>
            <w:vAlign w:val="center"/>
          </w:tcPr>
          <w:p w14:paraId="61702DF6">
            <w:pPr>
              <w:pStyle w:val="49"/>
              <w:jc w:val="center"/>
              <w:rPr>
                <w:rFonts w:hint="eastAsia" w:ascii="宋体" w:hAnsi="宋体" w:eastAsia="宋体" w:cs="宋体"/>
                <w:color w:val="auto"/>
                <w:sz w:val="21"/>
                <w:szCs w:val="21"/>
                <w:highlight w:val="none"/>
              </w:rPr>
            </w:pPr>
          </w:p>
        </w:tc>
        <w:tc>
          <w:tcPr>
            <w:tcW w:w="1090" w:type="pct"/>
            <w:vAlign w:val="center"/>
          </w:tcPr>
          <w:p w14:paraId="0CC18FC2">
            <w:pPr>
              <w:pStyle w:val="49"/>
              <w:jc w:val="center"/>
              <w:rPr>
                <w:rFonts w:hint="eastAsia" w:ascii="宋体" w:hAnsi="宋体" w:eastAsia="宋体" w:cs="宋体"/>
                <w:color w:val="auto"/>
                <w:sz w:val="21"/>
                <w:szCs w:val="21"/>
                <w:highlight w:val="none"/>
              </w:rPr>
            </w:pPr>
          </w:p>
        </w:tc>
      </w:tr>
      <w:tr w14:paraId="57F34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4561F269">
            <w:pPr>
              <w:pStyle w:val="49"/>
              <w:jc w:val="center"/>
              <w:rPr>
                <w:rFonts w:hint="eastAsia" w:ascii="宋体" w:hAnsi="宋体" w:eastAsia="宋体" w:cs="宋体"/>
                <w:color w:val="auto"/>
                <w:sz w:val="21"/>
                <w:szCs w:val="21"/>
                <w:highlight w:val="none"/>
              </w:rPr>
            </w:pPr>
          </w:p>
        </w:tc>
        <w:tc>
          <w:tcPr>
            <w:tcW w:w="1395" w:type="pct"/>
            <w:vAlign w:val="center"/>
          </w:tcPr>
          <w:p w14:paraId="5DDD9937">
            <w:pPr>
              <w:pStyle w:val="49"/>
              <w:jc w:val="center"/>
              <w:rPr>
                <w:rFonts w:hint="eastAsia" w:ascii="宋体" w:hAnsi="宋体" w:eastAsia="宋体" w:cs="宋体"/>
                <w:color w:val="auto"/>
                <w:sz w:val="21"/>
                <w:szCs w:val="21"/>
                <w:highlight w:val="none"/>
              </w:rPr>
            </w:pPr>
          </w:p>
        </w:tc>
        <w:tc>
          <w:tcPr>
            <w:tcW w:w="1002" w:type="pct"/>
            <w:vAlign w:val="center"/>
          </w:tcPr>
          <w:p w14:paraId="0B29A018">
            <w:pPr>
              <w:pStyle w:val="49"/>
              <w:jc w:val="center"/>
              <w:rPr>
                <w:rFonts w:hint="eastAsia" w:ascii="宋体" w:hAnsi="宋体" w:eastAsia="宋体" w:cs="宋体"/>
                <w:color w:val="auto"/>
                <w:sz w:val="21"/>
                <w:szCs w:val="21"/>
                <w:highlight w:val="none"/>
              </w:rPr>
            </w:pPr>
          </w:p>
        </w:tc>
        <w:tc>
          <w:tcPr>
            <w:tcW w:w="1090" w:type="pct"/>
            <w:vAlign w:val="center"/>
          </w:tcPr>
          <w:p w14:paraId="1FA693DE">
            <w:pPr>
              <w:pStyle w:val="49"/>
              <w:jc w:val="center"/>
              <w:rPr>
                <w:rFonts w:hint="eastAsia" w:ascii="宋体" w:hAnsi="宋体" w:eastAsia="宋体" w:cs="宋体"/>
                <w:color w:val="auto"/>
                <w:sz w:val="21"/>
                <w:szCs w:val="21"/>
                <w:highlight w:val="none"/>
              </w:rPr>
            </w:pPr>
          </w:p>
        </w:tc>
        <w:tc>
          <w:tcPr>
            <w:tcW w:w="1090" w:type="pct"/>
            <w:vAlign w:val="center"/>
          </w:tcPr>
          <w:p w14:paraId="3D633AB6">
            <w:pPr>
              <w:pStyle w:val="49"/>
              <w:jc w:val="center"/>
              <w:rPr>
                <w:rFonts w:hint="eastAsia" w:ascii="宋体" w:hAnsi="宋体" w:eastAsia="宋体" w:cs="宋体"/>
                <w:color w:val="auto"/>
                <w:sz w:val="21"/>
                <w:szCs w:val="21"/>
                <w:highlight w:val="none"/>
              </w:rPr>
            </w:pPr>
          </w:p>
        </w:tc>
      </w:tr>
      <w:tr w14:paraId="12449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59A5171A">
            <w:pPr>
              <w:pStyle w:val="49"/>
              <w:jc w:val="center"/>
              <w:rPr>
                <w:rFonts w:hint="eastAsia" w:ascii="宋体" w:hAnsi="宋体" w:eastAsia="宋体" w:cs="宋体"/>
                <w:color w:val="auto"/>
                <w:sz w:val="21"/>
                <w:szCs w:val="21"/>
                <w:highlight w:val="none"/>
              </w:rPr>
            </w:pPr>
          </w:p>
        </w:tc>
        <w:tc>
          <w:tcPr>
            <w:tcW w:w="1395" w:type="pct"/>
            <w:vAlign w:val="center"/>
          </w:tcPr>
          <w:p w14:paraId="014A297F">
            <w:pPr>
              <w:pStyle w:val="49"/>
              <w:jc w:val="center"/>
              <w:rPr>
                <w:rFonts w:hint="eastAsia" w:ascii="宋体" w:hAnsi="宋体" w:eastAsia="宋体" w:cs="宋体"/>
                <w:color w:val="auto"/>
                <w:sz w:val="21"/>
                <w:szCs w:val="21"/>
                <w:highlight w:val="none"/>
              </w:rPr>
            </w:pPr>
          </w:p>
        </w:tc>
        <w:tc>
          <w:tcPr>
            <w:tcW w:w="1002" w:type="pct"/>
            <w:vAlign w:val="center"/>
          </w:tcPr>
          <w:p w14:paraId="51467013">
            <w:pPr>
              <w:pStyle w:val="49"/>
              <w:jc w:val="center"/>
              <w:rPr>
                <w:rFonts w:hint="eastAsia" w:ascii="宋体" w:hAnsi="宋体" w:eastAsia="宋体" w:cs="宋体"/>
                <w:color w:val="auto"/>
                <w:sz w:val="21"/>
                <w:szCs w:val="21"/>
                <w:highlight w:val="none"/>
              </w:rPr>
            </w:pPr>
          </w:p>
        </w:tc>
        <w:tc>
          <w:tcPr>
            <w:tcW w:w="1090" w:type="pct"/>
            <w:vAlign w:val="center"/>
          </w:tcPr>
          <w:p w14:paraId="011E40CA">
            <w:pPr>
              <w:pStyle w:val="49"/>
              <w:jc w:val="center"/>
              <w:rPr>
                <w:rFonts w:hint="eastAsia" w:ascii="宋体" w:hAnsi="宋体" w:eastAsia="宋体" w:cs="宋体"/>
                <w:color w:val="auto"/>
                <w:sz w:val="21"/>
                <w:szCs w:val="21"/>
                <w:highlight w:val="none"/>
              </w:rPr>
            </w:pPr>
          </w:p>
        </w:tc>
        <w:tc>
          <w:tcPr>
            <w:tcW w:w="1090" w:type="pct"/>
            <w:vAlign w:val="center"/>
          </w:tcPr>
          <w:p w14:paraId="7062C313">
            <w:pPr>
              <w:pStyle w:val="49"/>
              <w:jc w:val="center"/>
              <w:rPr>
                <w:rFonts w:hint="eastAsia" w:ascii="宋体" w:hAnsi="宋体" w:eastAsia="宋体" w:cs="宋体"/>
                <w:color w:val="auto"/>
                <w:sz w:val="21"/>
                <w:szCs w:val="21"/>
                <w:highlight w:val="none"/>
              </w:rPr>
            </w:pPr>
          </w:p>
        </w:tc>
      </w:tr>
      <w:tr w14:paraId="7994B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30B6F410">
            <w:pPr>
              <w:pStyle w:val="49"/>
              <w:jc w:val="center"/>
              <w:rPr>
                <w:rFonts w:hint="eastAsia" w:ascii="宋体" w:hAnsi="宋体" w:eastAsia="宋体" w:cs="宋体"/>
                <w:color w:val="auto"/>
                <w:sz w:val="21"/>
                <w:szCs w:val="21"/>
                <w:highlight w:val="none"/>
              </w:rPr>
            </w:pPr>
          </w:p>
        </w:tc>
        <w:tc>
          <w:tcPr>
            <w:tcW w:w="1395" w:type="pct"/>
            <w:vAlign w:val="center"/>
          </w:tcPr>
          <w:p w14:paraId="010A1BB0">
            <w:pPr>
              <w:pStyle w:val="49"/>
              <w:jc w:val="center"/>
              <w:rPr>
                <w:rFonts w:hint="eastAsia" w:ascii="宋体" w:hAnsi="宋体" w:eastAsia="宋体" w:cs="宋体"/>
                <w:color w:val="auto"/>
                <w:sz w:val="21"/>
                <w:szCs w:val="21"/>
                <w:highlight w:val="none"/>
              </w:rPr>
            </w:pPr>
          </w:p>
        </w:tc>
        <w:tc>
          <w:tcPr>
            <w:tcW w:w="1002" w:type="pct"/>
            <w:vAlign w:val="center"/>
          </w:tcPr>
          <w:p w14:paraId="1EE22C75">
            <w:pPr>
              <w:pStyle w:val="49"/>
              <w:jc w:val="center"/>
              <w:rPr>
                <w:rFonts w:hint="eastAsia" w:ascii="宋体" w:hAnsi="宋体" w:eastAsia="宋体" w:cs="宋体"/>
                <w:color w:val="auto"/>
                <w:sz w:val="21"/>
                <w:szCs w:val="21"/>
                <w:highlight w:val="none"/>
              </w:rPr>
            </w:pPr>
          </w:p>
        </w:tc>
        <w:tc>
          <w:tcPr>
            <w:tcW w:w="1090" w:type="pct"/>
            <w:vAlign w:val="center"/>
          </w:tcPr>
          <w:p w14:paraId="3C86F2CC">
            <w:pPr>
              <w:pStyle w:val="49"/>
              <w:jc w:val="center"/>
              <w:rPr>
                <w:rFonts w:hint="eastAsia" w:ascii="宋体" w:hAnsi="宋体" w:eastAsia="宋体" w:cs="宋体"/>
                <w:color w:val="auto"/>
                <w:sz w:val="21"/>
                <w:szCs w:val="21"/>
                <w:highlight w:val="none"/>
              </w:rPr>
            </w:pPr>
          </w:p>
        </w:tc>
        <w:tc>
          <w:tcPr>
            <w:tcW w:w="1090" w:type="pct"/>
            <w:vAlign w:val="center"/>
          </w:tcPr>
          <w:p w14:paraId="515EA04E">
            <w:pPr>
              <w:pStyle w:val="49"/>
              <w:jc w:val="center"/>
              <w:rPr>
                <w:rFonts w:hint="eastAsia" w:ascii="宋体" w:hAnsi="宋体" w:eastAsia="宋体" w:cs="宋体"/>
                <w:color w:val="auto"/>
                <w:sz w:val="21"/>
                <w:szCs w:val="21"/>
                <w:highlight w:val="none"/>
              </w:rPr>
            </w:pPr>
          </w:p>
        </w:tc>
      </w:tr>
      <w:tr w14:paraId="2D75C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37EFA1E0">
            <w:pPr>
              <w:pStyle w:val="49"/>
              <w:jc w:val="center"/>
              <w:rPr>
                <w:rFonts w:hint="eastAsia" w:ascii="宋体" w:hAnsi="宋体" w:eastAsia="宋体" w:cs="宋体"/>
                <w:color w:val="auto"/>
                <w:sz w:val="21"/>
                <w:szCs w:val="21"/>
                <w:highlight w:val="none"/>
              </w:rPr>
            </w:pPr>
          </w:p>
        </w:tc>
        <w:tc>
          <w:tcPr>
            <w:tcW w:w="1395" w:type="pct"/>
            <w:vAlign w:val="center"/>
          </w:tcPr>
          <w:p w14:paraId="1C7A6406">
            <w:pPr>
              <w:pStyle w:val="49"/>
              <w:jc w:val="center"/>
              <w:rPr>
                <w:rFonts w:hint="eastAsia" w:ascii="宋体" w:hAnsi="宋体" w:eastAsia="宋体" w:cs="宋体"/>
                <w:color w:val="auto"/>
                <w:sz w:val="21"/>
                <w:szCs w:val="21"/>
                <w:highlight w:val="none"/>
              </w:rPr>
            </w:pPr>
          </w:p>
        </w:tc>
        <w:tc>
          <w:tcPr>
            <w:tcW w:w="1002" w:type="pct"/>
            <w:vAlign w:val="center"/>
          </w:tcPr>
          <w:p w14:paraId="7F774DAF">
            <w:pPr>
              <w:pStyle w:val="49"/>
              <w:jc w:val="center"/>
              <w:rPr>
                <w:rFonts w:hint="eastAsia" w:ascii="宋体" w:hAnsi="宋体" w:eastAsia="宋体" w:cs="宋体"/>
                <w:color w:val="auto"/>
                <w:sz w:val="21"/>
                <w:szCs w:val="21"/>
                <w:highlight w:val="none"/>
              </w:rPr>
            </w:pPr>
          </w:p>
        </w:tc>
        <w:tc>
          <w:tcPr>
            <w:tcW w:w="1090" w:type="pct"/>
            <w:vAlign w:val="center"/>
          </w:tcPr>
          <w:p w14:paraId="66A55C54">
            <w:pPr>
              <w:pStyle w:val="49"/>
              <w:jc w:val="center"/>
              <w:rPr>
                <w:rFonts w:hint="eastAsia" w:ascii="宋体" w:hAnsi="宋体" w:eastAsia="宋体" w:cs="宋体"/>
                <w:color w:val="auto"/>
                <w:sz w:val="21"/>
                <w:szCs w:val="21"/>
                <w:highlight w:val="none"/>
              </w:rPr>
            </w:pPr>
          </w:p>
        </w:tc>
        <w:tc>
          <w:tcPr>
            <w:tcW w:w="1090" w:type="pct"/>
            <w:vAlign w:val="center"/>
          </w:tcPr>
          <w:p w14:paraId="6FC3A7DB">
            <w:pPr>
              <w:pStyle w:val="49"/>
              <w:jc w:val="center"/>
              <w:rPr>
                <w:rFonts w:hint="eastAsia" w:ascii="宋体" w:hAnsi="宋体" w:eastAsia="宋体" w:cs="宋体"/>
                <w:color w:val="auto"/>
                <w:sz w:val="21"/>
                <w:szCs w:val="21"/>
                <w:highlight w:val="none"/>
              </w:rPr>
            </w:pPr>
          </w:p>
        </w:tc>
      </w:tr>
      <w:tr w14:paraId="322EB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3E27F183">
            <w:pPr>
              <w:pStyle w:val="49"/>
              <w:jc w:val="center"/>
              <w:rPr>
                <w:rFonts w:hint="eastAsia" w:ascii="宋体" w:hAnsi="宋体" w:eastAsia="宋体" w:cs="宋体"/>
                <w:color w:val="auto"/>
                <w:sz w:val="21"/>
                <w:szCs w:val="21"/>
                <w:highlight w:val="none"/>
              </w:rPr>
            </w:pPr>
          </w:p>
        </w:tc>
        <w:tc>
          <w:tcPr>
            <w:tcW w:w="1395" w:type="pct"/>
            <w:vAlign w:val="center"/>
          </w:tcPr>
          <w:p w14:paraId="199507E1">
            <w:pPr>
              <w:pStyle w:val="49"/>
              <w:jc w:val="center"/>
              <w:rPr>
                <w:rFonts w:hint="eastAsia" w:ascii="宋体" w:hAnsi="宋体" w:eastAsia="宋体" w:cs="宋体"/>
                <w:color w:val="auto"/>
                <w:sz w:val="21"/>
                <w:szCs w:val="21"/>
                <w:highlight w:val="none"/>
              </w:rPr>
            </w:pPr>
          </w:p>
        </w:tc>
        <w:tc>
          <w:tcPr>
            <w:tcW w:w="1002" w:type="pct"/>
            <w:vAlign w:val="center"/>
          </w:tcPr>
          <w:p w14:paraId="6691FD82">
            <w:pPr>
              <w:pStyle w:val="49"/>
              <w:jc w:val="center"/>
              <w:rPr>
                <w:rFonts w:hint="eastAsia" w:ascii="宋体" w:hAnsi="宋体" w:eastAsia="宋体" w:cs="宋体"/>
                <w:color w:val="auto"/>
                <w:sz w:val="21"/>
                <w:szCs w:val="21"/>
                <w:highlight w:val="none"/>
              </w:rPr>
            </w:pPr>
          </w:p>
        </w:tc>
        <w:tc>
          <w:tcPr>
            <w:tcW w:w="1090" w:type="pct"/>
            <w:vAlign w:val="center"/>
          </w:tcPr>
          <w:p w14:paraId="6E35002B">
            <w:pPr>
              <w:pStyle w:val="49"/>
              <w:jc w:val="center"/>
              <w:rPr>
                <w:rFonts w:hint="eastAsia" w:ascii="宋体" w:hAnsi="宋体" w:eastAsia="宋体" w:cs="宋体"/>
                <w:color w:val="auto"/>
                <w:sz w:val="21"/>
                <w:szCs w:val="21"/>
                <w:highlight w:val="none"/>
              </w:rPr>
            </w:pPr>
          </w:p>
        </w:tc>
        <w:tc>
          <w:tcPr>
            <w:tcW w:w="1090" w:type="pct"/>
            <w:vAlign w:val="center"/>
          </w:tcPr>
          <w:p w14:paraId="69818ED1">
            <w:pPr>
              <w:pStyle w:val="49"/>
              <w:jc w:val="center"/>
              <w:rPr>
                <w:rFonts w:hint="eastAsia" w:ascii="宋体" w:hAnsi="宋体" w:eastAsia="宋体" w:cs="宋体"/>
                <w:color w:val="auto"/>
                <w:sz w:val="21"/>
                <w:szCs w:val="21"/>
                <w:highlight w:val="none"/>
              </w:rPr>
            </w:pPr>
          </w:p>
        </w:tc>
      </w:tr>
      <w:tr w14:paraId="79F3B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0" w:type="pct"/>
            <w:vAlign w:val="center"/>
          </w:tcPr>
          <w:p w14:paraId="71E185D4">
            <w:pPr>
              <w:pStyle w:val="4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395" w:type="pct"/>
            <w:vAlign w:val="center"/>
          </w:tcPr>
          <w:p w14:paraId="6324A49D">
            <w:pPr>
              <w:pStyle w:val="4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02" w:type="pct"/>
            <w:vAlign w:val="center"/>
          </w:tcPr>
          <w:p w14:paraId="0EE83785">
            <w:pPr>
              <w:pStyle w:val="4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90" w:type="pct"/>
            <w:vAlign w:val="center"/>
          </w:tcPr>
          <w:p w14:paraId="7A24BB2D">
            <w:pPr>
              <w:pStyle w:val="4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90" w:type="pct"/>
            <w:vAlign w:val="center"/>
          </w:tcPr>
          <w:p w14:paraId="7CC08218">
            <w:pPr>
              <w:pStyle w:val="49"/>
              <w:jc w:val="center"/>
              <w:rPr>
                <w:rFonts w:hint="eastAsia" w:ascii="宋体" w:hAnsi="宋体" w:eastAsia="宋体" w:cs="宋体"/>
                <w:color w:val="auto"/>
                <w:sz w:val="21"/>
                <w:szCs w:val="21"/>
                <w:highlight w:val="none"/>
              </w:rPr>
            </w:pPr>
          </w:p>
        </w:tc>
      </w:tr>
    </w:tbl>
    <w:p w14:paraId="5516D2ED">
      <w:pPr>
        <w:ind w:firstLine="420" w:firstLineChars="200"/>
        <w:rPr>
          <w:rFonts w:hint="eastAsia" w:cs="仿宋_GB2312"/>
          <w:color w:val="auto"/>
          <w:sz w:val="21"/>
          <w:szCs w:val="21"/>
          <w:highlight w:val="none"/>
        </w:rPr>
      </w:pPr>
    </w:p>
    <w:p w14:paraId="5CB06622">
      <w:pPr>
        <w:ind w:firstLine="480" w:firstLineChars="200"/>
        <w:rPr>
          <w:rFonts w:cs="仿宋_GB2312"/>
          <w:color w:val="auto"/>
          <w:szCs w:val="24"/>
          <w:highlight w:val="none"/>
        </w:rPr>
      </w:pPr>
    </w:p>
    <w:p w14:paraId="2E8083B6">
      <w:pPr>
        <w:ind w:firstLine="480" w:firstLineChars="200"/>
        <w:rPr>
          <w:rFonts w:cs="仿宋_GB2312"/>
          <w:color w:val="auto"/>
          <w:szCs w:val="24"/>
          <w:highlight w:val="none"/>
        </w:rPr>
      </w:pPr>
      <w:r>
        <w:rPr>
          <w:rFonts w:hint="eastAsia" w:cs="仿宋_GB2312"/>
          <w:color w:val="auto"/>
          <w:szCs w:val="24"/>
          <w:highlight w:val="none"/>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hint="eastAsia" w:cs="仿宋_GB2312"/>
          <w:color w:val="auto"/>
          <w:szCs w:val="24"/>
          <w:highlight w:val="none"/>
        </w:rPr>
        <w:t>：</w:t>
      </w:r>
      <w:r>
        <w:rPr>
          <w:rFonts w:cs="仿宋_GB2312"/>
          <w:color w:val="auto"/>
          <w:szCs w:val="24"/>
          <w:highlight w:val="none"/>
        </w:rPr>
        <w:t xml:space="preserve"> </w:t>
      </w:r>
    </w:p>
    <w:p w14:paraId="77655944">
      <w:pPr>
        <w:ind w:firstLine="420"/>
        <w:rPr>
          <w:rFonts w:cs="仿宋_GB2312"/>
          <w:color w:val="auto"/>
          <w:szCs w:val="24"/>
          <w:highlight w:val="none"/>
        </w:rPr>
      </w:pPr>
      <w:r>
        <w:rPr>
          <w:rFonts w:hint="eastAsia" w:cs="仿宋_GB2312"/>
          <w:color w:val="auto"/>
          <w:szCs w:val="24"/>
          <w:highlight w:val="none"/>
        </w:rPr>
        <w:t>日      期：</w:t>
      </w:r>
    </w:p>
    <w:p w14:paraId="62D3AA4F">
      <w:pPr>
        <w:ind w:firstLine="420" w:firstLineChars="200"/>
        <w:rPr>
          <w:rFonts w:hint="eastAsia" w:cs="仿宋_GB2312"/>
          <w:color w:val="auto"/>
          <w:sz w:val="21"/>
          <w:szCs w:val="21"/>
          <w:highlight w:val="none"/>
        </w:rPr>
      </w:pPr>
    </w:p>
    <w:p w14:paraId="3F428C59">
      <w:pPr>
        <w:ind w:firstLine="420" w:firstLineChars="200"/>
        <w:rPr>
          <w:rFonts w:cs="仿宋_GB2312"/>
          <w:color w:val="auto"/>
          <w:szCs w:val="24"/>
          <w:highlight w:val="none"/>
        </w:rPr>
      </w:pPr>
      <w:r>
        <w:rPr>
          <w:rFonts w:hint="eastAsia" w:cs="仿宋_GB2312"/>
          <w:color w:val="auto"/>
          <w:sz w:val="21"/>
          <w:szCs w:val="21"/>
          <w:highlight w:val="none"/>
        </w:rPr>
        <w:t>注：投标人应按照招标文件“第三章 采购需求”</w:t>
      </w:r>
      <w:r>
        <w:rPr>
          <w:rFonts w:hint="eastAsia" w:cs="仿宋_GB2312"/>
          <w:color w:val="auto"/>
          <w:sz w:val="21"/>
          <w:szCs w:val="21"/>
          <w:highlight w:val="none"/>
          <w:lang w:val="en-US" w:eastAsia="zh-CN"/>
        </w:rPr>
        <w:t>中的商务要求</w:t>
      </w:r>
      <w:r>
        <w:rPr>
          <w:rFonts w:hint="eastAsia" w:cs="仿宋_GB2312"/>
          <w:color w:val="auto"/>
          <w:sz w:val="21"/>
          <w:szCs w:val="21"/>
          <w:highlight w:val="none"/>
        </w:rPr>
        <w:t>填写</w:t>
      </w:r>
      <w:r>
        <w:rPr>
          <w:rFonts w:hint="eastAsia" w:cs="仿宋_GB2312"/>
          <w:color w:val="auto"/>
          <w:sz w:val="21"/>
          <w:szCs w:val="21"/>
          <w:highlight w:val="none"/>
          <w:lang w:eastAsia="zh-CN"/>
        </w:rPr>
        <w:t>：</w:t>
      </w:r>
    </w:p>
    <w:p w14:paraId="16749689">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 xml:space="preserve">1.“招标文件的商务条款”栏应详细列明招标文件中的商务要求。 </w:t>
      </w:r>
    </w:p>
    <w:p w14:paraId="5CB91061">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2.“投标文件的响应内容”栏填写投标人对招标文件提出的商务条款作出的明确响应，并列明具体响应数值或内容，只注明符合、满足等无具体内容表述的，将视为未实质性满足招标文件要求</w:t>
      </w:r>
      <w:r>
        <w:rPr>
          <w:rFonts w:hint="default" w:cs="仿宋_GB2312"/>
          <w:color w:val="auto"/>
          <w:sz w:val="21"/>
          <w:szCs w:val="21"/>
          <w:highlight w:val="none"/>
          <w:lang w:val="en-US" w:eastAsia="zh-CN"/>
        </w:rPr>
        <w:t>，</w:t>
      </w:r>
      <w:r>
        <w:rPr>
          <w:rFonts w:hint="eastAsia" w:cs="仿宋_GB2312"/>
          <w:b/>
          <w:bCs/>
          <w:color w:val="auto"/>
          <w:sz w:val="21"/>
          <w:szCs w:val="21"/>
          <w:highlight w:val="none"/>
          <w:lang w:val="en-US" w:eastAsia="zh-CN"/>
        </w:rPr>
        <w:t>投标</w:t>
      </w:r>
      <w:r>
        <w:rPr>
          <w:rFonts w:hint="default" w:cs="仿宋_GB2312"/>
          <w:b/>
          <w:bCs/>
          <w:color w:val="auto"/>
          <w:sz w:val="21"/>
          <w:szCs w:val="21"/>
          <w:highlight w:val="none"/>
          <w:lang w:val="en-US" w:eastAsia="zh-CN"/>
        </w:rPr>
        <w:t>无效</w:t>
      </w:r>
      <w:r>
        <w:rPr>
          <w:rFonts w:hint="eastAsia" w:cs="仿宋_GB2312"/>
          <w:color w:val="auto"/>
          <w:sz w:val="21"/>
          <w:szCs w:val="21"/>
          <w:highlight w:val="none"/>
          <w:lang w:val="en-US" w:eastAsia="zh-CN"/>
        </w:rPr>
        <w:t xml:space="preserve">。 </w:t>
      </w:r>
    </w:p>
    <w:p w14:paraId="0F350247">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 xml:space="preserve">3.“响应情况”栏应据实填写“响应”、“正偏离”或“负偏离”。 </w:t>
      </w:r>
    </w:p>
    <w:p w14:paraId="5B002B53">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4.“说明及索引”栏可填写偏离情况的具体说明及索引。</w:t>
      </w:r>
    </w:p>
    <w:p w14:paraId="59273B30">
      <w:pPr>
        <w:ind w:firstLine="420" w:firstLineChars="200"/>
        <w:rPr>
          <w:rFonts w:hint="eastAsia" w:cs="仿宋_GB2312"/>
          <w:color w:val="auto"/>
          <w:sz w:val="21"/>
          <w:szCs w:val="21"/>
          <w:highlight w:val="none"/>
          <w:lang w:val="en-US" w:eastAsia="zh-CN"/>
        </w:rPr>
      </w:pPr>
      <w:r>
        <w:rPr>
          <w:rFonts w:hint="eastAsia" w:cs="仿宋_GB2312"/>
          <w:color w:val="auto"/>
          <w:sz w:val="21"/>
          <w:szCs w:val="21"/>
          <w:highlight w:val="none"/>
          <w:lang w:val="en-US" w:eastAsia="zh-CN"/>
        </w:rPr>
        <w:t>5.对招标文件中的所有商务要求，除本表所列明的所有偏离外，均视作供应商</w:t>
      </w:r>
      <w:r>
        <w:rPr>
          <w:rFonts w:hint="default" w:cs="仿宋_GB2312"/>
          <w:color w:val="auto"/>
          <w:sz w:val="21"/>
          <w:szCs w:val="21"/>
          <w:highlight w:val="none"/>
          <w:lang w:val="en-US" w:eastAsia="zh-CN"/>
        </w:rPr>
        <w:t>已对之理解和响应。此表中若无任何文字说明，内容为空白的，</w:t>
      </w:r>
      <w:r>
        <w:rPr>
          <w:rFonts w:hint="default" w:cs="仿宋_GB2312"/>
          <w:b/>
          <w:bCs/>
          <w:color w:val="auto"/>
          <w:sz w:val="21"/>
          <w:szCs w:val="21"/>
          <w:highlight w:val="none"/>
          <w:lang w:val="en-US" w:eastAsia="zh-CN"/>
        </w:rPr>
        <w:t>投标无效</w:t>
      </w:r>
      <w:r>
        <w:rPr>
          <w:rFonts w:hint="default" w:cs="仿宋_GB2312"/>
          <w:color w:val="auto"/>
          <w:sz w:val="21"/>
          <w:szCs w:val="21"/>
          <w:highlight w:val="none"/>
          <w:lang w:val="en-US" w:eastAsia="zh-CN"/>
        </w:rPr>
        <w:t>。</w:t>
      </w:r>
    </w:p>
    <w:p w14:paraId="598C43A6">
      <w:pPr>
        <w:ind w:firstLine="420"/>
        <w:rPr>
          <w:rFonts w:cs="仿宋_GB2312"/>
          <w:color w:val="auto"/>
          <w:szCs w:val="24"/>
          <w:highlight w:val="none"/>
        </w:rPr>
      </w:pPr>
      <w:r>
        <w:rPr>
          <w:rFonts w:cs="仿宋_GB2312"/>
          <w:color w:val="auto"/>
          <w:szCs w:val="24"/>
          <w:highlight w:val="none"/>
        </w:rPr>
        <w:br w:type="page"/>
      </w:r>
    </w:p>
    <w:p w14:paraId="3BEF2EC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eastAsia="宋体" w:asciiTheme="majorHAnsi" w:hAnsiTheme="majorHAnsi" w:cstheme="majorBidi"/>
          <w:b/>
          <w:bCs/>
          <w:color w:val="auto"/>
          <w:kern w:val="2"/>
          <w:sz w:val="28"/>
          <w:szCs w:val="28"/>
          <w:highlight w:val="none"/>
          <w:lang w:val="en-US" w:eastAsia="zh-CN" w:bidi="ar-SA"/>
        </w:rPr>
      </w:pPr>
      <w:bookmarkStart w:id="397" w:name="_Toc163492930"/>
    </w:p>
    <w:p w14:paraId="287724FC">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398" w:name="_Toc29941"/>
      <w:r>
        <w:rPr>
          <w:rFonts w:hint="eastAsia" w:cstheme="majorBidi"/>
          <w:b/>
          <w:bCs/>
          <w:color w:val="auto"/>
          <w:kern w:val="2"/>
          <w:sz w:val="32"/>
          <w:szCs w:val="32"/>
          <w:highlight w:val="none"/>
          <w:lang w:val="en-US" w:eastAsia="zh-CN" w:bidi="ar-SA"/>
        </w:rPr>
        <w:t>七</w:t>
      </w:r>
      <w:r>
        <w:rPr>
          <w:rFonts w:hint="eastAsia" w:eastAsia="宋体" w:asciiTheme="majorHAnsi" w:hAnsiTheme="majorHAnsi" w:cstheme="majorBidi"/>
          <w:b/>
          <w:bCs/>
          <w:color w:val="auto"/>
          <w:kern w:val="2"/>
          <w:sz w:val="32"/>
          <w:szCs w:val="32"/>
          <w:highlight w:val="none"/>
          <w:lang w:val="en-US" w:eastAsia="zh-CN" w:bidi="ar-SA"/>
        </w:rPr>
        <w:t>、业绩证明文件</w:t>
      </w:r>
      <w:bookmarkEnd w:id="397"/>
      <w:bookmarkEnd w:id="398"/>
    </w:p>
    <w:p w14:paraId="4541380C">
      <w:pPr>
        <w:rPr>
          <w:rFonts w:cs="仿宋_GB2312"/>
          <w:color w:val="auto"/>
          <w:szCs w:val="24"/>
          <w:highlight w:val="none"/>
        </w:rPr>
      </w:pPr>
      <w:r>
        <w:rPr>
          <w:rFonts w:cs="Arial"/>
          <w:bCs/>
          <w:color w:val="auto"/>
          <w:szCs w:val="21"/>
          <w:highlight w:val="none"/>
        </w:rPr>
        <w:fldChar w:fldCharType="begin"/>
      </w:r>
      <w:r>
        <w:rPr>
          <w:rFonts w:cs="Arial"/>
          <w:bCs/>
          <w:color w:val="auto"/>
          <w:szCs w:val="21"/>
          <w:highlight w:val="none"/>
        </w:rPr>
        <w:instrText xml:space="preserve"> LINK Word.Document.8 "D:\\音乐厅\\4通用设备\\招标文件\\音乐厅空调设备招标文件v1.0.doc" "OLE_LINK8" \r  \* MERGEFORMAT </w:instrText>
      </w:r>
      <w:r>
        <w:rPr>
          <w:rFonts w:cs="Arial"/>
          <w:bCs/>
          <w:color w:val="auto"/>
          <w:szCs w:val="21"/>
          <w:highlight w:val="none"/>
        </w:rPr>
        <w:fldChar w:fldCharType="separate"/>
      </w:r>
      <w:r>
        <w:rPr>
          <w:rFonts w:hint="eastAsia" w:cs="仿宋_GB2312"/>
          <w:color w:val="auto"/>
          <w:szCs w:val="24"/>
          <w:highlight w:val="none"/>
        </w:rPr>
        <w:t xml:space="preserve">项目名称：                                         </w:t>
      </w:r>
    </w:p>
    <w:p w14:paraId="159B24BA">
      <w:pPr>
        <w:rPr>
          <w:rFonts w:cs="Arial"/>
          <w:bCs/>
          <w:color w:val="auto"/>
          <w:szCs w:val="21"/>
          <w:highlight w:val="none"/>
        </w:rPr>
      </w:pPr>
      <w:r>
        <w:rPr>
          <w:rFonts w:hint="eastAsia" w:cs="仿宋_GB2312"/>
          <w:color w:val="auto"/>
          <w:szCs w:val="24"/>
          <w:highlight w:val="none"/>
        </w:rPr>
        <w:t>项目编号</w:t>
      </w:r>
      <w:r>
        <w:rPr>
          <w:rFonts w:hint="eastAsia"/>
          <w:b w:val="0"/>
          <w:bCs/>
          <w:color w:val="auto"/>
          <w:szCs w:val="21"/>
          <w:highlight w:val="none"/>
          <w:lang w:val="en-US" w:eastAsia="zh-CN"/>
        </w:rPr>
        <w:t>/</w:t>
      </w:r>
      <w:r>
        <w:rPr>
          <w:rFonts w:hint="eastAsia"/>
          <w:b w:val="0"/>
          <w:bCs/>
          <w:color w:val="auto"/>
          <w:szCs w:val="21"/>
          <w:highlight w:val="none"/>
          <w:lang w:val="zh-CN"/>
        </w:rPr>
        <w:t>包号</w:t>
      </w:r>
      <w:r>
        <w:rPr>
          <w:rFonts w:hint="eastAsia" w:cs="仿宋_GB2312"/>
          <w:color w:val="auto"/>
          <w:szCs w:val="24"/>
          <w:highlight w:val="none"/>
        </w:rPr>
        <w:t xml:space="preserve">：      </w:t>
      </w:r>
      <w:r>
        <w:rPr>
          <w:rFonts w:cs="Arial"/>
          <w:bCs/>
          <w:color w:val="auto"/>
          <w:szCs w:val="21"/>
          <w:highlight w:val="none"/>
        </w:rPr>
        <w:fldChar w:fldCharType="end"/>
      </w:r>
    </w:p>
    <w:tbl>
      <w:tblPr>
        <w:tblStyle w:val="30"/>
        <w:tblW w:w="9072" w:type="dxa"/>
        <w:tblInd w:w="-2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4"/>
        <w:gridCol w:w="1560"/>
        <w:gridCol w:w="1248"/>
        <w:gridCol w:w="1560"/>
        <w:gridCol w:w="1344"/>
        <w:gridCol w:w="1525"/>
        <w:gridCol w:w="1091"/>
      </w:tblGrid>
      <w:tr w14:paraId="387D3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4E9572F9">
            <w:pPr>
              <w:jc w:val="center"/>
              <w:rPr>
                <w:rFonts w:hint="eastAsia" w:ascii="宋体" w:hAnsi="宋体" w:eastAsia="宋体" w:cs="宋体"/>
                <w:color w:val="auto"/>
                <w:sz w:val="21"/>
                <w:szCs w:val="21"/>
                <w:highlight w:val="none"/>
              </w:rPr>
            </w:pPr>
            <w:bookmarkStart w:id="399" w:name="_Hlk46779239"/>
            <w:r>
              <w:rPr>
                <w:rFonts w:hint="eastAsia" w:ascii="宋体" w:hAnsi="宋体" w:eastAsia="宋体" w:cs="宋体"/>
                <w:color w:val="auto"/>
                <w:sz w:val="21"/>
                <w:szCs w:val="21"/>
                <w:highlight w:val="none"/>
              </w:rPr>
              <w:t>序号</w:t>
            </w:r>
          </w:p>
        </w:tc>
        <w:tc>
          <w:tcPr>
            <w:tcW w:w="1560" w:type="dxa"/>
            <w:shd w:val="clear" w:color="auto" w:fill="auto"/>
            <w:vAlign w:val="center"/>
          </w:tcPr>
          <w:p w14:paraId="51F55A40">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项目名称</w:t>
            </w:r>
          </w:p>
        </w:tc>
        <w:tc>
          <w:tcPr>
            <w:tcW w:w="1248" w:type="dxa"/>
            <w:shd w:val="clear" w:color="auto" w:fill="auto"/>
            <w:vAlign w:val="center"/>
          </w:tcPr>
          <w:p w14:paraId="4D5C38D5">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标的</w:t>
            </w:r>
            <w:r>
              <w:rPr>
                <w:rFonts w:hint="eastAsia" w:ascii="宋体" w:hAnsi="宋体" w:eastAsia="宋体" w:cs="宋体"/>
                <w:color w:val="auto"/>
                <w:sz w:val="21"/>
                <w:szCs w:val="21"/>
                <w:highlight w:val="none"/>
              </w:rPr>
              <w:t>内容</w:t>
            </w:r>
          </w:p>
        </w:tc>
        <w:tc>
          <w:tcPr>
            <w:tcW w:w="1560" w:type="dxa"/>
            <w:shd w:val="clear" w:color="auto" w:fill="auto"/>
            <w:vAlign w:val="center"/>
          </w:tcPr>
          <w:p w14:paraId="69717F2A">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rPr>
              <w:t>名称</w:t>
            </w:r>
          </w:p>
        </w:tc>
        <w:tc>
          <w:tcPr>
            <w:tcW w:w="1344" w:type="dxa"/>
            <w:shd w:val="clear" w:color="auto" w:fill="auto"/>
            <w:vAlign w:val="center"/>
          </w:tcPr>
          <w:p w14:paraId="57C35070">
            <w:pPr>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中标（成交）金额</w:t>
            </w:r>
          </w:p>
        </w:tc>
        <w:tc>
          <w:tcPr>
            <w:tcW w:w="1525" w:type="dxa"/>
            <w:shd w:val="clear" w:color="auto" w:fill="auto"/>
            <w:vAlign w:val="center"/>
          </w:tcPr>
          <w:p w14:paraId="01352CB9">
            <w:pPr>
              <w:spacing w:line="240" w:lineRule="auto"/>
              <w:jc w:val="center"/>
              <w:rPr>
                <w:rFonts w:hint="default" w:ascii="宋体" w:hAnsi="宋体" w:eastAsia="宋体" w:cs="宋体"/>
                <w:color w:val="auto"/>
                <w:kern w:val="2"/>
                <w:sz w:val="21"/>
                <w:szCs w:val="21"/>
                <w:highlight w:val="none"/>
                <w:lang w:val="en-US" w:eastAsia="zh-CN" w:bidi="ar-SA"/>
              </w:rPr>
            </w:pPr>
            <w:r>
              <w:rPr>
                <w:rFonts w:hint="eastAsia" w:cs="宋体"/>
                <w:color w:val="auto"/>
                <w:kern w:val="2"/>
                <w:sz w:val="21"/>
                <w:szCs w:val="21"/>
                <w:highlight w:val="none"/>
                <w:lang w:val="en-US" w:eastAsia="zh-CN" w:bidi="ar-SA"/>
              </w:rPr>
              <w:t>采购合同签订时间</w:t>
            </w:r>
          </w:p>
        </w:tc>
        <w:tc>
          <w:tcPr>
            <w:tcW w:w="1091" w:type="dxa"/>
            <w:vAlign w:val="center"/>
          </w:tcPr>
          <w:p w14:paraId="2DA424BF">
            <w:pPr>
              <w:jc w:val="center"/>
              <w:rPr>
                <w:rFonts w:hint="eastAsia"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备注</w:t>
            </w:r>
          </w:p>
        </w:tc>
      </w:tr>
      <w:tr w14:paraId="25958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27508E81">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560" w:type="dxa"/>
            <w:vAlign w:val="center"/>
          </w:tcPr>
          <w:p w14:paraId="27562AF7">
            <w:pPr>
              <w:rPr>
                <w:rFonts w:hint="eastAsia" w:ascii="宋体" w:hAnsi="宋体" w:eastAsia="宋体" w:cs="宋体"/>
                <w:color w:val="auto"/>
                <w:sz w:val="21"/>
                <w:szCs w:val="21"/>
                <w:highlight w:val="none"/>
              </w:rPr>
            </w:pPr>
          </w:p>
        </w:tc>
        <w:tc>
          <w:tcPr>
            <w:tcW w:w="1248" w:type="dxa"/>
            <w:vAlign w:val="center"/>
          </w:tcPr>
          <w:p w14:paraId="02799269">
            <w:pPr>
              <w:rPr>
                <w:rFonts w:hint="eastAsia" w:ascii="宋体" w:hAnsi="宋体" w:eastAsia="宋体" w:cs="宋体"/>
                <w:color w:val="auto"/>
                <w:sz w:val="21"/>
                <w:szCs w:val="21"/>
                <w:highlight w:val="none"/>
              </w:rPr>
            </w:pPr>
          </w:p>
        </w:tc>
        <w:tc>
          <w:tcPr>
            <w:tcW w:w="1560" w:type="dxa"/>
            <w:vAlign w:val="center"/>
          </w:tcPr>
          <w:p w14:paraId="6449ADDF">
            <w:pPr>
              <w:rPr>
                <w:rFonts w:hint="eastAsia" w:ascii="宋体" w:hAnsi="宋体" w:eastAsia="宋体" w:cs="宋体"/>
                <w:color w:val="auto"/>
                <w:sz w:val="21"/>
                <w:szCs w:val="21"/>
                <w:highlight w:val="none"/>
              </w:rPr>
            </w:pPr>
          </w:p>
        </w:tc>
        <w:tc>
          <w:tcPr>
            <w:tcW w:w="1344" w:type="dxa"/>
            <w:vAlign w:val="center"/>
          </w:tcPr>
          <w:p w14:paraId="183C0714">
            <w:pPr>
              <w:rPr>
                <w:rFonts w:hint="eastAsia" w:ascii="宋体" w:hAnsi="宋体" w:eastAsia="宋体" w:cs="宋体"/>
                <w:color w:val="auto"/>
                <w:sz w:val="21"/>
                <w:szCs w:val="21"/>
                <w:highlight w:val="none"/>
              </w:rPr>
            </w:pPr>
          </w:p>
        </w:tc>
        <w:tc>
          <w:tcPr>
            <w:tcW w:w="1525" w:type="dxa"/>
            <w:vAlign w:val="center"/>
          </w:tcPr>
          <w:p w14:paraId="4A8D26BB">
            <w:pPr>
              <w:rPr>
                <w:rFonts w:hint="eastAsia" w:ascii="宋体" w:hAnsi="宋体" w:eastAsia="宋体" w:cs="宋体"/>
                <w:color w:val="auto"/>
                <w:sz w:val="21"/>
                <w:szCs w:val="21"/>
                <w:highlight w:val="none"/>
              </w:rPr>
            </w:pPr>
          </w:p>
        </w:tc>
        <w:tc>
          <w:tcPr>
            <w:tcW w:w="1091" w:type="dxa"/>
            <w:vAlign w:val="center"/>
          </w:tcPr>
          <w:p w14:paraId="09D0936A">
            <w:pPr>
              <w:rPr>
                <w:rFonts w:hint="eastAsia" w:ascii="宋体" w:hAnsi="宋体" w:eastAsia="宋体" w:cs="宋体"/>
                <w:color w:val="auto"/>
                <w:sz w:val="21"/>
                <w:szCs w:val="21"/>
                <w:highlight w:val="none"/>
              </w:rPr>
            </w:pPr>
          </w:p>
        </w:tc>
      </w:tr>
      <w:tr w14:paraId="79366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4A21BB39">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560" w:type="dxa"/>
            <w:vAlign w:val="center"/>
          </w:tcPr>
          <w:p w14:paraId="7CA4B3F3">
            <w:pPr>
              <w:rPr>
                <w:rFonts w:hint="eastAsia" w:ascii="宋体" w:hAnsi="宋体" w:eastAsia="宋体" w:cs="宋体"/>
                <w:color w:val="auto"/>
                <w:sz w:val="21"/>
                <w:szCs w:val="21"/>
                <w:highlight w:val="none"/>
              </w:rPr>
            </w:pPr>
          </w:p>
        </w:tc>
        <w:tc>
          <w:tcPr>
            <w:tcW w:w="1248" w:type="dxa"/>
            <w:vAlign w:val="center"/>
          </w:tcPr>
          <w:p w14:paraId="59CCECB1">
            <w:pPr>
              <w:rPr>
                <w:rFonts w:hint="eastAsia" w:ascii="宋体" w:hAnsi="宋体" w:eastAsia="宋体" w:cs="宋体"/>
                <w:color w:val="auto"/>
                <w:sz w:val="21"/>
                <w:szCs w:val="21"/>
                <w:highlight w:val="none"/>
              </w:rPr>
            </w:pPr>
          </w:p>
        </w:tc>
        <w:tc>
          <w:tcPr>
            <w:tcW w:w="1560" w:type="dxa"/>
            <w:vAlign w:val="center"/>
          </w:tcPr>
          <w:p w14:paraId="4E8043C4">
            <w:pPr>
              <w:rPr>
                <w:rFonts w:hint="eastAsia" w:ascii="宋体" w:hAnsi="宋体" w:eastAsia="宋体" w:cs="宋体"/>
                <w:color w:val="auto"/>
                <w:sz w:val="21"/>
                <w:szCs w:val="21"/>
                <w:highlight w:val="none"/>
              </w:rPr>
            </w:pPr>
          </w:p>
        </w:tc>
        <w:tc>
          <w:tcPr>
            <w:tcW w:w="1344" w:type="dxa"/>
            <w:vAlign w:val="center"/>
          </w:tcPr>
          <w:p w14:paraId="2E195778">
            <w:pPr>
              <w:rPr>
                <w:rFonts w:hint="eastAsia" w:ascii="宋体" w:hAnsi="宋体" w:eastAsia="宋体" w:cs="宋体"/>
                <w:color w:val="auto"/>
                <w:sz w:val="21"/>
                <w:szCs w:val="21"/>
                <w:highlight w:val="none"/>
              </w:rPr>
            </w:pPr>
          </w:p>
        </w:tc>
        <w:tc>
          <w:tcPr>
            <w:tcW w:w="1525" w:type="dxa"/>
            <w:vAlign w:val="center"/>
          </w:tcPr>
          <w:p w14:paraId="3DDF15B1">
            <w:pPr>
              <w:rPr>
                <w:rFonts w:hint="eastAsia" w:ascii="宋体" w:hAnsi="宋体" w:eastAsia="宋体" w:cs="宋体"/>
                <w:color w:val="auto"/>
                <w:sz w:val="21"/>
                <w:szCs w:val="21"/>
                <w:highlight w:val="none"/>
              </w:rPr>
            </w:pPr>
          </w:p>
        </w:tc>
        <w:tc>
          <w:tcPr>
            <w:tcW w:w="1091" w:type="dxa"/>
            <w:vAlign w:val="center"/>
          </w:tcPr>
          <w:p w14:paraId="185645D3">
            <w:pPr>
              <w:rPr>
                <w:rFonts w:hint="eastAsia" w:ascii="宋体" w:hAnsi="宋体" w:eastAsia="宋体" w:cs="宋体"/>
                <w:color w:val="auto"/>
                <w:sz w:val="21"/>
                <w:szCs w:val="21"/>
                <w:highlight w:val="none"/>
              </w:rPr>
            </w:pPr>
          </w:p>
        </w:tc>
      </w:tr>
      <w:tr w14:paraId="624A4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4428D324">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560" w:type="dxa"/>
            <w:vAlign w:val="center"/>
          </w:tcPr>
          <w:p w14:paraId="46AEF6AC">
            <w:pPr>
              <w:rPr>
                <w:rFonts w:hint="eastAsia" w:ascii="宋体" w:hAnsi="宋体" w:eastAsia="宋体" w:cs="宋体"/>
                <w:color w:val="auto"/>
                <w:sz w:val="21"/>
                <w:szCs w:val="21"/>
                <w:highlight w:val="none"/>
              </w:rPr>
            </w:pPr>
          </w:p>
        </w:tc>
        <w:tc>
          <w:tcPr>
            <w:tcW w:w="1248" w:type="dxa"/>
            <w:vAlign w:val="center"/>
          </w:tcPr>
          <w:p w14:paraId="601B0208">
            <w:pPr>
              <w:rPr>
                <w:rFonts w:hint="eastAsia" w:ascii="宋体" w:hAnsi="宋体" w:eastAsia="宋体" w:cs="宋体"/>
                <w:color w:val="auto"/>
                <w:sz w:val="21"/>
                <w:szCs w:val="21"/>
                <w:highlight w:val="none"/>
              </w:rPr>
            </w:pPr>
          </w:p>
        </w:tc>
        <w:tc>
          <w:tcPr>
            <w:tcW w:w="1560" w:type="dxa"/>
            <w:vAlign w:val="center"/>
          </w:tcPr>
          <w:p w14:paraId="56885EE6">
            <w:pPr>
              <w:rPr>
                <w:rFonts w:hint="eastAsia" w:ascii="宋体" w:hAnsi="宋体" w:eastAsia="宋体" w:cs="宋体"/>
                <w:color w:val="auto"/>
                <w:sz w:val="21"/>
                <w:szCs w:val="21"/>
                <w:highlight w:val="none"/>
              </w:rPr>
            </w:pPr>
          </w:p>
        </w:tc>
        <w:tc>
          <w:tcPr>
            <w:tcW w:w="1344" w:type="dxa"/>
            <w:vAlign w:val="center"/>
          </w:tcPr>
          <w:p w14:paraId="00552B19">
            <w:pPr>
              <w:rPr>
                <w:rFonts w:hint="eastAsia" w:ascii="宋体" w:hAnsi="宋体" w:eastAsia="宋体" w:cs="宋体"/>
                <w:color w:val="auto"/>
                <w:sz w:val="21"/>
                <w:szCs w:val="21"/>
                <w:highlight w:val="none"/>
              </w:rPr>
            </w:pPr>
          </w:p>
        </w:tc>
        <w:tc>
          <w:tcPr>
            <w:tcW w:w="1525" w:type="dxa"/>
            <w:vAlign w:val="center"/>
          </w:tcPr>
          <w:p w14:paraId="38FE3D5D">
            <w:pPr>
              <w:rPr>
                <w:rFonts w:hint="eastAsia" w:ascii="宋体" w:hAnsi="宋体" w:eastAsia="宋体" w:cs="宋体"/>
                <w:color w:val="auto"/>
                <w:sz w:val="21"/>
                <w:szCs w:val="21"/>
                <w:highlight w:val="none"/>
              </w:rPr>
            </w:pPr>
          </w:p>
        </w:tc>
        <w:tc>
          <w:tcPr>
            <w:tcW w:w="1091" w:type="dxa"/>
            <w:vAlign w:val="center"/>
          </w:tcPr>
          <w:p w14:paraId="20173386">
            <w:pPr>
              <w:rPr>
                <w:rFonts w:hint="eastAsia" w:ascii="宋体" w:hAnsi="宋体" w:eastAsia="宋体" w:cs="宋体"/>
                <w:color w:val="auto"/>
                <w:sz w:val="21"/>
                <w:szCs w:val="21"/>
                <w:highlight w:val="none"/>
              </w:rPr>
            </w:pPr>
          </w:p>
        </w:tc>
      </w:tr>
      <w:tr w14:paraId="45C01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7D259137">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1560" w:type="dxa"/>
            <w:vAlign w:val="center"/>
          </w:tcPr>
          <w:p w14:paraId="12629B54">
            <w:pPr>
              <w:rPr>
                <w:rFonts w:hint="eastAsia" w:ascii="宋体" w:hAnsi="宋体" w:eastAsia="宋体" w:cs="宋体"/>
                <w:color w:val="auto"/>
                <w:sz w:val="21"/>
                <w:szCs w:val="21"/>
                <w:highlight w:val="none"/>
              </w:rPr>
            </w:pPr>
          </w:p>
        </w:tc>
        <w:tc>
          <w:tcPr>
            <w:tcW w:w="1248" w:type="dxa"/>
            <w:vAlign w:val="center"/>
          </w:tcPr>
          <w:p w14:paraId="278EE304">
            <w:pPr>
              <w:rPr>
                <w:rFonts w:hint="eastAsia" w:ascii="宋体" w:hAnsi="宋体" w:eastAsia="宋体" w:cs="宋体"/>
                <w:color w:val="auto"/>
                <w:sz w:val="21"/>
                <w:szCs w:val="21"/>
                <w:highlight w:val="none"/>
              </w:rPr>
            </w:pPr>
          </w:p>
        </w:tc>
        <w:tc>
          <w:tcPr>
            <w:tcW w:w="1560" w:type="dxa"/>
            <w:vAlign w:val="center"/>
          </w:tcPr>
          <w:p w14:paraId="502FE2B6">
            <w:pPr>
              <w:rPr>
                <w:rFonts w:hint="eastAsia" w:ascii="宋体" w:hAnsi="宋体" w:eastAsia="宋体" w:cs="宋体"/>
                <w:color w:val="auto"/>
                <w:sz w:val="21"/>
                <w:szCs w:val="21"/>
                <w:highlight w:val="none"/>
              </w:rPr>
            </w:pPr>
          </w:p>
        </w:tc>
        <w:tc>
          <w:tcPr>
            <w:tcW w:w="1344" w:type="dxa"/>
            <w:vAlign w:val="center"/>
          </w:tcPr>
          <w:p w14:paraId="44F7BE63">
            <w:pPr>
              <w:rPr>
                <w:rFonts w:hint="eastAsia" w:ascii="宋体" w:hAnsi="宋体" w:eastAsia="宋体" w:cs="宋体"/>
                <w:color w:val="auto"/>
                <w:sz w:val="21"/>
                <w:szCs w:val="21"/>
                <w:highlight w:val="none"/>
              </w:rPr>
            </w:pPr>
          </w:p>
        </w:tc>
        <w:tc>
          <w:tcPr>
            <w:tcW w:w="1525" w:type="dxa"/>
            <w:vAlign w:val="center"/>
          </w:tcPr>
          <w:p w14:paraId="5208210B">
            <w:pPr>
              <w:rPr>
                <w:rFonts w:hint="eastAsia" w:ascii="宋体" w:hAnsi="宋体" w:eastAsia="宋体" w:cs="宋体"/>
                <w:color w:val="auto"/>
                <w:sz w:val="21"/>
                <w:szCs w:val="21"/>
                <w:highlight w:val="none"/>
              </w:rPr>
            </w:pPr>
          </w:p>
        </w:tc>
        <w:tc>
          <w:tcPr>
            <w:tcW w:w="1091" w:type="dxa"/>
            <w:vAlign w:val="center"/>
          </w:tcPr>
          <w:p w14:paraId="7EC41624">
            <w:pPr>
              <w:rPr>
                <w:rFonts w:hint="eastAsia" w:ascii="宋体" w:hAnsi="宋体" w:eastAsia="宋体" w:cs="宋体"/>
                <w:color w:val="auto"/>
                <w:sz w:val="21"/>
                <w:szCs w:val="21"/>
                <w:highlight w:val="none"/>
              </w:rPr>
            </w:pPr>
          </w:p>
        </w:tc>
      </w:tr>
      <w:tr w14:paraId="6F118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1FCCAE38">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1560" w:type="dxa"/>
            <w:vAlign w:val="center"/>
          </w:tcPr>
          <w:p w14:paraId="1728B663">
            <w:pPr>
              <w:rPr>
                <w:rFonts w:hint="eastAsia" w:ascii="宋体" w:hAnsi="宋体" w:eastAsia="宋体" w:cs="宋体"/>
                <w:color w:val="auto"/>
                <w:sz w:val="21"/>
                <w:szCs w:val="21"/>
                <w:highlight w:val="none"/>
              </w:rPr>
            </w:pPr>
          </w:p>
        </w:tc>
        <w:tc>
          <w:tcPr>
            <w:tcW w:w="1248" w:type="dxa"/>
            <w:vAlign w:val="center"/>
          </w:tcPr>
          <w:p w14:paraId="5B701B38">
            <w:pPr>
              <w:rPr>
                <w:rFonts w:hint="eastAsia" w:ascii="宋体" w:hAnsi="宋体" w:eastAsia="宋体" w:cs="宋体"/>
                <w:color w:val="auto"/>
                <w:sz w:val="21"/>
                <w:szCs w:val="21"/>
                <w:highlight w:val="none"/>
              </w:rPr>
            </w:pPr>
          </w:p>
        </w:tc>
        <w:tc>
          <w:tcPr>
            <w:tcW w:w="1560" w:type="dxa"/>
            <w:vAlign w:val="center"/>
          </w:tcPr>
          <w:p w14:paraId="0BFD5658">
            <w:pPr>
              <w:rPr>
                <w:rFonts w:hint="eastAsia" w:ascii="宋体" w:hAnsi="宋体" w:eastAsia="宋体" w:cs="宋体"/>
                <w:color w:val="auto"/>
                <w:sz w:val="21"/>
                <w:szCs w:val="21"/>
                <w:highlight w:val="none"/>
              </w:rPr>
            </w:pPr>
          </w:p>
        </w:tc>
        <w:tc>
          <w:tcPr>
            <w:tcW w:w="1344" w:type="dxa"/>
            <w:vAlign w:val="center"/>
          </w:tcPr>
          <w:p w14:paraId="56955758">
            <w:pPr>
              <w:rPr>
                <w:rFonts w:hint="eastAsia" w:ascii="宋体" w:hAnsi="宋体" w:eastAsia="宋体" w:cs="宋体"/>
                <w:color w:val="auto"/>
                <w:sz w:val="21"/>
                <w:szCs w:val="21"/>
                <w:highlight w:val="none"/>
              </w:rPr>
            </w:pPr>
          </w:p>
        </w:tc>
        <w:tc>
          <w:tcPr>
            <w:tcW w:w="1525" w:type="dxa"/>
            <w:vAlign w:val="center"/>
          </w:tcPr>
          <w:p w14:paraId="0E461DD3">
            <w:pPr>
              <w:rPr>
                <w:rFonts w:hint="eastAsia" w:ascii="宋体" w:hAnsi="宋体" w:eastAsia="宋体" w:cs="宋体"/>
                <w:color w:val="auto"/>
                <w:sz w:val="21"/>
                <w:szCs w:val="21"/>
                <w:highlight w:val="none"/>
              </w:rPr>
            </w:pPr>
          </w:p>
        </w:tc>
        <w:tc>
          <w:tcPr>
            <w:tcW w:w="1091" w:type="dxa"/>
            <w:vAlign w:val="center"/>
          </w:tcPr>
          <w:p w14:paraId="5804A0BF">
            <w:pPr>
              <w:rPr>
                <w:rFonts w:hint="eastAsia" w:ascii="宋体" w:hAnsi="宋体" w:eastAsia="宋体" w:cs="宋体"/>
                <w:color w:val="auto"/>
                <w:sz w:val="21"/>
                <w:szCs w:val="21"/>
                <w:highlight w:val="none"/>
              </w:rPr>
            </w:pPr>
          </w:p>
        </w:tc>
      </w:tr>
      <w:tr w14:paraId="3BC23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44" w:type="dxa"/>
            <w:vAlign w:val="center"/>
          </w:tcPr>
          <w:p w14:paraId="433A34E7">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560" w:type="dxa"/>
            <w:vAlign w:val="center"/>
          </w:tcPr>
          <w:p w14:paraId="5D94CAA1">
            <w:pPr>
              <w:rPr>
                <w:rFonts w:hint="eastAsia" w:ascii="宋体" w:hAnsi="宋体" w:eastAsia="宋体" w:cs="宋体"/>
                <w:color w:val="auto"/>
                <w:sz w:val="21"/>
                <w:szCs w:val="21"/>
                <w:highlight w:val="none"/>
              </w:rPr>
            </w:pPr>
          </w:p>
        </w:tc>
        <w:tc>
          <w:tcPr>
            <w:tcW w:w="1248" w:type="dxa"/>
            <w:vAlign w:val="center"/>
          </w:tcPr>
          <w:p w14:paraId="48AC7386">
            <w:pPr>
              <w:rPr>
                <w:rFonts w:hint="eastAsia" w:ascii="宋体" w:hAnsi="宋体" w:eastAsia="宋体" w:cs="宋体"/>
                <w:color w:val="auto"/>
                <w:sz w:val="21"/>
                <w:szCs w:val="21"/>
                <w:highlight w:val="none"/>
              </w:rPr>
            </w:pPr>
          </w:p>
        </w:tc>
        <w:tc>
          <w:tcPr>
            <w:tcW w:w="1560" w:type="dxa"/>
            <w:vAlign w:val="center"/>
          </w:tcPr>
          <w:p w14:paraId="20172F35">
            <w:pPr>
              <w:rPr>
                <w:rFonts w:hint="eastAsia" w:ascii="宋体" w:hAnsi="宋体" w:eastAsia="宋体" w:cs="宋体"/>
                <w:color w:val="auto"/>
                <w:sz w:val="21"/>
                <w:szCs w:val="21"/>
                <w:highlight w:val="none"/>
              </w:rPr>
            </w:pPr>
          </w:p>
        </w:tc>
        <w:tc>
          <w:tcPr>
            <w:tcW w:w="1344" w:type="dxa"/>
            <w:vAlign w:val="center"/>
          </w:tcPr>
          <w:p w14:paraId="75CF74D1">
            <w:pPr>
              <w:rPr>
                <w:rFonts w:hint="eastAsia" w:ascii="宋体" w:hAnsi="宋体" w:eastAsia="宋体" w:cs="宋体"/>
                <w:color w:val="auto"/>
                <w:sz w:val="21"/>
                <w:szCs w:val="21"/>
                <w:highlight w:val="none"/>
              </w:rPr>
            </w:pPr>
          </w:p>
        </w:tc>
        <w:tc>
          <w:tcPr>
            <w:tcW w:w="1525" w:type="dxa"/>
            <w:vAlign w:val="center"/>
          </w:tcPr>
          <w:p w14:paraId="4A3F6BEC">
            <w:pPr>
              <w:rPr>
                <w:rFonts w:hint="eastAsia" w:ascii="宋体" w:hAnsi="宋体" w:eastAsia="宋体" w:cs="宋体"/>
                <w:color w:val="auto"/>
                <w:sz w:val="21"/>
                <w:szCs w:val="21"/>
                <w:highlight w:val="none"/>
              </w:rPr>
            </w:pPr>
          </w:p>
        </w:tc>
        <w:tc>
          <w:tcPr>
            <w:tcW w:w="1091" w:type="dxa"/>
            <w:vAlign w:val="center"/>
          </w:tcPr>
          <w:p w14:paraId="52BCFD5F">
            <w:pPr>
              <w:rPr>
                <w:rFonts w:hint="eastAsia" w:ascii="宋体" w:hAnsi="宋体" w:eastAsia="宋体" w:cs="宋体"/>
                <w:color w:val="auto"/>
                <w:sz w:val="21"/>
                <w:szCs w:val="21"/>
                <w:highlight w:val="none"/>
              </w:rPr>
            </w:pPr>
          </w:p>
        </w:tc>
      </w:tr>
      <w:bookmarkEnd w:id="399"/>
    </w:tbl>
    <w:p w14:paraId="05F32EC7">
      <w:pPr>
        <w:rPr>
          <w:rFonts w:hint="eastAsia" w:cs="仿宋_GB2312"/>
          <w:color w:val="auto"/>
          <w:szCs w:val="24"/>
          <w:highlight w:val="none"/>
        </w:rPr>
      </w:pPr>
    </w:p>
    <w:p w14:paraId="58FF379C">
      <w:pPr>
        <w:rPr>
          <w:rFonts w:cs="仿宋_GB2312"/>
          <w:color w:val="auto"/>
          <w:sz w:val="21"/>
          <w:szCs w:val="21"/>
          <w:highlight w:val="none"/>
        </w:rPr>
      </w:pPr>
      <w:r>
        <w:rPr>
          <w:rFonts w:hint="eastAsia" w:cs="仿宋_GB2312"/>
          <w:color w:val="auto"/>
          <w:sz w:val="21"/>
          <w:szCs w:val="21"/>
          <w:highlight w:val="none"/>
        </w:rPr>
        <w:t>注：投标人须按</w:t>
      </w:r>
      <w:r>
        <w:rPr>
          <w:rFonts w:hint="eastAsia" w:cs="仿宋_GB2312"/>
          <w:color w:val="auto"/>
          <w:sz w:val="21"/>
          <w:szCs w:val="21"/>
          <w:highlight w:val="none"/>
          <w:lang w:val="en-US" w:eastAsia="zh-CN"/>
        </w:rPr>
        <w:t>相关要求</w:t>
      </w:r>
      <w:r>
        <w:rPr>
          <w:rFonts w:hint="eastAsia" w:cs="仿宋_GB2312"/>
          <w:color w:val="auto"/>
          <w:sz w:val="21"/>
          <w:szCs w:val="21"/>
          <w:highlight w:val="none"/>
        </w:rPr>
        <w:t>提供相应的</w:t>
      </w:r>
      <w:r>
        <w:rPr>
          <w:rFonts w:hint="eastAsia" w:cs="仿宋_GB2312"/>
          <w:color w:val="auto"/>
          <w:sz w:val="21"/>
          <w:szCs w:val="21"/>
          <w:highlight w:val="none"/>
          <w:lang w:val="en-US" w:eastAsia="zh-CN"/>
        </w:rPr>
        <w:t>中标（成交）通知书、采购合同等</w:t>
      </w:r>
      <w:r>
        <w:rPr>
          <w:rFonts w:hint="eastAsia" w:cs="仿宋_GB2312"/>
          <w:color w:val="auto"/>
          <w:sz w:val="21"/>
          <w:szCs w:val="21"/>
          <w:highlight w:val="none"/>
        </w:rPr>
        <w:t>业绩证明资料。</w:t>
      </w:r>
    </w:p>
    <w:p w14:paraId="5DB99613">
      <w:pPr>
        <w:widowControl/>
        <w:spacing w:before="100" w:beforeAutospacing="1" w:after="100" w:afterAutospacing="1"/>
        <w:rPr>
          <w:rFonts w:cs="Arial"/>
          <w:color w:val="auto"/>
          <w:szCs w:val="21"/>
          <w:highlight w:val="none"/>
        </w:rPr>
      </w:pPr>
    </w:p>
    <w:p w14:paraId="68FCBA1E">
      <w:pPr>
        <w:ind w:firstLine="480" w:firstLineChars="200"/>
        <w:rPr>
          <w:rFonts w:cs="仿宋_GB2312"/>
          <w:color w:val="auto"/>
          <w:szCs w:val="24"/>
          <w:highlight w:val="none"/>
        </w:rPr>
      </w:pPr>
      <w:r>
        <w:rPr>
          <w:rFonts w:hint="eastAsia" w:cs="仿宋_GB2312"/>
          <w:color w:val="auto"/>
          <w:szCs w:val="24"/>
          <w:highlight w:val="none"/>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hint="eastAsia" w:cs="仿宋_GB2312"/>
          <w:color w:val="auto"/>
          <w:szCs w:val="24"/>
          <w:highlight w:val="none"/>
        </w:rPr>
        <w:t>：</w:t>
      </w:r>
      <w:r>
        <w:rPr>
          <w:rFonts w:cs="仿宋_GB2312"/>
          <w:color w:val="auto"/>
          <w:szCs w:val="24"/>
          <w:highlight w:val="none"/>
        </w:rPr>
        <w:t xml:space="preserve"> </w:t>
      </w:r>
    </w:p>
    <w:p w14:paraId="360811C8">
      <w:pPr>
        <w:ind w:firstLine="420"/>
        <w:rPr>
          <w:rFonts w:cs="仿宋_GB2312"/>
          <w:color w:val="auto"/>
          <w:szCs w:val="24"/>
          <w:highlight w:val="none"/>
        </w:rPr>
      </w:pPr>
      <w:r>
        <w:rPr>
          <w:rFonts w:hint="eastAsia" w:cs="仿宋_GB2312"/>
          <w:color w:val="auto"/>
          <w:szCs w:val="24"/>
          <w:highlight w:val="none"/>
        </w:rPr>
        <w:t>日      期：</w:t>
      </w:r>
    </w:p>
    <w:p w14:paraId="095105C8">
      <w:pPr>
        <w:ind w:firstLine="420"/>
        <w:rPr>
          <w:rFonts w:cs="仿宋_GB2312"/>
          <w:color w:val="auto"/>
          <w:szCs w:val="24"/>
          <w:highlight w:val="none"/>
        </w:rPr>
      </w:pPr>
      <w:r>
        <w:rPr>
          <w:rFonts w:cs="仿宋_GB2312"/>
          <w:color w:val="auto"/>
          <w:szCs w:val="24"/>
          <w:highlight w:val="none"/>
        </w:rPr>
        <w:br w:type="page"/>
      </w:r>
    </w:p>
    <w:p w14:paraId="4E924C81">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400" w:name="_Toc163492931"/>
      <w:bookmarkStart w:id="401" w:name="_Toc18196"/>
      <w:r>
        <w:rPr>
          <w:rFonts w:hint="eastAsia" w:cstheme="majorBidi"/>
          <w:b/>
          <w:bCs/>
          <w:color w:val="auto"/>
          <w:kern w:val="2"/>
          <w:sz w:val="32"/>
          <w:szCs w:val="32"/>
          <w:highlight w:val="none"/>
          <w:lang w:val="en-US" w:eastAsia="zh-CN" w:bidi="ar-SA"/>
        </w:rPr>
        <w:t>八</w:t>
      </w:r>
      <w:r>
        <w:rPr>
          <w:rFonts w:hint="eastAsia" w:eastAsia="宋体" w:asciiTheme="majorHAnsi" w:hAnsiTheme="majorHAnsi" w:cstheme="majorBidi"/>
          <w:b/>
          <w:bCs/>
          <w:color w:val="auto"/>
          <w:kern w:val="2"/>
          <w:sz w:val="32"/>
          <w:szCs w:val="32"/>
          <w:highlight w:val="none"/>
          <w:lang w:val="en-US" w:eastAsia="zh-CN" w:bidi="ar-SA"/>
        </w:rPr>
        <w:t>、拟派项目团队</w:t>
      </w:r>
      <w:bookmarkEnd w:id="400"/>
      <w:bookmarkEnd w:id="401"/>
    </w:p>
    <w:tbl>
      <w:tblPr>
        <w:tblStyle w:val="30"/>
        <w:tblW w:w="9252" w:type="dxa"/>
        <w:tblInd w:w="-42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3"/>
        <w:gridCol w:w="1267"/>
        <w:gridCol w:w="1296"/>
        <w:gridCol w:w="1080"/>
        <w:gridCol w:w="804"/>
        <w:gridCol w:w="1860"/>
        <w:gridCol w:w="1356"/>
        <w:gridCol w:w="816"/>
      </w:tblGrid>
      <w:tr w14:paraId="377CEB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4" w:hRule="atLeast"/>
        </w:trPr>
        <w:tc>
          <w:tcPr>
            <w:tcW w:w="773" w:type="dxa"/>
            <w:vAlign w:val="center"/>
          </w:tcPr>
          <w:p w14:paraId="6B0F7825">
            <w:pPr>
              <w:pStyle w:val="4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267" w:type="dxa"/>
            <w:vAlign w:val="center"/>
          </w:tcPr>
          <w:p w14:paraId="1096055A">
            <w:pPr>
              <w:pStyle w:val="4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团队成员</w:t>
            </w:r>
          </w:p>
          <w:p w14:paraId="09FA2F86">
            <w:pPr>
              <w:pStyle w:val="4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姓名</w:t>
            </w:r>
          </w:p>
        </w:tc>
        <w:tc>
          <w:tcPr>
            <w:tcW w:w="1296" w:type="dxa"/>
            <w:tcBorders>
              <w:right w:val="single" w:color="auto" w:sz="4" w:space="0"/>
            </w:tcBorders>
            <w:vAlign w:val="center"/>
          </w:tcPr>
          <w:p w14:paraId="4D802FFD">
            <w:pPr>
              <w:pStyle w:val="4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工作单位</w:t>
            </w:r>
          </w:p>
        </w:tc>
        <w:tc>
          <w:tcPr>
            <w:tcW w:w="1080" w:type="dxa"/>
            <w:tcBorders>
              <w:left w:val="single" w:color="auto" w:sz="4" w:space="0"/>
            </w:tcBorders>
            <w:vAlign w:val="center"/>
          </w:tcPr>
          <w:p w14:paraId="3116E3D2">
            <w:pPr>
              <w:pStyle w:val="4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身份证号</w:t>
            </w:r>
          </w:p>
        </w:tc>
        <w:tc>
          <w:tcPr>
            <w:tcW w:w="804" w:type="dxa"/>
            <w:tcBorders>
              <w:left w:val="single" w:color="auto" w:sz="4" w:space="0"/>
            </w:tcBorders>
            <w:vAlign w:val="center"/>
          </w:tcPr>
          <w:p w14:paraId="1115941F">
            <w:pPr>
              <w:pStyle w:val="4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职称</w:t>
            </w:r>
          </w:p>
        </w:tc>
        <w:tc>
          <w:tcPr>
            <w:tcW w:w="1860" w:type="dxa"/>
            <w:vAlign w:val="center"/>
          </w:tcPr>
          <w:p w14:paraId="57503923">
            <w:pPr>
              <w:pStyle w:val="49"/>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注册证书（岗位证书）名称及编号</w:t>
            </w:r>
          </w:p>
        </w:tc>
        <w:tc>
          <w:tcPr>
            <w:tcW w:w="1356" w:type="dxa"/>
            <w:vAlign w:val="center"/>
          </w:tcPr>
          <w:p w14:paraId="422D7D9F">
            <w:pPr>
              <w:pStyle w:val="4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在团队中职务（岗位）</w:t>
            </w:r>
          </w:p>
        </w:tc>
        <w:tc>
          <w:tcPr>
            <w:tcW w:w="816" w:type="dxa"/>
            <w:vAlign w:val="center"/>
          </w:tcPr>
          <w:p w14:paraId="79229F16">
            <w:pPr>
              <w:pStyle w:val="4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自有/外聘</w:t>
            </w:r>
          </w:p>
        </w:tc>
      </w:tr>
      <w:tr w14:paraId="34A624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239BDB40">
            <w:pPr>
              <w:pStyle w:val="49"/>
              <w:jc w:val="center"/>
              <w:rPr>
                <w:rFonts w:hint="eastAsia" w:ascii="宋体" w:hAnsi="宋体" w:eastAsia="宋体" w:cs="宋体"/>
                <w:color w:val="auto"/>
                <w:sz w:val="21"/>
                <w:szCs w:val="21"/>
                <w:highlight w:val="none"/>
              </w:rPr>
            </w:pPr>
            <w:bookmarkStart w:id="402" w:name="_Toc99533292"/>
            <w:bookmarkStart w:id="403" w:name="_Toc100090784"/>
            <w:r>
              <w:rPr>
                <w:rFonts w:hint="eastAsia" w:ascii="宋体" w:hAnsi="宋体" w:eastAsia="宋体" w:cs="宋体"/>
                <w:color w:val="auto"/>
                <w:sz w:val="21"/>
                <w:szCs w:val="21"/>
                <w:highlight w:val="none"/>
              </w:rPr>
              <w:t>1</w:t>
            </w:r>
            <w:bookmarkEnd w:id="402"/>
            <w:bookmarkEnd w:id="403"/>
          </w:p>
        </w:tc>
        <w:tc>
          <w:tcPr>
            <w:tcW w:w="1267" w:type="dxa"/>
            <w:vAlign w:val="center"/>
          </w:tcPr>
          <w:p w14:paraId="04D72608">
            <w:pPr>
              <w:pStyle w:val="49"/>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7C735158">
            <w:pPr>
              <w:pStyle w:val="49"/>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0EF6F977">
            <w:pPr>
              <w:pStyle w:val="49"/>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3483447B">
            <w:pPr>
              <w:pStyle w:val="49"/>
              <w:jc w:val="center"/>
              <w:rPr>
                <w:rFonts w:hint="eastAsia" w:ascii="宋体" w:hAnsi="宋体" w:eastAsia="宋体" w:cs="宋体"/>
                <w:color w:val="auto"/>
                <w:sz w:val="21"/>
                <w:szCs w:val="21"/>
                <w:highlight w:val="none"/>
              </w:rPr>
            </w:pPr>
          </w:p>
        </w:tc>
        <w:tc>
          <w:tcPr>
            <w:tcW w:w="1860" w:type="dxa"/>
            <w:vAlign w:val="center"/>
          </w:tcPr>
          <w:p w14:paraId="7F355EC3">
            <w:pPr>
              <w:pStyle w:val="49"/>
              <w:jc w:val="center"/>
              <w:rPr>
                <w:rFonts w:hint="eastAsia" w:ascii="宋体" w:hAnsi="宋体" w:eastAsia="宋体" w:cs="宋体"/>
                <w:color w:val="auto"/>
                <w:sz w:val="21"/>
                <w:szCs w:val="21"/>
                <w:highlight w:val="none"/>
              </w:rPr>
            </w:pPr>
          </w:p>
        </w:tc>
        <w:tc>
          <w:tcPr>
            <w:tcW w:w="1356" w:type="dxa"/>
            <w:vAlign w:val="center"/>
          </w:tcPr>
          <w:p w14:paraId="2148FD62">
            <w:pPr>
              <w:pStyle w:val="49"/>
              <w:jc w:val="center"/>
              <w:rPr>
                <w:rFonts w:hint="eastAsia" w:ascii="宋体" w:hAnsi="宋体" w:eastAsia="宋体" w:cs="宋体"/>
                <w:color w:val="auto"/>
                <w:sz w:val="21"/>
                <w:szCs w:val="21"/>
                <w:highlight w:val="none"/>
              </w:rPr>
            </w:pPr>
          </w:p>
        </w:tc>
        <w:tc>
          <w:tcPr>
            <w:tcW w:w="816" w:type="dxa"/>
            <w:vAlign w:val="center"/>
          </w:tcPr>
          <w:p w14:paraId="30F5864D">
            <w:pPr>
              <w:pStyle w:val="49"/>
              <w:jc w:val="center"/>
              <w:rPr>
                <w:rFonts w:hint="eastAsia" w:ascii="宋体" w:hAnsi="宋体" w:eastAsia="宋体" w:cs="宋体"/>
                <w:color w:val="auto"/>
                <w:sz w:val="21"/>
                <w:szCs w:val="21"/>
                <w:highlight w:val="none"/>
              </w:rPr>
            </w:pPr>
          </w:p>
        </w:tc>
      </w:tr>
      <w:tr w14:paraId="19E49C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47F12C5C">
            <w:pPr>
              <w:pStyle w:val="49"/>
              <w:jc w:val="center"/>
              <w:rPr>
                <w:rFonts w:hint="eastAsia" w:ascii="宋体" w:hAnsi="宋体" w:eastAsia="宋体" w:cs="宋体"/>
                <w:color w:val="auto"/>
                <w:sz w:val="21"/>
                <w:szCs w:val="21"/>
                <w:highlight w:val="none"/>
              </w:rPr>
            </w:pPr>
            <w:bookmarkStart w:id="404" w:name="_Toc99533293"/>
            <w:bookmarkStart w:id="405" w:name="_Toc100090785"/>
            <w:r>
              <w:rPr>
                <w:rFonts w:hint="eastAsia" w:ascii="宋体" w:hAnsi="宋体" w:eastAsia="宋体" w:cs="宋体"/>
                <w:color w:val="auto"/>
                <w:sz w:val="21"/>
                <w:szCs w:val="21"/>
                <w:highlight w:val="none"/>
              </w:rPr>
              <w:t>2</w:t>
            </w:r>
            <w:bookmarkEnd w:id="404"/>
            <w:bookmarkEnd w:id="405"/>
          </w:p>
        </w:tc>
        <w:tc>
          <w:tcPr>
            <w:tcW w:w="1267" w:type="dxa"/>
            <w:vAlign w:val="center"/>
          </w:tcPr>
          <w:p w14:paraId="3AE14FF6">
            <w:pPr>
              <w:pStyle w:val="49"/>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06FFE829">
            <w:pPr>
              <w:pStyle w:val="49"/>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1A33E450">
            <w:pPr>
              <w:pStyle w:val="49"/>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476ECD82">
            <w:pPr>
              <w:pStyle w:val="49"/>
              <w:jc w:val="center"/>
              <w:rPr>
                <w:rFonts w:hint="eastAsia" w:ascii="宋体" w:hAnsi="宋体" w:eastAsia="宋体" w:cs="宋体"/>
                <w:color w:val="auto"/>
                <w:sz w:val="21"/>
                <w:szCs w:val="21"/>
                <w:highlight w:val="none"/>
              </w:rPr>
            </w:pPr>
          </w:p>
        </w:tc>
        <w:tc>
          <w:tcPr>
            <w:tcW w:w="1860" w:type="dxa"/>
            <w:vAlign w:val="center"/>
          </w:tcPr>
          <w:p w14:paraId="390E678F">
            <w:pPr>
              <w:pStyle w:val="49"/>
              <w:jc w:val="center"/>
              <w:rPr>
                <w:rFonts w:hint="eastAsia" w:ascii="宋体" w:hAnsi="宋体" w:eastAsia="宋体" w:cs="宋体"/>
                <w:color w:val="auto"/>
                <w:sz w:val="21"/>
                <w:szCs w:val="21"/>
                <w:highlight w:val="none"/>
              </w:rPr>
            </w:pPr>
          </w:p>
        </w:tc>
        <w:tc>
          <w:tcPr>
            <w:tcW w:w="1356" w:type="dxa"/>
            <w:vAlign w:val="center"/>
          </w:tcPr>
          <w:p w14:paraId="77E48E09">
            <w:pPr>
              <w:pStyle w:val="49"/>
              <w:jc w:val="center"/>
              <w:rPr>
                <w:rFonts w:hint="eastAsia" w:ascii="宋体" w:hAnsi="宋体" w:eastAsia="宋体" w:cs="宋体"/>
                <w:color w:val="auto"/>
                <w:sz w:val="21"/>
                <w:szCs w:val="21"/>
                <w:highlight w:val="none"/>
              </w:rPr>
            </w:pPr>
          </w:p>
        </w:tc>
        <w:tc>
          <w:tcPr>
            <w:tcW w:w="816" w:type="dxa"/>
            <w:vAlign w:val="center"/>
          </w:tcPr>
          <w:p w14:paraId="3D8C0BFB">
            <w:pPr>
              <w:pStyle w:val="49"/>
              <w:jc w:val="center"/>
              <w:rPr>
                <w:rFonts w:hint="eastAsia" w:ascii="宋体" w:hAnsi="宋体" w:eastAsia="宋体" w:cs="宋体"/>
                <w:color w:val="auto"/>
                <w:sz w:val="21"/>
                <w:szCs w:val="21"/>
                <w:highlight w:val="none"/>
              </w:rPr>
            </w:pPr>
          </w:p>
        </w:tc>
      </w:tr>
      <w:tr w14:paraId="5F5E2B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0824241E">
            <w:pPr>
              <w:pStyle w:val="49"/>
              <w:jc w:val="center"/>
              <w:rPr>
                <w:rFonts w:hint="eastAsia" w:ascii="宋体" w:hAnsi="宋体" w:eastAsia="宋体" w:cs="宋体"/>
                <w:color w:val="auto"/>
                <w:sz w:val="21"/>
                <w:szCs w:val="21"/>
                <w:highlight w:val="none"/>
              </w:rPr>
            </w:pPr>
            <w:bookmarkStart w:id="406" w:name="_Toc100090786"/>
            <w:bookmarkStart w:id="407" w:name="_Toc99533294"/>
            <w:r>
              <w:rPr>
                <w:rFonts w:hint="eastAsia" w:ascii="宋体" w:hAnsi="宋体" w:eastAsia="宋体" w:cs="宋体"/>
                <w:color w:val="auto"/>
                <w:sz w:val="21"/>
                <w:szCs w:val="21"/>
                <w:highlight w:val="none"/>
              </w:rPr>
              <w:t>3</w:t>
            </w:r>
            <w:bookmarkEnd w:id="406"/>
            <w:bookmarkEnd w:id="407"/>
          </w:p>
        </w:tc>
        <w:tc>
          <w:tcPr>
            <w:tcW w:w="1267" w:type="dxa"/>
            <w:vAlign w:val="center"/>
          </w:tcPr>
          <w:p w14:paraId="19C12411">
            <w:pPr>
              <w:pStyle w:val="49"/>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1E33B914">
            <w:pPr>
              <w:pStyle w:val="49"/>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70C10384">
            <w:pPr>
              <w:pStyle w:val="49"/>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657B47D5">
            <w:pPr>
              <w:pStyle w:val="49"/>
              <w:jc w:val="center"/>
              <w:rPr>
                <w:rFonts w:hint="eastAsia" w:ascii="宋体" w:hAnsi="宋体" w:eastAsia="宋体" w:cs="宋体"/>
                <w:color w:val="auto"/>
                <w:sz w:val="21"/>
                <w:szCs w:val="21"/>
                <w:highlight w:val="none"/>
              </w:rPr>
            </w:pPr>
          </w:p>
        </w:tc>
        <w:tc>
          <w:tcPr>
            <w:tcW w:w="1860" w:type="dxa"/>
            <w:vAlign w:val="center"/>
          </w:tcPr>
          <w:p w14:paraId="3F31D2CD">
            <w:pPr>
              <w:pStyle w:val="49"/>
              <w:jc w:val="center"/>
              <w:rPr>
                <w:rFonts w:hint="eastAsia" w:ascii="宋体" w:hAnsi="宋体" w:eastAsia="宋体" w:cs="宋体"/>
                <w:color w:val="auto"/>
                <w:sz w:val="21"/>
                <w:szCs w:val="21"/>
                <w:highlight w:val="none"/>
              </w:rPr>
            </w:pPr>
          </w:p>
        </w:tc>
        <w:tc>
          <w:tcPr>
            <w:tcW w:w="1356" w:type="dxa"/>
            <w:vAlign w:val="center"/>
          </w:tcPr>
          <w:p w14:paraId="107FDE9E">
            <w:pPr>
              <w:pStyle w:val="49"/>
              <w:jc w:val="center"/>
              <w:rPr>
                <w:rFonts w:hint="eastAsia" w:ascii="宋体" w:hAnsi="宋体" w:eastAsia="宋体" w:cs="宋体"/>
                <w:color w:val="auto"/>
                <w:sz w:val="21"/>
                <w:szCs w:val="21"/>
                <w:highlight w:val="none"/>
              </w:rPr>
            </w:pPr>
          </w:p>
        </w:tc>
        <w:tc>
          <w:tcPr>
            <w:tcW w:w="816" w:type="dxa"/>
            <w:vAlign w:val="center"/>
          </w:tcPr>
          <w:p w14:paraId="0ED9D4FB">
            <w:pPr>
              <w:pStyle w:val="49"/>
              <w:jc w:val="center"/>
              <w:rPr>
                <w:rFonts w:hint="eastAsia" w:ascii="宋体" w:hAnsi="宋体" w:eastAsia="宋体" w:cs="宋体"/>
                <w:color w:val="auto"/>
                <w:sz w:val="21"/>
                <w:szCs w:val="21"/>
                <w:highlight w:val="none"/>
              </w:rPr>
            </w:pPr>
          </w:p>
        </w:tc>
      </w:tr>
      <w:tr w14:paraId="72391D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329A399B">
            <w:pPr>
              <w:pStyle w:val="49"/>
              <w:jc w:val="center"/>
              <w:rPr>
                <w:rFonts w:hint="eastAsia" w:ascii="宋体" w:hAnsi="宋体" w:eastAsia="宋体" w:cs="宋体"/>
                <w:color w:val="auto"/>
                <w:sz w:val="21"/>
                <w:szCs w:val="21"/>
                <w:highlight w:val="none"/>
              </w:rPr>
            </w:pPr>
            <w:bookmarkStart w:id="408" w:name="_Toc100090787"/>
            <w:bookmarkStart w:id="409" w:name="_Toc99533295"/>
            <w:r>
              <w:rPr>
                <w:rFonts w:hint="eastAsia" w:ascii="宋体" w:hAnsi="宋体" w:eastAsia="宋体" w:cs="宋体"/>
                <w:color w:val="auto"/>
                <w:sz w:val="21"/>
                <w:szCs w:val="21"/>
                <w:highlight w:val="none"/>
              </w:rPr>
              <w:t>4</w:t>
            </w:r>
            <w:bookmarkEnd w:id="408"/>
            <w:bookmarkEnd w:id="409"/>
          </w:p>
        </w:tc>
        <w:tc>
          <w:tcPr>
            <w:tcW w:w="1267" w:type="dxa"/>
            <w:vAlign w:val="center"/>
          </w:tcPr>
          <w:p w14:paraId="42DE0F63">
            <w:pPr>
              <w:pStyle w:val="49"/>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3CA0809C">
            <w:pPr>
              <w:pStyle w:val="49"/>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6D63F4E6">
            <w:pPr>
              <w:pStyle w:val="49"/>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496384D0">
            <w:pPr>
              <w:pStyle w:val="49"/>
              <w:jc w:val="center"/>
              <w:rPr>
                <w:rFonts w:hint="eastAsia" w:ascii="宋体" w:hAnsi="宋体" w:eastAsia="宋体" w:cs="宋体"/>
                <w:color w:val="auto"/>
                <w:sz w:val="21"/>
                <w:szCs w:val="21"/>
                <w:highlight w:val="none"/>
              </w:rPr>
            </w:pPr>
          </w:p>
        </w:tc>
        <w:tc>
          <w:tcPr>
            <w:tcW w:w="1860" w:type="dxa"/>
            <w:vAlign w:val="center"/>
          </w:tcPr>
          <w:p w14:paraId="068007BF">
            <w:pPr>
              <w:pStyle w:val="49"/>
              <w:jc w:val="center"/>
              <w:rPr>
                <w:rFonts w:hint="eastAsia" w:ascii="宋体" w:hAnsi="宋体" w:eastAsia="宋体" w:cs="宋体"/>
                <w:color w:val="auto"/>
                <w:sz w:val="21"/>
                <w:szCs w:val="21"/>
                <w:highlight w:val="none"/>
              </w:rPr>
            </w:pPr>
          </w:p>
        </w:tc>
        <w:tc>
          <w:tcPr>
            <w:tcW w:w="1356" w:type="dxa"/>
            <w:vAlign w:val="center"/>
          </w:tcPr>
          <w:p w14:paraId="7A6D63FA">
            <w:pPr>
              <w:pStyle w:val="49"/>
              <w:jc w:val="center"/>
              <w:rPr>
                <w:rFonts w:hint="eastAsia" w:ascii="宋体" w:hAnsi="宋体" w:eastAsia="宋体" w:cs="宋体"/>
                <w:color w:val="auto"/>
                <w:sz w:val="21"/>
                <w:szCs w:val="21"/>
                <w:highlight w:val="none"/>
              </w:rPr>
            </w:pPr>
          </w:p>
        </w:tc>
        <w:tc>
          <w:tcPr>
            <w:tcW w:w="816" w:type="dxa"/>
            <w:vAlign w:val="center"/>
          </w:tcPr>
          <w:p w14:paraId="01F1E6DB">
            <w:pPr>
              <w:pStyle w:val="49"/>
              <w:jc w:val="center"/>
              <w:rPr>
                <w:rFonts w:hint="eastAsia" w:ascii="宋体" w:hAnsi="宋体" w:eastAsia="宋体" w:cs="宋体"/>
                <w:color w:val="auto"/>
                <w:sz w:val="21"/>
                <w:szCs w:val="21"/>
                <w:highlight w:val="none"/>
              </w:rPr>
            </w:pPr>
          </w:p>
        </w:tc>
      </w:tr>
      <w:tr w14:paraId="67CF6A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61FE3797">
            <w:pPr>
              <w:pStyle w:val="49"/>
              <w:jc w:val="center"/>
              <w:rPr>
                <w:rFonts w:hint="eastAsia" w:ascii="宋体" w:hAnsi="宋体" w:eastAsia="宋体" w:cs="宋体"/>
                <w:color w:val="auto"/>
                <w:sz w:val="21"/>
                <w:szCs w:val="21"/>
                <w:highlight w:val="none"/>
              </w:rPr>
            </w:pPr>
            <w:bookmarkStart w:id="410" w:name="_Toc99533296"/>
            <w:bookmarkStart w:id="411" w:name="_Toc100090788"/>
            <w:r>
              <w:rPr>
                <w:rFonts w:hint="eastAsia" w:ascii="宋体" w:hAnsi="宋体" w:eastAsia="宋体" w:cs="宋体"/>
                <w:color w:val="auto"/>
                <w:sz w:val="21"/>
                <w:szCs w:val="21"/>
                <w:highlight w:val="none"/>
              </w:rPr>
              <w:t>5</w:t>
            </w:r>
            <w:bookmarkEnd w:id="410"/>
            <w:bookmarkEnd w:id="411"/>
          </w:p>
        </w:tc>
        <w:tc>
          <w:tcPr>
            <w:tcW w:w="1267" w:type="dxa"/>
            <w:vAlign w:val="center"/>
          </w:tcPr>
          <w:p w14:paraId="3241008C">
            <w:pPr>
              <w:pStyle w:val="49"/>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3999E45B">
            <w:pPr>
              <w:pStyle w:val="49"/>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64009478">
            <w:pPr>
              <w:pStyle w:val="49"/>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75153765">
            <w:pPr>
              <w:pStyle w:val="49"/>
              <w:jc w:val="center"/>
              <w:rPr>
                <w:rFonts w:hint="eastAsia" w:ascii="宋体" w:hAnsi="宋体" w:eastAsia="宋体" w:cs="宋体"/>
                <w:color w:val="auto"/>
                <w:sz w:val="21"/>
                <w:szCs w:val="21"/>
                <w:highlight w:val="none"/>
              </w:rPr>
            </w:pPr>
          </w:p>
        </w:tc>
        <w:tc>
          <w:tcPr>
            <w:tcW w:w="1860" w:type="dxa"/>
            <w:vAlign w:val="center"/>
          </w:tcPr>
          <w:p w14:paraId="12AB49C0">
            <w:pPr>
              <w:pStyle w:val="49"/>
              <w:jc w:val="center"/>
              <w:rPr>
                <w:rFonts w:hint="eastAsia" w:ascii="宋体" w:hAnsi="宋体" w:eastAsia="宋体" w:cs="宋体"/>
                <w:color w:val="auto"/>
                <w:sz w:val="21"/>
                <w:szCs w:val="21"/>
                <w:highlight w:val="none"/>
              </w:rPr>
            </w:pPr>
          </w:p>
        </w:tc>
        <w:tc>
          <w:tcPr>
            <w:tcW w:w="1356" w:type="dxa"/>
            <w:vAlign w:val="center"/>
          </w:tcPr>
          <w:p w14:paraId="3943C72A">
            <w:pPr>
              <w:pStyle w:val="49"/>
              <w:jc w:val="center"/>
              <w:rPr>
                <w:rFonts w:hint="eastAsia" w:ascii="宋体" w:hAnsi="宋体" w:eastAsia="宋体" w:cs="宋体"/>
                <w:color w:val="auto"/>
                <w:sz w:val="21"/>
                <w:szCs w:val="21"/>
                <w:highlight w:val="none"/>
              </w:rPr>
            </w:pPr>
          </w:p>
        </w:tc>
        <w:tc>
          <w:tcPr>
            <w:tcW w:w="816" w:type="dxa"/>
            <w:vAlign w:val="center"/>
          </w:tcPr>
          <w:p w14:paraId="5FBE7410">
            <w:pPr>
              <w:pStyle w:val="49"/>
              <w:jc w:val="center"/>
              <w:rPr>
                <w:rFonts w:hint="eastAsia" w:ascii="宋体" w:hAnsi="宋体" w:eastAsia="宋体" w:cs="宋体"/>
                <w:color w:val="auto"/>
                <w:sz w:val="21"/>
                <w:szCs w:val="21"/>
                <w:highlight w:val="none"/>
              </w:rPr>
            </w:pPr>
          </w:p>
        </w:tc>
      </w:tr>
      <w:tr w14:paraId="053F8B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07DED61F">
            <w:pPr>
              <w:pStyle w:val="49"/>
              <w:jc w:val="center"/>
              <w:rPr>
                <w:rFonts w:hint="eastAsia" w:ascii="宋体" w:hAnsi="宋体" w:eastAsia="宋体" w:cs="宋体"/>
                <w:color w:val="auto"/>
                <w:sz w:val="21"/>
                <w:szCs w:val="21"/>
                <w:highlight w:val="none"/>
              </w:rPr>
            </w:pPr>
            <w:bookmarkStart w:id="412" w:name="_Toc100090789"/>
            <w:bookmarkStart w:id="413" w:name="_Toc99533297"/>
            <w:r>
              <w:rPr>
                <w:rFonts w:hint="eastAsia" w:ascii="宋体" w:hAnsi="宋体" w:eastAsia="宋体" w:cs="宋体"/>
                <w:color w:val="auto"/>
                <w:sz w:val="21"/>
                <w:szCs w:val="21"/>
                <w:highlight w:val="none"/>
              </w:rPr>
              <w:t>6</w:t>
            </w:r>
            <w:bookmarkEnd w:id="412"/>
            <w:bookmarkEnd w:id="413"/>
          </w:p>
        </w:tc>
        <w:tc>
          <w:tcPr>
            <w:tcW w:w="1267" w:type="dxa"/>
            <w:vAlign w:val="center"/>
          </w:tcPr>
          <w:p w14:paraId="40527E11">
            <w:pPr>
              <w:pStyle w:val="49"/>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16947C68">
            <w:pPr>
              <w:pStyle w:val="49"/>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1666B8AD">
            <w:pPr>
              <w:pStyle w:val="49"/>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45256EB9">
            <w:pPr>
              <w:pStyle w:val="49"/>
              <w:jc w:val="center"/>
              <w:rPr>
                <w:rFonts w:hint="eastAsia" w:ascii="宋体" w:hAnsi="宋体" w:eastAsia="宋体" w:cs="宋体"/>
                <w:color w:val="auto"/>
                <w:sz w:val="21"/>
                <w:szCs w:val="21"/>
                <w:highlight w:val="none"/>
              </w:rPr>
            </w:pPr>
          </w:p>
        </w:tc>
        <w:tc>
          <w:tcPr>
            <w:tcW w:w="1860" w:type="dxa"/>
            <w:vAlign w:val="center"/>
          </w:tcPr>
          <w:p w14:paraId="51ADEB68">
            <w:pPr>
              <w:pStyle w:val="49"/>
              <w:jc w:val="center"/>
              <w:rPr>
                <w:rFonts w:hint="eastAsia" w:ascii="宋体" w:hAnsi="宋体" w:eastAsia="宋体" w:cs="宋体"/>
                <w:color w:val="auto"/>
                <w:sz w:val="21"/>
                <w:szCs w:val="21"/>
                <w:highlight w:val="none"/>
              </w:rPr>
            </w:pPr>
          </w:p>
        </w:tc>
        <w:tc>
          <w:tcPr>
            <w:tcW w:w="1356" w:type="dxa"/>
            <w:vAlign w:val="center"/>
          </w:tcPr>
          <w:p w14:paraId="6FF03D95">
            <w:pPr>
              <w:pStyle w:val="49"/>
              <w:jc w:val="center"/>
              <w:rPr>
                <w:rFonts w:hint="eastAsia" w:ascii="宋体" w:hAnsi="宋体" w:eastAsia="宋体" w:cs="宋体"/>
                <w:color w:val="auto"/>
                <w:sz w:val="21"/>
                <w:szCs w:val="21"/>
                <w:highlight w:val="none"/>
              </w:rPr>
            </w:pPr>
          </w:p>
        </w:tc>
        <w:tc>
          <w:tcPr>
            <w:tcW w:w="816" w:type="dxa"/>
            <w:vAlign w:val="center"/>
          </w:tcPr>
          <w:p w14:paraId="4EF8AB8A">
            <w:pPr>
              <w:pStyle w:val="49"/>
              <w:jc w:val="center"/>
              <w:rPr>
                <w:rFonts w:hint="eastAsia" w:ascii="宋体" w:hAnsi="宋体" w:eastAsia="宋体" w:cs="宋体"/>
                <w:color w:val="auto"/>
                <w:sz w:val="21"/>
                <w:szCs w:val="21"/>
                <w:highlight w:val="none"/>
              </w:rPr>
            </w:pPr>
          </w:p>
        </w:tc>
      </w:tr>
      <w:tr w14:paraId="661CA4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6AA4734C">
            <w:pPr>
              <w:pStyle w:val="49"/>
              <w:jc w:val="center"/>
              <w:rPr>
                <w:rFonts w:hint="eastAsia" w:ascii="宋体" w:hAnsi="宋体" w:eastAsia="宋体" w:cs="宋体"/>
                <w:color w:val="auto"/>
                <w:sz w:val="21"/>
                <w:szCs w:val="21"/>
                <w:highlight w:val="none"/>
              </w:rPr>
            </w:pPr>
            <w:bookmarkStart w:id="414" w:name="_Toc99533298"/>
            <w:bookmarkStart w:id="415" w:name="_Toc100090790"/>
            <w:r>
              <w:rPr>
                <w:rFonts w:hint="eastAsia" w:ascii="宋体" w:hAnsi="宋体" w:eastAsia="宋体" w:cs="宋体"/>
                <w:color w:val="auto"/>
                <w:sz w:val="21"/>
                <w:szCs w:val="21"/>
                <w:highlight w:val="none"/>
              </w:rPr>
              <w:t>7</w:t>
            </w:r>
            <w:bookmarkEnd w:id="414"/>
            <w:bookmarkEnd w:id="415"/>
          </w:p>
        </w:tc>
        <w:tc>
          <w:tcPr>
            <w:tcW w:w="1267" w:type="dxa"/>
            <w:vAlign w:val="center"/>
          </w:tcPr>
          <w:p w14:paraId="3F3B684D">
            <w:pPr>
              <w:pStyle w:val="49"/>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78032A99">
            <w:pPr>
              <w:pStyle w:val="49"/>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601AE572">
            <w:pPr>
              <w:pStyle w:val="49"/>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01172C19">
            <w:pPr>
              <w:pStyle w:val="49"/>
              <w:jc w:val="center"/>
              <w:rPr>
                <w:rFonts w:hint="eastAsia" w:ascii="宋体" w:hAnsi="宋体" w:eastAsia="宋体" w:cs="宋体"/>
                <w:color w:val="auto"/>
                <w:sz w:val="21"/>
                <w:szCs w:val="21"/>
                <w:highlight w:val="none"/>
              </w:rPr>
            </w:pPr>
          </w:p>
        </w:tc>
        <w:tc>
          <w:tcPr>
            <w:tcW w:w="1860" w:type="dxa"/>
            <w:vAlign w:val="center"/>
          </w:tcPr>
          <w:p w14:paraId="7E9B2A2D">
            <w:pPr>
              <w:pStyle w:val="49"/>
              <w:jc w:val="center"/>
              <w:rPr>
                <w:rFonts w:hint="eastAsia" w:ascii="宋体" w:hAnsi="宋体" w:eastAsia="宋体" w:cs="宋体"/>
                <w:color w:val="auto"/>
                <w:sz w:val="21"/>
                <w:szCs w:val="21"/>
                <w:highlight w:val="none"/>
              </w:rPr>
            </w:pPr>
          </w:p>
        </w:tc>
        <w:tc>
          <w:tcPr>
            <w:tcW w:w="1356" w:type="dxa"/>
            <w:vAlign w:val="center"/>
          </w:tcPr>
          <w:p w14:paraId="5FBF328E">
            <w:pPr>
              <w:pStyle w:val="49"/>
              <w:jc w:val="center"/>
              <w:rPr>
                <w:rFonts w:hint="eastAsia" w:ascii="宋体" w:hAnsi="宋体" w:eastAsia="宋体" w:cs="宋体"/>
                <w:color w:val="auto"/>
                <w:sz w:val="21"/>
                <w:szCs w:val="21"/>
                <w:highlight w:val="none"/>
              </w:rPr>
            </w:pPr>
          </w:p>
        </w:tc>
        <w:tc>
          <w:tcPr>
            <w:tcW w:w="816" w:type="dxa"/>
            <w:vAlign w:val="center"/>
          </w:tcPr>
          <w:p w14:paraId="718DD530">
            <w:pPr>
              <w:pStyle w:val="49"/>
              <w:jc w:val="center"/>
              <w:rPr>
                <w:rFonts w:hint="eastAsia" w:ascii="宋体" w:hAnsi="宋体" w:eastAsia="宋体" w:cs="宋体"/>
                <w:color w:val="auto"/>
                <w:sz w:val="21"/>
                <w:szCs w:val="21"/>
                <w:highlight w:val="none"/>
              </w:rPr>
            </w:pPr>
          </w:p>
        </w:tc>
      </w:tr>
      <w:tr w14:paraId="5E0A6F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603F7F8C">
            <w:pPr>
              <w:pStyle w:val="49"/>
              <w:jc w:val="center"/>
              <w:rPr>
                <w:rFonts w:hint="eastAsia" w:ascii="宋体" w:hAnsi="宋体" w:eastAsia="宋体" w:cs="宋体"/>
                <w:color w:val="auto"/>
                <w:sz w:val="21"/>
                <w:szCs w:val="21"/>
                <w:highlight w:val="none"/>
              </w:rPr>
            </w:pPr>
            <w:bookmarkStart w:id="416" w:name="_Toc99533299"/>
            <w:bookmarkStart w:id="417" w:name="_Toc100090791"/>
            <w:r>
              <w:rPr>
                <w:rFonts w:hint="eastAsia" w:ascii="宋体" w:hAnsi="宋体" w:eastAsia="宋体" w:cs="宋体"/>
                <w:color w:val="auto"/>
                <w:sz w:val="21"/>
                <w:szCs w:val="21"/>
                <w:highlight w:val="none"/>
              </w:rPr>
              <w:t>8</w:t>
            </w:r>
            <w:bookmarkEnd w:id="416"/>
            <w:bookmarkEnd w:id="417"/>
          </w:p>
        </w:tc>
        <w:tc>
          <w:tcPr>
            <w:tcW w:w="1267" w:type="dxa"/>
            <w:vAlign w:val="center"/>
          </w:tcPr>
          <w:p w14:paraId="20BD29D0">
            <w:pPr>
              <w:pStyle w:val="49"/>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7C9D455C">
            <w:pPr>
              <w:pStyle w:val="49"/>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3548599B">
            <w:pPr>
              <w:pStyle w:val="49"/>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2842C962">
            <w:pPr>
              <w:pStyle w:val="49"/>
              <w:jc w:val="center"/>
              <w:rPr>
                <w:rFonts w:hint="eastAsia" w:ascii="宋体" w:hAnsi="宋体" w:eastAsia="宋体" w:cs="宋体"/>
                <w:color w:val="auto"/>
                <w:sz w:val="21"/>
                <w:szCs w:val="21"/>
                <w:highlight w:val="none"/>
              </w:rPr>
            </w:pPr>
          </w:p>
        </w:tc>
        <w:tc>
          <w:tcPr>
            <w:tcW w:w="1860" w:type="dxa"/>
            <w:vAlign w:val="center"/>
          </w:tcPr>
          <w:p w14:paraId="292DF220">
            <w:pPr>
              <w:pStyle w:val="49"/>
              <w:jc w:val="center"/>
              <w:rPr>
                <w:rFonts w:hint="eastAsia" w:ascii="宋体" w:hAnsi="宋体" w:eastAsia="宋体" w:cs="宋体"/>
                <w:color w:val="auto"/>
                <w:sz w:val="21"/>
                <w:szCs w:val="21"/>
                <w:highlight w:val="none"/>
              </w:rPr>
            </w:pPr>
          </w:p>
        </w:tc>
        <w:tc>
          <w:tcPr>
            <w:tcW w:w="1356" w:type="dxa"/>
            <w:vAlign w:val="center"/>
          </w:tcPr>
          <w:p w14:paraId="7107F6B0">
            <w:pPr>
              <w:pStyle w:val="49"/>
              <w:jc w:val="center"/>
              <w:rPr>
                <w:rFonts w:hint="eastAsia" w:ascii="宋体" w:hAnsi="宋体" w:eastAsia="宋体" w:cs="宋体"/>
                <w:color w:val="auto"/>
                <w:sz w:val="21"/>
                <w:szCs w:val="21"/>
                <w:highlight w:val="none"/>
              </w:rPr>
            </w:pPr>
          </w:p>
        </w:tc>
        <w:tc>
          <w:tcPr>
            <w:tcW w:w="816" w:type="dxa"/>
            <w:vAlign w:val="center"/>
          </w:tcPr>
          <w:p w14:paraId="247AF589">
            <w:pPr>
              <w:pStyle w:val="49"/>
              <w:jc w:val="center"/>
              <w:rPr>
                <w:rFonts w:hint="eastAsia" w:ascii="宋体" w:hAnsi="宋体" w:eastAsia="宋体" w:cs="宋体"/>
                <w:color w:val="auto"/>
                <w:sz w:val="21"/>
                <w:szCs w:val="21"/>
                <w:highlight w:val="none"/>
              </w:rPr>
            </w:pPr>
          </w:p>
        </w:tc>
      </w:tr>
      <w:tr w14:paraId="17D5B0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4F7A90D9">
            <w:pPr>
              <w:pStyle w:val="49"/>
              <w:jc w:val="center"/>
              <w:rPr>
                <w:rFonts w:hint="eastAsia" w:ascii="宋体" w:hAnsi="宋体" w:eastAsia="宋体" w:cs="宋体"/>
                <w:color w:val="auto"/>
                <w:sz w:val="21"/>
                <w:szCs w:val="21"/>
                <w:highlight w:val="none"/>
              </w:rPr>
            </w:pPr>
            <w:bookmarkStart w:id="418" w:name="_Toc100090792"/>
            <w:bookmarkStart w:id="419" w:name="_Toc99533300"/>
            <w:r>
              <w:rPr>
                <w:rFonts w:hint="eastAsia" w:ascii="宋体" w:hAnsi="宋体" w:eastAsia="宋体" w:cs="宋体"/>
                <w:color w:val="auto"/>
                <w:sz w:val="21"/>
                <w:szCs w:val="21"/>
                <w:highlight w:val="none"/>
              </w:rPr>
              <w:t>9</w:t>
            </w:r>
            <w:bookmarkEnd w:id="418"/>
            <w:bookmarkEnd w:id="419"/>
          </w:p>
        </w:tc>
        <w:tc>
          <w:tcPr>
            <w:tcW w:w="1267" w:type="dxa"/>
            <w:vAlign w:val="center"/>
          </w:tcPr>
          <w:p w14:paraId="6C5090EC">
            <w:pPr>
              <w:pStyle w:val="49"/>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32CD2ADB">
            <w:pPr>
              <w:pStyle w:val="49"/>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0DD9EDDC">
            <w:pPr>
              <w:pStyle w:val="49"/>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05650614">
            <w:pPr>
              <w:pStyle w:val="49"/>
              <w:jc w:val="center"/>
              <w:rPr>
                <w:rFonts w:hint="eastAsia" w:ascii="宋体" w:hAnsi="宋体" w:eastAsia="宋体" w:cs="宋体"/>
                <w:color w:val="auto"/>
                <w:sz w:val="21"/>
                <w:szCs w:val="21"/>
                <w:highlight w:val="none"/>
              </w:rPr>
            </w:pPr>
          </w:p>
        </w:tc>
        <w:tc>
          <w:tcPr>
            <w:tcW w:w="1860" w:type="dxa"/>
            <w:vAlign w:val="center"/>
          </w:tcPr>
          <w:p w14:paraId="337B4053">
            <w:pPr>
              <w:pStyle w:val="49"/>
              <w:jc w:val="center"/>
              <w:rPr>
                <w:rFonts w:hint="eastAsia" w:ascii="宋体" w:hAnsi="宋体" w:eastAsia="宋体" w:cs="宋体"/>
                <w:color w:val="auto"/>
                <w:sz w:val="21"/>
                <w:szCs w:val="21"/>
                <w:highlight w:val="none"/>
              </w:rPr>
            </w:pPr>
          </w:p>
        </w:tc>
        <w:tc>
          <w:tcPr>
            <w:tcW w:w="1356" w:type="dxa"/>
            <w:vAlign w:val="center"/>
          </w:tcPr>
          <w:p w14:paraId="6968EA5F">
            <w:pPr>
              <w:pStyle w:val="49"/>
              <w:jc w:val="center"/>
              <w:rPr>
                <w:rFonts w:hint="eastAsia" w:ascii="宋体" w:hAnsi="宋体" w:eastAsia="宋体" w:cs="宋体"/>
                <w:color w:val="auto"/>
                <w:sz w:val="21"/>
                <w:szCs w:val="21"/>
                <w:highlight w:val="none"/>
              </w:rPr>
            </w:pPr>
          </w:p>
        </w:tc>
        <w:tc>
          <w:tcPr>
            <w:tcW w:w="816" w:type="dxa"/>
            <w:vAlign w:val="center"/>
          </w:tcPr>
          <w:p w14:paraId="45D99552">
            <w:pPr>
              <w:pStyle w:val="49"/>
              <w:jc w:val="center"/>
              <w:rPr>
                <w:rFonts w:hint="eastAsia" w:ascii="宋体" w:hAnsi="宋体" w:eastAsia="宋体" w:cs="宋体"/>
                <w:color w:val="auto"/>
                <w:sz w:val="21"/>
                <w:szCs w:val="21"/>
                <w:highlight w:val="none"/>
              </w:rPr>
            </w:pPr>
          </w:p>
        </w:tc>
      </w:tr>
      <w:tr w14:paraId="5F497A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9" w:hRule="atLeast"/>
        </w:trPr>
        <w:tc>
          <w:tcPr>
            <w:tcW w:w="773" w:type="dxa"/>
            <w:vAlign w:val="center"/>
          </w:tcPr>
          <w:p w14:paraId="406250BE">
            <w:pPr>
              <w:pStyle w:val="49"/>
              <w:jc w:val="center"/>
              <w:rPr>
                <w:rFonts w:hint="eastAsia" w:ascii="宋体" w:hAnsi="宋体" w:eastAsia="宋体" w:cs="宋体"/>
                <w:color w:val="auto"/>
                <w:sz w:val="21"/>
                <w:szCs w:val="21"/>
                <w:highlight w:val="none"/>
              </w:rPr>
            </w:pPr>
            <w:bookmarkStart w:id="420" w:name="_Toc100090793"/>
            <w:bookmarkStart w:id="421" w:name="_Toc99533301"/>
            <w:r>
              <w:rPr>
                <w:rFonts w:hint="eastAsia" w:ascii="宋体" w:hAnsi="宋体" w:eastAsia="宋体" w:cs="宋体"/>
                <w:color w:val="auto"/>
                <w:sz w:val="21"/>
                <w:szCs w:val="21"/>
                <w:highlight w:val="none"/>
              </w:rPr>
              <w:t>10</w:t>
            </w:r>
            <w:bookmarkEnd w:id="420"/>
            <w:bookmarkEnd w:id="421"/>
          </w:p>
        </w:tc>
        <w:tc>
          <w:tcPr>
            <w:tcW w:w="1267" w:type="dxa"/>
            <w:vAlign w:val="center"/>
          </w:tcPr>
          <w:p w14:paraId="0D84E205">
            <w:pPr>
              <w:pStyle w:val="49"/>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79F36313">
            <w:pPr>
              <w:pStyle w:val="49"/>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193C6909">
            <w:pPr>
              <w:pStyle w:val="49"/>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6C34049E">
            <w:pPr>
              <w:pStyle w:val="49"/>
              <w:jc w:val="center"/>
              <w:rPr>
                <w:rFonts w:hint="eastAsia" w:ascii="宋体" w:hAnsi="宋体" w:eastAsia="宋体" w:cs="宋体"/>
                <w:color w:val="auto"/>
                <w:sz w:val="21"/>
                <w:szCs w:val="21"/>
                <w:highlight w:val="none"/>
              </w:rPr>
            </w:pPr>
          </w:p>
        </w:tc>
        <w:tc>
          <w:tcPr>
            <w:tcW w:w="1860" w:type="dxa"/>
            <w:vAlign w:val="center"/>
          </w:tcPr>
          <w:p w14:paraId="7790D037">
            <w:pPr>
              <w:pStyle w:val="49"/>
              <w:jc w:val="center"/>
              <w:rPr>
                <w:rFonts w:hint="eastAsia" w:ascii="宋体" w:hAnsi="宋体" w:eastAsia="宋体" w:cs="宋体"/>
                <w:color w:val="auto"/>
                <w:sz w:val="21"/>
                <w:szCs w:val="21"/>
                <w:highlight w:val="none"/>
              </w:rPr>
            </w:pPr>
          </w:p>
        </w:tc>
        <w:tc>
          <w:tcPr>
            <w:tcW w:w="1356" w:type="dxa"/>
            <w:vAlign w:val="center"/>
          </w:tcPr>
          <w:p w14:paraId="292E64B7">
            <w:pPr>
              <w:pStyle w:val="49"/>
              <w:jc w:val="center"/>
              <w:rPr>
                <w:rFonts w:hint="eastAsia" w:ascii="宋体" w:hAnsi="宋体" w:eastAsia="宋体" w:cs="宋体"/>
                <w:color w:val="auto"/>
                <w:sz w:val="21"/>
                <w:szCs w:val="21"/>
                <w:highlight w:val="none"/>
              </w:rPr>
            </w:pPr>
          </w:p>
        </w:tc>
        <w:tc>
          <w:tcPr>
            <w:tcW w:w="816" w:type="dxa"/>
            <w:vAlign w:val="center"/>
          </w:tcPr>
          <w:p w14:paraId="77E1C162">
            <w:pPr>
              <w:pStyle w:val="49"/>
              <w:jc w:val="center"/>
              <w:rPr>
                <w:rFonts w:hint="eastAsia" w:ascii="宋体" w:hAnsi="宋体" w:eastAsia="宋体" w:cs="宋体"/>
                <w:color w:val="auto"/>
                <w:sz w:val="21"/>
                <w:szCs w:val="21"/>
                <w:highlight w:val="none"/>
              </w:rPr>
            </w:pPr>
          </w:p>
        </w:tc>
      </w:tr>
    </w:tbl>
    <w:p w14:paraId="3CBF9299">
      <w:pPr>
        <w:rPr>
          <w:rFonts w:hint="eastAsia" w:cs="仿宋_GB2312"/>
          <w:color w:val="auto"/>
          <w:sz w:val="21"/>
          <w:szCs w:val="21"/>
          <w:highlight w:val="none"/>
          <w:lang w:val="en-US" w:eastAsia="zh-CN"/>
        </w:rPr>
      </w:pPr>
    </w:p>
    <w:p w14:paraId="1EAF0062">
      <w:pPr>
        <w:rPr>
          <w:rFonts w:hint="default" w:cs="仿宋_GB2312"/>
          <w:color w:val="auto"/>
          <w:sz w:val="21"/>
          <w:szCs w:val="21"/>
          <w:highlight w:val="none"/>
          <w:lang w:val="en-US"/>
        </w:rPr>
      </w:pPr>
      <w:r>
        <w:rPr>
          <w:rFonts w:hint="eastAsia" w:cs="仿宋_GB2312"/>
          <w:color w:val="auto"/>
          <w:sz w:val="21"/>
          <w:szCs w:val="21"/>
          <w:highlight w:val="none"/>
          <w:lang w:val="en-US" w:eastAsia="zh-CN"/>
        </w:rPr>
        <w:t>注：按招标文件要求在本表后附相关人员证书。</w:t>
      </w:r>
    </w:p>
    <w:p w14:paraId="3B621572">
      <w:pPr>
        <w:ind w:firstLine="420" w:firstLineChars="200"/>
        <w:rPr>
          <w:rFonts w:hint="eastAsia" w:cs="仿宋_GB2312"/>
          <w:color w:val="auto"/>
          <w:sz w:val="21"/>
          <w:szCs w:val="21"/>
          <w:highlight w:val="none"/>
          <w:lang w:val="en-US" w:eastAsia="zh-CN"/>
        </w:rPr>
      </w:pPr>
    </w:p>
    <w:p w14:paraId="178B25F9">
      <w:pPr>
        <w:ind w:firstLine="420" w:firstLineChars="200"/>
        <w:rPr>
          <w:rFonts w:hint="eastAsia" w:cs="仿宋_GB2312"/>
          <w:color w:val="auto"/>
          <w:sz w:val="21"/>
          <w:szCs w:val="21"/>
          <w:highlight w:val="none"/>
          <w:lang w:val="en-US" w:eastAsia="zh-CN"/>
        </w:rPr>
      </w:pPr>
      <w:r>
        <w:rPr>
          <w:rFonts w:hint="eastAsia" w:cs="仿宋_GB2312"/>
          <w:color w:val="auto"/>
          <w:sz w:val="21"/>
          <w:szCs w:val="21"/>
          <w:highlight w:val="none"/>
          <w:lang w:val="en-US" w:eastAsia="zh-CN"/>
        </w:rPr>
        <w:t xml:space="preserve">说明： </w:t>
      </w:r>
    </w:p>
    <w:p w14:paraId="442D33DF">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 xml:space="preserve">1.“在团队中职务（岗位）”栏应包括但不限于：项目负责人、项目联系人、项目服务人员或技术人员等。 </w:t>
      </w:r>
    </w:p>
    <w:p w14:paraId="4DC17E9A">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2.如投标人中标，须按本表项目组成人员操作，不得随意更换。</w:t>
      </w:r>
    </w:p>
    <w:p w14:paraId="285371E7">
      <w:pPr>
        <w:rPr>
          <w:color w:val="auto"/>
          <w:highlight w:val="none"/>
        </w:rPr>
      </w:pPr>
    </w:p>
    <w:p w14:paraId="51ED7B0D">
      <w:pPr>
        <w:rPr>
          <w:color w:val="auto"/>
          <w:highlight w:val="none"/>
        </w:rPr>
      </w:pPr>
      <w:r>
        <w:rPr>
          <w:color w:val="auto"/>
          <w:highlight w:val="none"/>
        </w:rPr>
        <w:br w:type="page"/>
      </w:r>
    </w:p>
    <w:p w14:paraId="1358285E">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422" w:name="_Toc163492934"/>
      <w:bookmarkStart w:id="423" w:name="_Toc1399"/>
      <w:r>
        <w:rPr>
          <w:rFonts w:hint="eastAsia" w:cstheme="majorBidi"/>
          <w:b/>
          <w:bCs/>
          <w:color w:val="auto"/>
          <w:kern w:val="2"/>
          <w:sz w:val="32"/>
          <w:szCs w:val="32"/>
          <w:highlight w:val="none"/>
          <w:lang w:val="en-US" w:eastAsia="zh-CN" w:bidi="ar-SA"/>
        </w:rPr>
        <w:t>九</w:t>
      </w:r>
      <w:r>
        <w:rPr>
          <w:rFonts w:hint="eastAsia" w:eastAsia="宋体" w:asciiTheme="majorHAnsi" w:hAnsiTheme="majorHAnsi" w:cstheme="majorBidi"/>
          <w:b/>
          <w:bCs/>
          <w:color w:val="auto"/>
          <w:kern w:val="2"/>
          <w:sz w:val="32"/>
          <w:szCs w:val="32"/>
          <w:highlight w:val="none"/>
          <w:lang w:val="en-US" w:eastAsia="zh-CN" w:bidi="ar-SA"/>
        </w:rPr>
        <w:t>、技术响应偏离表</w:t>
      </w:r>
      <w:bookmarkEnd w:id="422"/>
      <w:bookmarkEnd w:id="423"/>
    </w:p>
    <w:p w14:paraId="7EE50E6A">
      <w:pPr>
        <w:rPr>
          <w:rFonts w:cs="仿宋_GB2312"/>
          <w:color w:val="auto"/>
          <w:szCs w:val="24"/>
          <w:highlight w:val="none"/>
        </w:rPr>
      </w:pPr>
      <w:r>
        <w:rPr>
          <w:rFonts w:hint="eastAsia" w:cs="仿宋_GB2312"/>
          <w:color w:val="auto"/>
          <w:szCs w:val="24"/>
          <w:highlight w:val="none"/>
        </w:rPr>
        <w:t xml:space="preserve">项目名称：                                         </w:t>
      </w:r>
    </w:p>
    <w:p w14:paraId="10CF1BE4">
      <w:pPr>
        <w:rPr>
          <w:rFonts w:cs="仿宋_GB2312"/>
          <w:color w:val="auto"/>
          <w:szCs w:val="24"/>
          <w:highlight w:val="none"/>
        </w:rPr>
      </w:pPr>
      <w:r>
        <w:rPr>
          <w:rFonts w:hint="eastAsia" w:cs="仿宋_GB2312"/>
          <w:color w:val="auto"/>
          <w:szCs w:val="24"/>
          <w:highlight w:val="none"/>
        </w:rPr>
        <w:t>项目编号</w:t>
      </w:r>
      <w:r>
        <w:rPr>
          <w:rFonts w:hint="eastAsia"/>
          <w:b w:val="0"/>
          <w:bCs/>
          <w:color w:val="auto"/>
          <w:szCs w:val="21"/>
          <w:highlight w:val="none"/>
          <w:lang w:val="en-US" w:eastAsia="zh-CN"/>
        </w:rPr>
        <w:t>/</w:t>
      </w:r>
      <w:r>
        <w:rPr>
          <w:rFonts w:hint="eastAsia"/>
          <w:b w:val="0"/>
          <w:bCs/>
          <w:color w:val="auto"/>
          <w:szCs w:val="21"/>
          <w:highlight w:val="none"/>
          <w:lang w:val="zh-CN"/>
        </w:rPr>
        <w:t>包号</w:t>
      </w:r>
      <w:r>
        <w:rPr>
          <w:rFonts w:hint="eastAsia" w:cs="仿宋_GB2312"/>
          <w:color w:val="auto"/>
          <w:szCs w:val="24"/>
          <w:highlight w:val="none"/>
        </w:rPr>
        <w:t xml:space="preserve">：         </w:t>
      </w:r>
    </w:p>
    <w:tbl>
      <w:tblPr>
        <w:tblStyle w:val="3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1"/>
        <w:gridCol w:w="1976"/>
        <w:gridCol w:w="1758"/>
        <w:gridCol w:w="2157"/>
        <w:gridCol w:w="1937"/>
      </w:tblGrid>
      <w:tr w14:paraId="23CC5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05" w:type="pct"/>
            <w:vAlign w:val="center"/>
          </w:tcPr>
          <w:p w14:paraId="5F892E53">
            <w:pPr>
              <w:pStyle w:val="4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159" w:type="pct"/>
            <w:vAlign w:val="center"/>
          </w:tcPr>
          <w:p w14:paraId="48E48677">
            <w:pPr>
              <w:pStyle w:val="4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招标文件技术</w:t>
            </w:r>
          </w:p>
          <w:p w14:paraId="0C5608DB">
            <w:pPr>
              <w:pStyle w:val="4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要求条款</w:t>
            </w:r>
          </w:p>
        </w:tc>
        <w:tc>
          <w:tcPr>
            <w:tcW w:w="1031" w:type="pct"/>
            <w:vAlign w:val="center"/>
          </w:tcPr>
          <w:p w14:paraId="0B845CF1">
            <w:pPr>
              <w:pStyle w:val="4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投标文件内容</w:t>
            </w:r>
          </w:p>
          <w:p w14:paraId="4F79E073">
            <w:pPr>
              <w:pStyle w:val="4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对应简述</w:t>
            </w:r>
          </w:p>
        </w:tc>
        <w:tc>
          <w:tcPr>
            <w:tcW w:w="1265" w:type="pct"/>
            <w:vAlign w:val="center"/>
          </w:tcPr>
          <w:p w14:paraId="4AB4E9C3">
            <w:pPr>
              <w:pStyle w:val="4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响应情况</w:t>
            </w:r>
          </w:p>
        </w:tc>
        <w:tc>
          <w:tcPr>
            <w:tcW w:w="1136" w:type="pct"/>
            <w:vAlign w:val="center"/>
          </w:tcPr>
          <w:p w14:paraId="09D725B9">
            <w:pPr>
              <w:pStyle w:val="4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证明资料</w:t>
            </w:r>
            <w:r>
              <w:rPr>
                <w:rFonts w:hint="eastAsia" w:ascii="宋体" w:hAnsi="宋体" w:eastAsia="宋体" w:cs="宋体"/>
                <w:color w:val="auto"/>
                <w:sz w:val="21"/>
                <w:szCs w:val="21"/>
                <w:highlight w:val="none"/>
              </w:rPr>
              <w:t>及索引</w:t>
            </w:r>
          </w:p>
        </w:tc>
      </w:tr>
      <w:tr w14:paraId="39EC0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05" w:type="pct"/>
            <w:vAlign w:val="center"/>
          </w:tcPr>
          <w:p w14:paraId="29950C57">
            <w:pPr>
              <w:pStyle w:val="4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159" w:type="pct"/>
            <w:vAlign w:val="center"/>
          </w:tcPr>
          <w:p w14:paraId="69B288A0">
            <w:pPr>
              <w:pStyle w:val="4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31" w:type="pct"/>
            <w:vAlign w:val="center"/>
          </w:tcPr>
          <w:p w14:paraId="0E04AD72">
            <w:pPr>
              <w:pStyle w:val="4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265" w:type="pct"/>
            <w:vAlign w:val="center"/>
          </w:tcPr>
          <w:p w14:paraId="585AEA1C">
            <w:pPr>
              <w:pStyle w:val="4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响应/正偏离/负偏离</w:t>
            </w:r>
          </w:p>
        </w:tc>
        <w:tc>
          <w:tcPr>
            <w:tcW w:w="1136" w:type="pct"/>
            <w:vAlign w:val="center"/>
          </w:tcPr>
          <w:p w14:paraId="02D97874">
            <w:pPr>
              <w:pStyle w:val="49"/>
              <w:jc w:val="center"/>
              <w:rPr>
                <w:rFonts w:hint="eastAsia" w:ascii="宋体" w:hAnsi="宋体" w:eastAsia="宋体" w:cs="宋体"/>
                <w:color w:val="auto"/>
                <w:sz w:val="21"/>
                <w:szCs w:val="21"/>
                <w:highlight w:val="none"/>
              </w:rPr>
            </w:pPr>
          </w:p>
        </w:tc>
      </w:tr>
      <w:tr w14:paraId="4EC68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05" w:type="pct"/>
            <w:vAlign w:val="center"/>
          </w:tcPr>
          <w:p w14:paraId="195B6778">
            <w:pPr>
              <w:pStyle w:val="4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159" w:type="pct"/>
            <w:vAlign w:val="center"/>
          </w:tcPr>
          <w:p w14:paraId="30E52A7F">
            <w:pPr>
              <w:pStyle w:val="4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31" w:type="pct"/>
            <w:vAlign w:val="center"/>
          </w:tcPr>
          <w:p w14:paraId="29A6C1E1">
            <w:pPr>
              <w:pStyle w:val="4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265" w:type="pct"/>
            <w:vAlign w:val="center"/>
          </w:tcPr>
          <w:p w14:paraId="5D92E460">
            <w:pPr>
              <w:pStyle w:val="4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响应/正偏离/负偏离</w:t>
            </w:r>
          </w:p>
        </w:tc>
        <w:tc>
          <w:tcPr>
            <w:tcW w:w="1136" w:type="pct"/>
            <w:vAlign w:val="center"/>
          </w:tcPr>
          <w:p w14:paraId="63E16449">
            <w:pPr>
              <w:pStyle w:val="49"/>
              <w:jc w:val="center"/>
              <w:rPr>
                <w:rFonts w:hint="eastAsia" w:ascii="宋体" w:hAnsi="宋体" w:eastAsia="宋体" w:cs="宋体"/>
                <w:color w:val="auto"/>
                <w:sz w:val="21"/>
                <w:szCs w:val="21"/>
                <w:highlight w:val="none"/>
              </w:rPr>
            </w:pPr>
          </w:p>
        </w:tc>
      </w:tr>
      <w:tr w14:paraId="0C008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5" w:type="pct"/>
            <w:shd w:val="clear" w:color="auto" w:fill="auto"/>
            <w:vAlign w:val="center"/>
          </w:tcPr>
          <w:p w14:paraId="4C45FE18">
            <w:pPr>
              <w:pStyle w:val="49"/>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1159" w:type="pct"/>
            <w:shd w:val="clear" w:color="auto" w:fill="auto"/>
            <w:vAlign w:val="center"/>
          </w:tcPr>
          <w:p w14:paraId="6D1DD644">
            <w:pPr>
              <w:pStyle w:val="49"/>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w:t>
            </w:r>
          </w:p>
        </w:tc>
        <w:tc>
          <w:tcPr>
            <w:tcW w:w="1031" w:type="pct"/>
            <w:shd w:val="clear" w:color="auto" w:fill="auto"/>
            <w:vAlign w:val="center"/>
          </w:tcPr>
          <w:p w14:paraId="2982168B">
            <w:pPr>
              <w:pStyle w:val="49"/>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w:t>
            </w:r>
          </w:p>
        </w:tc>
        <w:tc>
          <w:tcPr>
            <w:tcW w:w="1265" w:type="pct"/>
            <w:shd w:val="clear" w:color="auto" w:fill="auto"/>
            <w:vAlign w:val="center"/>
          </w:tcPr>
          <w:p w14:paraId="78EC7D09">
            <w:pPr>
              <w:pStyle w:val="49"/>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响应/正偏离/负偏离</w:t>
            </w:r>
          </w:p>
        </w:tc>
        <w:tc>
          <w:tcPr>
            <w:tcW w:w="1136" w:type="pct"/>
            <w:vAlign w:val="center"/>
          </w:tcPr>
          <w:p w14:paraId="46369488">
            <w:pPr>
              <w:pStyle w:val="49"/>
              <w:jc w:val="center"/>
              <w:rPr>
                <w:rFonts w:hint="eastAsia" w:ascii="宋体" w:hAnsi="宋体" w:eastAsia="宋体" w:cs="宋体"/>
                <w:color w:val="auto"/>
                <w:sz w:val="21"/>
                <w:szCs w:val="21"/>
                <w:highlight w:val="none"/>
              </w:rPr>
            </w:pPr>
          </w:p>
        </w:tc>
      </w:tr>
      <w:tr w14:paraId="28C8F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5" w:type="pct"/>
            <w:vAlign w:val="center"/>
          </w:tcPr>
          <w:p w14:paraId="43874C19">
            <w:pPr>
              <w:pStyle w:val="49"/>
              <w:jc w:val="center"/>
              <w:rPr>
                <w:rFonts w:hint="eastAsia" w:ascii="宋体" w:hAnsi="宋体" w:eastAsia="宋体" w:cs="宋体"/>
                <w:color w:val="auto"/>
                <w:sz w:val="21"/>
                <w:szCs w:val="21"/>
                <w:highlight w:val="none"/>
              </w:rPr>
            </w:pPr>
          </w:p>
        </w:tc>
        <w:tc>
          <w:tcPr>
            <w:tcW w:w="1159" w:type="pct"/>
            <w:vAlign w:val="center"/>
          </w:tcPr>
          <w:p w14:paraId="529041E2">
            <w:pPr>
              <w:pStyle w:val="49"/>
              <w:jc w:val="center"/>
              <w:rPr>
                <w:rFonts w:hint="eastAsia" w:ascii="宋体" w:hAnsi="宋体" w:eastAsia="宋体" w:cs="宋体"/>
                <w:color w:val="auto"/>
                <w:sz w:val="21"/>
                <w:szCs w:val="21"/>
                <w:highlight w:val="none"/>
              </w:rPr>
            </w:pPr>
          </w:p>
        </w:tc>
        <w:tc>
          <w:tcPr>
            <w:tcW w:w="1031" w:type="pct"/>
            <w:vAlign w:val="center"/>
          </w:tcPr>
          <w:p w14:paraId="301E476D">
            <w:pPr>
              <w:pStyle w:val="49"/>
              <w:jc w:val="center"/>
              <w:rPr>
                <w:rFonts w:hint="eastAsia" w:ascii="宋体" w:hAnsi="宋体" w:eastAsia="宋体" w:cs="宋体"/>
                <w:color w:val="auto"/>
                <w:sz w:val="21"/>
                <w:szCs w:val="21"/>
                <w:highlight w:val="none"/>
              </w:rPr>
            </w:pPr>
          </w:p>
        </w:tc>
        <w:tc>
          <w:tcPr>
            <w:tcW w:w="1265" w:type="pct"/>
            <w:vAlign w:val="center"/>
          </w:tcPr>
          <w:p w14:paraId="06F8AED7">
            <w:pPr>
              <w:pStyle w:val="49"/>
              <w:jc w:val="center"/>
              <w:rPr>
                <w:rFonts w:hint="eastAsia" w:ascii="宋体" w:hAnsi="宋体" w:eastAsia="宋体" w:cs="宋体"/>
                <w:color w:val="auto"/>
                <w:sz w:val="21"/>
                <w:szCs w:val="21"/>
                <w:highlight w:val="none"/>
              </w:rPr>
            </w:pPr>
          </w:p>
        </w:tc>
        <w:tc>
          <w:tcPr>
            <w:tcW w:w="1136" w:type="pct"/>
            <w:vAlign w:val="center"/>
          </w:tcPr>
          <w:p w14:paraId="0CE9DF45">
            <w:pPr>
              <w:pStyle w:val="49"/>
              <w:jc w:val="center"/>
              <w:rPr>
                <w:rFonts w:hint="eastAsia" w:ascii="宋体" w:hAnsi="宋体" w:eastAsia="宋体" w:cs="宋体"/>
                <w:color w:val="auto"/>
                <w:sz w:val="21"/>
                <w:szCs w:val="21"/>
                <w:highlight w:val="none"/>
              </w:rPr>
            </w:pPr>
          </w:p>
        </w:tc>
      </w:tr>
      <w:tr w14:paraId="72916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5" w:type="pct"/>
            <w:vAlign w:val="center"/>
          </w:tcPr>
          <w:p w14:paraId="41433E5C">
            <w:pPr>
              <w:pStyle w:val="49"/>
              <w:jc w:val="center"/>
              <w:rPr>
                <w:rFonts w:hint="eastAsia" w:ascii="宋体" w:hAnsi="宋体" w:eastAsia="宋体" w:cs="宋体"/>
                <w:color w:val="auto"/>
                <w:sz w:val="21"/>
                <w:szCs w:val="21"/>
                <w:highlight w:val="none"/>
              </w:rPr>
            </w:pPr>
          </w:p>
        </w:tc>
        <w:tc>
          <w:tcPr>
            <w:tcW w:w="1159" w:type="pct"/>
            <w:vAlign w:val="center"/>
          </w:tcPr>
          <w:p w14:paraId="77107295">
            <w:pPr>
              <w:pStyle w:val="49"/>
              <w:jc w:val="center"/>
              <w:rPr>
                <w:rFonts w:hint="eastAsia" w:ascii="宋体" w:hAnsi="宋体" w:eastAsia="宋体" w:cs="宋体"/>
                <w:color w:val="auto"/>
                <w:sz w:val="21"/>
                <w:szCs w:val="21"/>
                <w:highlight w:val="none"/>
              </w:rPr>
            </w:pPr>
          </w:p>
        </w:tc>
        <w:tc>
          <w:tcPr>
            <w:tcW w:w="1031" w:type="pct"/>
            <w:vAlign w:val="center"/>
          </w:tcPr>
          <w:p w14:paraId="4D01D78E">
            <w:pPr>
              <w:pStyle w:val="49"/>
              <w:jc w:val="center"/>
              <w:rPr>
                <w:rFonts w:hint="eastAsia" w:ascii="宋体" w:hAnsi="宋体" w:eastAsia="宋体" w:cs="宋体"/>
                <w:color w:val="auto"/>
                <w:sz w:val="21"/>
                <w:szCs w:val="21"/>
                <w:highlight w:val="none"/>
              </w:rPr>
            </w:pPr>
          </w:p>
        </w:tc>
        <w:tc>
          <w:tcPr>
            <w:tcW w:w="1265" w:type="pct"/>
            <w:vAlign w:val="center"/>
          </w:tcPr>
          <w:p w14:paraId="6D546857">
            <w:pPr>
              <w:pStyle w:val="49"/>
              <w:jc w:val="center"/>
              <w:rPr>
                <w:rFonts w:hint="eastAsia" w:ascii="宋体" w:hAnsi="宋体" w:eastAsia="宋体" w:cs="宋体"/>
                <w:color w:val="auto"/>
                <w:sz w:val="21"/>
                <w:szCs w:val="21"/>
                <w:highlight w:val="none"/>
              </w:rPr>
            </w:pPr>
          </w:p>
        </w:tc>
        <w:tc>
          <w:tcPr>
            <w:tcW w:w="1136" w:type="pct"/>
            <w:vAlign w:val="center"/>
          </w:tcPr>
          <w:p w14:paraId="2E1B7D0B">
            <w:pPr>
              <w:pStyle w:val="49"/>
              <w:jc w:val="center"/>
              <w:rPr>
                <w:rFonts w:hint="eastAsia" w:ascii="宋体" w:hAnsi="宋体" w:eastAsia="宋体" w:cs="宋体"/>
                <w:color w:val="auto"/>
                <w:sz w:val="21"/>
                <w:szCs w:val="21"/>
                <w:highlight w:val="none"/>
              </w:rPr>
            </w:pPr>
          </w:p>
        </w:tc>
      </w:tr>
      <w:tr w14:paraId="39F80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5" w:type="pct"/>
            <w:vAlign w:val="center"/>
          </w:tcPr>
          <w:p w14:paraId="6AF16AFE">
            <w:pPr>
              <w:pStyle w:val="49"/>
              <w:jc w:val="center"/>
              <w:rPr>
                <w:rFonts w:hint="eastAsia" w:ascii="宋体" w:hAnsi="宋体" w:eastAsia="宋体" w:cs="宋体"/>
                <w:color w:val="auto"/>
                <w:sz w:val="21"/>
                <w:szCs w:val="21"/>
                <w:highlight w:val="none"/>
              </w:rPr>
            </w:pPr>
          </w:p>
        </w:tc>
        <w:tc>
          <w:tcPr>
            <w:tcW w:w="1159" w:type="pct"/>
            <w:vAlign w:val="center"/>
          </w:tcPr>
          <w:p w14:paraId="5C7E043B">
            <w:pPr>
              <w:pStyle w:val="49"/>
              <w:jc w:val="center"/>
              <w:rPr>
                <w:rFonts w:hint="eastAsia" w:ascii="宋体" w:hAnsi="宋体" w:eastAsia="宋体" w:cs="宋体"/>
                <w:color w:val="auto"/>
                <w:sz w:val="21"/>
                <w:szCs w:val="21"/>
                <w:highlight w:val="none"/>
              </w:rPr>
            </w:pPr>
          </w:p>
        </w:tc>
        <w:tc>
          <w:tcPr>
            <w:tcW w:w="1031" w:type="pct"/>
            <w:vAlign w:val="center"/>
          </w:tcPr>
          <w:p w14:paraId="64166C7A">
            <w:pPr>
              <w:pStyle w:val="49"/>
              <w:jc w:val="center"/>
              <w:rPr>
                <w:rFonts w:hint="eastAsia" w:ascii="宋体" w:hAnsi="宋体" w:eastAsia="宋体" w:cs="宋体"/>
                <w:color w:val="auto"/>
                <w:sz w:val="21"/>
                <w:szCs w:val="21"/>
                <w:highlight w:val="none"/>
              </w:rPr>
            </w:pPr>
          </w:p>
        </w:tc>
        <w:tc>
          <w:tcPr>
            <w:tcW w:w="1265" w:type="pct"/>
            <w:vAlign w:val="center"/>
          </w:tcPr>
          <w:p w14:paraId="2817CCE5">
            <w:pPr>
              <w:pStyle w:val="49"/>
              <w:jc w:val="center"/>
              <w:rPr>
                <w:rFonts w:hint="eastAsia" w:ascii="宋体" w:hAnsi="宋体" w:eastAsia="宋体" w:cs="宋体"/>
                <w:color w:val="auto"/>
                <w:sz w:val="21"/>
                <w:szCs w:val="21"/>
                <w:highlight w:val="none"/>
              </w:rPr>
            </w:pPr>
          </w:p>
        </w:tc>
        <w:tc>
          <w:tcPr>
            <w:tcW w:w="1136" w:type="pct"/>
            <w:vAlign w:val="center"/>
          </w:tcPr>
          <w:p w14:paraId="184E3F96">
            <w:pPr>
              <w:pStyle w:val="49"/>
              <w:jc w:val="center"/>
              <w:rPr>
                <w:rFonts w:hint="eastAsia" w:ascii="宋体" w:hAnsi="宋体" w:eastAsia="宋体" w:cs="宋体"/>
                <w:color w:val="auto"/>
                <w:sz w:val="21"/>
                <w:szCs w:val="21"/>
                <w:highlight w:val="none"/>
              </w:rPr>
            </w:pPr>
          </w:p>
        </w:tc>
      </w:tr>
      <w:tr w14:paraId="4BD96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5" w:type="pct"/>
            <w:vAlign w:val="center"/>
          </w:tcPr>
          <w:p w14:paraId="5DBDBE11">
            <w:pPr>
              <w:pStyle w:val="49"/>
              <w:jc w:val="center"/>
              <w:rPr>
                <w:rFonts w:hint="eastAsia" w:ascii="宋体" w:hAnsi="宋体" w:eastAsia="宋体" w:cs="宋体"/>
                <w:color w:val="auto"/>
                <w:sz w:val="21"/>
                <w:szCs w:val="21"/>
                <w:highlight w:val="none"/>
              </w:rPr>
            </w:pPr>
          </w:p>
        </w:tc>
        <w:tc>
          <w:tcPr>
            <w:tcW w:w="1159" w:type="pct"/>
            <w:vAlign w:val="center"/>
          </w:tcPr>
          <w:p w14:paraId="1F11A7BE">
            <w:pPr>
              <w:pStyle w:val="49"/>
              <w:jc w:val="center"/>
              <w:rPr>
                <w:rFonts w:hint="eastAsia" w:ascii="宋体" w:hAnsi="宋体" w:eastAsia="宋体" w:cs="宋体"/>
                <w:color w:val="auto"/>
                <w:sz w:val="21"/>
                <w:szCs w:val="21"/>
                <w:highlight w:val="none"/>
              </w:rPr>
            </w:pPr>
          </w:p>
        </w:tc>
        <w:tc>
          <w:tcPr>
            <w:tcW w:w="1031" w:type="pct"/>
            <w:vAlign w:val="center"/>
          </w:tcPr>
          <w:p w14:paraId="09342B6E">
            <w:pPr>
              <w:pStyle w:val="49"/>
              <w:jc w:val="center"/>
              <w:rPr>
                <w:rFonts w:hint="eastAsia" w:ascii="宋体" w:hAnsi="宋体" w:eastAsia="宋体" w:cs="宋体"/>
                <w:color w:val="auto"/>
                <w:sz w:val="21"/>
                <w:szCs w:val="21"/>
                <w:highlight w:val="none"/>
              </w:rPr>
            </w:pPr>
          </w:p>
        </w:tc>
        <w:tc>
          <w:tcPr>
            <w:tcW w:w="1265" w:type="pct"/>
            <w:vAlign w:val="center"/>
          </w:tcPr>
          <w:p w14:paraId="6742B646">
            <w:pPr>
              <w:pStyle w:val="49"/>
              <w:jc w:val="center"/>
              <w:rPr>
                <w:rFonts w:hint="eastAsia" w:ascii="宋体" w:hAnsi="宋体" w:eastAsia="宋体" w:cs="宋体"/>
                <w:color w:val="auto"/>
                <w:sz w:val="21"/>
                <w:szCs w:val="21"/>
                <w:highlight w:val="none"/>
              </w:rPr>
            </w:pPr>
          </w:p>
        </w:tc>
        <w:tc>
          <w:tcPr>
            <w:tcW w:w="1136" w:type="pct"/>
            <w:vAlign w:val="center"/>
          </w:tcPr>
          <w:p w14:paraId="4C72FCC2">
            <w:pPr>
              <w:pStyle w:val="49"/>
              <w:jc w:val="center"/>
              <w:rPr>
                <w:rFonts w:hint="eastAsia" w:ascii="宋体" w:hAnsi="宋体" w:eastAsia="宋体" w:cs="宋体"/>
                <w:color w:val="auto"/>
                <w:sz w:val="21"/>
                <w:szCs w:val="21"/>
                <w:highlight w:val="none"/>
              </w:rPr>
            </w:pPr>
          </w:p>
        </w:tc>
      </w:tr>
      <w:tr w14:paraId="26694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405" w:type="pct"/>
            <w:vAlign w:val="center"/>
          </w:tcPr>
          <w:p w14:paraId="0D811F11">
            <w:pPr>
              <w:pStyle w:val="4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159" w:type="pct"/>
            <w:vAlign w:val="center"/>
          </w:tcPr>
          <w:p w14:paraId="7D0AF02A">
            <w:pPr>
              <w:pStyle w:val="4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31" w:type="pct"/>
            <w:vAlign w:val="center"/>
          </w:tcPr>
          <w:p w14:paraId="6EC8C4F3">
            <w:pPr>
              <w:pStyle w:val="4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265" w:type="pct"/>
            <w:vAlign w:val="center"/>
          </w:tcPr>
          <w:p w14:paraId="59EB3DF9">
            <w:pPr>
              <w:pStyle w:val="4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136" w:type="pct"/>
            <w:vAlign w:val="center"/>
          </w:tcPr>
          <w:p w14:paraId="1BF96619">
            <w:pPr>
              <w:pStyle w:val="49"/>
              <w:jc w:val="center"/>
              <w:rPr>
                <w:rFonts w:hint="eastAsia" w:ascii="宋体" w:hAnsi="宋体" w:eastAsia="宋体" w:cs="宋体"/>
                <w:color w:val="auto"/>
                <w:sz w:val="21"/>
                <w:szCs w:val="21"/>
                <w:highlight w:val="none"/>
              </w:rPr>
            </w:pPr>
          </w:p>
        </w:tc>
      </w:tr>
    </w:tbl>
    <w:p w14:paraId="12AEBD40">
      <w:pPr>
        <w:ind w:firstLine="480" w:firstLineChars="200"/>
        <w:rPr>
          <w:rFonts w:cs="仿宋_GB2312"/>
          <w:color w:val="auto"/>
          <w:szCs w:val="24"/>
          <w:highlight w:val="none"/>
        </w:rPr>
      </w:pPr>
    </w:p>
    <w:p w14:paraId="53059121">
      <w:pPr>
        <w:ind w:firstLine="480" w:firstLineChars="200"/>
        <w:rPr>
          <w:rFonts w:cs="仿宋_GB2312"/>
          <w:color w:val="auto"/>
          <w:szCs w:val="24"/>
          <w:highlight w:val="none"/>
        </w:rPr>
      </w:pPr>
      <w:r>
        <w:rPr>
          <w:rFonts w:hint="eastAsia" w:cs="仿宋_GB2312"/>
          <w:color w:val="auto"/>
          <w:szCs w:val="24"/>
          <w:highlight w:val="none"/>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hint="eastAsia" w:cs="仿宋_GB2312"/>
          <w:color w:val="auto"/>
          <w:szCs w:val="24"/>
          <w:highlight w:val="none"/>
        </w:rPr>
        <w:t>：</w:t>
      </w:r>
    </w:p>
    <w:p w14:paraId="27EF6D84">
      <w:pPr>
        <w:ind w:firstLine="420"/>
        <w:rPr>
          <w:rFonts w:cs="仿宋_GB2312"/>
          <w:color w:val="auto"/>
          <w:szCs w:val="24"/>
          <w:highlight w:val="none"/>
        </w:rPr>
      </w:pPr>
      <w:r>
        <w:rPr>
          <w:rFonts w:hint="eastAsia" w:cs="仿宋_GB2312"/>
          <w:color w:val="auto"/>
          <w:szCs w:val="24"/>
          <w:highlight w:val="none"/>
        </w:rPr>
        <w:t>日      期：</w:t>
      </w:r>
    </w:p>
    <w:p w14:paraId="34FA0C9E">
      <w:pPr>
        <w:ind w:firstLine="420"/>
        <w:rPr>
          <w:rFonts w:hint="eastAsia" w:cs="仿宋_GB2312"/>
          <w:color w:val="auto"/>
          <w:sz w:val="21"/>
          <w:szCs w:val="21"/>
          <w:highlight w:val="none"/>
          <w:lang w:val="en-US" w:eastAsia="zh-CN"/>
        </w:rPr>
      </w:pPr>
    </w:p>
    <w:p w14:paraId="695CF979">
      <w:pPr>
        <w:ind w:firstLine="420" w:firstLineChars="200"/>
        <w:rPr>
          <w:rFonts w:cs="仿宋_GB2312"/>
          <w:color w:val="auto"/>
          <w:szCs w:val="24"/>
          <w:highlight w:val="none"/>
        </w:rPr>
      </w:pPr>
      <w:r>
        <w:rPr>
          <w:rFonts w:hint="eastAsia" w:cs="仿宋_GB2312"/>
          <w:color w:val="auto"/>
          <w:sz w:val="21"/>
          <w:szCs w:val="21"/>
          <w:highlight w:val="none"/>
        </w:rPr>
        <w:t>注：投标人应按照招标文件“第三章 采购需求”</w:t>
      </w:r>
      <w:r>
        <w:rPr>
          <w:rFonts w:hint="eastAsia" w:cs="仿宋_GB2312"/>
          <w:color w:val="auto"/>
          <w:sz w:val="21"/>
          <w:szCs w:val="21"/>
          <w:highlight w:val="none"/>
          <w:lang w:val="en-US" w:eastAsia="zh-CN"/>
        </w:rPr>
        <w:t>中的技术要求</w:t>
      </w:r>
      <w:r>
        <w:rPr>
          <w:rFonts w:hint="eastAsia" w:cs="仿宋_GB2312"/>
          <w:color w:val="auto"/>
          <w:sz w:val="21"/>
          <w:szCs w:val="21"/>
          <w:highlight w:val="none"/>
        </w:rPr>
        <w:t>填写</w:t>
      </w:r>
      <w:r>
        <w:rPr>
          <w:rFonts w:hint="eastAsia" w:cs="仿宋_GB2312"/>
          <w:color w:val="auto"/>
          <w:sz w:val="21"/>
          <w:szCs w:val="21"/>
          <w:highlight w:val="none"/>
          <w:lang w:eastAsia="zh-CN"/>
        </w:rPr>
        <w:t>：</w:t>
      </w:r>
    </w:p>
    <w:p w14:paraId="2C3D9747">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 xml:space="preserve">1.“招标文件技术要求条款”栏应详细列明招标文件中的要求。 </w:t>
      </w:r>
    </w:p>
    <w:p w14:paraId="67B3A4D5">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2.“投标文件内容对应简述”栏填写投标人对招标文件提出的技术要求作出的明确响应，并列明具体响应数值或内容，只注明符合、满足等无具体内容表述的，将视为未实质性满足招标文件要求</w:t>
      </w:r>
      <w:r>
        <w:rPr>
          <w:rFonts w:hint="default" w:cs="仿宋_GB2312"/>
          <w:color w:val="auto"/>
          <w:sz w:val="21"/>
          <w:szCs w:val="21"/>
          <w:highlight w:val="none"/>
          <w:lang w:val="en-US" w:eastAsia="zh-CN"/>
        </w:rPr>
        <w:t>，</w:t>
      </w:r>
      <w:r>
        <w:rPr>
          <w:rFonts w:hint="eastAsia" w:cs="仿宋_GB2312"/>
          <w:b/>
          <w:bCs/>
          <w:color w:val="auto"/>
          <w:sz w:val="21"/>
          <w:szCs w:val="21"/>
          <w:highlight w:val="none"/>
          <w:lang w:val="en-US" w:eastAsia="zh-CN"/>
        </w:rPr>
        <w:t>投标</w:t>
      </w:r>
      <w:r>
        <w:rPr>
          <w:rFonts w:hint="default" w:cs="仿宋_GB2312"/>
          <w:b/>
          <w:bCs/>
          <w:color w:val="auto"/>
          <w:sz w:val="21"/>
          <w:szCs w:val="21"/>
          <w:highlight w:val="none"/>
          <w:lang w:val="en-US" w:eastAsia="zh-CN"/>
        </w:rPr>
        <w:t>无效</w:t>
      </w:r>
      <w:r>
        <w:rPr>
          <w:rFonts w:hint="eastAsia" w:cs="仿宋_GB2312"/>
          <w:color w:val="auto"/>
          <w:sz w:val="21"/>
          <w:szCs w:val="21"/>
          <w:highlight w:val="none"/>
          <w:lang w:val="en-US" w:eastAsia="zh-CN"/>
        </w:rPr>
        <w:t xml:space="preserve">。 </w:t>
      </w:r>
    </w:p>
    <w:p w14:paraId="1ADFBBD2">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 xml:space="preserve">3.“响应情况”栏应据实填写“响应”、“正偏离”或“负偏离”。 </w:t>
      </w:r>
    </w:p>
    <w:p w14:paraId="5D0BE6F5">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4.“证明资料及索引”栏可填写证明资料的具体内容及索引。</w:t>
      </w:r>
    </w:p>
    <w:p w14:paraId="2738FDA8">
      <w:pPr>
        <w:ind w:firstLine="420" w:firstLineChars="200"/>
        <w:rPr>
          <w:rFonts w:hint="eastAsia" w:cs="仿宋_GB2312"/>
          <w:color w:val="auto"/>
          <w:sz w:val="21"/>
          <w:szCs w:val="21"/>
          <w:highlight w:val="none"/>
          <w:lang w:val="en-US" w:eastAsia="zh-CN"/>
        </w:rPr>
      </w:pPr>
      <w:r>
        <w:rPr>
          <w:rFonts w:hint="eastAsia" w:cs="仿宋_GB2312"/>
          <w:color w:val="auto"/>
          <w:sz w:val="21"/>
          <w:szCs w:val="21"/>
          <w:highlight w:val="none"/>
          <w:lang w:val="en-US" w:eastAsia="zh-CN"/>
        </w:rPr>
        <w:t>5.对招标文件中的所有技术要求，除本表所列明的所有偏离外，均视作供应商</w:t>
      </w:r>
      <w:r>
        <w:rPr>
          <w:rFonts w:hint="default" w:cs="仿宋_GB2312"/>
          <w:color w:val="auto"/>
          <w:sz w:val="21"/>
          <w:szCs w:val="21"/>
          <w:highlight w:val="none"/>
          <w:lang w:val="en-US" w:eastAsia="zh-CN"/>
        </w:rPr>
        <w:t>已对之理解和响应。此表中若无任何文字说明，内容为空白的，</w:t>
      </w:r>
      <w:r>
        <w:rPr>
          <w:rFonts w:hint="default" w:cs="仿宋_GB2312"/>
          <w:b/>
          <w:bCs/>
          <w:color w:val="auto"/>
          <w:sz w:val="21"/>
          <w:szCs w:val="21"/>
          <w:highlight w:val="none"/>
          <w:lang w:val="en-US" w:eastAsia="zh-CN"/>
        </w:rPr>
        <w:t>投标无效</w:t>
      </w:r>
      <w:r>
        <w:rPr>
          <w:rFonts w:hint="default" w:cs="仿宋_GB2312"/>
          <w:color w:val="auto"/>
          <w:sz w:val="21"/>
          <w:szCs w:val="21"/>
          <w:highlight w:val="none"/>
          <w:lang w:val="en-US" w:eastAsia="zh-CN"/>
        </w:rPr>
        <w:t>。</w:t>
      </w:r>
    </w:p>
    <w:p w14:paraId="47044C1A">
      <w:pPr>
        <w:ind w:firstLine="420"/>
        <w:rPr>
          <w:rFonts w:hint="eastAsia" w:cs="仿宋_GB2312"/>
          <w:color w:val="auto"/>
          <w:sz w:val="21"/>
          <w:szCs w:val="21"/>
          <w:highlight w:val="none"/>
          <w:lang w:val="en-US" w:eastAsia="zh-CN"/>
        </w:rPr>
      </w:pPr>
    </w:p>
    <w:p w14:paraId="49372E23">
      <w:pPr>
        <w:ind w:firstLine="420"/>
        <w:rPr>
          <w:rFonts w:hint="eastAsia" w:cs="仿宋_GB2312"/>
          <w:color w:val="auto"/>
          <w:sz w:val="21"/>
          <w:szCs w:val="21"/>
          <w:highlight w:val="none"/>
          <w:lang w:val="en-US" w:eastAsia="zh-CN"/>
        </w:rPr>
      </w:pPr>
    </w:p>
    <w:p w14:paraId="30496E48">
      <w:pPr>
        <w:ind w:firstLine="420"/>
        <w:rPr>
          <w:rFonts w:hint="eastAsia" w:cs="仿宋_GB2312"/>
          <w:color w:val="auto"/>
          <w:sz w:val="21"/>
          <w:szCs w:val="21"/>
          <w:highlight w:val="none"/>
          <w:lang w:val="en-US" w:eastAsia="zh-CN"/>
        </w:rPr>
      </w:pPr>
    </w:p>
    <w:p w14:paraId="06C98EB9">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424" w:name="_Toc24639"/>
      <w:bookmarkStart w:id="425" w:name="_Toc163492935"/>
      <w:r>
        <w:rPr>
          <w:rFonts w:hint="eastAsia" w:cstheme="majorBidi"/>
          <w:b/>
          <w:bCs/>
          <w:color w:val="auto"/>
          <w:kern w:val="2"/>
          <w:sz w:val="32"/>
          <w:szCs w:val="32"/>
          <w:highlight w:val="none"/>
          <w:lang w:val="en-US" w:eastAsia="zh-CN" w:bidi="ar-SA"/>
        </w:rPr>
        <w:t>十</w:t>
      </w:r>
      <w:r>
        <w:rPr>
          <w:rFonts w:hint="eastAsia" w:eastAsia="宋体" w:asciiTheme="majorHAnsi" w:hAnsiTheme="majorHAnsi" w:cstheme="majorBidi"/>
          <w:b/>
          <w:bCs/>
          <w:color w:val="auto"/>
          <w:kern w:val="2"/>
          <w:sz w:val="32"/>
          <w:szCs w:val="32"/>
          <w:highlight w:val="none"/>
          <w:lang w:val="en-US" w:eastAsia="zh-CN" w:bidi="ar-SA"/>
        </w:rPr>
        <w:t>、技术方案</w:t>
      </w:r>
      <w:bookmarkEnd w:id="424"/>
      <w:bookmarkEnd w:id="425"/>
    </w:p>
    <w:p w14:paraId="3878D3F5">
      <w:pPr>
        <w:pStyle w:val="37"/>
        <w:rPr>
          <w:color w:val="auto"/>
          <w:highlight w:val="none"/>
        </w:rPr>
      </w:pPr>
      <w:r>
        <w:rPr>
          <w:rFonts w:hint="eastAsia"/>
          <w:color w:val="auto"/>
          <w:highlight w:val="none"/>
        </w:rPr>
        <w:t>投标人应按照招标文件的要求，提供详细的</w:t>
      </w:r>
      <w:r>
        <w:rPr>
          <w:rFonts w:hint="eastAsia"/>
          <w:color w:val="auto"/>
          <w:highlight w:val="none"/>
          <w:lang w:val="en-US" w:eastAsia="zh-CN"/>
        </w:rPr>
        <w:t>供货及相关</w:t>
      </w:r>
      <w:r>
        <w:rPr>
          <w:rFonts w:hint="eastAsia"/>
          <w:color w:val="auto"/>
          <w:highlight w:val="none"/>
        </w:rPr>
        <w:t>服务方案，包括文字描述或图表显示。格式自拟。</w:t>
      </w:r>
    </w:p>
    <w:p w14:paraId="7EE77353">
      <w:pPr>
        <w:pStyle w:val="37"/>
        <w:rPr>
          <w:color w:val="auto"/>
          <w:highlight w:val="none"/>
        </w:rPr>
      </w:pPr>
      <w:r>
        <w:rPr>
          <w:color w:val="auto"/>
          <w:highlight w:val="none"/>
        </w:rPr>
        <w:br w:type="page"/>
      </w:r>
    </w:p>
    <w:p w14:paraId="7AD86D6F">
      <w:pPr>
        <w:ind w:firstLine="420"/>
        <w:rPr>
          <w:rFonts w:hint="eastAsia" w:cs="仿宋_GB2312"/>
          <w:color w:val="auto"/>
          <w:sz w:val="21"/>
          <w:szCs w:val="21"/>
          <w:highlight w:val="none"/>
          <w:lang w:val="en-US" w:eastAsia="zh-CN"/>
        </w:rPr>
      </w:pPr>
      <w:bookmarkStart w:id="426" w:name="_Toc163492936"/>
    </w:p>
    <w:p w14:paraId="68D392B1">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427" w:name="_Toc12672"/>
      <w:r>
        <w:rPr>
          <w:rFonts w:hint="eastAsia" w:eastAsia="宋体" w:asciiTheme="majorHAnsi" w:hAnsiTheme="majorHAnsi" w:cstheme="majorBidi"/>
          <w:b/>
          <w:bCs/>
          <w:color w:val="auto"/>
          <w:kern w:val="2"/>
          <w:sz w:val="32"/>
          <w:szCs w:val="32"/>
          <w:highlight w:val="none"/>
          <w:lang w:val="en-US" w:eastAsia="zh-CN" w:bidi="ar-SA"/>
        </w:rPr>
        <w:t>十</w:t>
      </w:r>
      <w:r>
        <w:rPr>
          <w:rFonts w:hint="eastAsia" w:cstheme="majorBidi"/>
          <w:b/>
          <w:bCs/>
          <w:color w:val="auto"/>
          <w:kern w:val="2"/>
          <w:sz w:val="32"/>
          <w:szCs w:val="32"/>
          <w:highlight w:val="none"/>
          <w:lang w:val="en-US" w:eastAsia="zh-CN" w:bidi="ar-SA"/>
        </w:rPr>
        <w:t>一</w:t>
      </w:r>
      <w:r>
        <w:rPr>
          <w:rFonts w:hint="eastAsia" w:eastAsia="宋体" w:asciiTheme="majorHAnsi" w:hAnsiTheme="majorHAnsi" w:cstheme="majorBidi"/>
          <w:b/>
          <w:bCs/>
          <w:color w:val="auto"/>
          <w:kern w:val="2"/>
          <w:sz w:val="32"/>
          <w:szCs w:val="32"/>
          <w:highlight w:val="none"/>
          <w:lang w:val="en-US" w:eastAsia="zh-CN" w:bidi="ar-SA"/>
        </w:rPr>
        <w:t>、其他文件</w:t>
      </w:r>
      <w:bookmarkEnd w:id="426"/>
      <w:bookmarkEnd w:id="427"/>
    </w:p>
    <w:p w14:paraId="6EF40482">
      <w:pPr>
        <w:pStyle w:val="37"/>
        <w:ind w:left="0" w:leftChars="0" w:firstLine="0" w:firstLineChars="0"/>
        <w:rPr>
          <w:rFonts w:hint="eastAsia"/>
          <w:b/>
          <w:bCs/>
          <w:color w:val="auto"/>
          <w:sz w:val="24"/>
          <w:szCs w:val="24"/>
          <w:highlight w:val="none"/>
        </w:rPr>
      </w:pPr>
      <w:r>
        <w:rPr>
          <w:rFonts w:hint="eastAsia"/>
          <w:b/>
          <w:bCs/>
          <w:color w:val="auto"/>
          <w:sz w:val="24"/>
          <w:szCs w:val="24"/>
          <w:highlight w:val="none"/>
          <w:lang w:eastAsia="zh-CN"/>
        </w:rPr>
        <w:t>（</w:t>
      </w:r>
      <w:r>
        <w:rPr>
          <w:rFonts w:hint="eastAsia"/>
          <w:b/>
          <w:bCs/>
          <w:color w:val="auto"/>
          <w:sz w:val="24"/>
          <w:szCs w:val="24"/>
          <w:highlight w:val="none"/>
          <w:lang w:val="en-US" w:eastAsia="zh-CN"/>
        </w:rPr>
        <w:t>一）</w:t>
      </w:r>
      <w:r>
        <w:rPr>
          <w:rFonts w:hint="eastAsia"/>
          <w:b/>
          <w:bCs/>
          <w:color w:val="auto"/>
          <w:sz w:val="24"/>
          <w:szCs w:val="24"/>
          <w:highlight w:val="none"/>
        </w:rPr>
        <w:t>招标文件要求提供的其它商务</w:t>
      </w:r>
      <w:r>
        <w:rPr>
          <w:rFonts w:hint="eastAsia"/>
          <w:b/>
          <w:bCs/>
          <w:color w:val="auto"/>
          <w:sz w:val="24"/>
          <w:szCs w:val="24"/>
          <w:highlight w:val="none"/>
          <w:lang w:eastAsia="zh-CN"/>
        </w:rPr>
        <w:t>、</w:t>
      </w:r>
      <w:r>
        <w:rPr>
          <w:rFonts w:hint="eastAsia"/>
          <w:b/>
          <w:bCs/>
          <w:color w:val="auto"/>
          <w:sz w:val="24"/>
          <w:szCs w:val="24"/>
          <w:highlight w:val="none"/>
        </w:rPr>
        <w:t>技术资料和证明材料；</w:t>
      </w:r>
    </w:p>
    <w:p w14:paraId="1AB0431C">
      <w:pPr>
        <w:pStyle w:val="37"/>
        <w:rPr>
          <w:rFonts w:hint="eastAsia"/>
          <w:color w:val="auto"/>
          <w:sz w:val="24"/>
          <w:szCs w:val="24"/>
          <w:highlight w:val="none"/>
          <w:lang w:val="en-US" w:eastAsia="zh-CN"/>
        </w:rPr>
      </w:pPr>
      <w:r>
        <w:rPr>
          <w:rFonts w:hint="eastAsia"/>
          <w:color w:val="auto"/>
          <w:sz w:val="24"/>
          <w:szCs w:val="24"/>
          <w:highlight w:val="none"/>
          <w:lang w:val="en-US" w:eastAsia="zh-CN"/>
        </w:rPr>
        <w:t>1.1供应商信息采集表</w:t>
      </w:r>
    </w:p>
    <w:tbl>
      <w:tblPr>
        <w:tblStyle w:val="31"/>
        <w:tblW w:w="0" w:type="auto"/>
        <w:tblInd w:w="1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08"/>
        <w:gridCol w:w="2841"/>
        <w:gridCol w:w="2743"/>
      </w:tblGrid>
      <w:tr w14:paraId="321A6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2708" w:type="dxa"/>
            <w:vAlign w:val="center"/>
          </w:tcPr>
          <w:p w14:paraId="1508E63E">
            <w:pPr>
              <w:keepNext w:val="0"/>
              <w:keepLines w:val="0"/>
              <w:widowControl/>
              <w:suppressLineNumbers w:val="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kern w:val="0"/>
                <w:sz w:val="24"/>
                <w:szCs w:val="24"/>
                <w:highlight w:val="none"/>
                <w:lang w:val="en-US" w:eastAsia="zh-CN" w:bidi="ar"/>
              </w:rPr>
              <w:t>供应商名称</w:t>
            </w:r>
          </w:p>
        </w:tc>
        <w:tc>
          <w:tcPr>
            <w:tcW w:w="2841" w:type="dxa"/>
            <w:vAlign w:val="center"/>
          </w:tcPr>
          <w:p w14:paraId="525F160D">
            <w:pPr>
              <w:keepNext w:val="0"/>
              <w:keepLines w:val="0"/>
              <w:widowControl/>
              <w:suppressLineNumbers w:val="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kern w:val="0"/>
                <w:sz w:val="24"/>
                <w:szCs w:val="24"/>
                <w:highlight w:val="none"/>
                <w:lang w:val="en-US" w:eastAsia="zh-CN" w:bidi="ar"/>
              </w:rPr>
              <w:t>供应商实际控制人性别</w:t>
            </w:r>
          </w:p>
        </w:tc>
        <w:tc>
          <w:tcPr>
            <w:tcW w:w="2743" w:type="dxa"/>
            <w:vAlign w:val="center"/>
          </w:tcPr>
          <w:p w14:paraId="6288AB90">
            <w:pPr>
              <w:keepNext w:val="0"/>
              <w:keepLines w:val="0"/>
              <w:widowControl/>
              <w:suppressLineNumbers w:val="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kern w:val="0"/>
                <w:sz w:val="24"/>
                <w:szCs w:val="24"/>
                <w:highlight w:val="none"/>
                <w:lang w:val="en-US" w:eastAsia="zh-CN" w:bidi="ar"/>
              </w:rPr>
              <w:t>外商投资类型</w:t>
            </w:r>
          </w:p>
        </w:tc>
      </w:tr>
      <w:tr w14:paraId="0694C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5BC16E3C">
            <w:pPr>
              <w:pStyle w:val="37"/>
              <w:rPr>
                <w:rFonts w:hint="eastAsia" w:ascii="宋体" w:hAnsi="宋体" w:eastAsia="宋体" w:cs="宋体"/>
                <w:color w:val="auto"/>
                <w:sz w:val="24"/>
                <w:szCs w:val="24"/>
                <w:highlight w:val="none"/>
                <w:vertAlign w:val="baseline"/>
                <w:lang w:val="en-US" w:eastAsia="zh-CN"/>
              </w:rPr>
            </w:pPr>
          </w:p>
        </w:tc>
        <w:tc>
          <w:tcPr>
            <w:tcW w:w="2841" w:type="dxa"/>
          </w:tcPr>
          <w:p w14:paraId="471F983C">
            <w:pPr>
              <w:pStyle w:val="37"/>
              <w:rPr>
                <w:rFonts w:hint="eastAsia" w:ascii="宋体" w:hAnsi="宋体" w:eastAsia="宋体" w:cs="宋体"/>
                <w:color w:val="auto"/>
                <w:sz w:val="24"/>
                <w:szCs w:val="24"/>
                <w:highlight w:val="none"/>
                <w:vertAlign w:val="baseline"/>
                <w:lang w:val="en-US" w:eastAsia="zh-CN"/>
              </w:rPr>
            </w:pPr>
          </w:p>
        </w:tc>
        <w:tc>
          <w:tcPr>
            <w:tcW w:w="2743" w:type="dxa"/>
          </w:tcPr>
          <w:p w14:paraId="59E9D0CB">
            <w:pPr>
              <w:pStyle w:val="37"/>
              <w:rPr>
                <w:rFonts w:hint="eastAsia" w:ascii="宋体" w:hAnsi="宋体" w:eastAsia="宋体" w:cs="宋体"/>
                <w:color w:val="auto"/>
                <w:sz w:val="24"/>
                <w:szCs w:val="24"/>
                <w:highlight w:val="none"/>
                <w:vertAlign w:val="baseline"/>
                <w:lang w:val="en-US" w:eastAsia="zh-CN"/>
              </w:rPr>
            </w:pPr>
          </w:p>
        </w:tc>
      </w:tr>
      <w:tr w14:paraId="6D8FF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3BE5BC20">
            <w:pPr>
              <w:pStyle w:val="37"/>
              <w:rPr>
                <w:rFonts w:hint="eastAsia" w:ascii="宋体" w:hAnsi="宋体" w:eastAsia="宋体" w:cs="宋体"/>
                <w:color w:val="auto"/>
                <w:sz w:val="24"/>
                <w:szCs w:val="24"/>
                <w:highlight w:val="none"/>
                <w:vertAlign w:val="baseline"/>
                <w:lang w:val="en-US" w:eastAsia="zh-CN"/>
              </w:rPr>
            </w:pPr>
          </w:p>
        </w:tc>
        <w:tc>
          <w:tcPr>
            <w:tcW w:w="2841" w:type="dxa"/>
          </w:tcPr>
          <w:p w14:paraId="65335BA2">
            <w:pPr>
              <w:pStyle w:val="37"/>
              <w:rPr>
                <w:rFonts w:hint="eastAsia" w:ascii="宋体" w:hAnsi="宋体" w:eastAsia="宋体" w:cs="宋体"/>
                <w:color w:val="auto"/>
                <w:sz w:val="24"/>
                <w:szCs w:val="24"/>
                <w:highlight w:val="none"/>
                <w:vertAlign w:val="baseline"/>
                <w:lang w:val="en-US" w:eastAsia="zh-CN"/>
              </w:rPr>
            </w:pPr>
          </w:p>
        </w:tc>
        <w:tc>
          <w:tcPr>
            <w:tcW w:w="2743" w:type="dxa"/>
          </w:tcPr>
          <w:p w14:paraId="331FBFA7">
            <w:pPr>
              <w:pStyle w:val="37"/>
              <w:rPr>
                <w:rFonts w:hint="eastAsia" w:ascii="宋体" w:hAnsi="宋体" w:eastAsia="宋体" w:cs="宋体"/>
                <w:color w:val="auto"/>
                <w:sz w:val="24"/>
                <w:szCs w:val="24"/>
                <w:highlight w:val="none"/>
                <w:vertAlign w:val="baseline"/>
                <w:lang w:val="en-US" w:eastAsia="zh-CN"/>
              </w:rPr>
            </w:pPr>
          </w:p>
        </w:tc>
      </w:tr>
      <w:tr w14:paraId="1A91A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399AB141">
            <w:pPr>
              <w:pStyle w:val="37"/>
              <w:rPr>
                <w:rFonts w:hint="eastAsia" w:ascii="宋体" w:hAnsi="宋体" w:eastAsia="宋体" w:cs="宋体"/>
                <w:color w:val="auto"/>
                <w:sz w:val="24"/>
                <w:szCs w:val="24"/>
                <w:highlight w:val="none"/>
                <w:vertAlign w:val="baseline"/>
                <w:lang w:val="en-US" w:eastAsia="zh-CN"/>
              </w:rPr>
            </w:pPr>
          </w:p>
        </w:tc>
        <w:tc>
          <w:tcPr>
            <w:tcW w:w="2841" w:type="dxa"/>
          </w:tcPr>
          <w:p w14:paraId="00E4C5E8">
            <w:pPr>
              <w:pStyle w:val="37"/>
              <w:rPr>
                <w:rFonts w:hint="eastAsia" w:ascii="宋体" w:hAnsi="宋体" w:eastAsia="宋体" w:cs="宋体"/>
                <w:color w:val="auto"/>
                <w:sz w:val="24"/>
                <w:szCs w:val="24"/>
                <w:highlight w:val="none"/>
                <w:vertAlign w:val="baseline"/>
                <w:lang w:val="en-US" w:eastAsia="zh-CN"/>
              </w:rPr>
            </w:pPr>
          </w:p>
        </w:tc>
        <w:tc>
          <w:tcPr>
            <w:tcW w:w="2743" w:type="dxa"/>
          </w:tcPr>
          <w:p w14:paraId="42125693">
            <w:pPr>
              <w:pStyle w:val="37"/>
              <w:rPr>
                <w:rFonts w:hint="eastAsia" w:ascii="宋体" w:hAnsi="宋体" w:eastAsia="宋体" w:cs="宋体"/>
                <w:color w:val="auto"/>
                <w:sz w:val="24"/>
                <w:szCs w:val="24"/>
                <w:highlight w:val="none"/>
                <w:vertAlign w:val="baseline"/>
                <w:lang w:val="en-US" w:eastAsia="zh-CN"/>
              </w:rPr>
            </w:pPr>
          </w:p>
        </w:tc>
      </w:tr>
      <w:tr w14:paraId="24B46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2995954E">
            <w:pPr>
              <w:pStyle w:val="37"/>
              <w:rPr>
                <w:rFonts w:hint="eastAsia" w:ascii="宋体" w:hAnsi="宋体" w:eastAsia="宋体" w:cs="宋体"/>
                <w:color w:val="auto"/>
                <w:sz w:val="24"/>
                <w:szCs w:val="24"/>
                <w:highlight w:val="none"/>
                <w:vertAlign w:val="baseline"/>
                <w:lang w:val="en-US" w:eastAsia="zh-CN"/>
              </w:rPr>
            </w:pPr>
          </w:p>
        </w:tc>
        <w:tc>
          <w:tcPr>
            <w:tcW w:w="2841" w:type="dxa"/>
          </w:tcPr>
          <w:p w14:paraId="75889361">
            <w:pPr>
              <w:pStyle w:val="37"/>
              <w:rPr>
                <w:rFonts w:hint="eastAsia" w:ascii="宋体" w:hAnsi="宋体" w:eastAsia="宋体" w:cs="宋体"/>
                <w:color w:val="auto"/>
                <w:sz w:val="24"/>
                <w:szCs w:val="24"/>
                <w:highlight w:val="none"/>
                <w:vertAlign w:val="baseline"/>
                <w:lang w:val="en-US" w:eastAsia="zh-CN"/>
              </w:rPr>
            </w:pPr>
          </w:p>
        </w:tc>
        <w:tc>
          <w:tcPr>
            <w:tcW w:w="2743" w:type="dxa"/>
          </w:tcPr>
          <w:p w14:paraId="760C7D5C">
            <w:pPr>
              <w:pStyle w:val="37"/>
              <w:rPr>
                <w:rFonts w:hint="eastAsia" w:ascii="宋体" w:hAnsi="宋体" w:eastAsia="宋体" w:cs="宋体"/>
                <w:color w:val="auto"/>
                <w:sz w:val="24"/>
                <w:szCs w:val="24"/>
                <w:highlight w:val="none"/>
                <w:vertAlign w:val="baseline"/>
                <w:lang w:val="en-US" w:eastAsia="zh-CN"/>
              </w:rPr>
            </w:pPr>
          </w:p>
        </w:tc>
      </w:tr>
    </w:tbl>
    <w:p w14:paraId="799D1172">
      <w:pPr>
        <w:keepNext w:val="0"/>
        <w:keepLines w:val="0"/>
        <w:widowControl/>
        <w:suppressLineNumbers w:val="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注：1.供应商如为联合体，则应填写联合体各成员信息。 </w:t>
      </w:r>
    </w:p>
    <w:p w14:paraId="429C5533">
      <w:pPr>
        <w:keepNext w:val="0"/>
        <w:keepLines w:val="0"/>
        <w:widowControl/>
        <w:suppressLineNumbers w:val="0"/>
        <w:ind w:firstLine="420" w:firstLineChars="20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w:t>
      </w:r>
      <w:r>
        <w:rPr>
          <w:rFonts w:hint="eastAsia" w:cs="宋体"/>
          <w:color w:val="auto"/>
          <w:kern w:val="0"/>
          <w:sz w:val="21"/>
          <w:szCs w:val="21"/>
          <w:highlight w:val="none"/>
          <w:lang w:val="en-US" w:eastAsia="zh-CN" w:bidi="ar"/>
        </w:rPr>
        <w:t>“供应商实际控制人性别”</w:t>
      </w:r>
      <w:r>
        <w:rPr>
          <w:rFonts w:hint="eastAsia" w:ascii="宋体" w:hAnsi="宋体" w:eastAsia="宋体" w:cs="宋体"/>
          <w:color w:val="auto"/>
          <w:kern w:val="0"/>
          <w:sz w:val="21"/>
          <w:szCs w:val="21"/>
          <w:highlight w:val="none"/>
          <w:lang w:val="en-US" w:eastAsia="zh-CN" w:bidi="ar"/>
        </w:rPr>
        <w:t>按供应商实际控制人性别划分请填写“男”或“女”，指拥有供应商 51%以上绝对所有权的性</w:t>
      </w:r>
      <w:r>
        <w:rPr>
          <w:rFonts w:hint="eastAsia" w:cs="宋体"/>
          <w:color w:val="auto"/>
          <w:kern w:val="0"/>
          <w:sz w:val="21"/>
          <w:szCs w:val="21"/>
          <w:highlight w:val="none"/>
          <w:lang w:val="en-US" w:eastAsia="zh-CN" w:bidi="ar"/>
        </w:rPr>
        <w:t>别</w:t>
      </w:r>
      <w:r>
        <w:rPr>
          <w:rFonts w:hint="eastAsia" w:ascii="宋体" w:hAnsi="宋体" w:eastAsia="宋体" w:cs="宋体"/>
          <w:color w:val="auto"/>
          <w:kern w:val="0"/>
          <w:sz w:val="21"/>
          <w:szCs w:val="21"/>
          <w:highlight w:val="none"/>
          <w:lang w:val="en-US" w:eastAsia="zh-CN" w:bidi="ar"/>
        </w:rPr>
        <w:t>；绝对所有权拥有者可以是一个人，也可以是多人合计计算。</w:t>
      </w:r>
    </w:p>
    <w:p w14:paraId="6C85D95C">
      <w:pPr>
        <w:pStyle w:val="37"/>
        <w:ind w:left="0" w:leftChars="0" w:firstLine="420" w:firstLineChars="200"/>
        <w:rPr>
          <w:rFonts w:hint="eastAsia"/>
          <w:color w:val="auto"/>
          <w:sz w:val="21"/>
          <w:szCs w:val="21"/>
          <w:highlight w:val="none"/>
          <w:lang w:eastAsia="zh-CN"/>
        </w:rPr>
      </w:pPr>
      <w:r>
        <w:rPr>
          <w:rFonts w:hint="eastAsia" w:ascii="宋体" w:hAnsi="宋体" w:eastAsia="宋体" w:cs="宋体"/>
          <w:color w:val="auto"/>
          <w:kern w:val="0"/>
          <w:sz w:val="21"/>
          <w:szCs w:val="21"/>
          <w:highlight w:val="none"/>
          <w:lang w:val="en-US" w:eastAsia="zh-CN" w:bidi="ar"/>
        </w:rPr>
        <w:t>3.</w:t>
      </w:r>
      <w:r>
        <w:rPr>
          <w:rFonts w:hint="eastAsia"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t>外商投资类型</w:t>
      </w:r>
      <w:r>
        <w:rPr>
          <w:rFonts w:hint="eastAsia"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t>请填写“外商单独投资”、“外商部分投资”或“内资”。</w:t>
      </w:r>
    </w:p>
    <w:p w14:paraId="74B37C36">
      <w:pPr>
        <w:pStyle w:val="37"/>
        <w:rPr>
          <w:rFonts w:hint="eastAsia"/>
          <w:color w:val="auto"/>
          <w:sz w:val="28"/>
          <w:szCs w:val="28"/>
          <w:highlight w:val="none"/>
          <w:lang w:val="en-US" w:eastAsia="zh-CN"/>
        </w:rPr>
      </w:pPr>
    </w:p>
    <w:p w14:paraId="3F26FF37">
      <w:pPr>
        <w:pStyle w:val="37"/>
        <w:rPr>
          <w:rFonts w:hint="eastAsia"/>
          <w:color w:val="auto"/>
          <w:sz w:val="24"/>
          <w:szCs w:val="24"/>
          <w:highlight w:val="none"/>
          <w:lang w:val="en-US" w:eastAsia="zh-CN"/>
        </w:rPr>
      </w:pPr>
      <w:r>
        <w:rPr>
          <w:rFonts w:hint="eastAsia"/>
          <w:color w:val="auto"/>
          <w:sz w:val="24"/>
          <w:szCs w:val="24"/>
          <w:highlight w:val="none"/>
          <w:lang w:val="en-US" w:eastAsia="zh-CN"/>
        </w:rPr>
        <w:t>1.2其它商务、技术资料和证明材料</w:t>
      </w:r>
    </w:p>
    <w:p w14:paraId="110B54DA">
      <w:pPr>
        <w:pStyle w:val="37"/>
        <w:ind w:left="0" w:leftChars="0" w:firstLine="0" w:firstLineChars="0"/>
        <w:rPr>
          <w:rFonts w:hint="eastAsia"/>
          <w:b/>
          <w:bCs/>
          <w:color w:val="auto"/>
          <w:sz w:val="24"/>
          <w:szCs w:val="24"/>
          <w:highlight w:val="none"/>
          <w:lang w:eastAsia="zh-CN"/>
        </w:rPr>
      </w:pPr>
    </w:p>
    <w:p w14:paraId="7DF13FE9">
      <w:pPr>
        <w:pStyle w:val="37"/>
        <w:ind w:left="0" w:leftChars="0" w:firstLine="0" w:firstLineChars="0"/>
        <w:rPr>
          <w:rFonts w:hint="eastAsia"/>
          <w:b/>
          <w:bCs/>
          <w:color w:val="auto"/>
          <w:sz w:val="24"/>
          <w:szCs w:val="24"/>
          <w:highlight w:val="none"/>
        </w:rPr>
      </w:pPr>
      <w:r>
        <w:rPr>
          <w:rFonts w:hint="eastAsia"/>
          <w:b/>
          <w:bCs/>
          <w:color w:val="auto"/>
          <w:sz w:val="24"/>
          <w:szCs w:val="24"/>
          <w:highlight w:val="none"/>
          <w:lang w:eastAsia="zh-CN"/>
        </w:rPr>
        <w:t>（</w:t>
      </w:r>
      <w:r>
        <w:rPr>
          <w:rFonts w:hint="eastAsia"/>
          <w:b/>
          <w:bCs/>
          <w:color w:val="auto"/>
          <w:sz w:val="24"/>
          <w:szCs w:val="24"/>
          <w:highlight w:val="none"/>
          <w:lang w:val="en-US" w:eastAsia="zh-CN"/>
        </w:rPr>
        <w:t>二）</w:t>
      </w:r>
      <w:r>
        <w:rPr>
          <w:rFonts w:hint="eastAsia"/>
          <w:b/>
          <w:bCs/>
          <w:color w:val="auto"/>
          <w:sz w:val="24"/>
          <w:szCs w:val="24"/>
          <w:highlight w:val="none"/>
        </w:rPr>
        <w:t>投标人认为需要提供的其它商务</w:t>
      </w:r>
      <w:r>
        <w:rPr>
          <w:rFonts w:hint="eastAsia"/>
          <w:b/>
          <w:bCs/>
          <w:color w:val="auto"/>
          <w:sz w:val="24"/>
          <w:szCs w:val="24"/>
          <w:highlight w:val="none"/>
          <w:lang w:eastAsia="zh-CN"/>
        </w:rPr>
        <w:t>、</w:t>
      </w:r>
      <w:r>
        <w:rPr>
          <w:rFonts w:hint="eastAsia"/>
          <w:b/>
          <w:bCs/>
          <w:color w:val="auto"/>
          <w:sz w:val="24"/>
          <w:szCs w:val="24"/>
          <w:highlight w:val="none"/>
        </w:rPr>
        <w:t>技术资料和说明。</w:t>
      </w:r>
    </w:p>
    <w:p w14:paraId="7B89D0A9">
      <w:pPr>
        <w:pStyle w:val="37"/>
        <w:rPr>
          <w:rFonts w:hint="eastAsia"/>
          <w:color w:val="auto"/>
          <w:highlight w:val="none"/>
        </w:rPr>
      </w:pPr>
    </w:p>
    <w:sectPr>
      <w:pgSz w:w="11906" w:h="16838"/>
      <w:pgMar w:top="1440" w:right="1800" w:bottom="1440" w:left="1800" w:header="851" w:footer="992" w:gutter="0"/>
      <w:pgBorders>
        <w:top w:val="none" w:sz="0" w:space="0"/>
        <w:left w:val="none" w:sz="0" w:space="0"/>
        <w:bottom w:val="none" w:sz="0" w:space="0"/>
        <w:right w:val="none" w:sz="0" w:space="0"/>
      </w:pgBorders>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CB600FD6-1740-4290-BE49-EDE0EB9539FE}"/>
  </w:font>
  <w:font w:name="Arial">
    <w:panose1 w:val="020B0604020202020204"/>
    <w:charset w:val="01"/>
    <w:family w:val="swiss"/>
    <w:pitch w:val="default"/>
    <w:sig w:usb0="E0002AFF" w:usb1="C0007843" w:usb2="00000009" w:usb3="00000000" w:csb0="400001FF" w:csb1="FFFF0000"/>
    <w:embedRegular r:id="rId2" w:fontKey="{90428660-C8AF-4969-BB7A-7EFB7B3827E9}"/>
  </w:font>
  <w:font w:name="黑体">
    <w:panose1 w:val="02010609060101010101"/>
    <w:charset w:val="86"/>
    <w:family w:val="auto"/>
    <w:pitch w:val="default"/>
    <w:sig w:usb0="800002BF" w:usb1="38CF7CFA" w:usb2="00000016" w:usb3="00000000" w:csb0="00040001" w:csb1="00000000"/>
    <w:embedRegular r:id="rId3" w:fontKey="{C25E15C1-D850-4DEF-932C-46D15587EE7D}"/>
  </w:font>
  <w:font w:name="Courier New">
    <w:panose1 w:val="02070309020205020404"/>
    <w:charset w:val="01"/>
    <w:family w:val="modern"/>
    <w:pitch w:val="default"/>
    <w:sig w:usb0="E0002AFF" w:usb1="C0007843" w:usb2="00000009" w:usb3="00000000" w:csb0="400001FF" w:csb1="FFFF0000"/>
    <w:embedRegular r:id="rId4" w:fontKey="{B3B62162-6E0B-47B6-835F-2CCE9A52FB3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embedRegular r:id="rId5" w:fontKey="{C5D57E8A-82F8-42B1-83AC-E8B0AE147DC5}"/>
  </w:font>
  <w:font w:name="华文楷体">
    <w:panose1 w:val="02010600040101010101"/>
    <w:charset w:val="86"/>
    <w:family w:val="auto"/>
    <w:pitch w:val="default"/>
    <w:sig w:usb0="A00002BF" w:usb1="78CF7CFB" w:usb2="00000016" w:usb3="00000000" w:csb0="6006009F" w:csb1="DFD70000"/>
  </w:font>
  <w:font w:name="方正仿宋_GB2312">
    <w:panose1 w:val="02000000000000000000"/>
    <w:charset w:val="86"/>
    <w:family w:val="auto"/>
    <w:pitch w:val="default"/>
    <w:sig w:usb0="A00002BF" w:usb1="184F6CFA" w:usb2="00000012" w:usb3="00000000" w:csb0="00040001" w:csb1="00000000"/>
  </w:font>
  <w:font w:name="方正小标宋简体">
    <w:panose1 w:val="02000000000000000000"/>
    <w:charset w:val="86"/>
    <w:family w:val="script"/>
    <w:pitch w:val="default"/>
    <w:sig w:usb0="00000001" w:usb1="08000000" w:usb2="00000000" w:usb3="00000000" w:csb0="00040000" w:csb1="00000000"/>
  </w:font>
  <w:font w:name="方正楷体简体">
    <w:panose1 w:val="02000000000000000000"/>
    <w:charset w:val="86"/>
    <w:family w:val="auto"/>
    <w:pitch w:val="default"/>
    <w:sig w:usb0="A00002BF" w:usb1="184F6CFA" w:usb2="00000012" w:usb3="00000000" w:csb0="00040001" w:csb1="00000000"/>
  </w:font>
  <w:font w:name="FZShuSong-Z01">
    <w:altName w:val="Segoe Print"/>
    <w:panose1 w:val="00000000000000000000"/>
    <w:charset w:val="00"/>
    <w:family w:val="auto"/>
    <w:pitch w:val="default"/>
    <w:sig w:usb0="00000000" w:usb1="00000000" w:usb2="00000000" w:usb3="00000000" w:csb0="00000000" w:csb1="00000000"/>
    <w:embedRegular r:id="rId6" w:fontKey="{A480C958-D2E9-40CD-91A6-2831D61CFC8E}"/>
  </w:font>
  <w:font w:name="Segoe Print">
    <w:panose1 w:val="02000600000000000000"/>
    <w:charset w:val="00"/>
    <w:family w:val="auto"/>
    <w:pitch w:val="default"/>
    <w:sig w:usb0="0000028F" w:usb1="00000000" w:usb2="00000000" w:usb3="00000000" w:csb0="2000009F" w:csb1="47010000"/>
  </w:font>
  <w:font w:name="Helvetica">
    <w:altName w:val="Arial"/>
    <w:panose1 w:val="020B0504020202020204"/>
    <w:charset w:val="00"/>
    <w:family w:val="swiss"/>
    <w:pitch w:val="default"/>
    <w:sig w:usb0="00000000" w:usb1="00000000" w:usb2="00000000" w:usb3="00000000" w:csb0="00000001" w:csb1="00000000"/>
    <w:embedRegular r:id="rId7" w:fontKey="{F350E30C-23DC-400B-B6A2-9ECB6BC4237E}"/>
  </w:font>
  <w:font w:name="华文中宋">
    <w:altName w:val="宋体"/>
    <w:panose1 w:val="02010600040101010101"/>
    <w:charset w:val="86"/>
    <w:family w:val="auto"/>
    <w:pitch w:val="default"/>
    <w:sig w:usb0="00000000" w:usb1="00000000" w:usb2="00000000" w:usb3="00000000" w:csb0="0004009F" w:csb1="DFD70000"/>
    <w:embedRegular r:id="rId8" w:fontKey="{EC3718EF-F1DA-4ADC-8141-74D6AB8C4C2B}"/>
  </w:font>
  <w:font w:name="Tahoma">
    <w:panose1 w:val="020B0604030504040204"/>
    <w:charset w:val="00"/>
    <w:family w:val="swiss"/>
    <w:pitch w:val="default"/>
    <w:sig w:usb0="E1002EFF" w:usb1="C000605B" w:usb2="00000029" w:usb3="00000000" w:csb0="200101FF" w:csb1="20280000"/>
    <w:embedRegular r:id="rId9" w:fontKey="{32972261-6B9C-44A9-8F10-B9B9FC4060BC}"/>
  </w:font>
  <w:font w:name="DejaVuSans">
    <w:altName w:val="Segoe Print"/>
    <w:panose1 w:val="00000000000000000000"/>
    <w:charset w:val="00"/>
    <w:family w:val="auto"/>
    <w:pitch w:val="default"/>
    <w:sig w:usb0="00000000" w:usb1="00000000" w:usb2="00000000" w:usb3="00000000" w:csb0="00000000" w:csb1="00000000"/>
    <w:embedRegular r:id="rId10" w:fontKey="{94C9AB24-E48B-4758-8A48-D744B2D3F5E9}"/>
  </w:font>
  <w:font w:name="等线 Light">
    <w:panose1 w:val="02010600030101010101"/>
    <w:charset w:val="86"/>
    <w:family w:val="auto"/>
    <w:pitch w:val="default"/>
    <w:sig w:usb0="A00002BF" w:usb1="38CF7CFA" w:usb2="00000016" w:usb3="00000000" w:csb0="0004000F" w:csb1="00000000"/>
    <w:embedRegular r:id="rId11" w:fontKey="{E9882426-D96A-4366-B5EA-AE5F91D84F7B}"/>
  </w:font>
  <w:font w:name="WPSEMBED1">
    <w:panose1 w:val="02010600030101010101"/>
    <w:charset w:val="86"/>
    <w:family w:val="auto"/>
    <w:pitch w:val="default"/>
    <w:sig w:usb0="A00002BF" w:usb1="38CF7CFA" w:usb2="00000016" w:usb3="00000000" w:csb0="0004000F" w:csb1="00000000"/>
  </w:font>
  <w:font w:name="等线">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975237">
    <w:pPr>
      <w:pStyle w:val="19"/>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54804"/>
                          </w:sdtPr>
                          <w:sdtContent>
                            <w:p w14:paraId="43E63C1D">
                              <w:pPr>
                                <w:pStyle w:val="19"/>
                                <w:jc w:val="cente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2</w:t>
                              </w:r>
                              <w:r>
                                <w:rPr>
                                  <w:sz w:val="21"/>
                                  <w:szCs w:val="21"/>
                                </w:rPr>
                                <w:fldChar w:fldCharType="end"/>
                              </w:r>
                            </w:p>
                          </w:sdtContent>
                        </w:sdt>
                        <w:p w14:paraId="718A90BE"/>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sdt>
                    <w:sdtPr>
                      <w:id w:val="147454804"/>
                    </w:sdtPr>
                    <w:sdtContent>
                      <w:p w14:paraId="43E63C1D">
                        <w:pPr>
                          <w:pStyle w:val="19"/>
                          <w:jc w:val="cente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2</w:t>
                        </w:r>
                        <w:r>
                          <w:rPr>
                            <w:sz w:val="21"/>
                            <w:szCs w:val="21"/>
                          </w:rPr>
                          <w:fldChar w:fldCharType="end"/>
                        </w:r>
                      </w:p>
                    </w:sdtContent>
                  </w:sdt>
                  <w:p w14:paraId="718A90BE"/>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FA2D5C">
    <w:pPr>
      <w:pStyle w:val="1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3757FD">
                          <w:pPr>
                            <w:pStyle w:val="19"/>
                          </w:pPr>
                          <w:r>
                            <w:fldChar w:fldCharType="begin"/>
                          </w:r>
                          <w:r>
                            <w:instrText xml:space="preserve"> PAGE  \* MERGEFORMAT </w:instrText>
                          </w:r>
                          <w:r>
                            <w:fldChar w:fldCharType="separate"/>
                          </w:r>
                          <w:r>
                            <w:t>67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13757FD">
                    <w:pPr>
                      <w:pStyle w:val="19"/>
                    </w:pPr>
                    <w:r>
                      <w:fldChar w:fldCharType="begin"/>
                    </w:r>
                    <w:r>
                      <w:instrText xml:space="preserve"> PAGE  \* MERGEFORMAT </w:instrText>
                    </w:r>
                    <w:r>
                      <w:fldChar w:fldCharType="separate"/>
                    </w:r>
                    <w:r>
                      <w:t>67</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41052">
    <w:pPr>
      <w:pStyle w:val="19"/>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78428888"/>
                          </w:sdtPr>
                          <w:sdtContent>
                            <w:p w14:paraId="1087FA9B">
                              <w:pPr>
                                <w:pStyle w:val="19"/>
                                <w:jc w:val="cente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2</w:t>
                              </w:r>
                              <w:r>
                                <w:rPr>
                                  <w:sz w:val="21"/>
                                  <w:szCs w:val="21"/>
                                </w:rPr>
                                <w:fldChar w:fldCharType="end"/>
                              </w:r>
                            </w:p>
                          </w:sdtContent>
                        </w:sdt>
                        <w:p w14:paraId="448A7938"/>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sdt>
                    <w:sdtPr>
                      <w:id w:val="-178428888"/>
                    </w:sdtPr>
                    <w:sdtContent>
                      <w:p w14:paraId="1087FA9B">
                        <w:pPr>
                          <w:pStyle w:val="19"/>
                          <w:jc w:val="cente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2</w:t>
                        </w:r>
                        <w:r>
                          <w:rPr>
                            <w:sz w:val="21"/>
                            <w:szCs w:val="21"/>
                          </w:rPr>
                          <w:fldChar w:fldCharType="end"/>
                        </w:r>
                      </w:p>
                    </w:sdtContent>
                  </w:sdt>
                  <w:p w14:paraId="448A7938"/>
                </w:txbxContent>
              </v:textbox>
            </v:shape>
          </w:pict>
        </mc:Fallback>
      </mc:AlternateContent>
    </w:r>
  </w:p>
  <w:p w14:paraId="4005E617">
    <w:pPr>
      <w:pStyle w:val="1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B57AC4">
    <w:pPr>
      <w:pStyle w:val="21"/>
      <w:keepNext w:val="0"/>
      <w:keepLines w:val="0"/>
      <w:pageBreakBefore w:val="0"/>
      <w:widowControl w:val="0"/>
      <w:kinsoku/>
      <w:wordWrap/>
      <w:overflowPunct/>
      <w:topLinePunct w:val="0"/>
      <w:bidi w:val="0"/>
      <w:adjustRightInd/>
      <w:snapToGrid w:val="0"/>
      <w:jc w:val="right"/>
      <w:textAlignment w:val="auto"/>
      <w:rPr>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82F3D0">
    <w:pPr>
      <w:pStyle w:val="21"/>
    </w:pPr>
    <w:r>
      <w:rPr>
        <w:rFonts w:hint="eastAsia"/>
        <w:sz w:val="24"/>
        <w:szCs w:val="24"/>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FE2BE9"/>
    <w:multiLevelType w:val="singleLevel"/>
    <w:tmpl w:val="84FE2BE9"/>
    <w:lvl w:ilvl="0" w:tentative="0">
      <w:start w:val="1"/>
      <w:numFmt w:val="decimal"/>
      <w:lvlText w:val="%1."/>
      <w:lvlJc w:val="left"/>
      <w:pPr>
        <w:tabs>
          <w:tab w:val="left" w:pos="312"/>
        </w:tabs>
      </w:pPr>
    </w:lvl>
  </w:abstractNum>
  <w:abstractNum w:abstractNumId="1">
    <w:nsid w:val="9C070575"/>
    <w:multiLevelType w:val="singleLevel"/>
    <w:tmpl w:val="9C070575"/>
    <w:lvl w:ilvl="0" w:tentative="0">
      <w:start w:val="1"/>
      <w:numFmt w:val="decimal"/>
      <w:pStyle w:val="7"/>
      <w:lvlText w:val="%1."/>
      <w:lvlJc w:val="left"/>
      <w:pPr>
        <w:tabs>
          <w:tab w:val="left" w:pos="780"/>
        </w:tabs>
        <w:ind w:left="780" w:hanging="360"/>
      </w:pPr>
    </w:lvl>
  </w:abstractNum>
  <w:abstractNum w:abstractNumId="2">
    <w:nsid w:val="BF6BC116"/>
    <w:multiLevelType w:val="singleLevel"/>
    <w:tmpl w:val="BF6BC116"/>
    <w:lvl w:ilvl="0" w:tentative="0">
      <w:start w:val="16"/>
      <w:numFmt w:val="decimal"/>
      <w:suff w:val="space"/>
      <w:lvlText w:val="%1."/>
      <w:lvlJc w:val="left"/>
    </w:lvl>
  </w:abstractNum>
  <w:abstractNum w:abstractNumId="3">
    <w:nsid w:val="CFE7C3F8"/>
    <w:multiLevelType w:val="singleLevel"/>
    <w:tmpl w:val="CFE7C3F8"/>
    <w:lvl w:ilvl="0" w:tentative="0">
      <w:start w:val="1"/>
      <w:numFmt w:val="decimal"/>
      <w:suff w:val="nothing"/>
      <w:lvlText w:val="（%1）"/>
      <w:lvlJc w:val="left"/>
    </w:lvl>
  </w:abstractNum>
  <w:abstractNum w:abstractNumId="4">
    <w:nsid w:val="D2FD54DE"/>
    <w:multiLevelType w:val="singleLevel"/>
    <w:tmpl w:val="D2FD54DE"/>
    <w:lvl w:ilvl="0" w:tentative="0">
      <w:start w:val="1"/>
      <w:numFmt w:val="decimal"/>
      <w:lvlText w:val="%1."/>
      <w:lvlJc w:val="left"/>
      <w:pPr>
        <w:tabs>
          <w:tab w:val="left" w:pos="312"/>
        </w:tabs>
      </w:pPr>
    </w:lvl>
  </w:abstractNum>
  <w:abstractNum w:abstractNumId="5">
    <w:nsid w:val="D8F2D2B2"/>
    <w:multiLevelType w:val="singleLevel"/>
    <w:tmpl w:val="D8F2D2B2"/>
    <w:lvl w:ilvl="0" w:tentative="0">
      <w:start w:val="1"/>
      <w:numFmt w:val="decimal"/>
      <w:suff w:val="nothing"/>
      <w:lvlText w:val="%1、"/>
      <w:lvlJc w:val="left"/>
    </w:lvl>
  </w:abstractNum>
  <w:abstractNum w:abstractNumId="6">
    <w:nsid w:val="DDECD3BC"/>
    <w:multiLevelType w:val="singleLevel"/>
    <w:tmpl w:val="DDECD3BC"/>
    <w:lvl w:ilvl="0" w:tentative="0">
      <w:start w:val="6"/>
      <w:numFmt w:val="decimal"/>
      <w:suff w:val="space"/>
      <w:lvlText w:val="%1."/>
      <w:lvlJc w:val="left"/>
    </w:lvl>
  </w:abstractNum>
  <w:abstractNum w:abstractNumId="7">
    <w:nsid w:val="DE759F4B"/>
    <w:multiLevelType w:val="singleLevel"/>
    <w:tmpl w:val="DE759F4B"/>
    <w:lvl w:ilvl="0" w:tentative="0">
      <w:start w:val="2"/>
      <w:numFmt w:val="decimal"/>
      <w:suff w:val="space"/>
      <w:lvlText w:val="%1."/>
      <w:lvlJc w:val="left"/>
    </w:lvl>
  </w:abstractNum>
  <w:abstractNum w:abstractNumId="8">
    <w:nsid w:val="DEABE1DB"/>
    <w:multiLevelType w:val="singleLevel"/>
    <w:tmpl w:val="DEABE1DB"/>
    <w:lvl w:ilvl="0" w:tentative="0">
      <w:start w:val="23"/>
      <w:numFmt w:val="decimal"/>
      <w:suff w:val="space"/>
      <w:lvlText w:val="%1."/>
      <w:lvlJc w:val="left"/>
    </w:lvl>
  </w:abstractNum>
  <w:abstractNum w:abstractNumId="9">
    <w:nsid w:val="FF4EFC52"/>
    <w:multiLevelType w:val="singleLevel"/>
    <w:tmpl w:val="FF4EFC52"/>
    <w:lvl w:ilvl="0" w:tentative="0">
      <w:start w:val="11"/>
      <w:numFmt w:val="decimal"/>
      <w:lvlText w:val="%1."/>
      <w:lvlJc w:val="left"/>
      <w:pPr>
        <w:tabs>
          <w:tab w:val="left" w:pos="312"/>
        </w:tabs>
      </w:pPr>
    </w:lvl>
  </w:abstractNum>
  <w:abstractNum w:abstractNumId="10">
    <w:nsid w:val="FFEFC674"/>
    <w:multiLevelType w:val="singleLevel"/>
    <w:tmpl w:val="FFEFC674"/>
    <w:lvl w:ilvl="0" w:tentative="0">
      <w:start w:val="1"/>
      <w:numFmt w:val="decimal"/>
      <w:suff w:val="nothing"/>
      <w:lvlText w:val="（%1）"/>
      <w:lvlJc w:val="left"/>
    </w:lvl>
  </w:abstractNum>
  <w:abstractNum w:abstractNumId="11">
    <w:nsid w:val="0ACB40AF"/>
    <w:multiLevelType w:val="singleLevel"/>
    <w:tmpl w:val="0ACB40AF"/>
    <w:lvl w:ilvl="0" w:tentative="0">
      <w:start w:val="1"/>
      <w:numFmt w:val="decimal"/>
      <w:lvlText w:val="%1."/>
      <w:lvlJc w:val="left"/>
      <w:pPr>
        <w:tabs>
          <w:tab w:val="left" w:pos="312"/>
        </w:tabs>
      </w:pPr>
    </w:lvl>
  </w:abstractNum>
  <w:abstractNum w:abstractNumId="12">
    <w:nsid w:val="0D2D4F61"/>
    <w:multiLevelType w:val="singleLevel"/>
    <w:tmpl w:val="0D2D4F61"/>
    <w:lvl w:ilvl="0" w:tentative="0">
      <w:start w:val="1"/>
      <w:numFmt w:val="decimal"/>
      <w:suff w:val="nothing"/>
      <w:lvlText w:val="（%1）"/>
      <w:lvlJc w:val="left"/>
    </w:lvl>
  </w:abstractNum>
  <w:abstractNum w:abstractNumId="13">
    <w:nsid w:val="0F28EB07"/>
    <w:multiLevelType w:val="singleLevel"/>
    <w:tmpl w:val="0F28EB07"/>
    <w:lvl w:ilvl="0" w:tentative="0">
      <w:start w:val="1"/>
      <w:numFmt w:val="decimal"/>
      <w:lvlText w:val="%1."/>
      <w:lvlJc w:val="left"/>
      <w:pPr>
        <w:tabs>
          <w:tab w:val="left" w:pos="312"/>
        </w:tabs>
      </w:pPr>
    </w:lvl>
  </w:abstractNum>
  <w:abstractNum w:abstractNumId="14">
    <w:nsid w:val="1C761375"/>
    <w:multiLevelType w:val="multilevel"/>
    <w:tmpl w:val="1C761375"/>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27399E9E"/>
    <w:multiLevelType w:val="singleLevel"/>
    <w:tmpl w:val="27399E9E"/>
    <w:lvl w:ilvl="0" w:tentative="0">
      <w:start w:val="2"/>
      <w:numFmt w:val="decimal"/>
      <w:suff w:val="nothing"/>
      <w:lvlText w:val="%1、"/>
      <w:lvlJc w:val="left"/>
    </w:lvl>
  </w:abstractNum>
  <w:abstractNum w:abstractNumId="16">
    <w:nsid w:val="2BC62618"/>
    <w:multiLevelType w:val="singleLevel"/>
    <w:tmpl w:val="2BC62618"/>
    <w:lvl w:ilvl="0" w:tentative="0">
      <w:start w:val="1"/>
      <w:numFmt w:val="decimal"/>
      <w:lvlText w:val="%1."/>
      <w:lvlJc w:val="left"/>
      <w:pPr>
        <w:tabs>
          <w:tab w:val="left" w:pos="312"/>
        </w:tabs>
        <w:ind w:left="120" w:leftChars="0" w:firstLine="0" w:firstLineChars="0"/>
      </w:pPr>
    </w:lvl>
  </w:abstractNum>
  <w:abstractNum w:abstractNumId="17">
    <w:nsid w:val="3E225908"/>
    <w:multiLevelType w:val="singleLevel"/>
    <w:tmpl w:val="3E225908"/>
    <w:lvl w:ilvl="0" w:tentative="0">
      <w:start w:val="2"/>
      <w:numFmt w:val="decimal"/>
      <w:lvlText w:val="%1."/>
      <w:lvlJc w:val="left"/>
      <w:pPr>
        <w:tabs>
          <w:tab w:val="left" w:pos="312"/>
        </w:tabs>
      </w:pPr>
    </w:lvl>
  </w:abstractNum>
  <w:abstractNum w:abstractNumId="18">
    <w:nsid w:val="447B6378"/>
    <w:multiLevelType w:val="multilevel"/>
    <w:tmpl w:val="447B6378"/>
    <w:lvl w:ilvl="0" w:tentative="0">
      <w:start w:val="1"/>
      <w:numFmt w:val="decimal"/>
      <w:pStyle w:val="39"/>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6FB81DFB"/>
    <w:multiLevelType w:val="singleLevel"/>
    <w:tmpl w:val="6FB81DFB"/>
    <w:lvl w:ilvl="0" w:tentative="0">
      <w:start w:val="3"/>
      <w:numFmt w:val="chineseCounting"/>
      <w:suff w:val="nothing"/>
      <w:lvlText w:val="（%1）"/>
      <w:lvlJc w:val="left"/>
      <w:rPr>
        <w:rFonts w:hint="eastAsia"/>
      </w:rPr>
    </w:lvl>
  </w:abstractNum>
  <w:abstractNum w:abstractNumId="20">
    <w:nsid w:val="75504026"/>
    <w:multiLevelType w:val="multilevel"/>
    <w:tmpl w:val="75504026"/>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
    <w:nsid w:val="7A0F6431"/>
    <w:multiLevelType w:val="singleLevel"/>
    <w:tmpl w:val="7A0F6431"/>
    <w:lvl w:ilvl="0" w:tentative="0">
      <w:start w:val="1"/>
      <w:numFmt w:val="decimal"/>
      <w:suff w:val="space"/>
      <w:lvlText w:val="%1."/>
      <w:lvlJc w:val="left"/>
    </w:lvl>
  </w:abstractNum>
  <w:abstractNum w:abstractNumId="22">
    <w:nsid w:val="7A857428"/>
    <w:multiLevelType w:val="singleLevel"/>
    <w:tmpl w:val="7A857428"/>
    <w:lvl w:ilvl="0" w:tentative="0">
      <w:start w:val="1"/>
      <w:numFmt w:val="chineseCounting"/>
      <w:suff w:val="nothing"/>
      <w:lvlText w:val="（%1）"/>
      <w:lvlJc w:val="left"/>
      <w:pPr>
        <w:ind w:left="240" w:leftChars="0" w:firstLine="0" w:firstLineChars="0"/>
      </w:pPr>
      <w:rPr>
        <w:rFonts w:hint="eastAsia"/>
      </w:rPr>
    </w:lvl>
  </w:abstractNum>
  <w:num w:numId="1">
    <w:abstractNumId w:val="1"/>
  </w:num>
  <w:num w:numId="2">
    <w:abstractNumId w:val="18"/>
  </w:num>
  <w:num w:numId="3">
    <w:abstractNumId w:val="17"/>
  </w:num>
  <w:num w:numId="4">
    <w:abstractNumId w:val="15"/>
  </w:num>
  <w:num w:numId="5">
    <w:abstractNumId w:val="12"/>
  </w:num>
  <w:num w:numId="6">
    <w:abstractNumId w:val="22"/>
  </w:num>
  <w:num w:numId="7">
    <w:abstractNumId w:val="11"/>
  </w:num>
  <w:num w:numId="8">
    <w:abstractNumId w:val="13"/>
  </w:num>
  <w:num w:numId="9">
    <w:abstractNumId w:val="9"/>
  </w:num>
  <w:num w:numId="10">
    <w:abstractNumId w:val="16"/>
  </w:num>
  <w:num w:numId="11">
    <w:abstractNumId w:val="5"/>
  </w:num>
  <w:num w:numId="12">
    <w:abstractNumId w:val="21"/>
  </w:num>
  <w:num w:numId="13">
    <w:abstractNumId w:val="3"/>
  </w:num>
  <w:num w:numId="14">
    <w:abstractNumId w:val="10"/>
  </w:num>
  <w:num w:numId="15">
    <w:abstractNumId w:val="7"/>
  </w:num>
  <w:num w:numId="16">
    <w:abstractNumId w:val="6"/>
  </w:num>
  <w:num w:numId="17">
    <w:abstractNumId w:val="2"/>
  </w:num>
  <w:num w:numId="18">
    <w:abstractNumId w:val="8"/>
  </w:num>
  <w:num w:numId="19">
    <w:abstractNumId w:val="14"/>
  </w:num>
  <w:num w:numId="20">
    <w:abstractNumId w:val="20"/>
  </w:num>
  <w:num w:numId="21">
    <w:abstractNumId w:val="19"/>
  </w:num>
  <w:num w:numId="22">
    <w:abstractNumId w:val="0"/>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6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JkNTg1OTJkZTA1ZDVhNGYzMmVkNzJiZGI5ZmNhNzAifQ=="/>
  </w:docVars>
  <w:rsids>
    <w:rsidRoot w:val="00172A27"/>
    <w:rsid w:val="0000366A"/>
    <w:rsid w:val="00006F7F"/>
    <w:rsid w:val="00007003"/>
    <w:rsid w:val="000075B7"/>
    <w:rsid w:val="000237EA"/>
    <w:rsid w:val="00027CD2"/>
    <w:rsid w:val="00031E0C"/>
    <w:rsid w:val="00040832"/>
    <w:rsid w:val="00040D23"/>
    <w:rsid w:val="000439DA"/>
    <w:rsid w:val="00063604"/>
    <w:rsid w:val="0006370A"/>
    <w:rsid w:val="00066832"/>
    <w:rsid w:val="00067934"/>
    <w:rsid w:val="000720BF"/>
    <w:rsid w:val="0008641D"/>
    <w:rsid w:val="000B39A0"/>
    <w:rsid w:val="000C3E03"/>
    <w:rsid w:val="000C488D"/>
    <w:rsid w:val="000C52EC"/>
    <w:rsid w:val="000D0230"/>
    <w:rsid w:val="000D0AD3"/>
    <w:rsid w:val="000E45BD"/>
    <w:rsid w:val="000E4E33"/>
    <w:rsid w:val="000E67CF"/>
    <w:rsid w:val="000F20FD"/>
    <w:rsid w:val="000F39B0"/>
    <w:rsid w:val="001008D8"/>
    <w:rsid w:val="001022A4"/>
    <w:rsid w:val="00115EF7"/>
    <w:rsid w:val="0013642D"/>
    <w:rsid w:val="00146410"/>
    <w:rsid w:val="00150D67"/>
    <w:rsid w:val="00150EAD"/>
    <w:rsid w:val="00156600"/>
    <w:rsid w:val="00160E9C"/>
    <w:rsid w:val="00172190"/>
    <w:rsid w:val="00173480"/>
    <w:rsid w:val="00181988"/>
    <w:rsid w:val="00182557"/>
    <w:rsid w:val="0018304A"/>
    <w:rsid w:val="001904E9"/>
    <w:rsid w:val="001A77DE"/>
    <w:rsid w:val="001B36EC"/>
    <w:rsid w:val="001D7B23"/>
    <w:rsid w:val="001D7D62"/>
    <w:rsid w:val="001E2F56"/>
    <w:rsid w:val="00204A2D"/>
    <w:rsid w:val="002062E6"/>
    <w:rsid w:val="00207131"/>
    <w:rsid w:val="0022214D"/>
    <w:rsid w:val="00223585"/>
    <w:rsid w:val="002257E4"/>
    <w:rsid w:val="002317DB"/>
    <w:rsid w:val="00232245"/>
    <w:rsid w:val="0023265E"/>
    <w:rsid w:val="00235B5A"/>
    <w:rsid w:val="00251060"/>
    <w:rsid w:val="002514A3"/>
    <w:rsid w:val="00256B32"/>
    <w:rsid w:val="00256D01"/>
    <w:rsid w:val="002706F2"/>
    <w:rsid w:val="00271135"/>
    <w:rsid w:val="00285E30"/>
    <w:rsid w:val="00292BAB"/>
    <w:rsid w:val="002A1AEC"/>
    <w:rsid w:val="002A1BCB"/>
    <w:rsid w:val="002A5262"/>
    <w:rsid w:val="002A6484"/>
    <w:rsid w:val="002A79C6"/>
    <w:rsid w:val="002C06B9"/>
    <w:rsid w:val="002C0FDD"/>
    <w:rsid w:val="002C5E37"/>
    <w:rsid w:val="002D11F7"/>
    <w:rsid w:val="002D48C5"/>
    <w:rsid w:val="002E0B52"/>
    <w:rsid w:val="002E1CF4"/>
    <w:rsid w:val="002E5FED"/>
    <w:rsid w:val="002F0DA9"/>
    <w:rsid w:val="003113C1"/>
    <w:rsid w:val="00312C3A"/>
    <w:rsid w:val="0031353D"/>
    <w:rsid w:val="0032200D"/>
    <w:rsid w:val="00333B37"/>
    <w:rsid w:val="0034487B"/>
    <w:rsid w:val="00347CC6"/>
    <w:rsid w:val="00347D88"/>
    <w:rsid w:val="00350BCD"/>
    <w:rsid w:val="0035643C"/>
    <w:rsid w:val="00366226"/>
    <w:rsid w:val="003746B0"/>
    <w:rsid w:val="00374A6B"/>
    <w:rsid w:val="00383E1C"/>
    <w:rsid w:val="00390D4A"/>
    <w:rsid w:val="0039222E"/>
    <w:rsid w:val="0039288A"/>
    <w:rsid w:val="00393395"/>
    <w:rsid w:val="0039372E"/>
    <w:rsid w:val="00394AF5"/>
    <w:rsid w:val="003A19A4"/>
    <w:rsid w:val="003A1A1B"/>
    <w:rsid w:val="003A4485"/>
    <w:rsid w:val="003A4878"/>
    <w:rsid w:val="003B4310"/>
    <w:rsid w:val="003B60A6"/>
    <w:rsid w:val="003C5883"/>
    <w:rsid w:val="003C7C49"/>
    <w:rsid w:val="003D3327"/>
    <w:rsid w:val="003D6656"/>
    <w:rsid w:val="003E057C"/>
    <w:rsid w:val="003E2B14"/>
    <w:rsid w:val="003E314B"/>
    <w:rsid w:val="003F5655"/>
    <w:rsid w:val="003F5BC6"/>
    <w:rsid w:val="004021C6"/>
    <w:rsid w:val="00406BEF"/>
    <w:rsid w:val="00410595"/>
    <w:rsid w:val="00420F7C"/>
    <w:rsid w:val="0043307A"/>
    <w:rsid w:val="00433514"/>
    <w:rsid w:val="00446BB3"/>
    <w:rsid w:val="0045353D"/>
    <w:rsid w:val="004771C7"/>
    <w:rsid w:val="00481283"/>
    <w:rsid w:val="00481C3A"/>
    <w:rsid w:val="004851CA"/>
    <w:rsid w:val="0048656E"/>
    <w:rsid w:val="00493221"/>
    <w:rsid w:val="004A302C"/>
    <w:rsid w:val="004B539D"/>
    <w:rsid w:val="004C1FA1"/>
    <w:rsid w:val="004C3DCC"/>
    <w:rsid w:val="004E0BF9"/>
    <w:rsid w:val="004E0CF9"/>
    <w:rsid w:val="004F3FDD"/>
    <w:rsid w:val="004F46AB"/>
    <w:rsid w:val="00501A4A"/>
    <w:rsid w:val="005032B9"/>
    <w:rsid w:val="005100F2"/>
    <w:rsid w:val="00510300"/>
    <w:rsid w:val="00511D7B"/>
    <w:rsid w:val="00513AD5"/>
    <w:rsid w:val="00523D37"/>
    <w:rsid w:val="00524831"/>
    <w:rsid w:val="0052616B"/>
    <w:rsid w:val="00532F25"/>
    <w:rsid w:val="00541D90"/>
    <w:rsid w:val="00542258"/>
    <w:rsid w:val="0054547C"/>
    <w:rsid w:val="0054632A"/>
    <w:rsid w:val="00551EDC"/>
    <w:rsid w:val="005544D1"/>
    <w:rsid w:val="00554509"/>
    <w:rsid w:val="00561523"/>
    <w:rsid w:val="00561527"/>
    <w:rsid w:val="005714C6"/>
    <w:rsid w:val="00594E7A"/>
    <w:rsid w:val="005A146E"/>
    <w:rsid w:val="005A7208"/>
    <w:rsid w:val="005A7987"/>
    <w:rsid w:val="005B5936"/>
    <w:rsid w:val="005C0D20"/>
    <w:rsid w:val="005D050C"/>
    <w:rsid w:val="005F7A46"/>
    <w:rsid w:val="00611383"/>
    <w:rsid w:val="00620B1C"/>
    <w:rsid w:val="00626E33"/>
    <w:rsid w:val="006407ED"/>
    <w:rsid w:val="0064251F"/>
    <w:rsid w:val="00643F74"/>
    <w:rsid w:val="006503AE"/>
    <w:rsid w:val="00651EE4"/>
    <w:rsid w:val="00654524"/>
    <w:rsid w:val="00654BCF"/>
    <w:rsid w:val="0066052B"/>
    <w:rsid w:val="006630EF"/>
    <w:rsid w:val="0066446E"/>
    <w:rsid w:val="0066601A"/>
    <w:rsid w:val="006662AB"/>
    <w:rsid w:val="00674212"/>
    <w:rsid w:val="0067621A"/>
    <w:rsid w:val="006815D1"/>
    <w:rsid w:val="00687DD5"/>
    <w:rsid w:val="006923C3"/>
    <w:rsid w:val="006937E9"/>
    <w:rsid w:val="00693EF9"/>
    <w:rsid w:val="006947A5"/>
    <w:rsid w:val="006A1A11"/>
    <w:rsid w:val="006A2C75"/>
    <w:rsid w:val="006A4105"/>
    <w:rsid w:val="006B0C84"/>
    <w:rsid w:val="006B543B"/>
    <w:rsid w:val="006B7E54"/>
    <w:rsid w:val="006C0BD1"/>
    <w:rsid w:val="006C30C8"/>
    <w:rsid w:val="006C5139"/>
    <w:rsid w:val="006C69FC"/>
    <w:rsid w:val="006D069F"/>
    <w:rsid w:val="006D2C95"/>
    <w:rsid w:val="006D5F8F"/>
    <w:rsid w:val="006D6CEA"/>
    <w:rsid w:val="006E3B5C"/>
    <w:rsid w:val="006E3EB8"/>
    <w:rsid w:val="00707B1D"/>
    <w:rsid w:val="00710909"/>
    <w:rsid w:val="00716369"/>
    <w:rsid w:val="00723649"/>
    <w:rsid w:val="007265C3"/>
    <w:rsid w:val="00735F23"/>
    <w:rsid w:val="00740CEF"/>
    <w:rsid w:val="00742261"/>
    <w:rsid w:val="00752C5E"/>
    <w:rsid w:val="007531F9"/>
    <w:rsid w:val="00764378"/>
    <w:rsid w:val="0076591F"/>
    <w:rsid w:val="00766F0F"/>
    <w:rsid w:val="00773B9A"/>
    <w:rsid w:val="0077582F"/>
    <w:rsid w:val="007862C9"/>
    <w:rsid w:val="0079007B"/>
    <w:rsid w:val="007A0F22"/>
    <w:rsid w:val="007B5C1A"/>
    <w:rsid w:val="007C03A0"/>
    <w:rsid w:val="007C2BEF"/>
    <w:rsid w:val="007D3D77"/>
    <w:rsid w:val="007E157B"/>
    <w:rsid w:val="007E2EF7"/>
    <w:rsid w:val="007E4818"/>
    <w:rsid w:val="007E6A7E"/>
    <w:rsid w:val="007F33F3"/>
    <w:rsid w:val="007F6124"/>
    <w:rsid w:val="00801BDF"/>
    <w:rsid w:val="00802B86"/>
    <w:rsid w:val="0082514B"/>
    <w:rsid w:val="00830599"/>
    <w:rsid w:val="008334B0"/>
    <w:rsid w:val="0083496F"/>
    <w:rsid w:val="0083530F"/>
    <w:rsid w:val="00836468"/>
    <w:rsid w:val="00843492"/>
    <w:rsid w:val="00845F16"/>
    <w:rsid w:val="00852AF3"/>
    <w:rsid w:val="00856D2D"/>
    <w:rsid w:val="00856F2E"/>
    <w:rsid w:val="00871560"/>
    <w:rsid w:val="00872D54"/>
    <w:rsid w:val="00872F2D"/>
    <w:rsid w:val="0087585D"/>
    <w:rsid w:val="00880E22"/>
    <w:rsid w:val="00882B6F"/>
    <w:rsid w:val="008834AE"/>
    <w:rsid w:val="00885F4D"/>
    <w:rsid w:val="008962E2"/>
    <w:rsid w:val="008A74EF"/>
    <w:rsid w:val="008B0539"/>
    <w:rsid w:val="008B1C98"/>
    <w:rsid w:val="008B5ADF"/>
    <w:rsid w:val="008D0B3B"/>
    <w:rsid w:val="008D1450"/>
    <w:rsid w:val="008D2E66"/>
    <w:rsid w:val="008D56A5"/>
    <w:rsid w:val="008E1546"/>
    <w:rsid w:val="008E189F"/>
    <w:rsid w:val="008E24ED"/>
    <w:rsid w:val="008E40FE"/>
    <w:rsid w:val="008E57AC"/>
    <w:rsid w:val="008E6D3B"/>
    <w:rsid w:val="00906396"/>
    <w:rsid w:val="0090770A"/>
    <w:rsid w:val="00916E4D"/>
    <w:rsid w:val="00917A63"/>
    <w:rsid w:val="00920750"/>
    <w:rsid w:val="00923C36"/>
    <w:rsid w:val="00924B8E"/>
    <w:rsid w:val="00930024"/>
    <w:rsid w:val="009344DE"/>
    <w:rsid w:val="009357E5"/>
    <w:rsid w:val="00936087"/>
    <w:rsid w:val="00945D17"/>
    <w:rsid w:val="00951FEE"/>
    <w:rsid w:val="00965FBF"/>
    <w:rsid w:val="00973941"/>
    <w:rsid w:val="0097751F"/>
    <w:rsid w:val="00980255"/>
    <w:rsid w:val="009804FA"/>
    <w:rsid w:val="00985B78"/>
    <w:rsid w:val="0098649F"/>
    <w:rsid w:val="00993AFA"/>
    <w:rsid w:val="0099686E"/>
    <w:rsid w:val="00996DF2"/>
    <w:rsid w:val="009A41B0"/>
    <w:rsid w:val="009A4756"/>
    <w:rsid w:val="009A4C46"/>
    <w:rsid w:val="009A4DBF"/>
    <w:rsid w:val="009B3513"/>
    <w:rsid w:val="009B39EA"/>
    <w:rsid w:val="009D3FC3"/>
    <w:rsid w:val="009D433D"/>
    <w:rsid w:val="009D4484"/>
    <w:rsid w:val="009D5889"/>
    <w:rsid w:val="009D7755"/>
    <w:rsid w:val="009F1D20"/>
    <w:rsid w:val="00A00548"/>
    <w:rsid w:val="00A00713"/>
    <w:rsid w:val="00A00731"/>
    <w:rsid w:val="00A11A5C"/>
    <w:rsid w:val="00A22235"/>
    <w:rsid w:val="00A22F7B"/>
    <w:rsid w:val="00A23801"/>
    <w:rsid w:val="00A2554C"/>
    <w:rsid w:val="00A3295D"/>
    <w:rsid w:val="00A33652"/>
    <w:rsid w:val="00A3798C"/>
    <w:rsid w:val="00A42866"/>
    <w:rsid w:val="00A461C1"/>
    <w:rsid w:val="00A46B5C"/>
    <w:rsid w:val="00A50D6E"/>
    <w:rsid w:val="00A51DD8"/>
    <w:rsid w:val="00A647EA"/>
    <w:rsid w:val="00A736C6"/>
    <w:rsid w:val="00A82472"/>
    <w:rsid w:val="00A83F1F"/>
    <w:rsid w:val="00A8416F"/>
    <w:rsid w:val="00AA0223"/>
    <w:rsid w:val="00AB28B8"/>
    <w:rsid w:val="00AB3B77"/>
    <w:rsid w:val="00AC57B7"/>
    <w:rsid w:val="00AC73C5"/>
    <w:rsid w:val="00AC755C"/>
    <w:rsid w:val="00AD0E13"/>
    <w:rsid w:val="00AD5ABF"/>
    <w:rsid w:val="00AF45C5"/>
    <w:rsid w:val="00AF5667"/>
    <w:rsid w:val="00B05DD5"/>
    <w:rsid w:val="00B12477"/>
    <w:rsid w:val="00B13343"/>
    <w:rsid w:val="00B1354B"/>
    <w:rsid w:val="00B220B2"/>
    <w:rsid w:val="00B23942"/>
    <w:rsid w:val="00B32474"/>
    <w:rsid w:val="00B4327E"/>
    <w:rsid w:val="00B467A4"/>
    <w:rsid w:val="00B5286D"/>
    <w:rsid w:val="00B545BC"/>
    <w:rsid w:val="00B61032"/>
    <w:rsid w:val="00B61D2E"/>
    <w:rsid w:val="00B71854"/>
    <w:rsid w:val="00B71DA4"/>
    <w:rsid w:val="00B7235B"/>
    <w:rsid w:val="00B76348"/>
    <w:rsid w:val="00B81261"/>
    <w:rsid w:val="00B82556"/>
    <w:rsid w:val="00B87655"/>
    <w:rsid w:val="00B87801"/>
    <w:rsid w:val="00B92871"/>
    <w:rsid w:val="00B928DA"/>
    <w:rsid w:val="00BA5AC3"/>
    <w:rsid w:val="00BA630D"/>
    <w:rsid w:val="00BB06B4"/>
    <w:rsid w:val="00BB2551"/>
    <w:rsid w:val="00BB4892"/>
    <w:rsid w:val="00BB5E9B"/>
    <w:rsid w:val="00BC1A44"/>
    <w:rsid w:val="00BC5C37"/>
    <w:rsid w:val="00BC757B"/>
    <w:rsid w:val="00BC7ED2"/>
    <w:rsid w:val="00BD0190"/>
    <w:rsid w:val="00BE212E"/>
    <w:rsid w:val="00BE4AAB"/>
    <w:rsid w:val="00BE5086"/>
    <w:rsid w:val="00BF4971"/>
    <w:rsid w:val="00C07F40"/>
    <w:rsid w:val="00C12E85"/>
    <w:rsid w:val="00C16A79"/>
    <w:rsid w:val="00C20278"/>
    <w:rsid w:val="00C22791"/>
    <w:rsid w:val="00C236DC"/>
    <w:rsid w:val="00C31B7F"/>
    <w:rsid w:val="00C32F79"/>
    <w:rsid w:val="00C33FD2"/>
    <w:rsid w:val="00C35271"/>
    <w:rsid w:val="00C4036A"/>
    <w:rsid w:val="00C50E28"/>
    <w:rsid w:val="00C62934"/>
    <w:rsid w:val="00C64428"/>
    <w:rsid w:val="00C74D6F"/>
    <w:rsid w:val="00C842DE"/>
    <w:rsid w:val="00C902FB"/>
    <w:rsid w:val="00C965AE"/>
    <w:rsid w:val="00CA0AED"/>
    <w:rsid w:val="00CA66E6"/>
    <w:rsid w:val="00CC29DE"/>
    <w:rsid w:val="00CC3B64"/>
    <w:rsid w:val="00CD37C6"/>
    <w:rsid w:val="00CD3BA4"/>
    <w:rsid w:val="00CD41AA"/>
    <w:rsid w:val="00CD6943"/>
    <w:rsid w:val="00CE6C2F"/>
    <w:rsid w:val="00CE73CC"/>
    <w:rsid w:val="00CE7E9C"/>
    <w:rsid w:val="00CF2EF3"/>
    <w:rsid w:val="00CF3298"/>
    <w:rsid w:val="00D02F3B"/>
    <w:rsid w:val="00D0657B"/>
    <w:rsid w:val="00D129CB"/>
    <w:rsid w:val="00D16A04"/>
    <w:rsid w:val="00D27C17"/>
    <w:rsid w:val="00D41B89"/>
    <w:rsid w:val="00D47F27"/>
    <w:rsid w:val="00D5541F"/>
    <w:rsid w:val="00D57923"/>
    <w:rsid w:val="00D66387"/>
    <w:rsid w:val="00D741B6"/>
    <w:rsid w:val="00D74BD0"/>
    <w:rsid w:val="00D74FED"/>
    <w:rsid w:val="00D75A81"/>
    <w:rsid w:val="00D7761F"/>
    <w:rsid w:val="00D86806"/>
    <w:rsid w:val="00D86C35"/>
    <w:rsid w:val="00DB04FB"/>
    <w:rsid w:val="00DB6DFF"/>
    <w:rsid w:val="00DC003F"/>
    <w:rsid w:val="00DE72B3"/>
    <w:rsid w:val="00DF4668"/>
    <w:rsid w:val="00E00172"/>
    <w:rsid w:val="00E0533A"/>
    <w:rsid w:val="00E0701A"/>
    <w:rsid w:val="00E131D1"/>
    <w:rsid w:val="00E17AA0"/>
    <w:rsid w:val="00E2655B"/>
    <w:rsid w:val="00E311AB"/>
    <w:rsid w:val="00E358BF"/>
    <w:rsid w:val="00E36EC8"/>
    <w:rsid w:val="00E51146"/>
    <w:rsid w:val="00E512A9"/>
    <w:rsid w:val="00E54AF9"/>
    <w:rsid w:val="00E5624E"/>
    <w:rsid w:val="00E601D4"/>
    <w:rsid w:val="00E64C88"/>
    <w:rsid w:val="00E7179D"/>
    <w:rsid w:val="00E74832"/>
    <w:rsid w:val="00E81B04"/>
    <w:rsid w:val="00E820C5"/>
    <w:rsid w:val="00E87550"/>
    <w:rsid w:val="00E9413F"/>
    <w:rsid w:val="00E973D2"/>
    <w:rsid w:val="00EA0745"/>
    <w:rsid w:val="00EC7C64"/>
    <w:rsid w:val="00ED00D6"/>
    <w:rsid w:val="00EE26DC"/>
    <w:rsid w:val="00EE3FF1"/>
    <w:rsid w:val="00EE5816"/>
    <w:rsid w:val="00F03292"/>
    <w:rsid w:val="00F0565C"/>
    <w:rsid w:val="00F121AE"/>
    <w:rsid w:val="00F15852"/>
    <w:rsid w:val="00F23F4B"/>
    <w:rsid w:val="00F462F0"/>
    <w:rsid w:val="00F46C50"/>
    <w:rsid w:val="00F56CD7"/>
    <w:rsid w:val="00F60B61"/>
    <w:rsid w:val="00F66E89"/>
    <w:rsid w:val="00F67822"/>
    <w:rsid w:val="00F70621"/>
    <w:rsid w:val="00F74182"/>
    <w:rsid w:val="00F7607A"/>
    <w:rsid w:val="00F762C6"/>
    <w:rsid w:val="00F76805"/>
    <w:rsid w:val="00F8517B"/>
    <w:rsid w:val="00F90250"/>
    <w:rsid w:val="00F91395"/>
    <w:rsid w:val="00F961D7"/>
    <w:rsid w:val="00F97A2B"/>
    <w:rsid w:val="00FA0CA3"/>
    <w:rsid w:val="00FA3BC5"/>
    <w:rsid w:val="00FA40FE"/>
    <w:rsid w:val="00FB08DC"/>
    <w:rsid w:val="00FB0D30"/>
    <w:rsid w:val="00FB1AE0"/>
    <w:rsid w:val="00FB34C2"/>
    <w:rsid w:val="00FB42F5"/>
    <w:rsid w:val="00FD76E1"/>
    <w:rsid w:val="00FE0970"/>
    <w:rsid w:val="00FF3F3A"/>
    <w:rsid w:val="00FF400F"/>
    <w:rsid w:val="01064C9A"/>
    <w:rsid w:val="010A478A"/>
    <w:rsid w:val="012D66CB"/>
    <w:rsid w:val="01303AC5"/>
    <w:rsid w:val="013C06BC"/>
    <w:rsid w:val="013E61E2"/>
    <w:rsid w:val="014F4893"/>
    <w:rsid w:val="01554610"/>
    <w:rsid w:val="01781929"/>
    <w:rsid w:val="017C564F"/>
    <w:rsid w:val="01877B89"/>
    <w:rsid w:val="019E3125"/>
    <w:rsid w:val="01B42948"/>
    <w:rsid w:val="01BA39DE"/>
    <w:rsid w:val="01BC7932"/>
    <w:rsid w:val="01CA216C"/>
    <w:rsid w:val="01D0068D"/>
    <w:rsid w:val="01D775B9"/>
    <w:rsid w:val="01D8052F"/>
    <w:rsid w:val="01DD3C4D"/>
    <w:rsid w:val="02026E30"/>
    <w:rsid w:val="02132174"/>
    <w:rsid w:val="02186A33"/>
    <w:rsid w:val="022278B2"/>
    <w:rsid w:val="023130F5"/>
    <w:rsid w:val="024737BC"/>
    <w:rsid w:val="024C2B81"/>
    <w:rsid w:val="02691984"/>
    <w:rsid w:val="026D3223"/>
    <w:rsid w:val="028604AE"/>
    <w:rsid w:val="028B75EF"/>
    <w:rsid w:val="028D5673"/>
    <w:rsid w:val="02922C89"/>
    <w:rsid w:val="029D33DC"/>
    <w:rsid w:val="02A23A3C"/>
    <w:rsid w:val="02AD1871"/>
    <w:rsid w:val="02AD3196"/>
    <w:rsid w:val="02B625AB"/>
    <w:rsid w:val="02C44E0D"/>
    <w:rsid w:val="02C9326F"/>
    <w:rsid w:val="02CE3596"/>
    <w:rsid w:val="02D04C19"/>
    <w:rsid w:val="02D54924"/>
    <w:rsid w:val="02DA63DE"/>
    <w:rsid w:val="02DF39F5"/>
    <w:rsid w:val="02E828A9"/>
    <w:rsid w:val="02EF5EA2"/>
    <w:rsid w:val="03173601"/>
    <w:rsid w:val="031864C2"/>
    <w:rsid w:val="03200295"/>
    <w:rsid w:val="034854DD"/>
    <w:rsid w:val="034F0B7A"/>
    <w:rsid w:val="0361440A"/>
    <w:rsid w:val="036D7252"/>
    <w:rsid w:val="03747EC0"/>
    <w:rsid w:val="03771E7F"/>
    <w:rsid w:val="037979A5"/>
    <w:rsid w:val="03922815"/>
    <w:rsid w:val="03990047"/>
    <w:rsid w:val="03AF1619"/>
    <w:rsid w:val="03B46C2F"/>
    <w:rsid w:val="03B7227C"/>
    <w:rsid w:val="03C07382"/>
    <w:rsid w:val="03C350C4"/>
    <w:rsid w:val="03CA6453"/>
    <w:rsid w:val="03E07A24"/>
    <w:rsid w:val="03E2554B"/>
    <w:rsid w:val="03E30F7F"/>
    <w:rsid w:val="03EA08A3"/>
    <w:rsid w:val="03F62DA4"/>
    <w:rsid w:val="04001E75"/>
    <w:rsid w:val="040E4592"/>
    <w:rsid w:val="04293179"/>
    <w:rsid w:val="043833BC"/>
    <w:rsid w:val="04446205"/>
    <w:rsid w:val="044E2BE0"/>
    <w:rsid w:val="04506958"/>
    <w:rsid w:val="045126D0"/>
    <w:rsid w:val="045D72C7"/>
    <w:rsid w:val="045F303F"/>
    <w:rsid w:val="04820ADC"/>
    <w:rsid w:val="04893C18"/>
    <w:rsid w:val="04951C17"/>
    <w:rsid w:val="049F343C"/>
    <w:rsid w:val="04B14F1D"/>
    <w:rsid w:val="04B74C29"/>
    <w:rsid w:val="04C335CE"/>
    <w:rsid w:val="04C6056D"/>
    <w:rsid w:val="04F01EE9"/>
    <w:rsid w:val="04F14F29"/>
    <w:rsid w:val="04F574FF"/>
    <w:rsid w:val="05025778"/>
    <w:rsid w:val="05137C9D"/>
    <w:rsid w:val="051E6A56"/>
    <w:rsid w:val="052851DF"/>
    <w:rsid w:val="052C2255"/>
    <w:rsid w:val="052E656D"/>
    <w:rsid w:val="053A4F12"/>
    <w:rsid w:val="053F247C"/>
    <w:rsid w:val="05595CE0"/>
    <w:rsid w:val="057C377D"/>
    <w:rsid w:val="057E74F5"/>
    <w:rsid w:val="05810D93"/>
    <w:rsid w:val="05812B41"/>
    <w:rsid w:val="05B362B9"/>
    <w:rsid w:val="05C2565F"/>
    <w:rsid w:val="05C72C4A"/>
    <w:rsid w:val="05CB2336"/>
    <w:rsid w:val="05D15877"/>
    <w:rsid w:val="05D215EF"/>
    <w:rsid w:val="05D2339D"/>
    <w:rsid w:val="05D37841"/>
    <w:rsid w:val="05DB66F5"/>
    <w:rsid w:val="05E530D0"/>
    <w:rsid w:val="05EA4B8A"/>
    <w:rsid w:val="05F9301F"/>
    <w:rsid w:val="05FD48BE"/>
    <w:rsid w:val="06093262"/>
    <w:rsid w:val="061D0ABC"/>
    <w:rsid w:val="06231E4A"/>
    <w:rsid w:val="06253E14"/>
    <w:rsid w:val="0633208D"/>
    <w:rsid w:val="063A16EC"/>
    <w:rsid w:val="063B53E6"/>
    <w:rsid w:val="065B7836"/>
    <w:rsid w:val="06856661"/>
    <w:rsid w:val="068576CE"/>
    <w:rsid w:val="069114AA"/>
    <w:rsid w:val="0698763E"/>
    <w:rsid w:val="069A210C"/>
    <w:rsid w:val="06A66D03"/>
    <w:rsid w:val="06A82EB5"/>
    <w:rsid w:val="06AE7966"/>
    <w:rsid w:val="06AF6DD1"/>
    <w:rsid w:val="06B07B82"/>
    <w:rsid w:val="06B56F46"/>
    <w:rsid w:val="06B64A6C"/>
    <w:rsid w:val="06DD649D"/>
    <w:rsid w:val="06E8731C"/>
    <w:rsid w:val="06E97196"/>
    <w:rsid w:val="06F04422"/>
    <w:rsid w:val="07047ECE"/>
    <w:rsid w:val="071C5217"/>
    <w:rsid w:val="071D4AEC"/>
    <w:rsid w:val="07210A39"/>
    <w:rsid w:val="072242D3"/>
    <w:rsid w:val="072440CC"/>
    <w:rsid w:val="0737795B"/>
    <w:rsid w:val="073F4A62"/>
    <w:rsid w:val="07442078"/>
    <w:rsid w:val="07585B24"/>
    <w:rsid w:val="07766D28"/>
    <w:rsid w:val="0788780A"/>
    <w:rsid w:val="078A2181"/>
    <w:rsid w:val="07941252"/>
    <w:rsid w:val="07944DAE"/>
    <w:rsid w:val="07B54D24"/>
    <w:rsid w:val="07E06245"/>
    <w:rsid w:val="07EA70C4"/>
    <w:rsid w:val="07EF46DA"/>
    <w:rsid w:val="081E0B1B"/>
    <w:rsid w:val="082223BA"/>
    <w:rsid w:val="08534C69"/>
    <w:rsid w:val="0856046E"/>
    <w:rsid w:val="085D7896"/>
    <w:rsid w:val="08687FE8"/>
    <w:rsid w:val="08935065"/>
    <w:rsid w:val="08997D8A"/>
    <w:rsid w:val="089A2898"/>
    <w:rsid w:val="089E1DCB"/>
    <w:rsid w:val="08AD2074"/>
    <w:rsid w:val="08D306C7"/>
    <w:rsid w:val="08D538D0"/>
    <w:rsid w:val="08D77648"/>
    <w:rsid w:val="08DF02AB"/>
    <w:rsid w:val="08E04023"/>
    <w:rsid w:val="08E9737B"/>
    <w:rsid w:val="08F2265D"/>
    <w:rsid w:val="09077801"/>
    <w:rsid w:val="091C32AD"/>
    <w:rsid w:val="09212671"/>
    <w:rsid w:val="0926010A"/>
    <w:rsid w:val="093D1475"/>
    <w:rsid w:val="093F343F"/>
    <w:rsid w:val="09412D13"/>
    <w:rsid w:val="095B3C9B"/>
    <w:rsid w:val="095E1B17"/>
    <w:rsid w:val="09622C8A"/>
    <w:rsid w:val="0963712E"/>
    <w:rsid w:val="09664528"/>
    <w:rsid w:val="09704318"/>
    <w:rsid w:val="0992356F"/>
    <w:rsid w:val="09AC1C5B"/>
    <w:rsid w:val="09AF7539"/>
    <w:rsid w:val="09B039F5"/>
    <w:rsid w:val="09B51B61"/>
    <w:rsid w:val="09BD105E"/>
    <w:rsid w:val="09CE174C"/>
    <w:rsid w:val="09EA6F07"/>
    <w:rsid w:val="09EB2C7F"/>
    <w:rsid w:val="09FE29B2"/>
    <w:rsid w:val="0A002BCE"/>
    <w:rsid w:val="0A083831"/>
    <w:rsid w:val="0A140428"/>
    <w:rsid w:val="0A1C108A"/>
    <w:rsid w:val="0A2148F3"/>
    <w:rsid w:val="0A2C5771"/>
    <w:rsid w:val="0A33448D"/>
    <w:rsid w:val="0A391C3C"/>
    <w:rsid w:val="0A3D172D"/>
    <w:rsid w:val="0A3E680D"/>
    <w:rsid w:val="0A40121D"/>
    <w:rsid w:val="0A6749FB"/>
    <w:rsid w:val="0A6F38B0"/>
    <w:rsid w:val="0A740EC6"/>
    <w:rsid w:val="0A7964DD"/>
    <w:rsid w:val="0A8207CF"/>
    <w:rsid w:val="0A825391"/>
    <w:rsid w:val="0A9D29C6"/>
    <w:rsid w:val="0A9F4195"/>
    <w:rsid w:val="0AAB338B"/>
    <w:rsid w:val="0ACC485F"/>
    <w:rsid w:val="0AD6392F"/>
    <w:rsid w:val="0AD83203"/>
    <w:rsid w:val="0AEF054D"/>
    <w:rsid w:val="0AF049F1"/>
    <w:rsid w:val="0AF45D7D"/>
    <w:rsid w:val="0B05734A"/>
    <w:rsid w:val="0B08583F"/>
    <w:rsid w:val="0B095AB3"/>
    <w:rsid w:val="0B0E131B"/>
    <w:rsid w:val="0B115FB9"/>
    <w:rsid w:val="0B1A381C"/>
    <w:rsid w:val="0B265A74"/>
    <w:rsid w:val="0B325009"/>
    <w:rsid w:val="0B352404"/>
    <w:rsid w:val="0B376893"/>
    <w:rsid w:val="0B381EF4"/>
    <w:rsid w:val="0B386398"/>
    <w:rsid w:val="0B3A0D5F"/>
    <w:rsid w:val="0B3A3EBE"/>
    <w:rsid w:val="0B460AB5"/>
    <w:rsid w:val="0B4D1E43"/>
    <w:rsid w:val="0B536D2E"/>
    <w:rsid w:val="0B5C2086"/>
    <w:rsid w:val="0B674587"/>
    <w:rsid w:val="0B6A776A"/>
    <w:rsid w:val="0B6E5916"/>
    <w:rsid w:val="0B8B64C8"/>
    <w:rsid w:val="0BB24C22"/>
    <w:rsid w:val="0BD87233"/>
    <w:rsid w:val="0BF0642E"/>
    <w:rsid w:val="0BF202F5"/>
    <w:rsid w:val="0BFE313E"/>
    <w:rsid w:val="0C02649C"/>
    <w:rsid w:val="0C0B25B3"/>
    <w:rsid w:val="0C104C1F"/>
    <w:rsid w:val="0C1E6205"/>
    <w:rsid w:val="0C236700"/>
    <w:rsid w:val="0C28640C"/>
    <w:rsid w:val="0C3C5A14"/>
    <w:rsid w:val="0C46604F"/>
    <w:rsid w:val="0C5A4DAC"/>
    <w:rsid w:val="0C5E47B4"/>
    <w:rsid w:val="0C62191E"/>
    <w:rsid w:val="0C776A4C"/>
    <w:rsid w:val="0C782EF0"/>
    <w:rsid w:val="0C7C29F2"/>
    <w:rsid w:val="0C825B1D"/>
    <w:rsid w:val="0C8A677F"/>
    <w:rsid w:val="0C8E44C1"/>
    <w:rsid w:val="0C9605A0"/>
    <w:rsid w:val="0CA830A9"/>
    <w:rsid w:val="0CC04897"/>
    <w:rsid w:val="0CD12600"/>
    <w:rsid w:val="0CD520F0"/>
    <w:rsid w:val="0CD67C16"/>
    <w:rsid w:val="0CD81BE1"/>
    <w:rsid w:val="0CEB1914"/>
    <w:rsid w:val="0CF85DDF"/>
    <w:rsid w:val="0CFB142B"/>
    <w:rsid w:val="0CFD2D94"/>
    <w:rsid w:val="0D0C53E6"/>
    <w:rsid w:val="0D2210AE"/>
    <w:rsid w:val="0D2408DB"/>
    <w:rsid w:val="0D466B4A"/>
    <w:rsid w:val="0D5154EF"/>
    <w:rsid w:val="0D611BD6"/>
    <w:rsid w:val="0D7B7C81"/>
    <w:rsid w:val="0D865A79"/>
    <w:rsid w:val="0D95205B"/>
    <w:rsid w:val="0D957AD2"/>
    <w:rsid w:val="0D9D0734"/>
    <w:rsid w:val="0DA90E87"/>
    <w:rsid w:val="0DB37F58"/>
    <w:rsid w:val="0DB74AC1"/>
    <w:rsid w:val="0DEF71E2"/>
    <w:rsid w:val="0E0B7D94"/>
    <w:rsid w:val="0E0D58BA"/>
    <w:rsid w:val="0E0F1632"/>
    <w:rsid w:val="0E19425F"/>
    <w:rsid w:val="0E237412"/>
    <w:rsid w:val="0E2449B2"/>
    <w:rsid w:val="0E342E47"/>
    <w:rsid w:val="0E460DCC"/>
    <w:rsid w:val="0E5005EE"/>
    <w:rsid w:val="0E653000"/>
    <w:rsid w:val="0E6D45AA"/>
    <w:rsid w:val="0E72396F"/>
    <w:rsid w:val="0E796AAB"/>
    <w:rsid w:val="0E7B2A67"/>
    <w:rsid w:val="0E7C0027"/>
    <w:rsid w:val="0E7E0566"/>
    <w:rsid w:val="0E7F6315"/>
    <w:rsid w:val="0E8D07A9"/>
    <w:rsid w:val="0EB36461"/>
    <w:rsid w:val="0EB45D35"/>
    <w:rsid w:val="0EBC4BEA"/>
    <w:rsid w:val="0EBD108E"/>
    <w:rsid w:val="0EBD75FE"/>
    <w:rsid w:val="0ECA5559"/>
    <w:rsid w:val="0ED87C76"/>
    <w:rsid w:val="0EF24286"/>
    <w:rsid w:val="0EF56A7A"/>
    <w:rsid w:val="0EF600FC"/>
    <w:rsid w:val="0F1B5913"/>
    <w:rsid w:val="0F4C0664"/>
    <w:rsid w:val="0F5337A0"/>
    <w:rsid w:val="0F711E78"/>
    <w:rsid w:val="0F7E3A23"/>
    <w:rsid w:val="0F917E25"/>
    <w:rsid w:val="0F96368D"/>
    <w:rsid w:val="0F9D4A1B"/>
    <w:rsid w:val="0FA062BA"/>
    <w:rsid w:val="0FA638D0"/>
    <w:rsid w:val="0FB12275"/>
    <w:rsid w:val="0FB35FED"/>
    <w:rsid w:val="0FD0094D"/>
    <w:rsid w:val="0FD33C3D"/>
    <w:rsid w:val="0FE8213B"/>
    <w:rsid w:val="0FF52AA9"/>
    <w:rsid w:val="0FF860F6"/>
    <w:rsid w:val="0FF94348"/>
    <w:rsid w:val="0FFF1232"/>
    <w:rsid w:val="10047D52"/>
    <w:rsid w:val="100827DD"/>
    <w:rsid w:val="10086339"/>
    <w:rsid w:val="10150A56"/>
    <w:rsid w:val="10240C99"/>
    <w:rsid w:val="102723E9"/>
    <w:rsid w:val="102B566C"/>
    <w:rsid w:val="104841C5"/>
    <w:rsid w:val="106D2B6E"/>
    <w:rsid w:val="106F460A"/>
    <w:rsid w:val="107439CE"/>
    <w:rsid w:val="107A4C82"/>
    <w:rsid w:val="10861954"/>
    <w:rsid w:val="1090632E"/>
    <w:rsid w:val="10A92DD3"/>
    <w:rsid w:val="10BD54A5"/>
    <w:rsid w:val="10BD632E"/>
    <w:rsid w:val="10C55FD8"/>
    <w:rsid w:val="10E12A4F"/>
    <w:rsid w:val="10E84B0C"/>
    <w:rsid w:val="10EA0134"/>
    <w:rsid w:val="10F845FF"/>
    <w:rsid w:val="1103023A"/>
    <w:rsid w:val="11036B00"/>
    <w:rsid w:val="11082369"/>
    <w:rsid w:val="11170296"/>
    <w:rsid w:val="11210BF1"/>
    <w:rsid w:val="11357D2A"/>
    <w:rsid w:val="113849FC"/>
    <w:rsid w:val="113A4C18"/>
    <w:rsid w:val="113C31C6"/>
    <w:rsid w:val="11421E5E"/>
    <w:rsid w:val="11422FE1"/>
    <w:rsid w:val="11502A5D"/>
    <w:rsid w:val="11603F53"/>
    <w:rsid w:val="116755C4"/>
    <w:rsid w:val="116E48C1"/>
    <w:rsid w:val="11844FE5"/>
    <w:rsid w:val="11845E93"/>
    <w:rsid w:val="11867E5D"/>
    <w:rsid w:val="11877731"/>
    <w:rsid w:val="11967974"/>
    <w:rsid w:val="11987B90"/>
    <w:rsid w:val="11A2456B"/>
    <w:rsid w:val="11A55E09"/>
    <w:rsid w:val="11AE5258"/>
    <w:rsid w:val="11DF30C9"/>
    <w:rsid w:val="11FA6155"/>
    <w:rsid w:val="120570B6"/>
    <w:rsid w:val="12062D4C"/>
    <w:rsid w:val="12110957"/>
    <w:rsid w:val="12130FC5"/>
    <w:rsid w:val="121C60CC"/>
    <w:rsid w:val="1222745A"/>
    <w:rsid w:val="12371157"/>
    <w:rsid w:val="12692E2A"/>
    <w:rsid w:val="127001C5"/>
    <w:rsid w:val="127759F8"/>
    <w:rsid w:val="127A0C92"/>
    <w:rsid w:val="127F48AC"/>
    <w:rsid w:val="128819B3"/>
    <w:rsid w:val="128F2D41"/>
    <w:rsid w:val="12942106"/>
    <w:rsid w:val="129739A4"/>
    <w:rsid w:val="129E4D32"/>
    <w:rsid w:val="12A548F1"/>
    <w:rsid w:val="12B32B77"/>
    <w:rsid w:val="12B91B6C"/>
    <w:rsid w:val="12BA7692"/>
    <w:rsid w:val="12C0114D"/>
    <w:rsid w:val="12EA7AE7"/>
    <w:rsid w:val="12EF558E"/>
    <w:rsid w:val="12F9640D"/>
    <w:rsid w:val="13021765"/>
    <w:rsid w:val="13037AFF"/>
    <w:rsid w:val="13113756"/>
    <w:rsid w:val="132A4818"/>
    <w:rsid w:val="13394A5B"/>
    <w:rsid w:val="13427DB4"/>
    <w:rsid w:val="13456351"/>
    <w:rsid w:val="134C0C32"/>
    <w:rsid w:val="13516249"/>
    <w:rsid w:val="13541895"/>
    <w:rsid w:val="135D4BEE"/>
    <w:rsid w:val="136F66CF"/>
    <w:rsid w:val="137B79E1"/>
    <w:rsid w:val="13833F28"/>
    <w:rsid w:val="13837AAC"/>
    <w:rsid w:val="138C54D3"/>
    <w:rsid w:val="13A04ADA"/>
    <w:rsid w:val="13C95DDF"/>
    <w:rsid w:val="13D529D6"/>
    <w:rsid w:val="13D64F42"/>
    <w:rsid w:val="13E7095B"/>
    <w:rsid w:val="13E83E5F"/>
    <w:rsid w:val="14065285"/>
    <w:rsid w:val="144731A8"/>
    <w:rsid w:val="146944C2"/>
    <w:rsid w:val="14717C9A"/>
    <w:rsid w:val="147F2942"/>
    <w:rsid w:val="14991C55"/>
    <w:rsid w:val="14AF7789"/>
    <w:rsid w:val="14D50D33"/>
    <w:rsid w:val="14DA401C"/>
    <w:rsid w:val="14E338A7"/>
    <w:rsid w:val="14EA0703"/>
    <w:rsid w:val="14EC2E3E"/>
    <w:rsid w:val="14EF1875"/>
    <w:rsid w:val="14F43330"/>
    <w:rsid w:val="151E65FF"/>
    <w:rsid w:val="1537321C"/>
    <w:rsid w:val="154020D1"/>
    <w:rsid w:val="157B7F4A"/>
    <w:rsid w:val="1585042C"/>
    <w:rsid w:val="15A840F3"/>
    <w:rsid w:val="15AE1730"/>
    <w:rsid w:val="15B11221"/>
    <w:rsid w:val="15D207BD"/>
    <w:rsid w:val="15E37F2A"/>
    <w:rsid w:val="15E41DAB"/>
    <w:rsid w:val="15EC4007"/>
    <w:rsid w:val="15FB249C"/>
    <w:rsid w:val="15FF3D3A"/>
    <w:rsid w:val="161A0B74"/>
    <w:rsid w:val="16383AE2"/>
    <w:rsid w:val="163D1F3A"/>
    <w:rsid w:val="16563FC8"/>
    <w:rsid w:val="16565924"/>
    <w:rsid w:val="16571DC8"/>
    <w:rsid w:val="16646293"/>
    <w:rsid w:val="16685D83"/>
    <w:rsid w:val="167C182F"/>
    <w:rsid w:val="167C538B"/>
    <w:rsid w:val="167D1103"/>
    <w:rsid w:val="167D2FDD"/>
    <w:rsid w:val="168E1562"/>
    <w:rsid w:val="16AE5760"/>
    <w:rsid w:val="16AE750E"/>
    <w:rsid w:val="16AF2A39"/>
    <w:rsid w:val="16B40FC8"/>
    <w:rsid w:val="16B72867"/>
    <w:rsid w:val="16BC1C2B"/>
    <w:rsid w:val="16BD0A63"/>
    <w:rsid w:val="16C46D32"/>
    <w:rsid w:val="16D76A65"/>
    <w:rsid w:val="16E3540A"/>
    <w:rsid w:val="16E442B3"/>
    <w:rsid w:val="16E8284E"/>
    <w:rsid w:val="1711641B"/>
    <w:rsid w:val="1719707D"/>
    <w:rsid w:val="17215F32"/>
    <w:rsid w:val="172872C1"/>
    <w:rsid w:val="17457E73"/>
    <w:rsid w:val="174D3905"/>
    <w:rsid w:val="174F6F43"/>
    <w:rsid w:val="175814CF"/>
    <w:rsid w:val="176821F4"/>
    <w:rsid w:val="176E561B"/>
    <w:rsid w:val="1772678E"/>
    <w:rsid w:val="17792AAB"/>
    <w:rsid w:val="177E1C86"/>
    <w:rsid w:val="178766DD"/>
    <w:rsid w:val="178F6BBE"/>
    <w:rsid w:val="17944956"/>
    <w:rsid w:val="17994EC4"/>
    <w:rsid w:val="179B7A92"/>
    <w:rsid w:val="17AC68A6"/>
    <w:rsid w:val="17AD77C6"/>
    <w:rsid w:val="17B62B1E"/>
    <w:rsid w:val="17CB7119"/>
    <w:rsid w:val="17DB67AF"/>
    <w:rsid w:val="18041ADC"/>
    <w:rsid w:val="180E295A"/>
    <w:rsid w:val="1843194E"/>
    <w:rsid w:val="18495740"/>
    <w:rsid w:val="185A794E"/>
    <w:rsid w:val="18714D0F"/>
    <w:rsid w:val="18891474"/>
    <w:rsid w:val="188B3FAB"/>
    <w:rsid w:val="188E6B63"/>
    <w:rsid w:val="188F0B1E"/>
    <w:rsid w:val="1890336F"/>
    <w:rsid w:val="18932E60"/>
    <w:rsid w:val="18975ADC"/>
    <w:rsid w:val="18AD2173"/>
    <w:rsid w:val="18B21538"/>
    <w:rsid w:val="18BC5F12"/>
    <w:rsid w:val="18C272A1"/>
    <w:rsid w:val="18D314AE"/>
    <w:rsid w:val="18DA283C"/>
    <w:rsid w:val="18DC7FB3"/>
    <w:rsid w:val="18E611E1"/>
    <w:rsid w:val="18F90F15"/>
    <w:rsid w:val="19070360"/>
    <w:rsid w:val="192D6E10"/>
    <w:rsid w:val="19373862"/>
    <w:rsid w:val="193D1CBA"/>
    <w:rsid w:val="19520625"/>
    <w:rsid w:val="19526877"/>
    <w:rsid w:val="196547FC"/>
    <w:rsid w:val="1966000D"/>
    <w:rsid w:val="19856C4C"/>
    <w:rsid w:val="199665EC"/>
    <w:rsid w:val="199C7AF2"/>
    <w:rsid w:val="199D3F96"/>
    <w:rsid w:val="19B46FFB"/>
    <w:rsid w:val="19CC03D7"/>
    <w:rsid w:val="19D2300F"/>
    <w:rsid w:val="19E80F89"/>
    <w:rsid w:val="19EC5173"/>
    <w:rsid w:val="19F872A0"/>
    <w:rsid w:val="1A136006"/>
    <w:rsid w:val="1A3348FA"/>
    <w:rsid w:val="1A352420"/>
    <w:rsid w:val="1A377809"/>
    <w:rsid w:val="1A402B73"/>
    <w:rsid w:val="1A452ACF"/>
    <w:rsid w:val="1A512FD2"/>
    <w:rsid w:val="1A5D54D3"/>
    <w:rsid w:val="1ABD2416"/>
    <w:rsid w:val="1ADA2FC8"/>
    <w:rsid w:val="1AE259D8"/>
    <w:rsid w:val="1AE35507"/>
    <w:rsid w:val="1AE41750"/>
    <w:rsid w:val="1AEB2ADF"/>
    <w:rsid w:val="1AF04599"/>
    <w:rsid w:val="1AFC1190"/>
    <w:rsid w:val="1B2129A5"/>
    <w:rsid w:val="1B2670B7"/>
    <w:rsid w:val="1B3B1964"/>
    <w:rsid w:val="1B3E3557"/>
    <w:rsid w:val="1B542D7A"/>
    <w:rsid w:val="1B5E7755"/>
    <w:rsid w:val="1B634D6B"/>
    <w:rsid w:val="1B636B19"/>
    <w:rsid w:val="1B6805D3"/>
    <w:rsid w:val="1B7E1468"/>
    <w:rsid w:val="1B825739"/>
    <w:rsid w:val="1B83540D"/>
    <w:rsid w:val="1B8B45DD"/>
    <w:rsid w:val="1BA62EAA"/>
    <w:rsid w:val="1BC17CE4"/>
    <w:rsid w:val="1BCC0B62"/>
    <w:rsid w:val="1BDD4B1E"/>
    <w:rsid w:val="1BE35EAC"/>
    <w:rsid w:val="1BE718C7"/>
    <w:rsid w:val="1BF43C15"/>
    <w:rsid w:val="1BF73705"/>
    <w:rsid w:val="1C146065"/>
    <w:rsid w:val="1C1B73F4"/>
    <w:rsid w:val="1C2F10F1"/>
    <w:rsid w:val="1C3B1844"/>
    <w:rsid w:val="1C406E5A"/>
    <w:rsid w:val="1C495921"/>
    <w:rsid w:val="1C542906"/>
    <w:rsid w:val="1C744D56"/>
    <w:rsid w:val="1C7A6810"/>
    <w:rsid w:val="1C7B7E93"/>
    <w:rsid w:val="1C7D1E5D"/>
    <w:rsid w:val="1C8036FB"/>
    <w:rsid w:val="1C9C6787"/>
    <w:rsid w:val="1C9D289F"/>
    <w:rsid w:val="1CD64FCE"/>
    <w:rsid w:val="1CD770EC"/>
    <w:rsid w:val="1CE43C8A"/>
    <w:rsid w:val="1D183933"/>
    <w:rsid w:val="1D210A3A"/>
    <w:rsid w:val="1D3764AF"/>
    <w:rsid w:val="1D4F5570"/>
    <w:rsid w:val="1D5E1C8E"/>
    <w:rsid w:val="1D61177E"/>
    <w:rsid w:val="1D7E7C3A"/>
    <w:rsid w:val="1D8611E5"/>
    <w:rsid w:val="1D880AB9"/>
    <w:rsid w:val="1D8D4321"/>
    <w:rsid w:val="1D9C27B6"/>
    <w:rsid w:val="1DA35CDF"/>
    <w:rsid w:val="1DA84CB7"/>
    <w:rsid w:val="1DAA4ED3"/>
    <w:rsid w:val="1DC615E1"/>
    <w:rsid w:val="1DC835AB"/>
    <w:rsid w:val="1DD97567"/>
    <w:rsid w:val="1DFD14A7"/>
    <w:rsid w:val="1E037E3E"/>
    <w:rsid w:val="1E242D4E"/>
    <w:rsid w:val="1E2F7187"/>
    <w:rsid w:val="1E340C41"/>
    <w:rsid w:val="1E401394"/>
    <w:rsid w:val="1E403BB4"/>
    <w:rsid w:val="1E435EE1"/>
    <w:rsid w:val="1E4A2212"/>
    <w:rsid w:val="1E6908EA"/>
    <w:rsid w:val="1E6934D0"/>
    <w:rsid w:val="1E766B63"/>
    <w:rsid w:val="1E8A6AB3"/>
    <w:rsid w:val="1E8F7C25"/>
    <w:rsid w:val="1E956402"/>
    <w:rsid w:val="1E9B2A6E"/>
    <w:rsid w:val="1EA336D1"/>
    <w:rsid w:val="1EA90CE7"/>
    <w:rsid w:val="1EAF02C7"/>
    <w:rsid w:val="1EBA1146"/>
    <w:rsid w:val="1EC73863"/>
    <w:rsid w:val="1ED46823"/>
    <w:rsid w:val="1ED55F80"/>
    <w:rsid w:val="1ED57D2E"/>
    <w:rsid w:val="1EDB24C3"/>
    <w:rsid w:val="1EDF295B"/>
    <w:rsid w:val="1F0431F3"/>
    <w:rsid w:val="1F046865"/>
    <w:rsid w:val="1F1D16D5"/>
    <w:rsid w:val="1F204D21"/>
    <w:rsid w:val="1F2760B0"/>
    <w:rsid w:val="1F3E1D77"/>
    <w:rsid w:val="1F460C2C"/>
    <w:rsid w:val="1F525822"/>
    <w:rsid w:val="1F58270D"/>
    <w:rsid w:val="1F5F1CED"/>
    <w:rsid w:val="1F707A57"/>
    <w:rsid w:val="1F7237CF"/>
    <w:rsid w:val="1F770DE5"/>
    <w:rsid w:val="1F833C2E"/>
    <w:rsid w:val="1F890B18"/>
    <w:rsid w:val="1F8D0609"/>
    <w:rsid w:val="1FB82BC8"/>
    <w:rsid w:val="1FCA53B9"/>
    <w:rsid w:val="1FD47FE6"/>
    <w:rsid w:val="1FE31481"/>
    <w:rsid w:val="1FE917AE"/>
    <w:rsid w:val="1FF163E5"/>
    <w:rsid w:val="1FF16DE9"/>
    <w:rsid w:val="1FF468DA"/>
    <w:rsid w:val="200F54C2"/>
    <w:rsid w:val="201B5C14"/>
    <w:rsid w:val="20210D51"/>
    <w:rsid w:val="20254CE5"/>
    <w:rsid w:val="2039253E"/>
    <w:rsid w:val="204A02A8"/>
    <w:rsid w:val="2059498F"/>
    <w:rsid w:val="20690166"/>
    <w:rsid w:val="20803CC9"/>
    <w:rsid w:val="209239FD"/>
    <w:rsid w:val="20AA51EA"/>
    <w:rsid w:val="20B14FBA"/>
    <w:rsid w:val="20BE2A44"/>
    <w:rsid w:val="20CC482F"/>
    <w:rsid w:val="20E97AC1"/>
    <w:rsid w:val="20EA2A65"/>
    <w:rsid w:val="20EF2BFD"/>
    <w:rsid w:val="210112AE"/>
    <w:rsid w:val="21354AB4"/>
    <w:rsid w:val="214E2A84"/>
    <w:rsid w:val="21556257"/>
    <w:rsid w:val="215F4227"/>
    <w:rsid w:val="217F6677"/>
    <w:rsid w:val="21817CF9"/>
    <w:rsid w:val="21884BA0"/>
    <w:rsid w:val="219519F6"/>
    <w:rsid w:val="2197576F"/>
    <w:rsid w:val="219B1B95"/>
    <w:rsid w:val="219E4D4F"/>
    <w:rsid w:val="21BA145D"/>
    <w:rsid w:val="21BF6A73"/>
    <w:rsid w:val="21C30312"/>
    <w:rsid w:val="21D73DBD"/>
    <w:rsid w:val="21DE15EF"/>
    <w:rsid w:val="21ED1832"/>
    <w:rsid w:val="21ED5205"/>
    <w:rsid w:val="21F03485"/>
    <w:rsid w:val="21F26E49"/>
    <w:rsid w:val="21F7445F"/>
    <w:rsid w:val="220151E4"/>
    <w:rsid w:val="22032E04"/>
    <w:rsid w:val="2217240B"/>
    <w:rsid w:val="22196184"/>
    <w:rsid w:val="222039B6"/>
    <w:rsid w:val="2221772E"/>
    <w:rsid w:val="222B5EB7"/>
    <w:rsid w:val="2237485C"/>
    <w:rsid w:val="223E3E3C"/>
    <w:rsid w:val="224B716E"/>
    <w:rsid w:val="225C42C2"/>
    <w:rsid w:val="227635D6"/>
    <w:rsid w:val="22794E74"/>
    <w:rsid w:val="228D26CE"/>
    <w:rsid w:val="22BB723B"/>
    <w:rsid w:val="22C87E24"/>
    <w:rsid w:val="22C95DFC"/>
    <w:rsid w:val="22E20C6B"/>
    <w:rsid w:val="22E9024C"/>
    <w:rsid w:val="22EC5F17"/>
    <w:rsid w:val="22EE06E2"/>
    <w:rsid w:val="22F015DA"/>
    <w:rsid w:val="22F466B7"/>
    <w:rsid w:val="22F664C5"/>
    <w:rsid w:val="22F8223D"/>
    <w:rsid w:val="22F84FC6"/>
    <w:rsid w:val="22FD3CF7"/>
    <w:rsid w:val="230230BC"/>
    <w:rsid w:val="2307511C"/>
    <w:rsid w:val="230A01C2"/>
    <w:rsid w:val="23243032"/>
    <w:rsid w:val="235A0EEE"/>
    <w:rsid w:val="235C6C70"/>
    <w:rsid w:val="23614286"/>
    <w:rsid w:val="23712585"/>
    <w:rsid w:val="238B1303"/>
    <w:rsid w:val="238E2BA1"/>
    <w:rsid w:val="23957951"/>
    <w:rsid w:val="23C93BD9"/>
    <w:rsid w:val="23EE3640"/>
    <w:rsid w:val="23FA3D93"/>
    <w:rsid w:val="241C63FF"/>
    <w:rsid w:val="242A1B68"/>
    <w:rsid w:val="242B03F0"/>
    <w:rsid w:val="243472A5"/>
    <w:rsid w:val="2440076D"/>
    <w:rsid w:val="246B6A3F"/>
    <w:rsid w:val="2487585F"/>
    <w:rsid w:val="249E6E14"/>
    <w:rsid w:val="24A563F4"/>
    <w:rsid w:val="24B228BF"/>
    <w:rsid w:val="24C22B02"/>
    <w:rsid w:val="24D171E9"/>
    <w:rsid w:val="24DE5462"/>
    <w:rsid w:val="24EF141E"/>
    <w:rsid w:val="25034EC9"/>
    <w:rsid w:val="250C0222"/>
    <w:rsid w:val="251B0465"/>
    <w:rsid w:val="25461985"/>
    <w:rsid w:val="25586D6C"/>
    <w:rsid w:val="256516E0"/>
    <w:rsid w:val="256B319A"/>
    <w:rsid w:val="25781413"/>
    <w:rsid w:val="257858B7"/>
    <w:rsid w:val="258B383C"/>
    <w:rsid w:val="259455FA"/>
    <w:rsid w:val="259F4BF2"/>
    <w:rsid w:val="25A246E2"/>
    <w:rsid w:val="25AD5EB4"/>
    <w:rsid w:val="25B662E5"/>
    <w:rsid w:val="25BF5294"/>
    <w:rsid w:val="25C2759F"/>
    <w:rsid w:val="25C63DCF"/>
    <w:rsid w:val="25C74149"/>
    <w:rsid w:val="25DE267C"/>
    <w:rsid w:val="25E46AA9"/>
    <w:rsid w:val="25E66CC5"/>
    <w:rsid w:val="25FA62CC"/>
    <w:rsid w:val="26143832"/>
    <w:rsid w:val="26207C3D"/>
    <w:rsid w:val="262275D1"/>
    <w:rsid w:val="26325A66"/>
    <w:rsid w:val="263712CE"/>
    <w:rsid w:val="26456C5F"/>
    <w:rsid w:val="264D6D44"/>
    <w:rsid w:val="26635DE5"/>
    <w:rsid w:val="268B6A43"/>
    <w:rsid w:val="26977FBF"/>
    <w:rsid w:val="26AF355A"/>
    <w:rsid w:val="26B50445"/>
    <w:rsid w:val="26B54405"/>
    <w:rsid w:val="26B835BD"/>
    <w:rsid w:val="26BC17D3"/>
    <w:rsid w:val="26D85C51"/>
    <w:rsid w:val="26DC11F6"/>
    <w:rsid w:val="26E256DE"/>
    <w:rsid w:val="26EC191F"/>
    <w:rsid w:val="26F251F5"/>
    <w:rsid w:val="26F31699"/>
    <w:rsid w:val="270C62B7"/>
    <w:rsid w:val="27147861"/>
    <w:rsid w:val="272916F4"/>
    <w:rsid w:val="274730B4"/>
    <w:rsid w:val="27473793"/>
    <w:rsid w:val="274912B9"/>
    <w:rsid w:val="27677991"/>
    <w:rsid w:val="277F5534"/>
    <w:rsid w:val="27802801"/>
    <w:rsid w:val="278A123C"/>
    <w:rsid w:val="27963D10"/>
    <w:rsid w:val="279F537D"/>
    <w:rsid w:val="27A82BCD"/>
    <w:rsid w:val="27DF5779"/>
    <w:rsid w:val="27EE00B2"/>
    <w:rsid w:val="27FD443B"/>
    <w:rsid w:val="280451E0"/>
    <w:rsid w:val="280E7BD2"/>
    <w:rsid w:val="28177609"/>
    <w:rsid w:val="28186EDD"/>
    <w:rsid w:val="281C077C"/>
    <w:rsid w:val="28245882"/>
    <w:rsid w:val="28247630"/>
    <w:rsid w:val="282615FA"/>
    <w:rsid w:val="28277120"/>
    <w:rsid w:val="282910EA"/>
    <w:rsid w:val="28396E4B"/>
    <w:rsid w:val="283E4B96"/>
    <w:rsid w:val="28414686"/>
    <w:rsid w:val="28447CD2"/>
    <w:rsid w:val="284B2E0F"/>
    <w:rsid w:val="284D6B87"/>
    <w:rsid w:val="28550131"/>
    <w:rsid w:val="285A5748"/>
    <w:rsid w:val="28642123"/>
    <w:rsid w:val="28757E8C"/>
    <w:rsid w:val="287E4F92"/>
    <w:rsid w:val="288B6760"/>
    <w:rsid w:val="28B07116"/>
    <w:rsid w:val="28B9421C"/>
    <w:rsid w:val="28CB21A2"/>
    <w:rsid w:val="28CC2935"/>
    <w:rsid w:val="28D24873"/>
    <w:rsid w:val="28DA4193"/>
    <w:rsid w:val="28E62B38"/>
    <w:rsid w:val="28E868B0"/>
    <w:rsid w:val="28F25980"/>
    <w:rsid w:val="28F96D0F"/>
    <w:rsid w:val="290673F2"/>
    <w:rsid w:val="290B7A2E"/>
    <w:rsid w:val="29312005"/>
    <w:rsid w:val="2944442E"/>
    <w:rsid w:val="29493E9D"/>
    <w:rsid w:val="29606D8E"/>
    <w:rsid w:val="29622B06"/>
    <w:rsid w:val="2964062C"/>
    <w:rsid w:val="29787C34"/>
    <w:rsid w:val="298131E9"/>
    <w:rsid w:val="298760C9"/>
    <w:rsid w:val="29927747"/>
    <w:rsid w:val="299C33C3"/>
    <w:rsid w:val="29AE7AF9"/>
    <w:rsid w:val="29B13146"/>
    <w:rsid w:val="29C54E43"/>
    <w:rsid w:val="29C9048F"/>
    <w:rsid w:val="29CB06AB"/>
    <w:rsid w:val="29DE4538"/>
    <w:rsid w:val="29EC2A70"/>
    <w:rsid w:val="29F319B0"/>
    <w:rsid w:val="29FA689B"/>
    <w:rsid w:val="2A007C29"/>
    <w:rsid w:val="2A0108B7"/>
    <w:rsid w:val="2A04596B"/>
    <w:rsid w:val="2A0F07CB"/>
    <w:rsid w:val="2A133E00"/>
    <w:rsid w:val="2A1536D4"/>
    <w:rsid w:val="2A1A0CEB"/>
    <w:rsid w:val="2A202079"/>
    <w:rsid w:val="2A2E4796"/>
    <w:rsid w:val="2A500BB0"/>
    <w:rsid w:val="2A506E02"/>
    <w:rsid w:val="2A5C57A7"/>
    <w:rsid w:val="2A65743E"/>
    <w:rsid w:val="2A697EC4"/>
    <w:rsid w:val="2A6B3832"/>
    <w:rsid w:val="2A6F54DA"/>
    <w:rsid w:val="2A88659C"/>
    <w:rsid w:val="2A906CB5"/>
    <w:rsid w:val="2A954815"/>
    <w:rsid w:val="2ABE1FBE"/>
    <w:rsid w:val="2AD0584D"/>
    <w:rsid w:val="2AEE4B12"/>
    <w:rsid w:val="2AF27EBA"/>
    <w:rsid w:val="2AFE685E"/>
    <w:rsid w:val="2B057BED"/>
    <w:rsid w:val="2B060A50"/>
    <w:rsid w:val="2B0A5203"/>
    <w:rsid w:val="2B116592"/>
    <w:rsid w:val="2B193698"/>
    <w:rsid w:val="2B1C4F36"/>
    <w:rsid w:val="2B2160A9"/>
    <w:rsid w:val="2B400C25"/>
    <w:rsid w:val="2B4714A0"/>
    <w:rsid w:val="2B471FB3"/>
    <w:rsid w:val="2B58518F"/>
    <w:rsid w:val="2B606BD1"/>
    <w:rsid w:val="2B612949"/>
    <w:rsid w:val="2B6C5576"/>
    <w:rsid w:val="2B717030"/>
    <w:rsid w:val="2B74267D"/>
    <w:rsid w:val="2B762899"/>
    <w:rsid w:val="2B7663F5"/>
    <w:rsid w:val="2B7E34FB"/>
    <w:rsid w:val="2B7E52A9"/>
    <w:rsid w:val="2BA50A88"/>
    <w:rsid w:val="2BAA2542"/>
    <w:rsid w:val="2BB60EE7"/>
    <w:rsid w:val="2BC52ED8"/>
    <w:rsid w:val="2BCA4992"/>
    <w:rsid w:val="2BD01E07"/>
    <w:rsid w:val="2BE035C8"/>
    <w:rsid w:val="2BF24188"/>
    <w:rsid w:val="2BF65788"/>
    <w:rsid w:val="2BFD08C4"/>
    <w:rsid w:val="2C235EB7"/>
    <w:rsid w:val="2C2B5431"/>
    <w:rsid w:val="2C4958B7"/>
    <w:rsid w:val="2C5F157F"/>
    <w:rsid w:val="2C610E53"/>
    <w:rsid w:val="2C6646BB"/>
    <w:rsid w:val="2C950AFD"/>
    <w:rsid w:val="2C9805ED"/>
    <w:rsid w:val="2C9A4365"/>
    <w:rsid w:val="2C9C1E8B"/>
    <w:rsid w:val="2C9F3729"/>
    <w:rsid w:val="2CAF267A"/>
    <w:rsid w:val="2CB77889"/>
    <w:rsid w:val="2CBE197F"/>
    <w:rsid w:val="2CCB6C14"/>
    <w:rsid w:val="2CCF3D47"/>
    <w:rsid w:val="2CE51A84"/>
    <w:rsid w:val="2CE90E48"/>
    <w:rsid w:val="2CED0939"/>
    <w:rsid w:val="2CF27CFD"/>
    <w:rsid w:val="2CF577ED"/>
    <w:rsid w:val="2CFA3055"/>
    <w:rsid w:val="2D012636"/>
    <w:rsid w:val="2D016C6B"/>
    <w:rsid w:val="2D0637A8"/>
    <w:rsid w:val="2D0D2D89"/>
    <w:rsid w:val="2D1E0AF2"/>
    <w:rsid w:val="2D2B1461"/>
    <w:rsid w:val="2D2D1B91"/>
    <w:rsid w:val="2D3B5B48"/>
    <w:rsid w:val="2D522E91"/>
    <w:rsid w:val="2D5819DC"/>
    <w:rsid w:val="2D5B7F98"/>
    <w:rsid w:val="2D6A6CF3"/>
    <w:rsid w:val="2D6A7F4C"/>
    <w:rsid w:val="2D746964"/>
    <w:rsid w:val="2D8D7A26"/>
    <w:rsid w:val="2DA134D1"/>
    <w:rsid w:val="2DB800CF"/>
    <w:rsid w:val="2DB9081B"/>
    <w:rsid w:val="2DCE2518"/>
    <w:rsid w:val="2DD218DC"/>
    <w:rsid w:val="2DDB69E3"/>
    <w:rsid w:val="2DE169BE"/>
    <w:rsid w:val="2DE735DA"/>
    <w:rsid w:val="2DEF7457"/>
    <w:rsid w:val="2DF950BB"/>
    <w:rsid w:val="2DFD104F"/>
    <w:rsid w:val="2E093AD9"/>
    <w:rsid w:val="2E0A0E72"/>
    <w:rsid w:val="2E112405"/>
    <w:rsid w:val="2E273353"/>
    <w:rsid w:val="2E426A62"/>
    <w:rsid w:val="2E4637EF"/>
    <w:rsid w:val="2E4E18AB"/>
    <w:rsid w:val="2E504D48"/>
    <w:rsid w:val="2E6B420B"/>
    <w:rsid w:val="2E6C48D9"/>
    <w:rsid w:val="2E7035CF"/>
    <w:rsid w:val="2E7D3F3E"/>
    <w:rsid w:val="2E864BA1"/>
    <w:rsid w:val="2E8F4F19"/>
    <w:rsid w:val="2E9C43C4"/>
    <w:rsid w:val="2EA24B52"/>
    <w:rsid w:val="2EA63495"/>
    <w:rsid w:val="2EAF7625"/>
    <w:rsid w:val="2EB57234"/>
    <w:rsid w:val="2EC8340B"/>
    <w:rsid w:val="2ECB2EFB"/>
    <w:rsid w:val="2ED303B5"/>
    <w:rsid w:val="2ED3590C"/>
    <w:rsid w:val="2EEF6BEA"/>
    <w:rsid w:val="2EF35FAE"/>
    <w:rsid w:val="2EF91817"/>
    <w:rsid w:val="2EFA6A37"/>
    <w:rsid w:val="2F0361F1"/>
    <w:rsid w:val="2F041F69"/>
    <w:rsid w:val="2F167CA6"/>
    <w:rsid w:val="2F25260C"/>
    <w:rsid w:val="2F3740ED"/>
    <w:rsid w:val="2F452CAE"/>
    <w:rsid w:val="2F4A3E20"/>
    <w:rsid w:val="2F5D70AC"/>
    <w:rsid w:val="2F6824F8"/>
    <w:rsid w:val="2F8530AA"/>
    <w:rsid w:val="2F8A246F"/>
    <w:rsid w:val="2F8B61E7"/>
    <w:rsid w:val="2F904855"/>
    <w:rsid w:val="2F947791"/>
    <w:rsid w:val="2FA33530"/>
    <w:rsid w:val="2FA36C75"/>
    <w:rsid w:val="2FB83480"/>
    <w:rsid w:val="2FBE036A"/>
    <w:rsid w:val="2FC242FE"/>
    <w:rsid w:val="2FE029D7"/>
    <w:rsid w:val="2FF2695F"/>
    <w:rsid w:val="2FFA41B9"/>
    <w:rsid w:val="2FFC5729"/>
    <w:rsid w:val="301D6DE7"/>
    <w:rsid w:val="302428C3"/>
    <w:rsid w:val="3025663B"/>
    <w:rsid w:val="30297EDA"/>
    <w:rsid w:val="303074BA"/>
    <w:rsid w:val="303539BA"/>
    <w:rsid w:val="304C1E1A"/>
    <w:rsid w:val="304E08DD"/>
    <w:rsid w:val="30601421"/>
    <w:rsid w:val="3062519A"/>
    <w:rsid w:val="306929CC"/>
    <w:rsid w:val="30696528"/>
    <w:rsid w:val="306B405E"/>
    <w:rsid w:val="307722EB"/>
    <w:rsid w:val="30832D34"/>
    <w:rsid w:val="308C4B30"/>
    <w:rsid w:val="30901D07"/>
    <w:rsid w:val="309612E7"/>
    <w:rsid w:val="309C68FD"/>
    <w:rsid w:val="309E2D87"/>
    <w:rsid w:val="30C506DF"/>
    <w:rsid w:val="30C714A1"/>
    <w:rsid w:val="30D53BBD"/>
    <w:rsid w:val="30EB33E1"/>
    <w:rsid w:val="30F5600E"/>
    <w:rsid w:val="30FA1876"/>
    <w:rsid w:val="30FC114A"/>
    <w:rsid w:val="31012C04"/>
    <w:rsid w:val="310E0E7D"/>
    <w:rsid w:val="31104BF6"/>
    <w:rsid w:val="3121189C"/>
    <w:rsid w:val="314A68DF"/>
    <w:rsid w:val="317A4765"/>
    <w:rsid w:val="317A6D88"/>
    <w:rsid w:val="317F1D7B"/>
    <w:rsid w:val="318A0E4C"/>
    <w:rsid w:val="318B0720"/>
    <w:rsid w:val="319E66A5"/>
    <w:rsid w:val="31A737AC"/>
    <w:rsid w:val="31A87524"/>
    <w:rsid w:val="31B00187"/>
    <w:rsid w:val="31CC3212"/>
    <w:rsid w:val="31D200FD"/>
    <w:rsid w:val="31DB3455"/>
    <w:rsid w:val="31DE4CF4"/>
    <w:rsid w:val="31E56082"/>
    <w:rsid w:val="31E64732"/>
    <w:rsid w:val="31E85B72"/>
    <w:rsid w:val="31EE13DB"/>
    <w:rsid w:val="31F7161A"/>
    <w:rsid w:val="31F84559"/>
    <w:rsid w:val="3207249C"/>
    <w:rsid w:val="320F4D4B"/>
    <w:rsid w:val="32140715"/>
    <w:rsid w:val="3223427F"/>
    <w:rsid w:val="3236068C"/>
    <w:rsid w:val="323B0398"/>
    <w:rsid w:val="324059AE"/>
    <w:rsid w:val="325701E5"/>
    <w:rsid w:val="326351F9"/>
    <w:rsid w:val="32766A06"/>
    <w:rsid w:val="327D078A"/>
    <w:rsid w:val="32861C19"/>
    <w:rsid w:val="32933D30"/>
    <w:rsid w:val="32953B6A"/>
    <w:rsid w:val="32A7158A"/>
    <w:rsid w:val="32A914C8"/>
    <w:rsid w:val="32B31CDC"/>
    <w:rsid w:val="32C75788"/>
    <w:rsid w:val="32E165BD"/>
    <w:rsid w:val="32E53E60"/>
    <w:rsid w:val="32FA3DAF"/>
    <w:rsid w:val="32FB79C5"/>
    <w:rsid w:val="330469DC"/>
    <w:rsid w:val="330E785B"/>
    <w:rsid w:val="33154745"/>
    <w:rsid w:val="33244988"/>
    <w:rsid w:val="33274478"/>
    <w:rsid w:val="332930AB"/>
    <w:rsid w:val="332B3F69"/>
    <w:rsid w:val="333746BC"/>
    <w:rsid w:val="334A3443"/>
    <w:rsid w:val="334F40FB"/>
    <w:rsid w:val="3353526D"/>
    <w:rsid w:val="33641229"/>
    <w:rsid w:val="338673F1"/>
    <w:rsid w:val="339D48A3"/>
    <w:rsid w:val="339E298D"/>
    <w:rsid w:val="33AC3A1C"/>
    <w:rsid w:val="33C74846"/>
    <w:rsid w:val="33CF6FEA"/>
    <w:rsid w:val="33F64577"/>
    <w:rsid w:val="34056568"/>
    <w:rsid w:val="34296B28"/>
    <w:rsid w:val="343E7CCC"/>
    <w:rsid w:val="34525525"/>
    <w:rsid w:val="346040E6"/>
    <w:rsid w:val="34A0589E"/>
    <w:rsid w:val="34A67F96"/>
    <w:rsid w:val="34A9783B"/>
    <w:rsid w:val="34B0508B"/>
    <w:rsid w:val="34CE1050"/>
    <w:rsid w:val="34DD3BB4"/>
    <w:rsid w:val="34DF440A"/>
    <w:rsid w:val="34F12F90"/>
    <w:rsid w:val="350A581B"/>
    <w:rsid w:val="350E58F0"/>
    <w:rsid w:val="351112A6"/>
    <w:rsid w:val="352E7D40"/>
    <w:rsid w:val="35426A60"/>
    <w:rsid w:val="35586B6B"/>
    <w:rsid w:val="355C3798"/>
    <w:rsid w:val="355E7319"/>
    <w:rsid w:val="35690D78"/>
    <w:rsid w:val="358D36CE"/>
    <w:rsid w:val="3598340C"/>
    <w:rsid w:val="35A10512"/>
    <w:rsid w:val="35CE6E2D"/>
    <w:rsid w:val="35DB7EC8"/>
    <w:rsid w:val="35EE2046"/>
    <w:rsid w:val="35F41640"/>
    <w:rsid w:val="35FC5E78"/>
    <w:rsid w:val="36172963"/>
    <w:rsid w:val="361A6E50"/>
    <w:rsid w:val="362A0508"/>
    <w:rsid w:val="363967AA"/>
    <w:rsid w:val="36415851"/>
    <w:rsid w:val="36460158"/>
    <w:rsid w:val="36603F29"/>
    <w:rsid w:val="36745C27"/>
    <w:rsid w:val="36851BE2"/>
    <w:rsid w:val="368A0116"/>
    <w:rsid w:val="368E4F3A"/>
    <w:rsid w:val="369116D0"/>
    <w:rsid w:val="36941E25"/>
    <w:rsid w:val="36965B9D"/>
    <w:rsid w:val="369F7E9A"/>
    <w:rsid w:val="36A4475E"/>
    <w:rsid w:val="36A4650C"/>
    <w:rsid w:val="36AB44F2"/>
    <w:rsid w:val="36B64491"/>
    <w:rsid w:val="36CC15BF"/>
    <w:rsid w:val="36E763F9"/>
    <w:rsid w:val="36EF34FF"/>
    <w:rsid w:val="36F11025"/>
    <w:rsid w:val="370C4F32"/>
    <w:rsid w:val="370E607B"/>
    <w:rsid w:val="372907BF"/>
    <w:rsid w:val="37294C63"/>
    <w:rsid w:val="37353608"/>
    <w:rsid w:val="3748158D"/>
    <w:rsid w:val="374D6BA3"/>
    <w:rsid w:val="37500442"/>
    <w:rsid w:val="375A6BCB"/>
    <w:rsid w:val="376B702A"/>
    <w:rsid w:val="377A726D"/>
    <w:rsid w:val="377E4FAF"/>
    <w:rsid w:val="37971BCD"/>
    <w:rsid w:val="37A75B88"/>
    <w:rsid w:val="37BA3B0D"/>
    <w:rsid w:val="37D921E5"/>
    <w:rsid w:val="37DF5322"/>
    <w:rsid w:val="37E9094A"/>
    <w:rsid w:val="37F51788"/>
    <w:rsid w:val="37F92887"/>
    <w:rsid w:val="37FA1A90"/>
    <w:rsid w:val="37FC2378"/>
    <w:rsid w:val="380C2A2C"/>
    <w:rsid w:val="3810706C"/>
    <w:rsid w:val="3837515E"/>
    <w:rsid w:val="384B3FA8"/>
    <w:rsid w:val="3854528C"/>
    <w:rsid w:val="38547ABE"/>
    <w:rsid w:val="38565141"/>
    <w:rsid w:val="3856675E"/>
    <w:rsid w:val="38A02D03"/>
    <w:rsid w:val="38AC78FA"/>
    <w:rsid w:val="38B41380"/>
    <w:rsid w:val="38B7004D"/>
    <w:rsid w:val="38B95B73"/>
    <w:rsid w:val="38C22C79"/>
    <w:rsid w:val="38C77A8E"/>
    <w:rsid w:val="38C962D6"/>
    <w:rsid w:val="38CC7F9C"/>
    <w:rsid w:val="38CF183A"/>
    <w:rsid w:val="38E30E42"/>
    <w:rsid w:val="38E57239"/>
    <w:rsid w:val="38EF5A38"/>
    <w:rsid w:val="38F31085"/>
    <w:rsid w:val="39036257"/>
    <w:rsid w:val="390F1199"/>
    <w:rsid w:val="390F2645"/>
    <w:rsid w:val="391F00CC"/>
    <w:rsid w:val="39367F12"/>
    <w:rsid w:val="393D0552"/>
    <w:rsid w:val="394538AA"/>
    <w:rsid w:val="394D5E49"/>
    <w:rsid w:val="39553AED"/>
    <w:rsid w:val="398F2E12"/>
    <w:rsid w:val="399531A9"/>
    <w:rsid w:val="39993E51"/>
    <w:rsid w:val="399D7242"/>
    <w:rsid w:val="39A10631"/>
    <w:rsid w:val="39AD02F7"/>
    <w:rsid w:val="39B5458C"/>
    <w:rsid w:val="39B60304"/>
    <w:rsid w:val="39DA2245"/>
    <w:rsid w:val="39DA3FF3"/>
    <w:rsid w:val="39DF3CFF"/>
    <w:rsid w:val="39E81075"/>
    <w:rsid w:val="39E9692C"/>
    <w:rsid w:val="39EB5714"/>
    <w:rsid w:val="39F71049"/>
    <w:rsid w:val="39F96B6F"/>
    <w:rsid w:val="3A013C75"/>
    <w:rsid w:val="3A0472C2"/>
    <w:rsid w:val="3A073743"/>
    <w:rsid w:val="3A10210A"/>
    <w:rsid w:val="3A1219DE"/>
    <w:rsid w:val="3A12378C"/>
    <w:rsid w:val="3A2B6F44"/>
    <w:rsid w:val="3A361B71"/>
    <w:rsid w:val="3A3E4582"/>
    <w:rsid w:val="3A456E52"/>
    <w:rsid w:val="3A5A5133"/>
    <w:rsid w:val="3A631110"/>
    <w:rsid w:val="3A704D37"/>
    <w:rsid w:val="3A830B2E"/>
    <w:rsid w:val="3A8B1822"/>
    <w:rsid w:val="3ABA2F86"/>
    <w:rsid w:val="3ABE56C2"/>
    <w:rsid w:val="3AC70A1B"/>
    <w:rsid w:val="3ADE123E"/>
    <w:rsid w:val="3AE72E6B"/>
    <w:rsid w:val="3AEA64B7"/>
    <w:rsid w:val="3AF92B9E"/>
    <w:rsid w:val="3AFA0DF0"/>
    <w:rsid w:val="3B003F2D"/>
    <w:rsid w:val="3B097226"/>
    <w:rsid w:val="3B111C96"/>
    <w:rsid w:val="3B194FEF"/>
    <w:rsid w:val="3B236ECD"/>
    <w:rsid w:val="3B295232"/>
    <w:rsid w:val="3B441832"/>
    <w:rsid w:val="3B497682"/>
    <w:rsid w:val="3B5F6EA5"/>
    <w:rsid w:val="3B6E533A"/>
    <w:rsid w:val="3B6E70E8"/>
    <w:rsid w:val="3B765F9D"/>
    <w:rsid w:val="3B7F30A4"/>
    <w:rsid w:val="3B8561E0"/>
    <w:rsid w:val="3B8B1A48"/>
    <w:rsid w:val="3B903503"/>
    <w:rsid w:val="3B9C1EA7"/>
    <w:rsid w:val="3BB07701"/>
    <w:rsid w:val="3BB2349B"/>
    <w:rsid w:val="3BB54D17"/>
    <w:rsid w:val="3BBF7944"/>
    <w:rsid w:val="3BC1190E"/>
    <w:rsid w:val="3BC61B14"/>
    <w:rsid w:val="3BC82C9D"/>
    <w:rsid w:val="3BC9431F"/>
    <w:rsid w:val="3BE13D5E"/>
    <w:rsid w:val="3BE92C13"/>
    <w:rsid w:val="3BF375EE"/>
    <w:rsid w:val="3C0D4B53"/>
    <w:rsid w:val="3C0E2679"/>
    <w:rsid w:val="3C1C6307"/>
    <w:rsid w:val="3C2105FF"/>
    <w:rsid w:val="3C2D2B00"/>
    <w:rsid w:val="3C372D23"/>
    <w:rsid w:val="3C3C0E3B"/>
    <w:rsid w:val="3C447E49"/>
    <w:rsid w:val="3C494757"/>
    <w:rsid w:val="3C4B11D8"/>
    <w:rsid w:val="3C4B380F"/>
    <w:rsid w:val="3C4F6F1A"/>
    <w:rsid w:val="3C5A766D"/>
    <w:rsid w:val="3C6E15B8"/>
    <w:rsid w:val="3C720E5A"/>
    <w:rsid w:val="3C8B3CCA"/>
    <w:rsid w:val="3CA408E8"/>
    <w:rsid w:val="3CA52FDE"/>
    <w:rsid w:val="3CB94393"/>
    <w:rsid w:val="3CC14C1F"/>
    <w:rsid w:val="3CD0758C"/>
    <w:rsid w:val="3CDD2778"/>
    <w:rsid w:val="3CE358B4"/>
    <w:rsid w:val="3CE5162C"/>
    <w:rsid w:val="3CE55188"/>
    <w:rsid w:val="3CF56BC9"/>
    <w:rsid w:val="3D0A4BEF"/>
    <w:rsid w:val="3D0E2E48"/>
    <w:rsid w:val="3D1A3FD6"/>
    <w:rsid w:val="3D1D0DC6"/>
    <w:rsid w:val="3D1F37E4"/>
    <w:rsid w:val="3D211F38"/>
    <w:rsid w:val="3D235CB1"/>
    <w:rsid w:val="3D2362EC"/>
    <w:rsid w:val="3D2739F3"/>
    <w:rsid w:val="3D346110"/>
    <w:rsid w:val="3D37175C"/>
    <w:rsid w:val="3D491BBB"/>
    <w:rsid w:val="3D495FCD"/>
    <w:rsid w:val="3D4F2F4A"/>
    <w:rsid w:val="3D762284"/>
    <w:rsid w:val="3D7E1B4A"/>
    <w:rsid w:val="3D826E7B"/>
    <w:rsid w:val="3D864BBD"/>
    <w:rsid w:val="3DDB0CD9"/>
    <w:rsid w:val="3DDD67A7"/>
    <w:rsid w:val="3DDE0AF1"/>
    <w:rsid w:val="3DE23DBE"/>
    <w:rsid w:val="3DE90CA8"/>
    <w:rsid w:val="3E016A21"/>
    <w:rsid w:val="3E027EEC"/>
    <w:rsid w:val="3E133F77"/>
    <w:rsid w:val="3E157CEF"/>
    <w:rsid w:val="3E444130"/>
    <w:rsid w:val="3E667746"/>
    <w:rsid w:val="3E815385"/>
    <w:rsid w:val="3E885B96"/>
    <w:rsid w:val="3E8F1850"/>
    <w:rsid w:val="3E952BDE"/>
    <w:rsid w:val="3EB3242B"/>
    <w:rsid w:val="3EB43064"/>
    <w:rsid w:val="3EB92D70"/>
    <w:rsid w:val="3EBC22FE"/>
    <w:rsid w:val="3ECD4126"/>
    <w:rsid w:val="3EF1250A"/>
    <w:rsid w:val="3EF67B21"/>
    <w:rsid w:val="3EF773F5"/>
    <w:rsid w:val="3F163D1F"/>
    <w:rsid w:val="3F450160"/>
    <w:rsid w:val="3F473ED8"/>
    <w:rsid w:val="3F4C14EF"/>
    <w:rsid w:val="3F4D019D"/>
    <w:rsid w:val="3F5860E5"/>
    <w:rsid w:val="3F591E5E"/>
    <w:rsid w:val="3F5C459C"/>
    <w:rsid w:val="3F760C61"/>
    <w:rsid w:val="3F8213B4"/>
    <w:rsid w:val="3F827606"/>
    <w:rsid w:val="3F870779"/>
    <w:rsid w:val="3F890995"/>
    <w:rsid w:val="3F8A2017"/>
    <w:rsid w:val="3F917849"/>
    <w:rsid w:val="3F9B0612"/>
    <w:rsid w:val="3F9C1FCD"/>
    <w:rsid w:val="3F9D1D4A"/>
    <w:rsid w:val="3FA241A2"/>
    <w:rsid w:val="3FAA4467"/>
    <w:rsid w:val="3FAC01DF"/>
    <w:rsid w:val="3FC10E0A"/>
    <w:rsid w:val="3FD85478"/>
    <w:rsid w:val="3FE536F1"/>
    <w:rsid w:val="3FE77469"/>
    <w:rsid w:val="3FE94F8F"/>
    <w:rsid w:val="3FF81676"/>
    <w:rsid w:val="3FFC1167"/>
    <w:rsid w:val="400B384D"/>
    <w:rsid w:val="4013200C"/>
    <w:rsid w:val="40215D3E"/>
    <w:rsid w:val="403A57EB"/>
    <w:rsid w:val="404843AC"/>
    <w:rsid w:val="40493C80"/>
    <w:rsid w:val="404B3E9C"/>
    <w:rsid w:val="4061546E"/>
    <w:rsid w:val="40664832"/>
    <w:rsid w:val="40774C91"/>
    <w:rsid w:val="40786313"/>
    <w:rsid w:val="4079067E"/>
    <w:rsid w:val="408E5B37"/>
    <w:rsid w:val="4093139F"/>
    <w:rsid w:val="409343AF"/>
    <w:rsid w:val="409E3FCC"/>
    <w:rsid w:val="40C44A5B"/>
    <w:rsid w:val="40D75730"/>
    <w:rsid w:val="40E63BC5"/>
    <w:rsid w:val="40EB4D37"/>
    <w:rsid w:val="40EC14AB"/>
    <w:rsid w:val="40F30D18"/>
    <w:rsid w:val="40FA4F7A"/>
    <w:rsid w:val="410D2F00"/>
    <w:rsid w:val="410D73A4"/>
    <w:rsid w:val="413C37E5"/>
    <w:rsid w:val="415648A7"/>
    <w:rsid w:val="415A71E1"/>
    <w:rsid w:val="41630D72"/>
    <w:rsid w:val="41662610"/>
    <w:rsid w:val="418807D8"/>
    <w:rsid w:val="418F600A"/>
    <w:rsid w:val="419B675D"/>
    <w:rsid w:val="41AA69A0"/>
    <w:rsid w:val="41AF0084"/>
    <w:rsid w:val="41B15F81"/>
    <w:rsid w:val="41C31810"/>
    <w:rsid w:val="41C55588"/>
    <w:rsid w:val="41DC7318"/>
    <w:rsid w:val="41DF2AEE"/>
    <w:rsid w:val="41E225DE"/>
    <w:rsid w:val="41F36599"/>
    <w:rsid w:val="41F8595E"/>
    <w:rsid w:val="42100EF9"/>
    <w:rsid w:val="4214206C"/>
    <w:rsid w:val="42454372"/>
    <w:rsid w:val="426179A2"/>
    <w:rsid w:val="427174BE"/>
    <w:rsid w:val="42786A9F"/>
    <w:rsid w:val="428B67D2"/>
    <w:rsid w:val="428E0070"/>
    <w:rsid w:val="4294310E"/>
    <w:rsid w:val="42943344"/>
    <w:rsid w:val="42975177"/>
    <w:rsid w:val="429A07C3"/>
    <w:rsid w:val="42C615B8"/>
    <w:rsid w:val="42D77C69"/>
    <w:rsid w:val="42DC0DDB"/>
    <w:rsid w:val="42DE0FF8"/>
    <w:rsid w:val="42E56A55"/>
    <w:rsid w:val="42F223AD"/>
    <w:rsid w:val="42FC322C"/>
    <w:rsid w:val="43193DDE"/>
    <w:rsid w:val="431C38CE"/>
    <w:rsid w:val="43372938"/>
    <w:rsid w:val="43484F88"/>
    <w:rsid w:val="434A1275"/>
    <w:rsid w:val="4357300A"/>
    <w:rsid w:val="435C1F1C"/>
    <w:rsid w:val="4387343D"/>
    <w:rsid w:val="43972F54"/>
    <w:rsid w:val="439E42E3"/>
    <w:rsid w:val="43A124B3"/>
    <w:rsid w:val="43B65AD0"/>
    <w:rsid w:val="43BB4E95"/>
    <w:rsid w:val="43BD3748"/>
    <w:rsid w:val="43C55D14"/>
    <w:rsid w:val="43D85A47"/>
    <w:rsid w:val="43E837B0"/>
    <w:rsid w:val="43E97C54"/>
    <w:rsid w:val="43EE7018"/>
    <w:rsid w:val="43F11473"/>
    <w:rsid w:val="43F839F3"/>
    <w:rsid w:val="44022AC4"/>
    <w:rsid w:val="44024872"/>
    <w:rsid w:val="44044A8E"/>
    <w:rsid w:val="44184095"/>
    <w:rsid w:val="44236B1E"/>
    <w:rsid w:val="4436254A"/>
    <w:rsid w:val="444158E6"/>
    <w:rsid w:val="44564BBE"/>
    <w:rsid w:val="44641089"/>
    <w:rsid w:val="446948F1"/>
    <w:rsid w:val="446D4A83"/>
    <w:rsid w:val="446F3961"/>
    <w:rsid w:val="4473751E"/>
    <w:rsid w:val="44801C3A"/>
    <w:rsid w:val="44823C05"/>
    <w:rsid w:val="44B95F17"/>
    <w:rsid w:val="44C11AA6"/>
    <w:rsid w:val="44C75831"/>
    <w:rsid w:val="44CD7477"/>
    <w:rsid w:val="44D04970"/>
    <w:rsid w:val="44D22496"/>
    <w:rsid w:val="44D426B2"/>
    <w:rsid w:val="44DF4BB3"/>
    <w:rsid w:val="44E346A3"/>
    <w:rsid w:val="44EB3558"/>
    <w:rsid w:val="44F3240C"/>
    <w:rsid w:val="450048CC"/>
    <w:rsid w:val="4504461A"/>
    <w:rsid w:val="45120AE5"/>
    <w:rsid w:val="451A208F"/>
    <w:rsid w:val="452457E1"/>
    <w:rsid w:val="45350C77"/>
    <w:rsid w:val="453A628D"/>
    <w:rsid w:val="45415D40"/>
    <w:rsid w:val="45435142"/>
    <w:rsid w:val="45451DF1"/>
    <w:rsid w:val="454A4722"/>
    <w:rsid w:val="454B2248"/>
    <w:rsid w:val="45513D03"/>
    <w:rsid w:val="4554734F"/>
    <w:rsid w:val="45570447"/>
    <w:rsid w:val="45723C79"/>
    <w:rsid w:val="4582210E"/>
    <w:rsid w:val="45967968"/>
    <w:rsid w:val="459B31D0"/>
    <w:rsid w:val="45B46417"/>
    <w:rsid w:val="45B86522"/>
    <w:rsid w:val="45D10865"/>
    <w:rsid w:val="45DB537A"/>
    <w:rsid w:val="45DE4E6B"/>
    <w:rsid w:val="45E614CC"/>
    <w:rsid w:val="45F43872"/>
    <w:rsid w:val="46113492"/>
    <w:rsid w:val="461B3AA5"/>
    <w:rsid w:val="462C5BD6"/>
    <w:rsid w:val="462E5DF2"/>
    <w:rsid w:val="462E5E6E"/>
    <w:rsid w:val="464508D5"/>
    <w:rsid w:val="464C0026"/>
    <w:rsid w:val="464E30C8"/>
    <w:rsid w:val="465A6BE7"/>
    <w:rsid w:val="465B470D"/>
    <w:rsid w:val="46655038"/>
    <w:rsid w:val="466C06C8"/>
    <w:rsid w:val="46843C64"/>
    <w:rsid w:val="46850285"/>
    <w:rsid w:val="46955E71"/>
    <w:rsid w:val="469F45FA"/>
    <w:rsid w:val="46A240EA"/>
    <w:rsid w:val="46A460B4"/>
    <w:rsid w:val="46AF05B5"/>
    <w:rsid w:val="46C94CDE"/>
    <w:rsid w:val="46D30747"/>
    <w:rsid w:val="46E14C12"/>
    <w:rsid w:val="46E9464B"/>
    <w:rsid w:val="4706474A"/>
    <w:rsid w:val="470703F1"/>
    <w:rsid w:val="470D3C59"/>
    <w:rsid w:val="471B28B4"/>
    <w:rsid w:val="471C3E9C"/>
    <w:rsid w:val="473B0E1B"/>
    <w:rsid w:val="473F27FF"/>
    <w:rsid w:val="47421F93"/>
    <w:rsid w:val="475E1C43"/>
    <w:rsid w:val="476017C6"/>
    <w:rsid w:val="47727F60"/>
    <w:rsid w:val="47745A86"/>
    <w:rsid w:val="47811F51"/>
    <w:rsid w:val="47841A42"/>
    <w:rsid w:val="47863A0C"/>
    <w:rsid w:val="478D08F6"/>
    <w:rsid w:val="478E2D76"/>
    <w:rsid w:val="47916CB1"/>
    <w:rsid w:val="479C4FDD"/>
    <w:rsid w:val="47A65E5C"/>
    <w:rsid w:val="47C167F2"/>
    <w:rsid w:val="47CA1B4A"/>
    <w:rsid w:val="47CB141F"/>
    <w:rsid w:val="47D50693"/>
    <w:rsid w:val="47E67FE2"/>
    <w:rsid w:val="47F0014A"/>
    <w:rsid w:val="47F60B91"/>
    <w:rsid w:val="48117779"/>
    <w:rsid w:val="481903DC"/>
    <w:rsid w:val="48382F58"/>
    <w:rsid w:val="486F26F2"/>
    <w:rsid w:val="48740AF8"/>
    <w:rsid w:val="487B247F"/>
    <w:rsid w:val="488E0DCA"/>
    <w:rsid w:val="48934632"/>
    <w:rsid w:val="48B56357"/>
    <w:rsid w:val="48B955C2"/>
    <w:rsid w:val="48B9571B"/>
    <w:rsid w:val="48BA396D"/>
    <w:rsid w:val="48BB76E5"/>
    <w:rsid w:val="48BF488B"/>
    <w:rsid w:val="48BF5427"/>
    <w:rsid w:val="48C657AA"/>
    <w:rsid w:val="48D507A7"/>
    <w:rsid w:val="48F30C2D"/>
    <w:rsid w:val="490177EE"/>
    <w:rsid w:val="490D6193"/>
    <w:rsid w:val="491F7C74"/>
    <w:rsid w:val="492B090F"/>
    <w:rsid w:val="492D6240"/>
    <w:rsid w:val="49382AE4"/>
    <w:rsid w:val="49417BEA"/>
    <w:rsid w:val="494852C1"/>
    <w:rsid w:val="494E0559"/>
    <w:rsid w:val="495C2C76"/>
    <w:rsid w:val="4968786D"/>
    <w:rsid w:val="496A7A12"/>
    <w:rsid w:val="496F0BFB"/>
    <w:rsid w:val="497F6AAF"/>
    <w:rsid w:val="49843F7B"/>
    <w:rsid w:val="498E0956"/>
    <w:rsid w:val="49911DC2"/>
    <w:rsid w:val="499659CF"/>
    <w:rsid w:val="499A718B"/>
    <w:rsid w:val="49B02012"/>
    <w:rsid w:val="49B52386"/>
    <w:rsid w:val="49C202E7"/>
    <w:rsid w:val="49C51095"/>
    <w:rsid w:val="49CE6DA1"/>
    <w:rsid w:val="49EC3FFA"/>
    <w:rsid w:val="49F72751"/>
    <w:rsid w:val="49FC225B"/>
    <w:rsid w:val="4A1E3C56"/>
    <w:rsid w:val="4A1E617D"/>
    <w:rsid w:val="4A2D016F"/>
    <w:rsid w:val="4A325785"/>
    <w:rsid w:val="4A4200BE"/>
    <w:rsid w:val="4A421E6C"/>
    <w:rsid w:val="4A48505D"/>
    <w:rsid w:val="4A704B0B"/>
    <w:rsid w:val="4A724E87"/>
    <w:rsid w:val="4A730023"/>
    <w:rsid w:val="4A744C91"/>
    <w:rsid w:val="4A7B537E"/>
    <w:rsid w:val="4A876DA6"/>
    <w:rsid w:val="4A8833F8"/>
    <w:rsid w:val="4A8A619F"/>
    <w:rsid w:val="4A8F7A4B"/>
    <w:rsid w:val="4AA2290B"/>
    <w:rsid w:val="4ABB1C1E"/>
    <w:rsid w:val="4AC05487"/>
    <w:rsid w:val="4AD46AF0"/>
    <w:rsid w:val="4ADF61DE"/>
    <w:rsid w:val="4ADF76BB"/>
    <w:rsid w:val="4B0071C8"/>
    <w:rsid w:val="4B0E61F2"/>
    <w:rsid w:val="4B0E78FD"/>
    <w:rsid w:val="4B125FF6"/>
    <w:rsid w:val="4B1B110F"/>
    <w:rsid w:val="4B3F45FD"/>
    <w:rsid w:val="4B4614E8"/>
    <w:rsid w:val="4B6978CC"/>
    <w:rsid w:val="4B6C4CC7"/>
    <w:rsid w:val="4B72052F"/>
    <w:rsid w:val="4B7D0C82"/>
    <w:rsid w:val="4B8244EA"/>
    <w:rsid w:val="4B8B339F"/>
    <w:rsid w:val="4B8F7333"/>
    <w:rsid w:val="4B92472D"/>
    <w:rsid w:val="4B9D30D2"/>
    <w:rsid w:val="4B9E696B"/>
    <w:rsid w:val="4BA17066"/>
    <w:rsid w:val="4BB072A9"/>
    <w:rsid w:val="4BCF3098"/>
    <w:rsid w:val="4BDA7172"/>
    <w:rsid w:val="4BF40E3E"/>
    <w:rsid w:val="4BF51916"/>
    <w:rsid w:val="4C0575F5"/>
    <w:rsid w:val="4C2B503E"/>
    <w:rsid w:val="4C312198"/>
    <w:rsid w:val="4C3253A4"/>
    <w:rsid w:val="4C3677AE"/>
    <w:rsid w:val="4C3752D5"/>
    <w:rsid w:val="4C40062D"/>
    <w:rsid w:val="4C481290"/>
    <w:rsid w:val="4C4D4AF8"/>
    <w:rsid w:val="4C651E42"/>
    <w:rsid w:val="4C6A7509"/>
    <w:rsid w:val="4C735D9E"/>
    <w:rsid w:val="4C765DFD"/>
    <w:rsid w:val="4C787DC7"/>
    <w:rsid w:val="4C7B10AA"/>
    <w:rsid w:val="4C8229F4"/>
    <w:rsid w:val="4C8C3872"/>
    <w:rsid w:val="4C987D10"/>
    <w:rsid w:val="4CA94424"/>
    <w:rsid w:val="4CAA3CF8"/>
    <w:rsid w:val="4CBE77A4"/>
    <w:rsid w:val="4CD62D3F"/>
    <w:rsid w:val="4CE0771A"/>
    <w:rsid w:val="4D057181"/>
    <w:rsid w:val="4D096C71"/>
    <w:rsid w:val="4D331F40"/>
    <w:rsid w:val="4D3B0DF4"/>
    <w:rsid w:val="4D534390"/>
    <w:rsid w:val="4D61085B"/>
    <w:rsid w:val="4D64659D"/>
    <w:rsid w:val="4D697710"/>
    <w:rsid w:val="4D7762D0"/>
    <w:rsid w:val="4D7F6F33"/>
    <w:rsid w:val="4D9549A9"/>
    <w:rsid w:val="4D9D16E6"/>
    <w:rsid w:val="4DA76875"/>
    <w:rsid w:val="4DB017E2"/>
    <w:rsid w:val="4DB82445"/>
    <w:rsid w:val="4DC06AF2"/>
    <w:rsid w:val="4DC219A6"/>
    <w:rsid w:val="4DC25072"/>
    <w:rsid w:val="4DC96400"/>
    <w:rsid w:val="4DD70B1D"/>
    <w:rsid w:val="4DD76D6F"/>
    <w:rsid w:val="4DDC25D7"/>
    <w:rsid w:val="4DDC4D2C"/>
    <w:rsid w:val="4DEB281B"/>
    <w:rsid w:val="4DF53699"/>
    <w:rsid w:val="4E0D453F"/>
    <w:rsid w:val="4E10402F"/>
    <w:rsid w:val="4E121B55"/>
    <w:rsid w:val="4E1E176D"/>
    <w:rsid w:val="4E2B2C17"/>
    <w:rsid w:val="4E2D698F"/>
    <w:rsid w:val="4E33765E"/>
    <w:rsid w:val="4E505C68"/>
    <w:rsid w:val="4E573A0C"/>
    <w:rsid w:val="4E5C1022"/>
    <w:rsid w:val="4E5E7119"/>
    <w:rsid w:val="4E613302"/>
    <w:rsid w:val="4E6B6980"/>
    <w:rsid w:val="4E760336"/>
    <w:rsid w:val="4E825634"/>
    <w:rsid w:val="4EA824BA"/>
    <w:rsid w:val="4EAC01FC"/>
    <w:rsid w:val="4EB250E6"/>
    <w:rsid w:val="4EB33338"/>
    <w:rsid w:val="4EB946C7"/>
    <w:rsid w:val="4EBE1CDD"/>
    <w:rsid w:val="4EC05A55"/>
    <w:rsid w:val="4EC1342D"/>
    <w:rsid w:val="4ECA0682"/>
    <w:rsid w:val="4ECD0674"/>
    <w:rsid w:val="4ECE1F10"/>
    <w:rsid w:val="4ED60DD5"/>
    <w:rsid w:val="4EE554BC"/>
    <w:rsid w:val="4EE74D90"/>
    <w:rsid w:val="4EEF633A"/>
    <w:rsid w:val="4EF179BD"/>
    <w:rsid w:val="4EFE6F6C"/>
    <w:rsid w:val="4F016F2F"/>
    <w:rsid w:val="4F0C0A36"/>
    <w:rsid w:val="4F134939"/>
    <w:rsid w:val="4F1D6A04"/>
    <w:rsid w:val="4F2935FA"/>
    <w:rsid w:val="4F2A7373"/>
    <w:rsid w:val="4F42646A"/>
    <w:rsid w:val="4F437111"/>
    <w:rsid w:val="4F495A4B"/>
    <w:rsid w:val="4F587A3C"/>
    <w:rsid w:val="4F751524"/>
    <w:rsid w:val="4F7A3E56"/>
    <w:rsid w:val="4F8545A9"/>
    <w:rsid w:val="4F8C3B89"/>
    <w:rsid w:val="4F9547EC"/>
    <w:rsid w:val="4FCC21D8"/>
    <w:rsid w:val="4FDD6193"/>
    <w:rsid w:val="4FE6773D"/>
    <w:rsid w:val="4FEB6B02"/>
    <w:rsid w:val="4FEE65F2"/>
    <w:rsid w:val="4FF27E90"/>
    <w:rsid w:val="50106568"/>
    <w:rsid w:val="501222E0"/>
    <w:rsid w:val="501F0559"/>
    <w:rsid w:val="5023629C"/>
    <w:rsid w:val="50394C31"/>
    <w:rsid w:val="503A5393"/>
    <w:rsid w:val="5043249A"/>
    <w:rsid w:val="504D50C7"/>
    <w:rsid w:val="505521CD"/>
    <w:rsid w:val="5060304C"/>
    <w:rsid w:val="50680152"/>
    <w:rsid w:val="506A211C"/>
    <w:rsid w:val="507C3BFE"/>
    <w:rsid w:val="50827466"/>
    <w:rsid w:val="5085479A"/>
    <w:rsid w:val="50AC49D2"/>
    <w:rsid w:val="50C25AB5"/>
    <w:rsid w:val="50CC248F"/>
    <w:rsid w:val="50D21A70"/>
    <w:rsid w:val="50D37CC2"/>
    <w:rsid w:val="50D457E8"/>
    <w:rsid w:val="50F6750C"/>
    <w:rsid w:val="50FB4B23"/>
    <w:rsid w:val="51121E6C"/>
    <w:rsid w:val="51160A34"/>
    <w:rsid w:val="51163F32"/>
    <w:rsid w:val="51183927"/>
    <w:rsid w:val="51226553"/>
    <w:rsid w:val="51453FF0"/>
    <w:rsid w:val="515D3A2F"/>
    <w:rsid w:val="516C77CE"/>
    <w:rsid w:val="5170282E"/>
    <w:rsid w:val="519A433C"/>
    <w:rsid w:val="519B0C10"/>
    <w:rsid w:val="51AE366B"/>
    <w:rsid w:val="51C969CF"/>
    <w:rsid w:val="51D71830"/>
    <w:rsid w:val="51DF0427"/>
    <w:rsid w:val="51E23F34"/>
    <w:rsid w:val="51F07B84"/>
    <w:rsid w:val="51F83758"/>
    <w:rsid w:val="520B3E30"/>
    <w:rsid w:val="520E5B76"/>
    <w:rsid w:val="52181704"/>
    <w:rsid w:val="52232583"/>
    <w:rsid w:val="524234CE"/>
    <w:rsid w:val="5246001F"/>
    <w:rsid w:val="5253273C"/>
    <w:rsid w:val="527B5539"/>
    <w:rsid w:val="528C10A0"/>
    <w:rsid w:val="52972F71"/>
    <w:rsid w:val="52B0193D"/>
    <w:rsid w:val="52BC29D7"/>
    <w:rsid w:val="52C8312A"/>
    <w:rsid w:val="52D90E94"/>
    <w:rsid w:val="52DD4E28"/>
    <w:rsid w:val="52E361B6"/>
    <w:rsid w:val="52E77A54"/>
    <w:rsid w:val="52FB52AE"/>
    <w:rsid w:val="52FB705C"/>
    <w:rsid w:val="52FC4B82"/>
    <w:rsid w:val="53181F32"/>
    <w:rsid w:val="53210278"/>
    <w:rsid w:val="53227B62"/>
    <w:rsid w:val="532E2213"/>
    <w:rsid w:val="53301F7C"/>
    <w:rsid w:val="533026AA"/>
    <w:rsid w:val="533E2F7F"/>
    <w:rsid w:val="533E555E"/>
    <w:rsid w:val="534A6EC5"/>
    <w:rsid w:val="534B31D2"/>
    <w:rsid w:val="534D3630"/>
    <w:rsid w:val="535C60FE"/>
    <w:rsid w:val="536B7B95"/>
    <w:rsid w:val="53807561"/>
    <w:rsid w:val="538708F0"/>
    <w:rsid w:val="538E7D0E"/>
    <w:rsid w:val="53A56FC8"/>
    <w:rsid w:val="53A771E4"/>
    <w:rsid w:val="53AC6F02"/>
    <w:rsid w:val="53B4545D"/>
    <w:rsid w:val="53B8319F"/>
    <w:rsid w:val="53C03E02"/>
    <w:rsid w:val="53C658BC"/>
    <w:rsid w:val="53DF24DA"/>
    <w:rsid w:val="53EE4E13"/>
    <w:rsid w:val="53F65A75"/>
    <w:rsid w:val="53FB308C"/>
    <w:rsid w:val="5402441A"/>
    <w:rsid w:val="54204352"/>
    <w:rsid w:val="542F214A"/>
    <w:rsid w:val="54302D35"/>
    <w:rsid w:val="54316AAD"/>
    <w:rsid w:val="543A3BB4"/>
    <w:rsid w:val="54640C31"/>
    <w:rsid w:val="546D5D37"/>
    <w:rsid w:val="546E1AAF"/>
    <w:rsid w:val="547C2BFD"/>
    <w:rsid w:val="547F3CBD"/>
    <w:rsid w:val="54994D7E"/>
    <w:rsid w:val="549E786E"/>
    <w:rsid w:val="54AB6860"/>
    <w:rsid w:val="54BB2F47"/>
    <w:rsid w:val="54BE216E"/>
    <w:rsid w:val="54BF40B9"/>
    <w:rsid w:val="54D15BFA"/>
    <w:rsid w:val="54D45DB6"/>
    <w:rsid w:val="55020B76"/>
    <w:rsid w:val="550F3292"/>
    <w:rsid w:val="5512615B"/>
    <w:rsid w:val="551B6940"/>
    <w:rsid w:val="55236D3E"/>
    <w:rsid w:val="552A3C28"/>
    <w:rsid w:val="554A42CB"/>
    <w:rsid w:val="55563AD1"/>
    <w:rsid w:val="55581E8F"/>
    <w:rsid w:val="555F460E"/>
    <w:rsid w:val="556B5B8F"/>
    <w:rsid w:val="55810352"/>
    <w:rsid w:val="558722C8"/>
    <w:rsid w:val="558F536E"/>
    <w:rsid w:val="55950837"/>
    <w:rsid w:val="55AB0F16"/>
    <w:rsid w:val="55C027DF"/>
    <w:rsid w:val="55C2628A"/>
    <w:rsid w:val="55CE2806"/>
    <w:rsid w:val="55D50038"/>
    <w:rsid w:val="55D63DB0"/>
    <w:rsid w:val="55DB3175"/>
    <w:rsid w:val="55E55DA1"/>
    <w:rsid w:val="55EE4C56"/>
    <w:rsid w:val="55F61D5C"/>
    <w:rsid w:val="56002BDB"/>
    <w:rsid w:val="56024BA5"/>
    <w:rsid w:val="560426CB"/>
    <w:rsid w:val="56222B52"/>
    <w:rsid w:val="562A1B91"/>
    <w:rsid w:val="562B5B9A"/>
    <w:rsid w:val="562C577E"/>
    <w:rsid w:val="5630526E"/>
    <w:rsid w:val="56331D5B"/>
    <w:rsid w:val="56356D29"/>
    <w:rsid w:val="5637484F"/>
    <w:rsid w:val="5640122A"/>
    <w:rsid w:val="56551179"/>
    <w:rsid w:val="56570A4D"/>
    <w:rsid w:val="5661367A"/>
    <w:rsid w:val="56847368"/>
    <w:rsid w:val="56902358"/>
    <w:rsid w:val="56904BDD"/>
    <w:rsid w:val="56AB6FEB"/>
    <w:rsid w:val="56AB7BA5"/>
    <w:rsid w:val="56AF3861"/>
    <w:rsid w:val="56B85264"/>
    <w:rsid w:val="56C46C9A"/>
    <w:rsid w:val="56CA56C3"/>
    <w:rsid w:val="56CF0F2B"/>
    <w:rsid w:val="56DC53F6"/>
    <w:rsid w:val="56F40992"/>
    <w:rsid w:val="57002AA1"/>
    <w:rsid w:val="5714693E"/>
    <w:rsid w:val="572A7F10"/>
    <w:rsid w:val="575C2093"/>
    <w:rsid w:val="57664784"/>
    <w:rsid w:val="5781726E"/>
    <w:rsid w:val="57822857"/>
    <w:rsid w:val="578D049F"/>
    <w:rsid w:val="57BE4AFC"/>
    <w:rsid w:val="57C06AC6"/>
    <w:rsid w:val="57CE11E3"/>
    <w:rsid w:val="57CF2865"/>
    <w:rsid w:val="57E07028"/>
    <w:rsid w:val="57EC78BB"/>
    <w:rsid w:val="57F549C2"/>
    <w:rsid w:val="58010F61"/>
    <w:rsid w:val="58033583"/>
    <w:rsid w:val="58184757"/>
    <w:rsid w:val="581A7F84"/>
    <w:rsid w:val="581B1F4E"/>
    <w:rsid w:val="582901C7"/>
    <w:rsid w:val="58403763"/>
    <w:rsid w:val="58434227"/>
    <w:rsid w:val="584C2108"/>
    <w:rsid w:val="58550FBC"/>
    <w:rsid w:val="585B234B"/>
    <w:rsid w:val="585D2567"/>
    <w:rsid w:val="5862192B"/>
    <w:rsid w:val="586C6306"/>
    <w:rsid w:val="58737694"/>
    <w:rsid w:val="587A159C"/>
    <w:rsid w:val="587B3EE6"/>
    <w:rsid w:val="587F072F"/>
    <w:rsid w:val="588E0972"/>
    <w:rsid w:val="58BA1767"/>
    <w:rsid w:val="58DC49CD"/>
    <w:rsid w:val="58DD31FA"/>
    <w:rsid w:val="59030A18"/>
    <w:rsid w:val="5915699E"/>
    <w:rsid w:val="591A469F"/>
    <w:rsid w:val="59215342"/>
    <w:rsid w:val="59264A99"/>
    <w:rsid w:val="592941F7"/>
    <w:rsid w:val="592A3C50"/>
    <w:rsid w:val="593B46DD"/>
    <w:rsid w:val="594026BD"/>
    <w:rsid w:val="594159E5"/>
    <w:rsid w:val="59460076"/>
    <w:rsid w:val="59484FC5"/>
    <w:rsid w:val="595042A3"/>
    <w:rsid w:val="59515D8A"/>
    <w:rsid w:val="595474C6"/>
    <w:rsid w:val="595C637A"/>
    <w:rsid w:val="5960477C"/>
    <w:rsid w:val="59682F71"/>
    <w:rsid w:val="596B66F6"/>
    <w:rsid w:val="596D2336"/>
    <w:rsid w:val="596F6178"/>
    <w:rsid w:val="5980650D"/>
    <w:rsid w:val="5991071A"/>
    <w:rsid w:val="59A5674B"/>
    <w:rsid w:val="59AC7302"/>
    <w:rsid w:val="59BB7545"/>
    <w:rsid w:val="59BD150F"/>
    <w:rsid w:val="59C53F20"/>
    <w:rsid w:val="59ED3476"/>
    <w:rsid w:val="5A151F73"/>
    <w:rsid w:val="5A1F56FD"/>
    <w:rsid w:val="5A492DA3"/>
    <w:rsid w:val="5A53777D"/>
    <w:rsid w:val="5A582FE6"/>
    <w:rsid w:val="5A601E9A"/>
    <w:rsid w:val="5A90452E"/>
    <w:rsid w:val="5AA77AC9"/>
    <w:rsid w:val="5AA91A93"/>
    <w:rsid w:val="5ABC3575"/>
    <w:rsid w:val="5ABC5332"/>
    <w:rsid w:val="5ABD109B"/>
    <w:rsid w:val="5ABE4B07"/>
    <w:rsid w:val="5AC266B1"/>
    <w:rsid w:val="5ACB37B8"/>
    <w:rsid w:val="5ACB7C5C"/>
    <w:rsid w:val="5AD77DB4"/>
    <w:rsid w:val="5AE44879"/>
    <w:rsid w:val="5AF50835"/>
    <w:rsid w:val="5AFA409D"/>
    <w:rsid w:val="5AFA5E4B"/>
    <w:rsid w:val="5B02690F"/>
    <w:rsid w:val="5B1769FD"/>
    <w:rsid w:val="5B2D6220"/>
    <w:rsid w:val="5B321A89"/>
    <w:rsid w:val="5B386973"/>
    <w:rsid w:val="5B4A6DD2"/>
    <w:rsid w:val="5B4B673D"/>
    <w:rsid w:val="5B4E6197"/>
    <w:rsid w:val="5B657EA9"/>
    <w:rsid w:val="5B751975"/>
    <w:rsid w:val="5B7B51DE"/>
    <w:rsid w:val="5B7F45A2"/>
    <w:rsid w:val="5B8147BE"/>
    <w:rsid w:val="5B920779"/>
    <w:rsid w:val="5B9401EF"/>
    <w:rsid w:val="5B9718EC"/>
    <w:rsid w:val="5BA555B3"/>
    <w:rsid w:val="5BA92B95"/>
    <w:rsid w:val="5BB47AC3"/>
    <w:rsid w:val="5BB623B4"/>
    <w:rsid w:val="5BB74B2C"/>
    <w:rsid w:val="5BC85F49"/>
    <w:rsid w:val="5BD41E6E"/>
    <w:rsid w:val="5BEA2363"/>
    <w:rsid w:val="5BEA5EBF"/>
    <w:rsid w:val="5BEF1728"/>
    <w:rsid w:val="5BF64864"/>
    <w:rsid w:val="5BFD3E45"/>
    <w:rsid w:val="5C171BF3"/>
    <w:rsid w:val="5C18110A"/>
    <w:rsid w:val="5C182A2D"/>
    <w:rsid w:val="5C225659"/>
    <w:rsid w:val="5C2869E8"/>
    <w:rsid w:val="5C2C2A22"/>
    <w:rsid w:val="5C2C64D8"/>
    <w:rsid w:val="5C381321"/>
    <w:rsid w:val="5C3A6E47"/>
    <w:rsid w:val="5C3B1922"/>
    <w:rsid w:val="5C5069F0"/>
    <w:rsid w:val="5C537F09"/>
    <w:rsid w:val="5C5477DD"/>
    <w:rsid w:val="5C5E2B95"/>
    <w:rsid w:val="5C7A1E91"/>
    <w:rsid w:val="5C8C6F77"/>
    <w:rsid w:val="5CA249EC"/>
    <w:rsid w:val="5CA40764"/>
    <w:rsid w:val="5CAB5170"/>
    <w:rsid w:val="5CBD5382"/>
    <w:rsid w:val="5CCA5724"/>
    <w:rsid w:val="5CE62B2B"/>
    <w:rsid w:val="5CE70651"/>
    <w:rsid w:val="5CEE5E83"/>
    <w:rsid w:val="5CF74EA3"/>
    <w:rsid w:val="5CFA4828"/>
    <w:rsid w:val="5CFD7E74"/>
    <w:rsid w:val="5D041203"/>
    <w:rsid w:val="5D290C69"/>
    <w:rsid w:val="5D292A17"/>
    <w:rsid w:val="5D554A6F"/>
    <w:rsid w:val="5D610403"/>
    <w:rsid w:val="5D6972B8"/>
    <w:rsid w:val="5D706822"/>
    <w:rsid w:val="5D786ECF"/>
    <w:rsid w:val="5D7F6ADB"/>
    <w:rsid w:val="5D854182"/>
    <w:rsid w:val="5D8B3C74"/>
    <w:rsid w:val="5DAD53F7"/>
    <w:rsid w:val="5DAF73C1"/>
    <w:rsid w:val="5DB42C29"/>
    <w:rsid w:val="5DB46DC9"/>
    <w:rsid w:val="5DB669A1"/>
    <w:rsid w:val="5DBD1FCA"/>
    <w:rsid w:val="5DC0337C"/>
    <w:rsid w:val="5DD40BD5"/>
    <w:rsid w:val="5DEF7705"/>
    <w:rsid w:val="5E084D23"/>
    <w:rsid w:val="5E092890"/>
    <w:rsid w:val="5E0F1C0D"/>
    <w:rsid w:val="5E192A8C"/>
    <w:rsid w:val="5E1C432A"/>
    <w:rsid w:val="5E257683"/>
    <w:rsid w:val="5E282CCF"/>
    <w:rsid w:val="5E3A2E3F"/>
    <w:rsid w:val="5E510478"/>
    <w:rsid w:val="5E524438"/>
    <w:rsid w:val="5E714676"/>
    <w:rsid w:val="5E8425FB"/>
    <w:rsid w:val="5E8C6F99"/>
    <w:rsid w:val="5E934044"/>
    <w:rsid w:val="5EAA0273"/>
    <w:rsid w:val="5EBA601D"/>
    <w:rsid w:val="5EC155FD"/>
    <w:rsid w:val="5ECF75EF"/>
    <w:rsid w:val="5ED54C05"/>
    <w:rsid w:val="5EDF5A84"/>
    <w:rsid w:val="5EF2352E"/>
    <w:rsid w:val="5EF43590"/>
    <w:rsid w:val="5EF57055"/>
    <w:rsid w:val="5EF763C6"/>
    <w:rsid w:val="5EFD0600"/>
    <w:rsid w:val="5F08322C"/>
    <w:rsid w:val="5F142564"/>
    <w:rsid w:val="5F2471FB"/>
    <w:rsid w:val="5F3B0C78"/>
    <w:rsid w:val="5F4D50E3"/>
    <w:rsid w:val="5F4E6765"/>
    <w:rsid w:val="5F5D7160"/>
    <w:rsid w:val="5F714A4F"/>
    <w:rsid w:val="5F7408C2"/>
    <w:rsid w:val="5F887EC9"/>
    <w:rsid w:val="5F893C41"/>
    <w:rsid w:val="5F8B79B9"/>
    <w:rsid w:val="5F97010C"/>
    <w:rsid w:val="5FB23198"/>
    <w:rsid w:val="5FB46F10"/>
    <w:rsid w:val="5FB90FB7"/>
    <w:rsid w:val="5FC30058"/>
    <w:rsid w:val="5FDE21DF"/>
    <w:rsid w:val="5FF27A39"/>
    <w:rsid w:val="5FF92203"/>
    <w:rsid w:val="5FFB0081"/>
    <w:rsid w:val="5FFE1F39"/>
    <w:rsid w:val="60060FEE"/>
    <w:rsid w:val="600A2554"/>
    <w:rsid w:val="60462E90"/>
    <w:rsid w:val="60571E01"/>
    <w:rsid w:val="606F72DB"/>
    <w:rsid w:val="60712451"/>
    <w:rsid w:val="60752AEC"/>
    <w:rsid w:val="60786190"/>
    <w:rsid w:val="608368E3"/>
    <w:rsid w:val="60A07495"/>
    <w:rsid w:val="60A30D33"/>
    <w:rsid w:val="60A96349"/>
    <w:rsid w:val="60AC408B"/>
    <w:rsid w:val="60AE00AB"/>
    <w:rsid w:val="60B31391"/>
    <w:rsid w:val="60C2740B"/>
    <w:rsid w:val="60C82547"/>
    <w:rsid w:val="60D60EA4"/>
    <w:rsid w:val="60E23609"/>
    <w:rsid w:val="60E35E5E"/>
    <w:rsid w:val="60EB4BB4"/>
    <w:rsid w:val="60F34B93"/>
    <w:rsid w:val="612945BF"/>
    <w:rsid w:val="61355E2F"/>
    <w:rsid w:val="613A1697"/>
    <w:rsid w:val="61530A39"/>
    <w:rsid w:val="61693D2A"/>
    <w:rsid w:val="61783F6D"/>
    <w:rsid w:val="6183303E"/>
    <w:rsid w:val="61923281"/>
    <w:rsid w:val="619F1863"/>
    <w:rsid w:val="61A84853"/>
    <w:rsid w:val="61AC3CD1"/>
    <w:rsid w:val="61CB22EF"/>
    <w:rsid w:val="61D00691"/>
    <w:rsid w:val="61DF3FED"/>
    <w:rsid w:val="61F47A98"/>
    <w:rsid w:val="61FE695C"/>
    <w:rsid w:val="62053A53"/>
    <w:rsid w:val="621912AD"/>
    <w:rsid w:val="622151FD"/>
    <w:rsid w:val="62326812"/>
    <w:rsid w:val="62562501"/>
    <w:rsid w:val="62571DD5"/>
    <w:rsid w:val="625B7377"/>
    <w:rsid w:val="626562A0"/>
    <w:rsid w:val="6278019C"/>
    <w:rsid w:val="6283706E"/>
    <w:rsid w:val="628C1A7E"/>
    <w:rsid w:val="62943029"/>
    <w:rsid w:val="629B7F14"/>
    <w:rsid w:val="62A96AD4"/>
    <w:rsid w:val="62AE40EB"/>
    <w:rsid w:val="62B2525D"/>
    <w:rsid w:val="62C0797A"/>
    <w:rsid w:val="62CA25A7"/>
    <w:rsid w:val="62E17A7F"/>
    <w:rsid w:val="62E418BB"/>
    <w:rsid w:val="62E95123"/>
    <w:rsid w:val="62FB09B2"/>
    <w:rsid w:val="62FE04A2"/>
    <w:rsid w:val="63001694"/>
    <w:rsid w:val="63185A08"/>
    <w:rsid w:val="631D29EB"/>
    <w:rsid w:val="632779F9"/>
    <w:rsid w:val="633C6169"/>
    <w:rsid w:val="63442359"/>
    <w:rsid w:val="63461ABD"/>
    <w:rsid w:val="637A3FCD"/>
    <w:rsid w:val="63822EAD"/>
    <w:rsid w:val="638C7755"/>
    <w:rsid w:val="639B1A12"/>
    <w:rsid w:val="639F79E7"/>
    <w:rsid w:val="63B70D7D"/>
    <w:rsid w:val="63BC2837"/>
    <w:rsid w:val="63BC45E5"/>
    <w:rsid w:val="63D23E09"/>
    <w:rsid w:val="63F773CC"/>
    <w:rsid w:val="64055F8C"/>
    <w:rsid w:val="641206A9"/>
    <w:rsid w:val="64300F47"/>
    <w:rsid w:val="643B19AE"/>
    <w:rsid w:val="64483336"/>
    <w:rsid w:val="644F0FB6"/>
    <w:rsid w:val="64562D15"/>
    <w:rsid w:val="645962D8"/>
    <w:rsid w:val="64674D2A"/>
    <w:rsid w:val="646C600B"/>
    <w:rsid w:val="646F3406"/>
    <w:rsid w:val="647C2CAA"/>
    <w:rsid w:val="64836EB1"/>
    <w:rsid w:val="64942E6C"/>
    <w:rsid w:val="64AA6B34"/>
    <w:rsid w:val="64AE53F9"/>
    <w:rsid w:val="64B13A1E"/>
    <w:rsid w:val="64D63485"/>
    <w:rsid w:val="64E35BA2"/>
    <w:rsid w:val="64EC2CA8"/>
    <w:rsid w:val="65085608"/>
    <w:rsid w:val="65091AAC"/>
    <w:rsid w:val="650A3BF1"/>
    <w:rsid w:val="650F7082"/>
    <w:rsid w:val="65110961"/>
    <w:rsid w:val="6518767F"/>
    <w:rsid w:val="65362175"/>
    <w:rsid w:val="65385EEE"/>
    <w:rsid w:val="654A148C"/>
    <w:rsid w:val="65515894"/>
    <w:rsid w:val="65515DB5"/>
    <w:rsid w:val="65584A66"/>
    <w:rsid w:val="656767D3"/>
    <w:rsid w:val="65712B94"/>
    <w:rsid w:val="657A02B4"/>
    <w:rsid w:val="65801643"/>
    <w:rsid w:val="65956E9C"/>
    <w:rsid w:val="659858FD"/>
    <w:rsid w:val="6598698C"/>
    <w:rsid w:val="65A13CC9"/>
    <w:rsid w:val="65AA25C1"/>
    <w:rsid w:val="65AB2B63"/>
    <w:rsid w:val="65E120E1"/>
    <w:rsid w:val="65EA307F"/>
    <w:rsid w:val="65F91B21"/>
    <w:rsid w:val="65FD6E01"/>
    <w:rsid w:val="660364FC"/>
    <w:rsid w:val="660D737A"/>
    <w:rsid w:val="661105F0"/>
    <w:rsid w:val="661C580F"/>
    <w:rsid w:val="661E2CB4"/>
    <w:rsid w:val="661E3335"/>
    <w:rsid w:val="662621EA"/>
    <w:rsid w:val="662C6800"/>
    <w:rsid w:val="6632293D"/>
    <w:rsid w:val="663669CA"/>
    <w:rsid w:val="664D7777"/>
    <w:rsid w:val="664E603D"/>
    <w:rsid w:val="6657597E"/>
    <w:rsid w:val="666F1DE3"/>
    <w:rsid w:val="667473F9"/>
    <w:rsid w:val="667B2536"/>
    <w:rsid w:val="667D1E28"/>
    <w:rsid w:val="667D251C"/>
    <w:rsid w:val="66A3383B"/>
    <w:rsid w:val="66A870A3"/>
    <w:rsid w:val="66AD46B9"/>
    <w:rsid w:val="66B141AA"/>
    <w:rsid w:val="66CD4D5B"/>
    <w:rsid w:val="66D32372"/>
    <w:rsid w:val="66D71736"/>
    <w:rsid w:val="66D93700"/>
    <w:rsid w:val="66DD6797"/>
    <w:rsid w:val="66ED4AB6"/>
    <w:rsid w:val="66F66060"/>
    <w:rsid w:val="66F67E0E"/>
    <w:rsid w:val="670818F0"/>
    <w:rsid w:val="671D183F"/>
    <w:rsid w:val="671F55B7"/>
    <w:rsid w:val="67293782"/>
    <w:rsid w:val="675114E9"/>
    <w:rsid w:val="675863D3"/>
    <w:rsid w:val="6759039D"/>
    <w:rsid w:val="67696832"/>
    <w:rsid w:val="679703E1"/>
    <w:rsid w:val="67984F00"/>
    <w:rsid w:val="679E2C8B"/>
    <w:rsid w:val="67A965FC"/>
    <w:rsid w:val="67F72090"/>
    <w:rsid w:val="682E182A"/>
    <w:rsid w:val="68336E40"/>
    <w:rsid w:val="683926A8"/>
    <w:rsid w:val="68537CAF"/>
    <w:rsid w:val="685E210F"/>
    <w:rsid w:val="685F3791"/>
    <w:rsid w:val="68725BBA"/>
    <w:rsid w:val="68776D2D"/>
    <w:rsid w:val="687A4A6F"/>
    <w:rsid w:val="68B079A5"/>
    <w:rsid w:val="68B706D2"/>
    <w:rsid w:val="68BB30BE"/>
    <w:rsid w:val="68D45F2D"/>
    <w:rsid w:val="68DF62EE"/>
    <w:rsid w:val="68EA5751"/>
    <w:rsid w:val="68F570FB"/>
    <w:rsid w:val="690031C6"/>
    <w:rsid w:val="69456E2B"/>
    <w:rsid w:val="69531548"/>
    <w:rsid w:val="695D4726"/>
    <w:rsid w:val="696F3EA8"/>
    <w:rsid w:val="69731BEA"/>
    <w:rsid w:val="69790883"/>
    <w:rsid w:val="697A2F79"/>
    <w:rsid w:val="69855891"/>
    <w:rsid w:val="69894CCB"/>
    <w:rsid w:val="698B7CF9"/>
    <w:rsid w:val="698C2CAC"/>
    <w:rsid w:val="698C6808"/>
    <w:rsid w:val="699266B6"/>
    <w:rsid w:val="699833C0"/>
    <w:rsid w:val="69A47FF6"/>
    <w:rsid w:val="69AC6EAA"/>
    <w:rsid w:val="6A102F95"/>
    <w:rsid w:val="6A242EE4"/>
    <w:rsid w:val="6A2922A9"/>
    <w:rsid w:val="6A4415E9"/>
    <w:rsid w:val="6A5D1F52"/>
    <w:rsid w:val="6A696B49"/>
    <w:rsid w:val="6A7C062B"/>
    <w:rsid w:val="6A7C19FC"/>
    <w:rsid w:val="6A8D0A8A"/>
    <w:rsid w:val="6A9736B6"/>
    <w:rsid w:val="6AAB0F10"/>
    <w:rsid w:val="6ACC55B0"/>
    <w:rsid w:val="6ACD70D8"/>
    <w:rsid w:val="6AE12B83"/>
    <w:rsid w:val="6AE875C3"/>
    <w:rsid w:val="6AEA7C8A"/>
    <w:rsid w:val="6AF12F2B"/>
    <w:rsid w:val="6AFB3C45"/>
    <w:rsid w:val="6B054AC4"/>
    <w:rsid w:val="6B1E7934"/>
    <w:rsid w:val="6B225676"/>
    <w:rsid w:val="6B422808"/>
    <w:rsid w:val="6B476E8A"/>
    <w:rsid w:val="6B4B5217"/>
    <w:rsid w:val="6B680BAF"/>
    <w:rsid w:val="6B6A0DCB"/>
    <w:rsid w:val="6B6F1F3D"/>
    <w:rsid w:val="6B7036D0"/>
    <w:rsid w:val="6B8A1717"/>
    <w:rsid w:val="6B8C6F93"/>
    <w:rsid w:val="6B99345E"/>
    <w:rsid w:val="6BAD273F"/>
    <w:rsid w:val="6BB9116F"/>
    <w:rsid w:val="6BBB1626"/>
    <w:rsid w:val="6BC51FA8"/>
    <w:rsid w:val="6BC56001"/>
    <w:rsid w:val="6BCA186A"/>
    <w:rsid w:val="6BCC7390"/>
    <w:rsid w:val="6BCE3108"/>
    <w:rsid w:val="6BD36970"/>
    <w:rsid w:val="6BD526E8"/>
    <w:rsid w:val="6BDF5191"/>
    <w:rsid w:val="6C0B435C"/>
    <w:rsid w:val="6C17069E"/>
    <w:rsid w:val="6C2225DD"/>
    <w:rsid w:val="6C301153"/>
    <w:rsid w:val="6C6B0957"/>
    <w:rsid w:val="6C832144"/>
    <w:rsid w:val="6C845EBC"/>
    <w:rsid w:val="6C89702F"/>
    <w:rsid w:val="6C9C4FB4"/>
    <w:rsid w:val="6C9C6D62"/>
    <w:rsid w:val="6C9D0D2C"/>
    <w:rsid w:val="6CA218CA"/>
    <w:rsid w:val="6CA351A2"/>
    <w:rsid w:val="6CA770F1"/>
    <w:rsid w:val="6CC265FC"/>
    <w:rsid w:val="6CD504C6"/>
    <w:rsid w:val="6CD52274"/>
    <w:rsid w:val="6CE53613"/>
    <w:rsid w:val="6CEB1A97"/>
    <w:rsid w:val="6CF92406"/>
    <w:rsid w:val="6CFC3CA5"/>
    <w:rsid w:val="6CFC5A53"/>
    <w:rsid w:val="6CFE5C6F"/>
    <w:rsid w:val="6D040C67"/>
    <w:rsid w:val="6D050DAB"/>
    <w:rsid w:val="6D0D5EB2"/>
    <w:rsid w:val="6D147240"/>
    <w:rsid w:val="6D196605"/>
    <w:rsid w:val="6D21370B"/>
    <w:rsid w:val="6D3B18E0"/>
    <w:rsid w:val="6D413DAD"/>
    <w:rsid w:val="6D543AE1"/>
    <w:rsid w:val="6D57537F"/>
    <w:rsid w:val="6D5B09CB"/>
    <w:rsid w:val="6D5B6C1D"/>
    <w:rsid w:val="6D6D4BA2"/>
    <w:rsid w:val="6D77332B"/>
    <w:rsid w:val="6D836174"/>
    <w:rsid w:val="6D870514"/>
    <w:rsid w:val="6D8B5ABC"/>
    <w:rsid w:val="6D940381"/>
    <w:rsid w:val="6D9C3AFC"/>
    <w:rsid w:val="6DA22A9E"/>
    <w:rsid w:val="6DAC1227"/>
    <w:rsid w:val="6DBB76BC"/>
    <w:rsid w:val="6DD15131"/>
    <w:rsid w:val="6DD469CF"/>
    <w:rsid w:val="6DF66946"/>
    <w:rsid w:val="6E14209A"/>
    <w:rsid w:val="6E1A189A"/>
    <w:rsid w:val="6E22773B"/>
    <w:rsid w:val="6E386F5E"/>
    <w:rsid w:val="6E443B55"/>
    <w:rsid w:val="6E4753F3"/>
    <w:rsid w:val="6E4E6782"/>
    <w:rsid w:val="6E5B2C4D"/>
    <w:rsid w:val="6E6164B5"/>
    <w:rsid w:val="6E9817AB"/>
    <w:rsid w:val="6E9D5013"/>
    <w:rsid w:val="6E9F4B86"/>
    <w:rsid w:val="6EA168B2"/>
    <w:rsid w:val="6EB02F99"/>
    <w:rsid w:val="6EB72460"/>
    <w:rsid w:val="6EB74327"/>
    <w:rsid w:val="6EB8556A"/>
    <w:rsid w:val="6EBC36EB"/>
    <w:rsid w:val="6ED547AD"/>
    <w:rsid w:val="6EDF73DA"/>
    <w:rsid w:val="6EE5683D"/>
    <w:rsid w:val="6EE60768"/>
    <w:rsid w:val="6EEE586F"/>
    <w:rsid w:val="6EF72976"/>
    <w:rsid w:val="6F064E06"/>
    <w:rsid w:val="6F094457"/>
    <w:rsid w:val="6F176B74"/>
    <w:rsid w:val="6F2179F2"/>
    <w:rsid w:val="6F35349E"/>
    <w:rsid w:val="6F360C58"/>
    <w:rsid w:val="6F370FC4"/>
    <w:rsid w:val="6F4153BB"/>
    <w:rsid w:val="6F5E47A3"/>
    <w:rsid w:val="6F614293"/>
    <w:rsid w:val="6F636421"/>
    <w:rsid w:val="6F6B5112"/>
    <w:rsid w:val="6F6C3363"/>
    <w:rsid w:val="6F6E6EC3"/>
    <w:rsid w:val="6F7264A0"/>
    <w:rsid w:val="6F765F90"/>
    <w:rsid w:val="6F9401C4"/>
    <w:rsid w:val="6F9957DB"/>
    <w:rsid w:val="6FB42615"/>
    <w:rsid w:val="6FB915A7"/>
    <w:rsid w:val="6FC14D32"/>
    <w:rsid w:val="6FC52A74"/>
    <w:rsid w:val="6FCD1928"/>
    <w:rsid w:val="6FD902CD"/>
    <w:rsid w:val="6FDD39BA"/>
    <w:rsid w:val="6FDE58E3"/>
    <w:rsid w:val="6FE61F3E"/>
    <w:rsid w:val="700C2451"/>
    <w:rsid w:val="70161521"/>
    <w:rsid w:val="701914D7"/>
    <w:rsid w:val="701C6FC8"/>
    <w:rsid w:val="702459EC"/>
    <w:rsid w:val="702F613F"/>
    <w:rsid w:val="703244E4"/>
    <w:rsid w:val="705636CC"/>
    <w:rsid w:val="706A28AB"/>
    <w:rsid w:val="70720586"/>
    <w:rsid w:val="7073427E"/>
    <w:rsid w:val="70875F7B"/>
    <w:rsid w:val="70897150"/>
    <w:rsid w:val="708E10B8"/>
    <w:rsid w:val="70A64653"/>
    <w:rsid w:val="70AD3C34"/>
    <w:rsid w:val="70C0289D"/>
    <w:rsid w:val="70C8281B"/>
    <w:rsid w:val="70EA4F4C"/>
    <w:rsid w:val="71092E34"/>
    <w:rsid w:val="71094BE2"/>
    <w:rsid w:val="711C66C3"/>
    <w:rsid w:val="713003C1"/>
    <w:rsid w:val="71384703"/>
    <w:rsid w:val="71493231"/>
    <w:rsid w:val="71656047"/>
    <w:rsid w:val="718304F0"/>
    <w:rsid w:val="718F158B"/>
    <w:rsid w:val="71A242CB"/>
    <w:rsid w:val="71C8684B"/>
    <w:rsid w:val="71CF732E"/>
    <w:rsid w:val="71DC40A5"/>
    <w:rsid w:val="71DD22F7"/>
    <w:rsid w:val="71DE04A1"/>
    <w:rsid w:val="71E116BB"/>
    <w:rsid w:val="71F4319C"/>
    <w:rsid w:val="71FA5C5D"/>
    <w:rsid w:val="71FC75D1"/>
    <w:rsid w:val="71FE04BF"/>
    <w:rsid w:val="720D49AF"/>
    <w:rsid w:val="720F7FD6"/>
    <w:rsid w:val="72121874"/>
    <w:rsid w:val="72181F15"/>
    <w:rsid w:val="721F290F"/>
    <w:rsid w:val="722021E3"/>
    <w:rsid w:val="7229553C"/>
    <w:rsid w:val="72323CC5"/>
    <w:rsid w:val="72330169"/>
    <w:rsid w:val="72363165"/>
    <w:rsid w:val="7254624C"/>
    <w:rsid w:val="72620A4E"/>
    <w:rsid w:val="726F7FB0"/>
    <w:rsid w:val="72707240"/>
    <w:rsid w:val="729624A5"/>
    <w:rsid w:val="729C5554"/>
    <w:rsid w:val="72A46970"/>
    <w:rsid w:val="72AD3E9C"/>
    <w:rsid w:val="72B50B7E"/>
    <w:rsid w:val="72BB0EC2"/>
    <w:rsid w:val="72C62D8B"/>
    <w:rsid w:val="72CC5BD6"/>
    <w:rsid w:val="72EE22E1"/>
    <w:rsid w:val="72FD2525"/>
    <w:rsid w:val="73011B3E"/>
    <w:rsid w:val="732D2E0A"/>
    <w:rsid w:val="732E0930"/>
    <w:rsid w:val="73335F46"/>
    <w:rsid w:val="73373C88"/>
    <w:rsid w:val="735C7C30"/>
    <w:rsid w:val="73661E78"/>
    <w:rsid w:val="73697BBA"/>
    <w:rsid w:val="73775E2C"/>
    <w:rsid w:val="73A155A6"/>
    <w:rsid w:val="73A34550"/>
    <w:rsid w:val="73A86934"/>
    <w:rsid w:val="73B250BD"/>
    <w:rsid w:val="73B40E35"/>
    <w:rsid w:val="73B61051"/>
    <w:rsid w:val="73B70925"/>
    <w:rsid w:val="73BB6668"/>
    <w:rsid w:val="73C365CB"/>
    <w:rsid w:val="73D414D7"/>
    <w:rsid w:val="73EA4857"/>
    <w:rsid w:val="73F6144E"/>
    <w:rsid w:val="740617BB"/>
    <w:rsid w:val="742023C5"/>
    <w:rsid w:val="742C3D60"/>
    <w:rsid w:val="74367A9C"/>
    <w:rsid w:val="743D52CE"/>
    <w:rsid w:val="7443670B"/>
    <w:rsid w:val="74534AF2"/>
    <w:rsid w:val="745B7503"/>
    <w:rsid w:val="74730CF0"/>
    <w:rsid w:val="748D1686"/>
    <w:rsid w:val="74933140"/>
    <w:rsid w:val="74AE3AD6"/>
    <w:rsid w:val="74B80A8E"/>
    <w:rsid w:val="74DB208E"/>
    <w:rsid w:val="74DF00D5"/>
    <w:rsid w:val="751122B7"/>
    <w:rsid w:val="75157FF9"/>
    <w:rsid w:val="751759A6"/>
    <w:rsid w:val="752124FA"/>
    <w:rsid w:val="75387844"/>
    <w:rsid w:val="75422471"/>
    <w:rsid w:val="75425644"/>
    <w:rsid w:val="75431C52"/>
    <w:rsid w:val="75644ADD"/>
    <w:rsid w:val="75674604"/>
    <w:rsid w:val="756920F3"/>
    <w:rsid w:val="756B5E6B"/>
    <w:rsid w:val="756C4E37"/>
    <w:rsid w:val="756D0E75"/>
    <w:rsid w:val="75755831"/>
    <w:rsid w:val="75866801"/>
    <w:rsid w:val="758807CB"/>
    <w:rsid w:val="75937E8D"/>
    <w:rsid w:val="75947170"/>
    <w:rsid w:val="75C80BC8"/>
    <w:rsid w:val="75CB06B8"/>
    <w:rsid w:val="75D51537"/>
    <w:rsid w:val="75DF5F11"/>
    <w:rsid w:val="75E35A02"/>
    <w:rsid w:val="75E654F2"/>
    <w:rsid w:val="762027B2"/>
    <w:rsid w:val="762108D3"/>
    <w:rsid w:val="76312C11"/>
    <w:rsid w:val="763224E5"/>
    <w:rsid w:val="76361FD5"/>
    <w:rsid w:val="764364A0"/>
    <w:rsid w:val="76505878"/>
    <w:rsid w:val="765406AD"/>
    <w:rsid w:val="76661B74"/>
    <w:rsid w:val="76790114"/>
    <w:rsid w:val="76794AF8"/>
    <w:rsid w:val="7681617B"/>
    <w:rsid w:val="76850C08"/>
    <w:rsid w:val="769A6DAE"/>
    <w:rsid w:val="76BB24DB"/>
    <w:rsid w:val="76C84BF7"/>
    <w:rsid w:val="76D67314"/>
    <w:rsid w:val="76DF266D"/>
    <w:rsid w:val="76F36118"/>
    <w:rsid w:val="76FD11D3"/>
    <w:rsid w:val="770B3462"/>
    <w:rsid w:val="7711659E"/>
    <w:rsid w:val="771B11CB"/>
    <w:rsid w:val="7722255A"/>
    <w:rsid w:val="77274014"/>
    <w:rsid w:val="772E2227"/>
    <w:rsid w:val="77302EC9"/>
    <w:rsid w:val="7731279D"/>
    <w:rsid w:val="77533CC6"/>
    <w:rsid w:val="775748F9"/>
    <w:rsid w:val="775D4510"/>
    <w:rsid w:val="7760252B"/>
    <w:rsid w:val="776058DA"/>
    <w:rsid w:val="77626DFA"/>
    <w:rsid w:val="776B3F01"/>
    <w:rsid w:val="777032C5"/>
    <w:rsid w:val="777803CC"/>
    <w:rsid w:val="777D1E86"/>
    <w:rsid w:val="77905715"/>
    <w:rsid w:val="779276DF"/>
    <w:rsid w:val="77C47AB5"/>
    <w:rsid w:val="77D93560"/>
    <w:rsid w:val="77F40160"/>
    <w:rsid w:val="78177BE5"/>
    <w:rsid w:val="781D568D"/>
    <w:rsid w:val="782F3570"/>
    <w:rsid w:val="78306EF8"/>
    <w:rsid w:val="78322C70"/>
    <w:rsid w:val="78340796"/>
    <w:rsid w:val="78342545"/>
    <w:rsid w:val="78362F6D"/>
    <w:rsid w:val="783D7431"/>
    <w:rsid w:val="78412EB3"/>
    <w:rsid w:val="78627545"/>
    <w:rsid w:val="78632E2A"/>
    <w:rsid w:val="78654665"/>
    <w:rsid w:val="78654DF4"/>
    <w:rsid w:val="787756EA"/>
    <w:rsid w:val="787B0173"/>
    <w:rsid w:val="789C661D"/>
    <w:rsid w:val="78BB0EB8"/>
    <w:rsid w:val="78DD498A"/>
    <w:rsid w:val="78E026CC"/>
    <w:rsid w:val="78E0447A"/>
    <w:rsid w:val="78EF46BD"/>
    <w:rsid w:val="78F63C9E"/>
    <w:rsid w:val="790740FD"/>
    <w:rsid w:val="79077C59"/>
    <w:rsid w:val="791660EE"/>
    <w:rsid w:val="791D122B"/>
    <w:rsid w:val="791D56CF"/>
    <w:rsid w:val="791F31F5"/>
    <w:rsid w:val="79382508"/>
    <w:rsid w:val="793F5645"/>
    <w:rsid w:val="794E7636"/>
    <w:rsid w:val="795135CA"/>
    <w:rsid w:val="797F1EE5"/>
    <w:rsid w:val="79892D64"/>
    <w:rsid w:val="798B2638"/>
    <w:rsid w:val="798E037A"/>
    <w:rsid w:val="79960FDD"/>
    <w:rsid w:val="79997202"/>
    <w:rsid w:val="799E680F"/>
    <w:rsid w:val="79B0209F"/>
    <w:rsid w:val="79BC6C95"/>
    <w:rsid w:val="79C45B4A"/>
    <w:rsid w:val="79E7658E"/>
    <w:rsid w:val="7A1B3962"/>
    <w:rsid w:val="7A2111EE"/>
    <w:rsid w:val="7A266B63"/>
    <w:rsid w:val="7A2A00A3"/>
    <w:rsid w:val="7A2F56B9"/>
    <w:rsid w:val="7A623463"/>
    <w:rsid w:val="7A6D48C0"/>
    <w:rsid w:val="7A6D7F90"/>
    <w:rsid w:val="7A765096"/>
    <w:rsid w:val="7A861051"/>
    <w:rsid w:val="7A974046"/>
    <w:rsid w:val="7A9A4854"/>
    <w:rsid w:val="7AB931D5"/>
    <w:rsid w:val="7ABA14EE"/>
    <w:rsid w:val="7AC53928"/>
    <w:rsid w:val="7AC5601E"/>
    <w:rsid w:val="7AC73B44"/>
    <w:rsid w:val="7AC878BC"/>
    <w:rsid w:val="7ACA7190"/>
    <w:rsid w:val="7AE83ABA"/>
    <w:rsid w:val="7B007056"/>
    <w:rsid w:val="7B02692A"/>
    <w:rsid w:val="7B0F72C3"/>
    <w:rsid w:val="7B114DBF"/>
    <w:rsid w:val="7B1B3E90"/>
    <w:rsid w:val="7B2368A0"/>
    <w:rsid w:val="7B256ABC"/>
    <w:rsid w:val="7B2C7E4B"/>
    <w:rsid w:val="7B4E7DC1"/>
    <w:rsid w:val="7B5B428C"/>
    <w:rsid w:val="7B7B048A"/>
    <w:rsid w:val="7B887EC5"/>
    <w:rsid w:val="7B914152"/>
    <w:rsid w:val="7B930C24"/>
    <w:rsid w:val="7BB10350"/>
    <w:rsid w:val="7BB17EFC"/>
    <w:rsid w:val="7BB5399C"/>
    <w:rsid w:val="7BC14128"/>
    <w:rsid w:val="7BC231C6"/>
    <w:rsid w:val="7BC60184"/>
    <w:rsid w:val="7BC63DFB"/>
    <w:rsid w:val="7BD5403F"/>
    <w:rsid w:val="7BDD2EF3"/>
    <w:rsid w:val="7BE73A8B"/>
    <w:rsid w:val="7BF471EA"/>
    <w:rsid w:val="7BFA1CF7"/>
    <w:rsid w:val="7C011556"/>
    <w:rsid w:val="7C18217D"/>
    <w:rsid w:val="7C346F6A"/>
    <w:rsid w:val="7C3C40BE"/>
    <w:rsid w:val="7C4C3220"/>
    <w:rsid w:val="7C4F37CE"/>
    <w:rsid w:val="7C507B69"/>
    <w:rsid w:val="7C596A1E"/>
    <w:rsid w:val="7C5E2286"/>
    <w:rsid w:val="7C701FB9"/>
    <w:rsid w:val="7C817D22"/>
    <w:rsid w:val="7C857813"/>
    <w:rsid w:val="7C896BD7"/>
    <w:rsid w:val="7C99506C"/>
    <w:rsid w:val="7CC3640F"/>
    <w:rsid w:val="7CD24A22"/>
    <w:rsid w:val="7CEA1D6C"/>
    <w:rsid w:val="7CF61768"/>
    <w:rsid w:val="7CF84488"/>
    <w:rsid w:val="7D07647A"/>
    <w:rsid w:val="7D0C7F34"/>
    <w:rsid w:val="7D0E5A5A"/>
    <w:rsid w:val="7D225061"/>
    <w:rsid w:val="7D2C5EE0"/>
    <w:rsid w:val="7D360B0D"/>
    <w:rsid w:val="7D3A5278"/>
    <w:rsid w:val="7D406A1E"/>
    <w:rsid w:val="7D5A0C9F"/>
    <w:rsid w:val="7D5E522E"/>
    <w:rsid w:val="7D637428"/>
    <w:rsid w:val="7D6F2271"/>
    <w:rsid w:val="7D741635"/>
    <w:rsid w:val="7D823D52"/>
    <w:rsid w:val="7D851A94"/>
    <w:rsid w:val="7D965A4F"/>
    <w:rsid w:val="7DA95783"/>
    <w:rsid w:val="7DB3326F"/>
    <w:rsid w:val="7DCB56F9"/>
    <w:rsid w:val="7DD00F61"/>
    <w:rsid w:val="7DF34C50"/>
    <w:rsid w:val="7E0D00F2"/>
    <w:rsid w:val="7E1846B6"/>
    <w:rsid w:val="7E1A21DD"/>
    <w:rsid w:val="7E245210"/>
    <w:rsid w:val="7E2C7134"/>
    <w:rsid w:val="7E3037AE"/>
    <w:rsid w:val="7E386B07"/>
    <w:rsid w:val="7E3A287F"/>
    <w:rsid w:val="7E3E236F"/>
    <w:rsid w:val="7E486D4A"/>
    <w:rsid w:val="7E5F22E5"/>
    <w:rsid w:val="7E6B4A0B"/>
    <w:rsid w:val="7E714CEC"/>
    <w:rsid w:val="7E775881"/>
    <w:rsid w:val="7E786F03"/>
    <w:rsid w:val="7E7C7B82"/>
    <w:rsid w:val="7E8B4E88"/>
    <w:rsid w:val="7E960CC1"/>
    <w:rsid w:val="7EA36676"/>
    <w:rsid w:val="7EB702F4"/>
    <w:rsid w:val="7EC860DC"/>
    <w:rsid w:val="7ECD724F"/>
    <w:rsid w:val="7ECF2FC7"/>
    <w:rsid w:val="7ED405DD"/>
    <w:rsid w:val="7ED625A7"/>
    <w:rsid w:val="7EED715E"/>
    <w:rsid w:val="7EFD7F37"/>
    <w:rsid w:val="7F0A2251"/>
    <w:rsid w:val="7F0D3AEF"/>
    <w:rsid w:val="7F17671C"/>
    <w:rsid w:val="7F2271E4"/>
    <w:rsid w:val="7F2D7CEE"/>
    <w:rsid w:val="7F313C82"/>
    <w:rsid w:val="7F36010F"/>
    <w:rsid w:val="7F4A61E1"/>
    <w:rsid w:val="7F544D8E"/>
    <w:rsid w:val="7F596D35"/>
    <w:rsid w:val="7F5C68C8"/>
    <w:rsid w:val="7F645E05"/>
    <w:rsid w:val="7F6F0306"/>
    <w:rsid w:val="7F743B6E"/>
    <w:rsid w:val="7F746024"/>
    <w:rsid w:val="7F8C710A"/>
    <w:rsid w:val="7F962F62"/>
    <w:rsid w:val="7F967F89"/>
    <w:rsid w:val="7F9935D5"/>
    <w:rsid w:val="7FA51F7A"/>
    <w:rsid w:val="7FB328E9"/>
    <w:rsid w:val="7FC468A4"/>
    <w:rsid w:val="7FD30895"/>
    <w:rsid w:val="7FDD1714"/>
    <w:rsid w:val="7FDD5BB8"/>
    <w:rsid w:val="7FFA22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nhideWhenUsed="0" w:uiPriority="1"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0" w:semiHidden="0" w:name="Normal Indent"/>
    <w:lsdException w:qFormat="1"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iPriority="99"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qFormat="1"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pPr>
    <w:rPr>
      <w:rFonts w:ascii="宋体" w:hAnsi="宋体" w:eastAsia="宋体" w:cstheme="minorBidi"/>
      <w:kern w:val="2"/>
      <w:sz w:val="24"/>
      <w:szCs w:val="22"/>
      <w:lang w:val="en-US" w:eastAsia="zh-CN" w:bidi="ar-SA"/>
    </w:rPr>
  </w:style>
  <w:style w:type="paragraph" w:styleId="2">
    <w:name w:val="heading 1"/>
    <w:basedOn w:val="1"/>
    <w:next w:val="1"/>
    <w:link w:val="38"/>
    <w:autoRedefine/>
    <w:qFormat/>
    <w:uiPriority w:val="9"/>
    <w:pPr>
      <w:keepNext/>
      <w:keepLines/>
      <w:spacing w:before="340" w:after="330" w:line="578" w:lineRule="auto"/>
      <w:jc w:val="center"/>
      <w:outlineLvl w:val="0"/>
    </w:pPr>
    <w:rPr>
      <w:rFonts w:eastAsia="黑体"/>
      <w:b/>
      <w:bCs/>
      <w:kern w:val="44"/>
      <w:sz w:val="44"/>
      <w:szCs w:val="44"/>
    </w:rPr>
  </w:style>
  <w:style w:type="paragraph" w:styleId="3">
    <w:name w:val="heading 2"/>
    <w:basedOn w:val="1"/>
    <w:next w:val="1"/>
    <w:link w:val="42"/>
    <w:unhideWhenUsed/>
    <w:qFormat/>
    <w:uiPriority w:val="9"/>
    <w:pPr>
      <w:keepNext/>
      <w:keepLines/>
      <w:spacing w:before="260" w:after="260" w:line="416" w:lineRule="auto"/>
      <w:outlineLvl w:val="1"/>
    </w:pPr>
    <w:rPr>
      <w:rFonts w:asciiTheme="majorHAnsi" w:hAnsiTheme="majorHAnsi" w:cstheme="majorBidi"/>
      <w:b/>
      <w:bCs/>
      <w:sz w:val="32"/>
      <w:szCs w:val="32"/>
    </w:rPr>
  </w:style>
  <w:style w:type="paragraph" w:styleId="4">
    <w:name w:val="heading 3"/>
    <w:basedOn w:val="1"/>
    <w:next w:val="1"/>
    <w:link w:val="45"/>
    <w:autoRedefine/>
    <w:unhideWhenUsed/>
    <w:qFormat/>
    <w:uiPriority w:val="9"/>
    <w:pPr>
      <w:keepNext/>
      <w:keepLines/>
      <w:spacing w:before="260" w:after="260" w:line="416" w:lineRule="auto"/>
      <w:outlineLvl w:val="2"/>
    </w:pPr>
    <w:rPr>
      <w:b/>
      <w:bCs/>
      <w:sz w:val="30"/>
      <w:szCs w:val="32"/>
    </w:rPr>
  </w:style>
  <w:style w:type="paragraph" w:styleId="5">
    <w:name w:val="heading 4"/>
    <w:basedOn w:val="1"/>
    <w:next w:val="1"/>
    <w:link w:val="46"/>
    <w:autoRedefine/>
    <w:unhideWhenUsed/>
    <w:qFormat/>
    <w:uiPriority w:val="9"/>
    <w:pPr>
      <w:keepNext/>
      <w:keepLines/>
      <w:spacing w:before="280" w:after="290" w:line="376" w:lineRule="auto"/>
      <w:outlineLvl w:val="3"/>
    </w:pPr>
    <w:rPr>
      <w:rFonts w:asciiTheme="majorHAnsi" w:hAnsiTheme="majorHAnsi" w:cstheme="majorBidi"/>
      <w:b/>
      <w:bCs/>
      <w:sz w:val="28"/>
      <w:szCs w:val="28"/>
    </w:rPr>
  </w:style>
  <w:style w:type="paragraph" w:styleId="6">
    <w:name w:val="heading 5"/>
    <w:basedOn w:val="7"/>
    <w:next w:val="8"/>
    <w:autoRedefine/>
    <w:qFormat/>
    <w:uiPriority w:val="1"/>
    <w:pPr>
      <w:tabs>
        <w:tab w:val="left" w:pos="780"/>
      </w:tabs>
      <w:ind w:left="638" w:firstLine="561"/>
      <w:outlineLvl w:val="4"/>
    </w:pPr>
    <w:rPr>
      <w:rFonts w:ascii="仿宋" w:hAnsi="仿宋" w:eastAsia="仿宋" w:cs="仿宋"/>
      <w:b/>
      <w:bCs/>
      <w:kern w:val="0"/>
      <w:sz w:val="28"/>
      <w:szCs w:val="28"/>
      <w:lang w:val="zh-CN" w:bidi="zh-CN"/>
    </w:rPr>
  </w:style>
  <w:style w:type="character" w:default="1" w:styleId="32">
    <w:name w:val="Default Paragraph Font"/>
    <w:autoRedefine/>
    <w:semiHidden/>
    <w:unhideWhenUsed/>
    <w:qFormat/>
    <w:uiPriority w:val="1"/>
  </w:style>
  <w:style w:type="table" w:default="1" w:styleId="30">
    <w:name w:val="Normal Table"/>
    <w:autoRedefine/>
    <w:semiHidden/>
    <w:unhideWhenUsed/>
    <w:qFormat/>
    <w:uiPriority w:val="99"/>
    <w:tblPr>
      <w:tblCellMar>
        <w:top w:w="0" w:type="dxa"/>
        <w:left w:w="108" w:type="dxa"/>
        <w:bottom w:w="0" w:type="dxa"/>
        <w:right w:w="108" w:type="dxa"/>
      </w:tblCellMar>
    </w:tblPr>
  </w:style>
  <w:style w:type="paragraph" w:styleId="7">
    <w:name w:val="List Number 2"/>
    <w:basedOn w:val="1"/>
    <w:autoRedefine/>
    <w:semiHidden/>
    <w:unhideWhenUsed/>
    <w:qFormat/>
    <w:uiPriority w:val="99"/>
    <w:pPr>
      <w:numPr>
        <w:ilvl w:val="0"/>
        <w:numId w:val="1"/>
      </w:numPr>
    </w:pPr>
  </w:style>
  <w:style w:type="paragraph" w:styleId="8">
    <w:name w:val="Normal (Web)"/>
    <w:basedOn w:val="1"/>
    <w:autoRedefine/>
    <w:qFormat/>
    <w:uiPriority w:val="99"/>
    <w:pPr>
      <w:widowControl/>
      <w:spacing w:before="100" w:beforeAutospacing="1" w:after="100" w:afterAutospacing="1"/>
    </w:pPr>
    <w:rPr>
      <w:rFonts w:cs="宋体"/>
      <w:color w:val="000000"/>
      <w:kern w:val="0"/>
      <w:szCs w:val="24"/>
    </w:rPr>
  </w:style>
  <w:style w:type="paragraph" w:styleId="9">
    <w:name w:val="toc 7"/>
    <w:basedOn w:val="1"/>
    <w:next w:val="1"/>
    <w:autoRedefine/>
    <w:unhideWhenUsed/>
    <w:qFormat/>
    <w:uiPriority w:val="39"/>
    <w:pPr>
      <w:ind w:left="1440"/>
    </w:pPr>
    <w:rPr>
      <w:rFonts w:asciiTheme="minorHAnsi" w:eastAsiaTheme="minorHAnsi"/>
      <w:sz w:val="18"/>
      <w:szCs w:val="18"/>
    </w:rPr>
  </w:style>
  <w:style w:type="paragraph" w:styleId="10">
    <w:name w:val="Normal Indent"/>
    <w:basedOn w:val="1"/>
    <w:autoRedefine/>
    <w:unhideWhenUsed/>
    <w:qFormat/>
    <w:uiPriority w:val="0"/>
    <w:pPr>
      <w:ind w:firstLine="420" w:firstLineChars="200"/>
    </w:pPr>
    <w:rPr>
      <w:rFonts w:ascii="Calibri" w:hAnsi="Calibri"/>
      <w:szCs w:val="22"/>
    </w:rPr>
  </w:style>
  <w:style w:type="paragraph" w:styleId="11">
    <w:name w:val="List Bullet"/>
    <w:basedOn w:val="1"/>
    <w:autoRedefine/>
    <w:unhideWhenUsed/>
    <w:qFormat/>
    <w:uiPriority w:val="99"/>
    <w:pPr>
      <w:tabs>
        <w:tab w:val="left" w:pos="360"/>
        <w:tab w:val="left" w:pos="1134"/>
      </w:tabs>
      <w:spacing w:line="240" w:lineRule="auto"/>
      <w:ind w:left="1134" w:hanging="1134"/>
      <w:contextualSpacing/>
      <w:jc w:val="both"/>
    </w:pPr>
    <w:rPr>
      <w:rFonts w:ascii="Times New Roman" w:hAnsi="Times New Roman" w:cs="Times New Roman"/>
      <w:kern w:val="0"/>
      <w:sz w:val="20"/>
      <w:szCs w:val="20"/>
    </w:rPr>
  </w:style>
  <w:style w:type="paragraph" w:styleId="12">
    <w:name w:val="annotation text"/>
    <w:basedOn w:val="1"/>
    <w:link w:val="43"/>
    <w:autoRedefine/>
    <w:qFormat/>
    <w:uiPriority w:val="0"/>
    <w:pPr>
      <w:spacing w:line="240" w:lineRule="auto"/>
    </w:pPr>
    <w:rPr>
      <w:rFonts w:eastAsiaTheme="minorEastAsia"/>
      <w:sz w:val="21"/>
      <w:szCs w:val="24"/>
    </w:rPr>
  </w:style>
  <w:style w:type="paragraph" w:styleId="13">
    <w:name w:val="Body Text"/>
    <w:basedOn w:val="1"/>
    <w:link w:val="47"/>
    <w:autoRedefine/>
    <w:qFormat/>
    <w:uiPriority w:val="99"/>
    <w:pPr>
      <w:spacing w:after="120" w:line="240" w:lineRule="auto"/>
      <w:jc w:val="both"/>
    </w:pPr>
    <w:rPr>
      <w:rFonts w:eastAsiaTheme="minorEastAsia"/>
      <w:sz w:val="21"/>
      <w:szCs w:val="24"/>
    </w:rPr>
  </w:style>
  <w:style w:type="paragraph" w:styleId="14">
    <w:name w:val="Body Text Indent"/>
    <w:basedOn w:val="1"/>
    <w:autoRedefine/>
    <w:unhideWhenUsed/>
    <w:qFormat/>
    <w:uiPriority w:val="0"/>
    <w:pPr>
      <w:ind w:firstLine="630"/>
    </w:pPr>
    <w:rPr>
      <w:rFonts w:eastAsia="仿宋_GB2312"/>
      <w:kern w:val="0"/>
      <w:sz w:val="32"/>
      <w:szCs w:val="20"/>
    </w:rPr>
  </w:style>
  <w:style w:type="paragraph" w:styleId="15">
    <w:name w:val="toc 5"/>
    <w:basedOn w:val="1"/>
    <w:next w:val="1"/>
    <w:autoRedefine/>
    <w:unhideWhenUsed/>
    <w:qFormat/>
    <w:uiPriority w:val="39"/>
    <w:pPr>
      <w:ind w:left="960"/>
    </w:pPr>
    <w:rPr>
      <w:rFonts w:asciiTheme="minorHAnsi" w:eastAsiaTheme="minorHAnsi"/>
      <w:sz w:val="18"/>
      <w:szCs w:val="18"/>
    </w:rPr>
  </w:style>
  <w:style w:type="paragraph" w:styleId="16">
    <w:name w:val="toc 3"/>
    <w:basedOn w:val="1"/>
    <w:next w:val="1"/>
    <w:autoRedefine/>
    <w:unhideWhenUsed/>
    <w:qFormat/>
    <w:uiPriority w:val="39"/>
    <w:pPr>
      <w:ind w:left="480"/>
    </w:pPr>
    <w:rPr>
      <w:rFonts w:asciiTheme="minorHAnsi" w:eastAsiaTheme="minorHAnsi"/>
      <w:i/>
      <w:iCs/>
      <w:sz w:val="20"/>
      <w:szCs w:val="20"/>
    </w:rPr>
  </w:style>
  <w:style w:type="paragraph" w:styleId="17">
    <w:name w:val="Plain Text"/>
    <w:basedOn w:val="1"/>
    <w:autoRedefine/>
    <w:unhideWhenUsed/>
    <w:qFormat/>
    <w:uiPriority w:val="0"/>
    <w:rPr>
      <w:rFonts w:ascii="宋体" w:hAnsi="Courier New"/>
      <w:kern w:val="0"/>
      <w:sz w:val="20"/>
      <w:szCs w:val="20"/>
    </w:rPr>
  </w:style>
  <w:style w:type="paragraph" w:styleId="18">
    <w:name w:val="toc 8"/>
    <w:basedOn w:val="1"/>
    <w:next w:val="1"/>
    <w:autoRedefine/>
    <w:unhideWhenUsed/>
    <w:qFormat/>
    <w:uiPriority w:val="39"/>
    <w:pPr>
      <w:ind w:left="1680"/>
    </w:pPr>
    <w:rPr>
      <w:rFonts w:asciiTheme="minorHAnsi" w:eastAsiaTheme="minorHAnsi"/>
      <w:sz w:val="18"/>
      <w:szCs w:val="18"/>
    </w:rPr>
  </w:style>
  <w:style w:type="paragraph" w:styleId="19">
    <w:name w:val="footer"/>
    <w:basedOn w:val="1"/>
    <w:link w:val="41"/>
    <w:autoRedefine/>
    <w:unhideWhenUsed/>
    <w:qFormat/>
    <w:uiPriority w:val="99"/>
    <w:pPr>
      <w:tabs>
        <w:tab w:val="center" w:pos="4153"/>
        <w:tab w:val="right" w:pos="8306"/>
      </w:tabs>
      <w:snapToGrid w:val="0"/>
      <w:spacing w:line="240" w:lineRule="auto"/>
    </w:pPr>
    <w:rPr>
      <w:sz w:val="18"/>
      <w:szCs w:val="18"/>
    </w:rPr>
  </w:style>
  <w:style w:type="paragraph" w:styleId="20">
    <w:name w:val="envelope return"/>
    <w:basedOn w:val="1"/>
    <w:qFormat/>
    <w:uiPriority w:val="0"/>
    <w:pPr>
      <w:snapToGrid w:val="0"/>
    </w:pPr>
    <w:rPr>
      <w:rFonts w:ascii="Arial" w:hAnsi="Arial"/>
    </w:rPr>
  </w:style>
  <w:style w:type="paragraph" w:styleId="21">
    <w:name w:val="header"/>
    <w:basedOn w:val="1"/>
    <w:link w:val="40"/>
    <w:autoRedefine/>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22">
    <w:name w:val="toc 1"/>
    <w:basedOn w:val="1"/>
    <w:next w:val="1"/>
    <w:autoRedefine/>
    <w:unhideWhenUsed/>
    <w:qFormat/>
    <w:uiPriority w:val="39"/>
    <w:pPr>
      <w:spacing w:before="120" w:after="120"/>
    </w:pPr>
    <w:rPr>
      <w:rFonts w:asciiTheme="minorHAnsi" w:eastAsiaTheme="minorHAnsi"/>
      <w:b/>
      <w:bCs/>
      <w:caps/>
      <w:sz w:val="20"/>
      <w:szCs w:val="20"/>
    </w:rPr>
  </w:style>
  <w:style w:type="paragraph" w:styleId="23">
    <w:name w:val="toc 4"/>
    <w:basedOn w:val="1"/>
    <w:next w:val="1"/>
    <w:autoRedefine/>
    <w:unhideWhenUsed/>
    <w:qFormat/>
    <w:uiPriority w:val="39"/>
    <w:pPr>
      <w:ind w:left="720"/>
    </w:pPr>
    <w:rPr>
      <w:rFonts w:asciiTheme="minorHAnsi" w:eastAsiaTheme="minorHAnsi"/>
      <w:sz w:val="18"/>
      <w:szCs w:val="18"/>
    </w:rPr>
  </w:style>
  <w:style w:type="paragraph" w:styleId="24">
    <w:name w:val="footnote text"/>
    <w:basedOn w:val="1"/>
    <w:qFormat/>
    <w:uiPriority w:val="0"/>
    <w:pPr>
      <w:widowControl/>
      <w:jc w:val="left"/>
    </w:pPr>
    <w:rPr>
      <w:kern w:val="0"/>
      <w:sz w:val="20"/>
      <w:szCs w:val="20"/>
      <w:lang w:val="de-DE"/>
    </w:rPr>
  </w:style>
  <w:style w:type="paragraph" w:styleId="25">
    <w:name w:val="toc 6"/>
    <w:basedOn w:val="1"/>
    <w:next w:val="1"/>
    <w:autoRedefine/>
    <w:unhideWhenUsed/>
    <w:qFormat/>
    <w:uiPriority w:val="39"/>
    <w:pPr>
      <w:ind w:left="1200"/>
    </w:pPr>
    <w:rPr>
      <w:rFonts w:asciiTheme="minorHAnsi" w:eastAsiaTheme="minorHAnsi"/>
      <w:sz w:val="18"/>
      <w:szCs w:val="18"/>
    </w:rPr>
  </w:style>
  <w:style w:type="paragraph" w:styleId="26">
    <w:name w:val="toc 2"/>
    <w:basedOn w:val="1"/>
    <w:next w:val="1"/>
    <w:autoRedefine/>
    <w:unhideWhenUsed/>
    <w:qFormat/>
    <w:uiPriority w:val="39"/>
    <w:pPr>
      <w:ind w:left="240"/>
    </w:pPr>
    <w:rPr>
      <w:rFonts w:asciiTheme="minorHAnsi" w:eastAsiaTheme="minorHAnsi"/>
      <w:smallCaps/>
      <w:sz w:val="20"/>
      <w:szCs w:val="20"/>
    </w:rPr>
  </w:style>
  <w:style w:type="paragraph" w:styleId="27">
    <w:name w:val="toc 9"/>
    <w:basedOn w:val="1"/>
    <w:next w:val="1"/>
    <w:autoRedefine/>
    <w:unhideWhenUsed/>
    <w:qFormat/>
    <w:uiPriority w:val="39"/>
    <w:pPr>
      <w:ind w:left="1920"/>
    </w:pPr>
    <w:rPr>
      <w:rFonts w:asciiTheme="minorHAnsi" w:eastAsiaTheme="minorHAnsi"/>
      <w:sz w:val="18"/>
      <w:szCs w:val="18"/>
    </w:rPr>
  </w:style>
  <w:style w:type="paragraph" w:styleId="28">
    <w:name w:val="annotation subject"/>
    <w:basedOn w:val="12"/>
    <w:next w:val="12"/>
    <w:link w:val="51"/>
    <w:autoRedefine/>
    <w:semiHidden/>
    <w:unhideWhenUsed/>
    <w:qFormat/>
    <w:uiPriority w:val="99"/>
    <w:pPr>
      <w:spacing w:line="360" w:lineRule="auto"/>
    </w:pPr>
    <w:rPr>
      <w:rFonts w:eastAsia="宋体"/>
      <w:b/>
      <w:bCs/>
      <w:sz w:val="24"/>
      <w:szCs w:val="22"/>
    </w:rPr>
  </w:style>
  <w:style w:type="paragraph" w:styleId="29">
    <w:name w:val="Body Text First Indent 2"/>
    <w:basedOn w:val="14"/>
    <w:next w:val="1"/>
    <w:autoRedefine/>
    <w:qFormat/>
    <w:uiPriority w:val="0"/>
    <w:pPr>
      <w:snapToGrid/>
      <w:spacing w:after="120" w:line="240" w:lineRule="auto"/>
      <w:ind w:left="420" w:leftChars="200" w:right="0" w:firstLine="420" w:firstLineChars="200"/>
    </w:pPr>
    <w:rPr>
      <w:rFonts w:ascii="Times New Roman" w:eastAsia="宋体"/>
      <w:spacing w:val="0"/>
      <w:sz w:val="21"/>
      <w:szCs w:val="24"/>
    </w:rPr>
  </w:style>
  <w:style w:type="table" w:styleId="31">
    <w:name w:val="Table Grid"/>
    <w:basedOn w:val="30"/>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Strong"/>
    <w:autoRedefine/>
    <w:qFormat/>
    <w:uiPriority w:val="0"/>
    <w:rPr>
      <w:b/>
      <w:bCs/>
    </w:rPr>
  </w:style>
  <w:style w:type="character" w:styleId="34">
    <w:name w:val="Hyperlink"/>
    <w:basedOn w:val="32"/>
    <w:autoRedefine/>
    <w:unhideWhenUsed/>
    <w:qFormat/>
    <w:uiPriority w:val="99"/>
    <w:rPr>
      <w:color w:val="0563C1" w:themeColor="hyperlink"/>
      <w:u w:val="single"/>
      <w14:textFill>
        <w14:solidFill>
          <w14:schemeClr w14:val="hlink"/>
        </w14:solidFill>
      </w14:textFill>
    </w:rPr>
  </w:style>
  <w:style w:type="character" w:styleId="35">
    <w:name w:val="annotation reference"/>
    <w:basedOn w:val="32"/>
    <w:autoRedefine/>
    <w:qFormat/>
    <w:uiPriority w:val="0"/>
    <w:rPr>
      <w:sz w:val="21"/>
      <w:szCs w:val="21"/>
    </w:rPr>
  </w:style>
  <w:style w:type="paragraph" w:customStyle="1" w:styleId="36">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37">
    <w:name w:val="正文缩进2"/>
    <w:basedOn w:val="1"/>
    <w:autoRedefine/>
    <w:qFormat/>
    <w:uiPriority w:val="0"/>
    <w:pPr>
      <w:wordWrap w:val="0"/>
      <w:ind w:firstLine="480"/>
    </w:pPr>
    <w:rPr>
      <w:iCs/>
      <w:shd w:val="clear" w:color="auto" w:fill="FFFFFF" w:themeFill="background1"/>
      <w:lang w:val="zh-CN"/>
    </w:rPr>
  </w:style>
  <w:style w:type="character" w:customStyle="1" w:styleId="38">
    <w:name w:val="标题 1 字符"/>
    <w:basedOn w:val="32"/>
    <w:link w:val="2"/>
    <w:autoRedefine/>
    <w:qFormat/>
    <w:uiPriority w:val="9"/>
    <w:rPr>
      <w:rFonts w:eastAsia="黑体"/>
      <w:b/>
      <w:bCs/>
      <w:kern w:val="44"/>
      <w:sz w:val="44"/>
      <w:szCs w:val="44"/>
    </w:rPr>
  </w:style>
  <w:style w:type="paragraph" w:styleId="39">
    <w:name w:val="List Paragraph"/>
    <w:basedOn w:val="1"/>
    <w:autoRedefine/>
    <w:qFormat/>
    <w:uiPriority w:val="34"/>
    <w:pPr>
      <w:numPr>
        <w:ilvl w:val="0"/>
        <w:numId w:val="2"/>
      </w:numPr>
    </w:pPr>
  </w:style>
  <w:style w:type="character" w:customStyle="1" w:styleId="40">
    <w:name w:val="页眉 字符"/>
    <w:basedOn w:val="32"/>
    <w:link w:val="21"/>
    <w:autoRedefine/>
    <w:qFormat/>
    <w:uiPriority w:val="99"/>
    <w:rPr>
      <w:rFonts w:eastAsia="宋体"/>
      <w:sz w:val="18"/>
      <w:szCs w:val="18"/>
    </w:rPr>
  </w:style>
  <w:style w:type="character" w:customStyle="1" w:styleId="41">
    <w:name w:val="页脚 字符"/>
    <w:basedOn w:val="32"/>
    <w:link w:val="19"/>
    <w:autoRedefine/>
    <w:qFormat/>
    <w:uiPriority w:val="99"/>
    <w:rPr>
      <w:rFonts w:eastAsia="宋体"/>
      <w:sz w:val="18"/>
      <w:szCs w:val="18"/>
    </w:rPr>
  </w:style>
  <w:style w:type="character" w:customStyle="1" w:styleId="42">
    <w:name w:val="标题 2 字符"/>
    <w:basedOn w:val="32"/>
    <w:link w:val="3"/>
    <w:autoRedefine/>
    <w:qFormat/>
    <w:uiPriority w:val="0"/>
    <w:rPr>
      <w:rFonts w:eastAsia="宋体" w:asciiTheme="majorHAnsi" w:hAnsiTheme="majorHAnsi" w:cstheme="majorBidi"/>
      <w:b/>
      <w:bCs/>
      <w:sz w:val="32"/>
      <w:szCs w:val="32"/>
    </w:rPr>
  </w:style>
  <w:style w:type="character" w:customStyle="1" w:styleId="43">
    <w:name w:val="批注文字 字符"/>
    <w:basedOn w:val="32"/>
    <w:link w:val="12"/>
    <w:autoRedefine/>
    <w:qFormat/>
    <w:uiPriority w:val="0"/>
    <w:rPr>
      <w:szCs w:val="24"/>
    </w:rPr>
  </w:style>
  <w:style w:type="paragraph" w:customStyle="1" w:styleId="44">
    <w:name w:val="Char1 Char Char Char"/>
    <w:basedOn w:val="1"/>
    <w:autoRedefine/>
    <w:qFormat/>
    <w:uiPriority w:val="0"/>
    <w:pPr>
      <w:adjustRightInd w:val="0"/>
      <w:jc w:val="both"/>
    </w:pPr>
    <w:rPr>
      <w:rFonts w:ascii="Times New Roman" w:hAnsi="Times New Roman" w:cs="Times New Roman"/>
      <w:kern w:val="0"/>
      <w:szCs w:val="20"/>
    </w:rPr>
  </w:style>
  <w:style w:type="character" w:customStyle="1" w:styleId="45">
    <w:name w:val="标题 3 字符"/>
    <w:basedOn w:val="32"/>
    <w:link w:val="4"/>
    <w:autoRedefine/>
    <w:qFormat/>
    <w:uiPriority w:val="9"/>
    <w:rPr>
      <w:rFonts w:eastAsia="宋体"/>
      <w:b/>
      <w:bCs/>
      <w:sz w:val="30"/>
      <w:szCs w:val="32"/>
    </w:rPr>
  </w:style>
  <w:style w:type="character" w:customStyle="1" w:styleId="46">
    <w:name w:val="标题 4 字符"/>
    <w:basedOn w:val="32"/>
    <w:link w:val="5"/>
    <w:autoRedefine/>
    <w:qFormat/>
    <w:uiPriority w:val="9"/>
    <w:rPr>
      <w:rFonts w:eastAsia="宋体" w:asciiTheme="majorHAnsi" w:hAnsiTheme="majorHAnsi" w:cstheme="majorBidi"/>
      <w:b/>
      <w:bCs/>
      <w:sz w:val="28"/>
      <w:szCs w:val="28"/>
    </w:rPr>
  </w:style>
  <w:style w:type="character" w:customStyle="1" w:styleId="47">
    <w:name w:val="正文文本 字符"/>
    <w:basedOn w:val="32"/>
    <w:link w:val="13"/>
    <w:autoRedefine/>
    <w:qFormat/>
    <w:uiPriority w:val="99"/>
    <w:rPr>
      <w:szCs w:val="24"/>
    </w:rPr>
  </w:style>
  <w:style w:type="paragraph" w:customStyle="1" w:styleId="48">
    <w:name w:val="样式"/>
    <w:basedOn w:val="1"/>
    <w:autoRedefine/>
    <w:qFormat/>
    <w:uiPriority w:val="0"/>
    <w:pPr>
      <w:autoSpaceDE w:val="0"/>
      <w:autoSpaceDN w:val="0"/>
      <w:snapToGrid w:val="0"/>
      <w:spacing w:before="120" w:after="120"/>
      <w:jc w:val="both"/>
    </w:pPr>
    <w:rPr>
      <w:rFonts w:hAnsi="Times New Roman" w:cs="Times New Roman"/>
      <w:kern w:val="0"/>
      <w:szCs w:val="20"/>
    </w:rPr>
  </w:style>
  <w:style w:type="paragraph" w:styleId="49">
    <w:name w:val="No Spacing"/>
    <w:autoRedefine/>
    <w:qFormat/>
    <w:uiPriority w:val="1"/>
    <w:pPr>
      <w:widowControl w:val="0"/>
    </w:pPr>
    <w:rPr>
      <w:rFonts w:ascii="宋体" w:hAnsi="宋体" w:eastAsia="宋体" w:cstheme="minorBidi"/>
      <w:kern w:val="2"/>
      <w:sz w:val="24"/>
      <w:szCs w:val="22"/>
      <w:lang w:val="en-US" w:eastAsia="zh-CN" w:bidi="ar-SA"/>
    </w:rPr>
  </w:style>
  <w:style w:type="character" w:customStyle="1" w:styleId="50">
    <w:name w:val="未处理的提及1"/>
    <w:basedOn w:val="32"/>
    <w:autoRedefine/>
    <w:semiHidden/>
    <w:unhideWhenUsed/>
    <w:qFormat/>
    <w:uiPriority w:val="99"/>
    <w:rPr>
      <w:color w:val="605E5C"/>
      <w:shd w:val="clear" w:color="auto" w:fill="E1DFDD"/>
    </w:rPr>
  </w:style>
  <w:style w:type="character" w:customStyle="1" w:styleId="51">
    <w:name w:val="批注主题 字符"/>
    <w:basedOn w:val="43"/>
    <w:link w:val="28"/>
    <w:autoRedefine/>
    <w:semiHidden/>
    <w:qFormat/>
    <w:uiPriority w:val="99"/>
    <w:rPr>
      <w:rFonts w:ascii="宋体" w:hAnsi="宋体" w:cstheme="minorBidi"/>
      <w:b/>
      <w:bCs/>
      <w:kern w:val="2"/>
      <w:sz w:val="24"/>
      <w:szCs w:val="22"/>
    </w:rPr>
  </w:style>
  <w:style w:type="character" w:customStyle="1" w:styleId="52">
    <w:name w:val="未处理的提及2"/>
    <w:basedOn w:val="32"/>
    <w:autoRedefine/>
    <w:semiHidden/>
    <w:unhideWhenUsed/>
    <w:qFormat/>
    <w:uiPriority w:val="99"/>
    <w:rPr>
      <w:color w:val="605E5C"/>
      <w:shd w:val="clear" w:color="auto" w:fill="E1DFDD"/>
    </w:rPr>
  </w:style>
  <w:style w:type="paragraph" w:customStyle="1" w:styleId="53">
    <w:name w:val="正文_2"/>
    <w:basedOn w:val="54"/>
    <w:autoRedefine/>
    <w:qFormat/>
    <w:uiPriority w:val="0"/>
    <w:pPr>
      <w:widowControl w:val="0"/>
      <w:jc w:val="both"/>
    </w:pPr>
    <w:rPr>
      <w:rFonts w:ascii="Calibri" w:hAnsi="Calibri" w:eastAsia="宋体" w:cs="Times New Roman"/>
      <w:lang w:val="en-US" w:eastAsia="zh-CN" w:bidi="ar-SA"/>
    </w:rPr>
  </w:style>
  <w:style w:type="paragraph" w:customStyle="1" w:styleId="54">
    <w:name w:val="正文_3"/>
    <w:basedOn w:val="55"/>
    <w:qFormat/>
    <w:uiPriority w:val="0"/>
    <w:pPr>
      <w:widowControl w:val="0"/>
      <w:jc w:val="both"/>
    </w:pPr>
    <w:rPr>
      <w:rFonts w:ascii="Calibri" w:hAnsi="Calibri" w:eastAsia="宋体" w:cs="Times New Roman"/>
      <w:kern w:val="2"/>
      <w:sz w:val="21"/>
      <w:szCs w:val="22"/>
      <w:lang w:val="en-US" w:eastAsia="zh-CN" w:bidi="ar-SA"/>
    </w:rPr>
  </w:style>
  <w:style w:type="paragraph" w:customStyle="1" w:styleId="55">
    <w:name w:val="正文_4"/>
    <w:next w:val="56"/>
    <w:qFormat/>
    <w:uiPriority w:val="0"/>
    <w:pPr>
      <w:widowControl w:val="0"/>
      <w:jc w:val="both"/>
    </w:pPr>
    <w:rPr>
      <w:rFonts w:ascii="Calibri" w:hAnsi="Calibri" w:eastAsia="宋体" w:cs="Times New Roman"/>
      <w:kern w:val="2"/>
      <w:sz w:val="21"/>
      <w:szCs w:val="22"/>
      <w:lang w:val="en-US" w:eastAsia="zh-CN" w:bidi="ar-SA"/>
    </w:rPr>
  </w:style>
  <w:style w:type="paragraph" w:customStyle="1" w:styleId="56">
    <w:name w:val="首行缩进"/>
    <w:basedOn w:val="55"/>
    <w:qFormat/>
    <w:uiPriority w:val="0"/>
    <w:pPr>
      <w:ind w:firstLine="480" w:firstLineChars="200"/>
    </w:pPr>
    <w:rPr>
      <w:lang w:val="zh-CN"/>
    </w:rPr>
  </w:style>
  <w:style w:type="paragraph" w:customStyle="1" w:styleId="57">
    <w:name w:val="Normal"/>
    <w:autoRedefine/>
    <w:qFormat/>
    <w:uiPriority w:val="0"/>
    <w:pPr>
      <w:widowControl w:val="0"/>
      <w:jc w:val="both"/>
    </w:pPr>
    <w:rPr>
      <w:rFonts w:ascii="Times New Roman" w:hAnsi="Times New Roman" w:eastAsia="Times New Roman" w:cs="Times New Roman"/>
      <w:lang w:val="en-US" w:eastAsia="zh-CN" w:bidi="ar-SA"/>
    </w:rPr>
  </w:style>
  <w:style w:type="paragraph" w:customStyle="1" w:styleId="58">
    <w:name w:val="正文_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9">
    <w:name w:val="正文_2_0_0"/>
    <w:autoRedefine/>
    <w:qFormat/>
    <w:uiPriority w:val="99"/>
    <w:pPr>
      <w:widowControl w:val="0"/>
      <w:jc w:val="both"/>
    </w:pPr>
    <w:rPr>
      <w:rFonts w:ascii="Calibri" w:hAnsi="Calibri" w:eastAsia="宋体" w:cs="Times New Roman"/>
      <w:lang w:val="en-US" w:eastAsia="zh-CN" w:bidi="ar-SA"/>
    </w:rPr>
  </w:style>
  <w:style w:type="paragraph" w:customStyle="1" w:styleId="60">
    <w:name w:val="正文_1_1"/>
    <w:autoRedefine/>
    <w:qFormat/>
    <w:uiPriority w:val="99"/>
    <w:pPr>
      <w:widowControl w:val="0"/>
      <w:jc w:val="both"/>
    </w:pPr>
    <w:rPr>
      <w:rFonts w:ascii="Calibri" w:hAnsi="Calibri" w:eastAsia="宋体" w:cs="Times New Roman"/>
      <w:kern w:val="2"/>
      <w:sz w:val="21"/>
      <w:szCs w:val="24"/>
      <w:lang w:val="en-US" w:eastAsia="zh-CN" w:bidi="ar-SA"/>
    </w:rPr>
  </w:style>
  <w:style w:type="paragraph" w:customStyle="1" w:styleId="61">
    <w:name w:val="Normal Indent1"/>
    <w:basedOn w:val="1"/>
    <w:autoRedefine/>
    <w:qFormat/>
    <w:uiPriority w:val="0"/>
    <w:pPr>
      <w:ind w:firstLine="420" w:firstLineChars="200"/>
    </w:pPr>
  </w:style>
  <w:style w:type="paragraph" w:customStyle="1" w:styleId="62">
    <w:name w:val="LO-Normal"/>
    <w:autoRedefine/>
    <w:qFormat/>
    <w:uiPriority w:val="0"/>
    <w:pPr>
      <w:suppressAutoHyphens/>
    </w:pPr>
    <w:rPr>
      <w:rFonts w:ascii="Times New Roman" w:hAnsi="Times New Roman" w:eastAsia="宋体" w:cs="Times New Roman"/>
      <w:sz w:val="24"/>
      <w:szCs w:val="24"/>
      <w:lang w:val="en-US" w:eastAsia="zh-CN" w:bidi="ar-SA"/>
    </w:rPr>
  </w:style>
  <w:style w:type="paragraph" w:customStyle="1" w:styleId="63">
    <w:name w:val="Normal_22"/>
    <w:autoRedefine/>
    <w:qFormat/>
    <w:uiPriority w:val="0"/>
    <w:rPr>
      <w:rFonts w:ascii="Times New Roman" w:hAnsi="Times New Roman" w:eastAsia="Times New Roman" w:cs="Times New Roman"/>
      <w:sz w:val="24"/>
      <w:szCs w:val="24"/>
      <w:lang w:bidi="ar-SA"/>
    </w:rPr>
  </w:style>
  <w:style w:type="paragraph" w:customStyle="1" w:styleId="64">
    <w:name w:val="正文_6_0"/>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65">
    <w:name w:val="正文_0_0_0 Char"/>
    <w:link w:val="66"/>
    <w:autoRedefine/>
    <w:qFormat/>
    <w:locked/>
    <w:uiPriority w:val="0"/>
    <w:rPr>
      <w:rFonts w:ascii="Calibri" w:hAnsi="Calibri" w:cs="Calibri"/>
      <w:kern w:val="2"/>
      <w:sz w:val="28"/>
      <w:szCs w:val="22"/>
      <w:lang w:val="en-US" w:eastAsia="zh-CN" w:bidi="ar-SA"/>
    </w:rPr>
  </w:style>
  <w:style w:type="paragraph" w:customStyle="1" w:styleId="66">
    <w:name w:val="正文_0_0_0_0_0"/>
    <w:link w:val="65"/>
    <w:autoRedefine/>
    <w:qFormat/>
    <w:uiPriority w:val="0"/>
    <w:pPr>
      <w:spacing w:before="120" w:after="120" w:line="360" w:lineRule="auto"/>
      <w:ind w:left="1072" w:hanging="1072"/>
      <w:jc w:val="both"/>
    </w:pPr>
    <w:rPr>
      <w:rFonts w:ascii="Calibri" w:hAnsi="Calibri" w:eastAsia="宋体" w:cs="Calibri"/>
      <w:kern w:val="2"/>
      <w:sz w:val="28"/>
      <w:szCs w:val="22"/>
      <w:lang w:val="en-US" w:eastAsia="zh-CN" w:bidi="ar-SA"/>
    </w:rPr>
  </w:style>
  <w:style w:type="paragraph" w:customStyle="1" w:styleId="67">
    <w:name w:val="正文文本_0_1"/>
    <w:basedOn w:val="68"/>
    <w:autoRedefine/>
    <w:qFormat/>
    <w:uiPriority w:val="99"/>
    <w:pPr>
      <w:spacing w:after="120"/>
    </w:pPr>
    <w:rPr>
      <w:rFonts w:ascii="Calibri" w:hAnsi="Calibri" w:eastAsia="宋体"/>
      <w:kern w:val="0"/>
      <w:sz w:val="24"/>
      <w:szCs w:val="20"/>
    </w:rPr>
  </w:style>
  <w:style w:type="paragraph" w:customStyle="1" w:styleId="68">
    <w:name w:val="正文_6_0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69">
    <w:name w:val="Table Paragraph_1"/>
    <w:basedOn w:val="68"/>
    <w:autoRedefine/>
    <w:qFormat/>
    <w:uiPriority w:val="0"/>
    <w:pPr>
      <w:jc w:val="left"/>
    </w:pPr>
    <w:rPr>
      <w:rFonts w:ascii="Calibri" w:hAnsi="Calibri" w:eastAsia="宋体"/>
      <w:kern w:val="0"/>
      <w:sz w:val="22"/>
      <w:lang w:eastAsia="en-US"/>
    </w:rPr>
  </w:style>
  <w:style w:type="paragraph" w:customStyle="1" w:styleId="70">
    <w:name w:val="正文_6"/>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71">
    <w:name w:val="正文1"/>
    <w:autoRedefine/>
    <w:qFormat/>
    <w:uiPriority w:val="0"/>
    <w:pPr>
      <w:widowControl w:val="0"/>
      <w:jc w:val="both"/>
    </w:pPr>
    <w:rPr>
      <w:rFonts w:ascii="Calibri" w:hAnsi="Calibri" w:eastAsia="宋体" w:cs="Times New Roman"/>
      <w:lang w:val="en-US" w:eastAsia="zh-CN" w:bidi="ar-SA"/>
    </w:rPr>
  </w:style>
  <w:style w:type="paragraph" w:customStyle="1" w:styleId="72">
    <w:name w:val="列出段落1"/>
    <w:basedOn w:val="1"/>
    <w:autoRedefine/>
    <w:qFormat/>
    <w:uiPriority w:val="0"/>
    <w:pPr>
      <w:ind w:firstLine="420" w:firstLineChars="200"/>
    </w:pPr>
    <w:rPr>
      <w:szCs w:val="21"/>
    </w:rPr>
  </w:style>
  <w:style w:type="paragraph" w:customStyle="1" w:styleId="73">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74">
    <w:name w:val="正文2"/>
    <w:basedOn w:val="1"/>
    <w:qFormat/>
    <w:uiPriority w:val="0"/>
    <w:pPr>
      <w:spacing w:before="156" w:line="360" w:lineRule="auto"/>
      <w:ind w:firstLine="510" w:firstLineChars="200"/>
    </w:pPr>
    <w:rPr>
      <w:sz w:val="24"/>
      <w:szCs w:val="20"/>
    </w:rPr>
  </w:style>
  <w:style w:type="paragraph" w:customStyle="1" w:styleId="75">
    <w:name w:val="Char Char Char Char Char Char Char1 Char"/>
    <w:basedOn w:val="1"/>
    <w:autoRedefine/>
    <w:qFormat/>
    <w:uiPriority w:val="0"/>
    <w:rPr>
      <w:rFonts w:ascii="Arial" w:hAnsi="Arial" w:eastAsia="宋体" w:cs="Arial"/>
      <w:sz w:val="24"/>
    </w:rPr>
  </w:style>
  <w:style w:type="paragraph" w:customStyle="1" w:styleId="76">
    <w:name w:val="正文缩进2格"/>
    <w:basedOn w:val="1"/>
    <w:qFormat/>
    <w:uiPriority w:val="0"/>
    <w:pPr>
      <w:spacing w:line="600" w:lineRule="exact"/>
      <w:ind w:firstLine="639" w:firstLineChars="206"/>
    </w:pPr>
    <w:rPr>
      <w:rFonts w:ascii="仿宋_GB2312" w:hAnsi="宋体" w:eastAsia="仿宋_GB2312"/>
      <w:kern w:val="0"/>
      <w:sz w:val="31"/>
      <w:szCs w:val="20"/>
    </w:rPr>
  </w:style>
  <w:style w:type="character" w:customStyle="1" w:styleId="77">
    <w:name w:val="font11"/>
    <w:basedOn w:val="32"/>
    <w:qFormat/>
    <w:uiPriority w:val="0"/>
    <w:rPr>
      <w:rFonts w:hint="eastAsia" w:ascii="方正仿宋_GB2312" w:hAnsi="方正仿宋_GB2312" w:eastAsia="方正仿宋_GB2312" w:cs="方正仿宋_GB2312"/>
      <w:color w:val="000000"/>
      <w:sz w:val="20"/>
      <w:szCs w:val="20"/>
      <w:u w:val="none"/>
    </w:rPr>
  </w:style>
  <w:style w:type="character" w:customStyle="1" w:styleId="78">
    <w:name w:val="font21"/>
    <w:basedOn w:val="32"/>
    <w:qFormat/>
    <w:uiPriority w:val="0"/>
    <w:rPr>
      <w:rFonts w:hint="eastAsia" w:ascii="宋体" w:hAnsi="宋体" w:eastAsia="宋体" w:cs="宋体"/>
      <w:color w:val="000000"/>
      <w:sz w:val="20"/>
      <w:szCs w:val="20"/>
      <w:u w:val="none"/>
    </w:rPr>
  </w:style>
  <w:style w:type="paragraph" w:customStyle="1" w:styleId="79">
    <w:name w:val="公标题"/>
    <w:basedOn w:val="1"/>
    <w:qFormat/>
    <w:uiPriority w:val="0"/>
    <w:pPr>
      <w:autoSpaceDE w:val="0"/>
      <w:autoSpaceDN w:val="0"/>
      <w:spacing w:line="560" w:lineRule="exact"/>
      <w:jc w:val="center"/>
      <w:textAlignment w:val="baseline"/>
    </w:pPr>
    <w:rPr>
      <w:rFonts w:hint="eastAsia" w:ascii="Times New Roman" w:hAnsi="Times New Roman" w:eastAsia="方正小标宋简体" w:cs="Times New Roman"/>
      <w:sz w:val="44"/>
      <w:szCs w:val="44"/>
    </w:rPr>
  </w:style>
  <w:style w:type="character" w:customStyle="1" w:styleId="80">
    <w:name w:val="公二级标题 Char"/>
    <w:link w:val="81"/>
    <w:qFormat/>
    <w:uiPriority w:val="0"/>
    <w:rPr>
      <w:rFonts w:hint="eastAsia" w:ascii="Times New Roman" w:hAnsi="Times New Roman" w:eastAsia="方正楷体简体" w:cs="方正楷体简体"/>
      <w:color w:val="auto"/>
      <w:sz w:val="32"/>
      <w:szCs w:val="40"/>
    </w:rPr>
  </w:style>
  <w:style w:type="paragraph" w:customStyle="1" w:styleId="81">
    <w:name w:val="公二级标题"/>
    <w:basedOn w:val="1"/>
    <w:link w:val="80"/>
    <w:qFormat/>
    <w:uiPriority w:val="0"/>
    <w:pPr>
      <w:widowControl/>
      <w:spacing w:line="560" w:lineRule="exact"/>
      <w:ind w:firstLine="608" w:firstLineChars="200"/>
      <w:jc w:val="left"/>
    </w:pPr>
    <w:rPr>
      <w:rFonts w:hint="eastAsia" w:ascii="Times New Roman" w:hAnsi="Times New Roman" w:eastAsia="方正楷体简体" w:cs="方正楷体简体"/>
      <w:color w:val="auto"/>
      <w:sz w:val="32"/>
      <w:szCs w:val="40"/>
    </w:rPr>
  </w:style>
  <w:style w:type="character" w:customStyle="1" w:styleId="82">
    <w:name w:val="font31"/>
    <w:basedOn w:val="32"/>
    <w:qFormat/>
    <w:uiPriority w:val="0"/>
    <w:rPr>
      <w:rFonts w:hint="eastAsia" w:ascii="宋体" w:hAnsi="宋体" w:eastAsia="宋体" w:cs="宋体"/>
      <w:color w:val="000000"/>
      <w:sz w:val="20"/>
      <w:szCs w:val="20"/>
      <w:u w:val="none"/>
    </w:rPr>
  </w:style>
  <w:style w:type="table" w:customStyle="1" w:styleId="83">
    <w:name w:val="Table Normal"/>
    <w:basedOn w:val="30"/>
    <w:unhideWhenUsed/>
    <w:qFormat/>
    <w:uiPriority w:val="0"/>
    <w:rPr>
      <w:rFonts w:ascii="Calibri" w:hAnsi="Calibri" w:eastAsia="宋体"/>
      <w:lang w:eastAsia="en-US"/>
    </w:rPr>
    <w:tblPr>
      <w:tblCellMar>
        <w:left w:w="0" w:type="dxa"/>
        <w:right w:w="0" w:type="dxa"/>
      </w:tblCellMar>
    </w:tblPr>
  </w:style>
  <w:style w:type="paragraph" w:customStyle="1" w:styleId="84">
    <w:name w:val="Table Text"/>
    <w:basedOn w:val="1"/>
    <w:semiHidden/>
    <w:qFormat/>
    <w:uiPriority w:val="0"/>
    <w:rPr>
      <w:rFonts w:ascii="Arial" w:hAnsi="Arial" w:eastAsia="Arial" w:cs="Arial"/>
      <w:sz w:val="28"/>
      <w:szCs w:val="28"/>
      <w:lang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118</Pages>
  <Words>17817</Words>
  <Characters>19355</Characters>
  <Lines>328</Lines>
  <Paragraphs>92</Paragraphs>
  <TotalTime>53</TotalTime>
  <ScaleCrop>false</ScaleCrop>
  <LinksUpToDate>false</LinksUpToDate>
  <CharactersWithSpaces>20895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2024-01-02T05:57:00Z</dcterms:created>
  <dc:creator>admin</dc:creator>
  <cp:lastModifiedBy>a--She</cp:lastModifiedBy>
  <cp:lastPrinted>2026-04-14T11:22:00Z</cp:lastPrinted>
  <dcterms:modified xsi:type="dcterms:W3CDTF">2026-04-28T10:58:22Z</dcterms:modified>
  <cp:revision>425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5174BDEBD8D04F9C87F735E7385C73CF_13</vt:lpwstr>
  </property>
  <property fmtid="{D5CDD505-2E9C-101B-9397-08002B2CF9AE}" pid="4" name="KSOTemplateDocerSaveRecord">
    <vt:lpwstr>eyJoZGlkIjoiNjBlNDcyNzlhYjU5MDc3Y2RhNzUzYmQ5N2NiYjNmZmEiLCJ1c2VySWQiOiIzMzY0NTU1NjUifQ==</vt:lpwstr>
  </property>
</Properties>
</file>