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3D378">
      <w:pPr>
        <w:spacing w:line="600" w:lineRule="exact"/>
        <w:rPr>
          <w:rFonts w:hAnsi="宋体"/>
          <w:b/>
          <w:color w:val="auto"/>
          <w:spacing w:val="50"/>
          <w:sz w:val="72"/>
          <w:szCs w:val="72"/>
          <w:highlight w:val="none"/>
        </w:rPr>
      </w:pPr>
      <w:bookmarkStart w:id="0" w:name="_Toc21670"/>
    </w:p>
    <w:p w14:paraId="3A0BB539">
      <w:pPr>
        <w:pStyle w:val="31"/>
        <w:keepNext w:val="0"/>
        <w:keepLines w:val="0"/>
        <w:pageBreakBefore w:val="0"/>
        <w:widowControl w:val="0"/>
        <w:kinsoku/>
        <w:wordWrap/>
        <w:overflowPunct/>
        <w:topLinePunct w:val="0"/>
        <w:autoSpaceDE w:val="0"/>
        <w:autoSpaceDN w:val="0"/>
        <w:bidi w:val="0"/>
        <w:adjustRightInd w:val="0"/>
        <w:snapToGrid/>
        <w:spacing w:line="900" w:lineRule="exact"/>
        <w:jc w:val="center"/>
        <w:textAlignment w:val="auto"/>
        <w:rPr>
          <w:rFonts w:hint="eastAsia" w:hAnsi="宋体" w:eastAsia="宋体"/>
          <w:b/>
          <w:bCs/>
          <w:color w:val="auto"/>
          <w:sz w:val="52"/>
          <w:szCs w:val="52"/>
          <w:highlight w:val="none"/>
          <w:lang w:eastAsia="zh-CN"/>
        </w:rPr>
      </w:pPr>
      <w:r>
        <w:rPr>
          <w:rFonts w:hint="eastAsia" w:hAnsi="宋体"/>
          <w:b/>
          <w:bCs/>
          <w:color w:val="auto"/>
          <w:sz w:val="52"/>
          <w:szCs w:val="52"/>
          <w:highlight w:val="none"/>
          <w:lang w:eastAsia="zh-CN"/>
        </w:rPr>
        <w:t>陇川县2026年义务教育薄弱环节改善与能力提升项目（洗碗机）</w:t>
      </w:r>
    </w:p>
    <w:p w14:paraId="08687782">
      <w:pPr>
        <w:rPr>
          <w:color w:val="auto"/>
          <w:highlight w:val="none"/>
        </w:rPr>
      </w:pPr>
    </w:p>
    <w:p w14:paraId="3F07A5D0">
      <w:pPr>
        <w:rPr>
          <w:color w:val="auto"/>
          <w:highlight w:val="none"/>
        </w:rPr>
      </w:pPr>
    </w:p>
    <w:p w14:paraId="2B9C1655">
      <w:pPr>
        <w:rPr>
          <w:color w:val="auto"/>
          <w:highlight w:val="none"/>
        </w:rPr>
      </w:pPr>
    </w:p>
    <w:p w14:paraId="7CBE180E">
      <w:pPr>
        <w:pStyle w:val="32"/>
        <w:ind w:firstLine="528"/>
        <w:rPr>
          <w:color w:val="auto"/>
          <w:highlight w:val="none"/>
        </w:rPr>
      </w:pPr>
    </w:p>
    <w:p w14:paraId="7DC8FA42">
      <w:pPr>
        <w:pStyle w:val="31"/>
        <w:rPr>
          <w:rFonts w:hAnsi="宋体"/>
          <w:b/>
          <w:bCs/>
          <w:color w:val="auto"/>
          <w:sz w:val="72"/>
          <w:highlight w:val="none"/>
        </w:rPr>
      </w:pPr>
    </w:p>
    <w:p w14:paraId="1B2C4AA8">
      <w:pPr>
        <w:pStyle w:val="11"/>
        <w:spacing w:line="360" w:lineRule="auto"/>
        <w:jc w:val="center"/>
        <w:rPr>
          <w:rFonts w:hAnsi="宋体"/>
          <w:b/>
          <w:bCs/>
          <w:color w:val="auto"/>
          <w:sz w:val="72"/>
          <w:szCs w:val="72"/>
          <w:highlight w:val="none"/>
        </w:rPr>
      </w:pPr>
      <w:r>
        <w:rPr>
          <w:rFonts w:hint="eastAsia" w:hAnsi="宋体"/>
          <w:b/>
          <w:bCs/>
          <w:color w:val="auto"/>
          <w:sz w:val="72"/>
          <w:szCs w:val="72"/>
          <w:highlight w:val="none"/>
        </w:rPr>
        <w:t>招标文件</w:t>
      </w:r>
    </w:p>
    <w:p w14:paraId="1BB4710B">
      <w:pPr>
        <w:spacing w:line="700" w:lineRule="exact"/>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招标编号：</w:t>
      </w:r>
      <w:r>
        <w:rPr>
          <w:rFonts w:hint="eastAsia" w:ascii="宋体" w:hAnsi="宋体" w:cs="宋体"/>
          <w:b/>
          <w:color w:val="auto"/>
          <w:sz w:val="28"/>
          <w:szCs w:val="28"/>
          <w:highlight w:val="none"/>
          <w:lang w:eastAsia="zh-CN"/>
        </w:rPr>
        <w:t>YNLYZB-2026-73</w:t>
      </w:r>
    </w:p>
    <w:p w14:paraId="7C998986">
      <w:pPr>
        <w:pStyle w:val="11"/>
        <w:spacing w:line="360" w:lineRule="auto"/>
        <w:jc w:val="center"/>
        <w:rPr>
          <w:rFonts w:hAnsi="宋体"/>
          <w:color w:val="auto"/>
          <w:sz w:val="28"/>
          <w:szCs w:val="28"/>
          <w:highlight w:val="none"/>
        </w:rPr>
      </w:pPr>
    </w:p>
    <w:p w14:paraId="3D92F42D">
      <w:pPr>
        <w:pStyle w:val="11"/>
        <w:spacing w:line="360" w:lineRule="auto"/>
        <w:rPr>
          <w:rFonts w:hAnsi="宋体"/>
          <w:color w:val="auto"/>
          <w:highlight w:val="none"/>
        </w:rPr>
      </w:pPr>
    </w:p>
    <w:p w14:paraId="7156615B">
      <w:pPr>
        <w:rPr>
          <w:color w:val="auto"/>
          <w:highlight w:val="none"/>
        </w:rPr>
      </w:pPr>
    </w:p>
    <w:p w14:paraId="4221D278">
      <w:pPr>
        <w:rPr>
          <w:color w:val="auto"/>
          <w:highlight w:val="none"/>
        </w:rPr>
      </w:pPr>
    </w:p>
    <w:p w14:paraId="1A67DDC9">
      <w:pPr>
        <w:rPr>
          <w:color w:val="auto"/>
          <w:highlight w:val="none"/>
        </w:rPr>
      </w:pPr>
    </w:p>
    <w:p w14:paraId="08DBFABD">
      <w:pPr>
        <w:pStyle w:val="5"/>
        <w:rPr>
          <w:color w:val="auto"/>
          <w:highlight w:val="none"/>
        </w:rPr>
      </w:pPr>
    </w:p>
    <w:p w14:paraId="1018C994">
      <w:pPr>
        <w:pStyle w:val="10"/>
        <w:spacing w:beforeLines="200" w:line="1000" w:lineRule="exact"/>
        <w:ind w:left="0" w:leftChars="0" w:firstLine="1506" w:firstLineChars="500"/>
        <w:rPr>
          <w:rFonts w:hint="eastAsia" w:eastAsiaTheme="minorEastAsia"/>
          <w:b/>
          <w:color w:val="auto"/>
          <w:sz w:val="30"/>
          <w:szCs w:val="30"/>
          <w:highlight w:val="none"/>
          <w:lang w:eastAsia="zh-CN"/>
        </w:rPr>
      </w:pPr>
      <w:r>
        <w:rPr>
          <w:rFonts w:hint="eastAsia"/>
          <w:b/>
          <w:color w:val="auto"/>
          <w:sz w:val="30"/>
          <w:szCs w:val="30"/>
          <w:highlight w:val="none"/>
        </w:rPr>
        <w:t>采购人：</w:t>
      </w:r>
      <w:r>
        <w:rPr>
          <w:rFonts w:hint="eastAsia" w:asciiTheme="majorEastAsia" w:hAnsiTheme="majorEastAsia" w:eastAsiaTheme="majorEastAsia" w:cstheme="majorEastAsia"/>
          <w:b/>
          <w:color w:val="auto"/>
          <w:sz w:val="30"/>
          <w:szCs w:val="30"/>
          <w:highlight w:val="none"/>
          <w:lang w:eastAsia="zh-CN"/>
        </w:rPr>
        <w:t>陇川县教育体育局</w:t>
      </w:r>
    </w:p>
    <w:p w14:paraId="0854F017">
      <w:pPr>
        <w:pStyle w:val="10"/>
        <w:spacing w:beforeLines="200" w:line="480" w:lineRule="auto"/>
        <w:ind w:left="0" w:leftChars="0" w:firstLine="1506" w:firstLineChars="500"/>
        <w:rPr>
          <w:rFonts w:hAnsi="宋体"/>
          <w:b/>
          <w:color w:val="auto"/>
          <w:sz w:val="30"/>
          <w:szCs w:val="30"/>
          <w:highlight w:val="none"/>
        </w:rPr>
      </w:pPr>
      <w:r>
        <w:rPr>
          <w:rFonts w:hint="eastAsia" w:hAnsi="宋体"/>
          <w:b/>
          <w:color w:val="auto"/>
          <w:sz w:val="30"/>
          <w:szCs w:val="30"/>
          <w:highlight w:val="none"/>
        </w:rPr>
        <w:t>采购</w:t>
      </w:r>
      <w:r>
        <w:rPr>
          <w:rFonts w:hAnsi="宋体"/>
          <w:b/>
          <w:color w:val="auto"/>
          <w:sz w:val="30"/>
          <w:szCs w:val="30"/>
          <w:highlight w:val="none"/>
        </w:rPr>
        <w:t>代理机构</w:t>
      </w:r>
      <w:r>
        <w:rPr>
          <w:rFonts w:hint="eastAsia"/>
          <w:b/>
          <w:color w:val="auto"/>
          <w:sz w:val="30"/>
          <w:szCs w:val="30"/>
          <w:highlight w:val="none"/>
        </w:rPr>
        <w:t>：</w:t>
      </w:r>
      <w:r>
        <w:rPr>
          <w:rFonts w:hint="eastAsia" w:hAnsi="宋体"/>
          <w:b/>
          <w:color w:val="auto"/>
          <w:sz w:val="30"/>
          <w:szCs w:val="30"/>
          <w:highlight w:val="none"/>
        </w:rPr>
        <w:t>云南立友工程咨询有限公司</w:t>
      </w:r>
    </w:p>
    <w:p w14:paraId="29A1169A">
      <w:pPr>
        <w:pStyle w:val="10"/>
        <w:spacing w:beforeLines="200" w:line="480" w:lineRule="auto"/>
        <w:ind w:left="0" w:leftChars="0" w:firstLine="1506" w:firstLineChars="500"/>
        <w:rPr>
          <w:rFonts w:ascii="宋体" w:hAnsi="宋体" w:cs="宋体"/>
          <w:b/>
          <w:bCs/>
          <w:color w:val="auto"/>
          <w:sz w:val="30"/>
          <w:szCs w:val="30"/>
          <w:highlight w:val="none"/>
        </w:rPr>
      </w:pPr>
      <w:r>
        <w:rPr>
          <w:rFonts w:hint="eastAsia" w:hAnsi="宋体"/>
          <w:b/>
          <w:color w:val="auto"/>
          <w:sz w:val="30"/>
          <w:szCs w:val="30"/>
          <w:highlight w:val="none"/>
        </w:rPr>
        <w:t>日  期：202</w:t>
      </w:r>
      <w:r>
        <w:rPr>
          <w:rFonts w:hint="eastAsia" w:hAnsi="宋体"/>
          <w:b/>
          <w:color w:val="auto"/>
          <w:sz w:val="30"/>
          <w:szCs w:val="30"/>
          <w:highlight w:val="none"/>
          <w:lang w:val="en-US" w:eastAsia="zh-CN"/>
        </w:rPr>
        <w:t>6</w:t>
      </w:r>
      <w:r>
        <w:rPr>
          <w:rFonts w:hint="eastAsia" w:hAnsi="宋体" w:cs="微软雅黑"/>
          <w:b/>
          <w:color w:val="auto"/>
          <w:sz w:val="30"/>
          <w:szCs w:val="30"/>
          <w:highlight w:val="none"/>
        </w:rPr>
        <w:t>年</w:t>
      </w:r>
      <w:r>
        <w:rPr>
          <w:rFonts w:hint="eastAsia" w:hAnsi="宋体" w:cs="微软雅黑"/>
          <w:b/>
          <w:color w:val="auto"/>
          <w:sz w:val="30"/>
          <w:szCs w:val="30"/>
          <w:highlight w:val="none"/>
          <w:lang w:val="en-US" w:eastAsia="zh-CN"/>
        </w:rPr>
        <w:t>4</w:t>
      </w:r>
      <w:r>
        <w:rPr>
          <w:rFonts w:hint="eastAsia" w:hAnsi="宋体" w:cs="微软雅黑"/>
          <w:b/>
          <w:color w:val="auto"/>
          <w:sz w:val="30"/>
          <w:szCs w:val="30"/>
          <w:highlight w:val="none"/>
        </w:rPr>
        <w:t>月</w:t>
      </w:r>
    </w:p>
    <w:p w14:paraId="0E982F4B">
      <w:pPr>
        <w:pStyle w:val="31"/>
        <w:rPr>
          <w:color w:val="auto"/>
          <w:highlight w:val="none"/>
        </w:rPr>
      </w:pPr>
    </w:p>
    <w:p w14:paraId="5104CD5F">
      <w:pPr>
        <w:pStyle w:val="11"/>
        <w:spacing w:line="360" w:lineRule="auto"/>
        <w:rPr>
          <w:rFonts w:hAnsi="宋体"/>
          <w:color w:val="auto"/>
          <w:highlight w:val="none"/>
        </w:rPr>
        <w:sectPr>
          <w:headerReference r:id="rId3" w:type="default"/>
          <w:footerReference r:id="rId4" w:type="default"/>
          <w:pgSz w:w="11906" w:h="16838"/>
          <w:pgMar w:top="1440" w:right="1440" w:bottom="1440" w:left="1440" w:header="851" w:footer="992" w:gutter="0"/>
          <w:cols w:space="425" w:num="1"/>
          <w:docGrid w:type="lines" w:linePitch="312" w:charSpace="0"/>
        </w:sectPr>
      </w:pPr>
    </w:p>
    <w:p w14:paraId="1C60DEF7">
      <w:pPr>
        <w:spacing w:beforeLines="50" w:afterLines="100"/>
        <w:jc w:val="center"/>
        <w:rPr>
          <w:b/>
          <w:bCs/>
          <w:color w:val="auto"/>
          <w:sz w:val="44"/>
          <w:szCs w:val="52"/>
          <w:highlight w:val="none"/>
        </w:rPr>
      </w:pPr>
      <w:r>
        <w:rPr>
          <w:rFonts w:hint="eastAsia"/>
          <w:b/>
          <w:bCs/>
          <w:color w:val="auto"/>
          <w:sz w:val="44"/>
          <w:szCs w:val="52"/>
          <w:highlight w:val="none"/>
        </w:rPr>
        <w:t>目 录</w:t>
      </w:r>
    </w:p>
    <w:p w14:paraId="38D2C01A">
      <w:pPr>
        <w:ind w:firstLine="640" w:firstLineChars="200"/>
        <w:rPr>
          <w:color w:val="auto"/>
          <w:position w:val="-6"/>
          <w:sz w:val="22"/>
          <w:szCs w:val="21"/>
          <w:highlight w:val="none"/>
        </w:rPr>
      </w:pPr>
      <w:r>
        <w:rPr>
          <w:rFonts w:hint="eastAsia"/>
          <w:color w:val="auto"/>
          <w:sz w:val="32"/>
          <w:szCs w:val="40"/>
          <w:highlight w:val="none"/>
        </w:rPr>
        <w:t>第一章 招标公告...........................................................................1</w:t>
      </w:r>
    </w:p>
    <w:p w14:paraId="2582F33C">
      <w:pPr>
        <w:ind w:firstLine="640" w:firstLineChars="200"/>
        <w:rPr>
          <w:rFonts w:hint="eastAsia" w:eastAsia="宋体"/>
          <w:color w:val="auto"/>
          <w:highlight w:val="none"/>
          <w:lang w:eastAsia="zh-CN"/>
        </w:rPr>
      </w:pPr>
      <w:r>
        <w:rPr>
          <w:rFonts w:hint="eastAsia"/>
          <w:color w:val="auto"/>
          <w:sz w:val="32"/>
          <w:szCs w:val="40"/>
          <w:highlight w:val="none"/>
        </w:rPr>
        <w:t>第二章 投标人须知.......................................................................</w:t>
      </w:r>
      <w:r>
        <w:rPr>
          <w:rFonts w:hint="eastAsia"/>
          <w:color w:val="auto"/>
          <w:sz w:val="32"/>
          <w:szCs w:val="40"/>
          <w:highlight w:val="none"/>
          <w:lang w:val="en-US" w:eastAsia="zh-CN"/>
        </w:rPr>
        <w:t>6</w:t>
      </w:r>
    </w:p>
    <w:p w14:paraId="7CFE5D81">
      <w:pPr>
        <w:ind w:firstLine="640" w:firstLineChars="200"/>
        <w:rPr>
          <w:rFonts w:hint="eastAsia" w:eastAsia="宋体"/>
          <w:color w:val="auto"/>
          <w:sz w:val="32"/>
          <w:szCs w:val="40"/>
          <w:highlight w:val="none"/>
          <w:lang w:eastAsia="zh-CN"/>
        </w:rPr>
      </w:pPr>
      <w:r>
        <w:rPr>
          <w:rFonts w:hint="eastAsia"/>
          <w:color w:val="auto"/>
          <w:sz w:val="32"/>
          <w:szCs w:val="40"/>
          <w:highlight w:val="none"/>
        </w:rPr>
        <w:t>第三章 评标办法.........................................................................3</w:t>
      </w:r>
      <w:r>
        <w:rPr>
          <w:rFonts w:hint="eastAsia"/>
          <w:color w:val="auto"/>
          <w:sz w:val="32"/>
          <w:szCs w:val="40"/>
          <w:highlight w:val="none"/>
          <w:lang w:val="en-US" w:eastAsia="zh-CN"/>
        </w:rPr>
        <w:t>3</w:t>
      </w:r>
    </w:p>
    <w:p w14:paraId="02D2D0ED">
      <w:pPr>
        <w:ind w:firstLine="640" w:firstLineChars="200"/>
        <w:rPr>
          <w:rFonts w:eastAsiaTheme="minorEastAsia"/>
          <w:color w:val="auto"/>
          <w:sz w:val="32"/>
          <w:szCs w:val="40"/>
          <w:highlight w:val="none"/>
        </w:rPr>
      </w:pPr>
      <w:r>
        <w:rPr>
          <w:rFonts w:hint="eastAsia"/>
          <w:color w:val="auto"/>
          <w:sz w:val="32"/>
          <w:szCs w:val="40"/>
          <w:highlight w:val="none"/>
        </w:rPr>
        <w:t>第四章 合同条款及合同书样式.................................................4</w:t>
      </w:r>
      <w:r>
        <w:rPr>
          <w:rFonts w:hint="eastAsia"/>
          <w:color w:val="auto"/>
          <w:sz w:val="32"/>
          <w:szCs w:val="40"/>
          <w:highlight w:val="none"/>
          <w:lang w:val="en-US" w:eastAsia="zh-CN"/>
        </w:rPr>
        <w:t>9</w:t>
      </w:r>
    </w:p>
    <w:p w14:paraId="7CB24644">
      <w:pPr>
        <w:ind w:firstLine="640" w:firstLineChars="200"/>
        <w:rPr>
          <w:rFonts w:hint="eastAsia" w:eastAsia="宋体"/>
          <w:color w:val="auto"/>
          <w:sz w:val="32"/>
          <w:szCs w:val="40"/>
          <w:highlight w:val="none"/>
          <w:lang w:val="en-US" w:eastAsia="zh-CN"/>
        </w:rPr>
      </w:pPr>
      <w:r>
        <w:rPr>
          <w:rFonts w:hint="eastAsia"/>
          <w:color w:val="auto"/>
          <w:sz w:val="32"/>
          <w:szCs w:val="40"/>
          <w:highlight w:val="none"/>
        </w:rPr>
        <w:t>第五章 采购需求.........................................................................5</w:t>
      </w:r>
      <w:r>
        <w:rPr>
          <w:rFonts w:hint="eastAsia"/>
          <w:color w:val="auto"/>
          <w:sz w:val="32"/>
          <w:szCs w:val="40"/>
          <w:highlight w:val="none"/>
          <w:lang w:val="en-US" w:eastAsia="zh-CN"/>
        </w:rPr>
        <w:t>6</w:t>
      </w:r>
    </w:p>
    <w:p w14:paraId="6415EA47">
      <w:pPr>
        <w:pStyle w:val="7"/>
        <w:ind w:firstLine="640" w:firstLineChars="200"/>
        <w:rPr>
          <w:rFonts w:hint="eastAsia" w:eastAsia="宋体"/>
          <w:color w:val="auto"/>
          <w:highlight w:val="none"/>
          <w:lang w:val="en-US" w:eastAsia="zh-CN"/>
        </w:rPr>
      </w:pPr>
      <w:r>
        <w:rPr>
          <w:rFonts w:hint="eastAsia"/>
          <w:color w:val="auto"/>
          <w:sz w:val="32"/>
          <w:szCs w:val="40"/>
          <w:highlight w:val="none"/>
        </w:rPr>
        <w:t>第六章</w:t>
      </w:r>
      <w:r>
        <w:rPr>
          <w:rFonts w:hint="eastAsia"/>
          <w:color w:val="auto"/>
          <w:sz w:val="32"/>
          <w:szCs w:val="40"/>
          <w:highlight w:val="none"/>
          <w:lang w:val="en-US" w:eastAsia="zh-CN"/>
        </w:rPr>
        <w:t xml:space="preserve"> </w:t>
      </w:r>
      <w:r>
        <w:rPr>
          <w:rFonts w:hint="eastAsia"/>
          <w:color w:val="auto"/>
          <w:sz w:val="32"/>
          <w:szCs w:val="40"/>
          <w:highlight w:val="none"/>
        </w:rPr>
        <w:t>投标文件格式.................................................................</w:t>
      </w:r>
      <w:r>
        <w:rPr>
          <w:rFonts w:hint="eastAsia"/>
          <w:color w:val="auto"/>
          <w:sz w:val="32"/>
          <w:szCs w:val="40"/>
          <w:highlight w:val="none"/>
          <w:lang w:val="en-US" w:eastAsia="zh-CN"/>
        </w:rPr>
        <w:t>62</w:t>
      </w:r>
    </w:p>
    <w:p w14:paraId="47F551A7">
      <w:pPr>
        <w:rPr>
          <w:color w:val="auto"/>
          <w:highlight w:val="none"/>
        </w:rPr>
      </w:pPr>
    </w:p>
    <w:p w14:paraId="3C7A6D7B">
      <w:pPr>
        <w:pStyle w:val="10"/>
        <w:tabs>
          <w:tab w:val="left" w:pos="7596"/>
        </w:tabs>
        <w:rPr>
          <w:color w:val="auto"/>
          <w:highlight w:val="none"/>
        </w:rPr>
      </w:pPr>
      <w:r>
        <w:rPr>
          <w:rFonts w:hint="eastAsia"/>
          <w:color w:val="auto"/>
          <w:highlight w:val="none"/>
        </w:rPr>
        <w:tab/>
      </w:r>
    </w:p>
    <w:p w14:paraId="42DB155C">
      <w:pPr>
        <w:pStyle w:val="10"/>
        <w:rPr>
          <w:color w:val="auto"/>
          <w:highlight w:val="none"/>
        </w:rPr>
      </w:pPr>
    </w:p>
    <w:p w14:paraId="72B5A7FD">
      <w:pPr>
        <w:pStyle w:val="10"/>
        <w:rPr>
          <w:color w:val="auto"/>
          <w:highlight w:val="none"/>
        </w:rPr>
      </w:pPr>
    </w:p>
    <w:p w14:paraId="3D26E838">
      <w:pPr>
        <w:pStyle w:val="10"/>
        <w:rPr>
          <w:color w:val="auto"/>
          <w:highlight w:val="none"/>
        </w:rPr>
      </w:pPr>
    </w:p>
    <w:p w14:paraId="63F71907">
      <w:pPr>
        <w:pStyle w:val="10"/>
        <w:rPr>
          <w:color w:val="auto"/>
          <w:highlight w:val="none"/>
        </w:rPr>
        <w:sectPr>
          <w:pgSz w:w="11906" w:h="16838"/>
          <w:pgMar w:top="1440" w:right="1134" w:bottom="1440" w:left="1134" w:header="851" w:footer="992" w:gutter="0"/>
          <w:cols w:space="425" w:num="1"/>
          <w:docGrid w:type="lines" w:linePitch="312" w:charSpace="0"/>
        </w:sectPr>
      </w:pPr>
    </w:p>
    <w:bookmarkEnd w:id="0"/>
    <w:p w14:paraId="6E03DDDC">
      <w:pPr>
        <w:spacing w:afterLines="50"/>
        <w:jc w:val="center"/>
        <w:rPr>
          <w:b/>
          <w:color w:val="auto"/>
          <w:highlight w:val="none"/>
          <w:shd w:val="pct10" w:color="auto" w:fill="FFFFFF"/>
        </w:rPr>
      </w:pPr>
      <w:bookmarkStart w:id="1" w:name="_Toc11419"/>
      <w:bookmarkStart w:id="2" w:name="_Toc19039"/>
      <w:bookmarkStart w:id="187" w:name="_GoBack"/>
      <w:r>
        <w:rPr>
          <w:rFonts w:hint="eastAsia" w:ascii="宋体" w:cs="宋体"/>
          <w:b/>
          <w:color w:val="auto"/>
          <w:sz w:val="44"/>
          <w:szCs w:val="44"/>
          <w:highlight w:val="none"/>
        </w:rPr>
        <w:t>第一章</w:t>
      </w:r>
      <w:r>
        <w:rPr>
          <w:rFonts w:hint="eastAsia" w:ascii="宋体" w:cs="宋体"/>
          <w:b/>
          <w:color w:val="auto"/>
          <w:sz w:val="44"/>
          <w:szCs w:val="44"/>
          <w:highlight w:val="none"/>
          <w:lang w:val="en-US" w:eastAsia="zh-CN"/>
        </w:rPr>
        <w:t xml:space="preserve"> </w:t>
      </w:r>
      <w:r>
        <w:rPr>
          <w:rFonts w:hint="eastAsia" w:ascii="宋体" w:hAnsi="宋体" w:cs="宋体"/>
          <w:b/>
          <w:color w:val="auto"/>
          <w:sz w:val="44"/>
          <w:szCs w:val="44"/>
          <w:highlight w:val="none"/>
        </w:rPr>
        <w:t>招标公告</w:t>
      </w:r>
    </w:p>
    <w:p w14:paraId="45C2DDD5">
      <w:pPr>
        <w:pStyle w:val="10"/>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2286D16C">
      <w:pPr>
        <w:pStyle w:val="10"/>
        <w:keepLines w:val="0"/>
        <w:pageBreakBefore w:val="0"/>
        <w:pBdr>
          <w:top w:val="single" w:color="auto" w:sz="4" w:space="0"/>
          <w:left w:val="single" w:color="auto" w:sz="4" w:space="0"/>
          <w:bottom w:val="single" w:color="auto" w:sz="4" w:space="0"/>
          <w:right w:val="single" w:color="auto" w:sz="4" w:space="0"/>
        </w:pBdr>
        <w:kinsoku/>
        <w:overflowPunct/>
        <w:topLinePunct w:val="0"/>
        <w:autoSpaceDE/>
        <w:autoSpaceDN/>
        <w:bidi w:val="0"/>
        <w:snapToGrid/>
        <w:spacing w:after="0" w:line="480" w:lineRule="exact"/>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陇川县2026年义务教育薄弱环节改善与能力提升项目（洗碗机）</w:t>
      </w:r>
      <w:r>
        <w:rPr>
          <w:rFonts w:hint="eastAsia" w:ascii="宋体" w:hAnsi="宋体" w:eastAsia="宋体" w:cs="宋体"/>
          <w:color w:val="auto"/>
          <w:sz w:val="24"/>
          <w:szCs w:val="24"/>
          <w:highlight w:val="none"/>
        </w:rPr>
        <w:t>的潜在投标人应在“政府采购云平台（https://www.zcygov.cn/）”获取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2026年5月19日09时00分</w:t>
      </w:r>
      <w:r>
        <w:rPr>
          <w:rFonts w:hint="eastAsia" w:ascii="宋体" w:hAnsi="宋体" w:eastAsia="宋体" w:cs="宋体"/>
          <w:color w:val="auto"/>
          <w:sz w:val="24"/>
          <w:szCs w:val="24"/>
          <w:highlight w:val="none"/>
        </w:rPr>
        <w:t>（北京时间）前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投标文件。</w:t>
      </w:r>
    </w:p>
    <w:p w14:paraId="18DF9B64">
      <w:pPr>
        <w:pStyle w:val="3"/>
        <w:keepLines w:val="0"/>
        <w:pageBreakBefore w:val="0"/>
        <w:numPr>
          <w:ilvl w:val="1"/>
          <w:numId w:val="0"/>
        </w:numPr>
        <w:kinsoku/>
        <w:wordWrap/>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3" w:name="_Toc28359002"/>
      <w:bookmarkStart w:id="4" w:name="_Toc35393790"/>
      <w:bookmarkStart w:id="5" w:name="_Toc35393621"/>
      <w:bookmarkStart w:id="6" w:name="_Toc28359079"/>
      <w:bookmarkStart w:id="7" w:name="_Hlk24379207"/>
      <w:r>
        <w:rPr>
          <w:rFonts w:hint="eastAsia" w:ascii="宋体" w:hAnsi="宋体" w:eastAsia="宋体" w:cs="宋体"/>
          <w:bCs/>
          <w:color w:val="auto"/>
          <w:sz w:val="24"/>
          <w:szCs w:val="24"/>
          <w:highlight w:val="none"/>
        </w:rPr>
        <w:t>一、项目基本情况</w:t>
      </w:r>
      <w:bookmarkEnd w:id="3"/>
      <w:bookmarkEnd w:id="4"/>
      <w:bookmarkEnd w:id="5"/>
      <w:bookmarkEnd w:id="6"/>
    </w:p>
    <w:p w14:paraId="22FD38AC">
      <w:pPr>
        <w:keepLines w:val="0"/>
        <w:pageBreakBefore w:val="0"/>
        <w:kinsoku/>
        <w:wordWrap/>
        <w:overflowPunct/>
        <w:topLinePunct w:val="0"/>
        <w:autoSpaceDE/>
        <w:autoSpaceDN/>
        <w:bidi w:val="0"/>
        <w:snapToGrid/>
        <w:spacing w:line="46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4533124JH202600228</w:t>
      </w:r>
    </w:p>
    <w:p w14:paraId="56E05041">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YNLYZB-2026-73</w:t>
      </w:r>
    </w:p>
    <w:p w14:paraId="5F7A7AB2">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陇川县2026年义务教育薄弱环节改善与能力提升项目（洗碗机）</w:t>
      </w:r>
    </w:p>
    <w:bookmarkEnd w:id="7"/>
    <w:p w14:paraId="19E5580A">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280000</w:t>
      </w:r>
      <w:r>
        <w:rPr>
          <w:rFonts w:hint="eastAsia" w:ascii="宋体" w:hAnsi="宋体" w:cs="宋体"/>
          <w:color w:val="auto"/>
          <w:sz w:val="24"/>
          <w:highlight w:val="none"/>
          <w:lang w:eastAsia="zh-CN"/>
        </w:rPr>
        <w:t>.00</w:t>
      </w:r>
      <w:r>
        <w:rPr>
          <w:rFonts w:hint="eastAsia" w:ascii="宋体" w:hAnsi="宋体" w:eastAsia="宋体" w:cs="宋体"/>
          <w:color w:val="auto"/>
          <w:sz w:val="24"/>
          <w:highlight w:val="none"/>
        </w:rPr>
        <w:t>元</w:t>
      </w:r>
    </w:p>
    <w:p w14:paraId="62175884">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cs="宋体"/>
          <w:color w:val="auto"/>
          <w:sz w:val="24"/>
          <w:highlight w:val="none"/>
          <w:lang w:eastAsia="zh-CN"/>
        </w:rPr>
        <w:t>12</w:t>
      </w:r>
      <w:r>
        <w:rPr>
          <w:rFonts w:hint="eastAsia" w:ascii="宋体" w:hAnsi="宋体" w:cs="宋体"/>
          <w:color w:val="auto"/>
          <w:sz w:val="24"/>
          <w:highlight w:val="none"/>
          <w:lang w:val="en-US" w:eastAsia="zh-CN"/>
        </w:rPr>
        <w:t>80000</w:t>
      </w:r>
      <w:r>
        <w:rPr>
          <w:rFonts w:hint="eastAsia" w:ascii="宋体" w:hAnsi="宋体" w:cs="宋体"/>
          <w:color w:val="auto"/>
          <w:sz w:val="24"/>
          <w:highlight w:val="none"/>
          <w:lang w:eastAsia="zh-CN"/>
        </w:rPr>
        <w:t>.00</w:t>
      </w:r>
      <w:r>
        <w:rPr>
          <w:rFonts w:hint="eastAsia" w:ascii="宋体" w:hAnsi="宋体" w:eastAsia="宋体" w:cs="宋体"/>
          <w:color w:val="auto"/>
          <w:sz w:val="24"/>
          <w:highlight w:val="none"/>
        </w:rPr>
        <w:t>元</w:t>
      </w:r>
    </w:p>
    <w:p w14:paraId="7DE94905">
      <w:pPr>
        <w:keepLines w:val="0"/>
        <w:pageBreakBefore w:val="0"/>
        <w:widowControl/>
        <w:kinsoku/>
        <w:wordWrap/>
        <w:overflowPunct/>
        <w:topLinePunct w:val="0"/>
        <w:autoSpaceDE/>
        <w:autoSpaceDN/>
        <w:bidi w:val="0"/>
        <w:snapToGrid/>
        <w:spacing w:line="46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采购需求：</w:t>
      </w:r>
      <w:r>
        <w:rPr>
          <w:rFonts w:hint="eastAsia" w:ascii="宋体" w:hAnsi="宋体" w:cs="宋体"/>
          <w:color w:val="auto"/>
          <w:sz w:val="24"/>
          <w:highlight w:val="none"/>
          <w:lang w:eastAsia="zh-CN"/>
        </w:rPr>
        <w:t>陇川县教育体育局采购洗碗机等设施设备一批</w:t>
      </w:r>
      <w:r>
        <w:rPr>
          <w:rFonts w:hint="eastAsia" w:ascii="宋体" w:hAnsi="宋体" w:eastAsia="宋体" w:cs="宋体"/>
          <w:color w:val="auto"/>
          <w:sz w:val="24"/>
          <w:highlight w:val="none"/>
          <w:lang w:val="en-US" w:eastAsia="zh-CN"/>
        </w:rPr>
        <w:t>。</w:t>
      </w:r>
    </w:p>
    <w:tbl>
      <w:tblPr>
        <w:tblStyle w:val="24"/>
        <w:tblpPr w:leftFromText="180" w:rightFromText="180" w:vertAnchor="text" w:horzAnchor="page" w:tblpXSpec="center" w:tblpY="218"/>
        <w:tblOverlap w:val="never"/>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77"/>
        <w:gridCol w:w="1575"/>
        <w:gridCol w:w="825"/>
        <w:gridCol w:w="930"/>
        <w:gridCol w:w="1661"/>
        <w:gridCol w:w="1496"/>
      </w:tblGrid>
      <w:tr w14:paraId="35B1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745" w:type="dxa"/>
            <w:noWrap w:val="0"/>
            <w:vAlign w:val="center"/>
          </w:tcPr>
          <w:p w14:paraId="25C0DF18">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序号</w:t>
            </w:r>
          </w:p>
        </w:tc>
        <w:tc>
          <w:tcPr>
            <w:tcW w:w="2377" w:type="dxa"/>
            <w:noWrap w:val="0"/>
            <w:vAlign w:val="center"/>
          </w:tcPr>
          <w:p w14:paraId="3860EC0F">
            <w:pPr>
              <w:keepNext w:val="0"/>
              <w:keepLines w:val="0"/>
              <w:widowControl/>
              <w:suppressLineNumbers w:val="0"/>
              <w:jc w:val="center"/>
              <w:textAlignment w:val="center"/>
              <w:rPr>
                <w:rStyle w:val="65"/>
                <w:rFonts w:hint="default"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产品名称</w:t>
            </w:r>
          </w:p>
        </w:tc>
        <w:tc>
          <w:tcPr>
            <w:tcW w:w="1575" w:type="dxa"/>
            <w:noWrap w:val="0"/>
            <w:vAlign w:val="center"/>
          </w:tcPr>
          <w:p w14:paraId="4CEA3003">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是否接受进口产品投标</w:t>
            </w:r>
          </w:p>
        </w:tc>
        <w:tc>
          <w:tcPr>
            <w:tcW w:w="825" w:type="dxa"/>
            <w:noWrap w:val="0"/>
            <w:vAlign w:val="center"/>
          </w:tcPr>
          <w:p w14:paraId="257274A2">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数量</w:t>
            </w:r>
          </w:p>
        </w:tc>
        <w:tc>
          <w:tcPr>
            <w:tcW w:w="930" w:type="dxa"/>
            <w:noWrap w:val="0"/>
            <w:vAlign w:val="center"/>
          </w:tcPr>
          <w:p w14:paraId="6B1F153D">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计量单位</w:t>
            </w:r>
          </w:p>
        </w:tc>
        <w:tc>
          <w:tcPr>
            <w:tcW w:w="1661" w:type="dxa"/>
            <w:noWrap w:val="0"/>
            <w:vAlign w:val="center"/>
          </w:tcPr>
          <w:p w14:paraId="1029CAE7">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单价最高限价（元）</w:t>
            </w:r>
          </w:p>
        </w:tc>
        <w:tc>
          <w:tcPr>
            <w:tcW w:w="1496" w:type="dxa"/>
            <w:noWrap w:val="0"/>
            <w:vAlign w:val="center"/>
          </w:tcPr>
          <w:p w14:paraId="611DE60E">
            <w:pPr>
              <w:keepNext w:val="0"/>
              <w:keepLines w:val="0"/>
              <w:widowControl/>
              <w:suppressLineNumbers w:val="0"/>
              <w:jc w:val="center"/>
              <w:textAlignment w:val="center"/>
              <w:rPr>
                <w:rStyle w:val="65"/>
                <w:rFonts w:hint="eastAsia" w:ascii="宋体" w:hAnsi="宋体" w:eastAsia="宋体" w:cs="宋体"/>
                <w:b/>
                <w:bCs/>
                <w:color w:val="auto"/>
                <w:sz w:val="24"/>
                <w:szCs w:val="24"/>
                <w:highlight w:val="none"/>
                <w:lang w:val="en-US" w:eastAsia="zh-CN" w:bidi="ar"/>
              </w:rPr>
            </w:pPr>
            <w:r>
              <w:rPr>
                <w:rStyle w:val="65"/>
                <w:rFonts w:hint="eastAsia" w:ascii="宋体" w:hAnsi="宋体" w:eastAsia="宋体" w:cs="宋体"/>
                <w:b/>
                <w:bCs/>
                <w:color w:val="auto"/>
                <w:sz w:val="24"/>
                <w:szCs w:val="24"/>
                <w:highlight w:val="none"/>
                <w:lang w:val="en-US" w:eastAsia="zh-CN" w:bidi="ar"/>
              </w:rPr>
              <w:t>总价最高限价（元）</w:t>
            </w:r>
          </w:p>
        </w:tc>
      </w:tr>
      <w:tr w14:paraId="6685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4A7FA7E7">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2377" w:type="dxa"/>
            <w:noWrap w:val="0"/>
            <w:vAlign w:val="center"/>
          </w:tcPr>
          <w:p w14:paraId="1BE8CEE2">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vertAlign w:val="baseline"/>
                <w:lang w:val="en-US" w:eastAsia="zh-CN"/>
              </w:rPr>
            </w:pPr>
            <w:r>
              <w:rPr>
                <w:rStyle w:val="65"/>
                <w:rFonts w:hint="eastAsia" w:ascii="宋体" w:hAnsi="宋体" w:eastAsia="宋体" w:cs="宋体"/>
                <w:b w:val="0"/>
                <w:bCs w:val="0"/>
                <w:color w:val="auto"/>
                <w:sz w:val="24"/>
                <w:szCs w:val="24"/>
                <w:highlight w:val="none"/>
                <w:lang w:val="en-US" w:eastAsia="zh-CN" w:bidi="ar"/>
              </w:rPr>
              <w:t>不锈钢残渣</w:t>
            </w:r>
            <w:r>
              <w:rPr>
                <w:rStyle w:val="64"/>
                <w:rFonts w:hint="eastAsia" w:ascii="宋体" w:hAnsi="宋体" w:cs="宋体"/>
                <w:b w:val="0"/>
                <w:bCs w:val="0"/>
                <w:color w:val="auto"/>
                <w:sz w:val="24"/>
                <w:szCs w:val="24"/>
                <w:highlight w:val="none"/>
                <w:lang w:val="en-US" w:eastAsia="zh-CN" w:bidi="ar"/>
              </w:rPr>
              <w:t>操作面板</w:t>
            </w:r>
          </w:p>
        </w:tc>
        <w:tc>
          <w:tcPr>
            <w:tcW w:w="1575" w:type="dxa"/>
            <w:noWrap w:val="0"/>
            <w:vAlign w:val="center"/>
          </w:tcPr>
          <w:p w14:paraId="4FC38E59">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05D10EC6">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5A8856D5">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661" w:type="dxa"/>
            <w:noWrap w:val="0"/>
            <w:vAlign w:val="center"/>
          </w:tcPr>
          <w:p w14:paraId="0EA2EBB3">
            <w:pPr>
              <w:keepNext w:val="0"/>
              <w:keepLines w:val="0"/>
              <w:widowControl/>
              <w:suppressLineNumbers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1300.00</w:t>
            </w:r>
          </w:p>
        </w:tc>
        <w:tc>
          <w:tcPr>
            <w:tcW w:w="1496" w:type="dxa"/>
            <w:noWrap w:val="0"/>
            <w:vAlign w:val="center"/>
          </w:tcPr>
          <w:p w14:paraId="16F7EF4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10400.00</w:t>
            </w:r>
          </w:p>
        </w:tc>
      </w:tr>
      <w:tr w14:paraId="3550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724700DA">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2377" w:type="dxa"/>
            <w:noWrap w:val="0"/>
            <w:vAlign w:val="center"/>
          </w:tcPr>
          <w:p w14:paraId="37C82B0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超声波预洗机</w:t>
            </w:r>
          </w:p>
        </w:tc>
        <w:tc>
          <w:tcPr>
            <w:tcW w:w="1575" w:type="dxa"/>
            <w:noWrap w:val="0"/>
            <w:vAlign w:val="center"/>
          </w:tcPr>
          <w:p w14:paraId="707C6487">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6F0F89B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709285B0">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661" w:type="dxa"/>
            <w:noWrap w:val="0"/>
            <w:vAlign w:val="center"/>
          </w:tcPr>
          <w:p w14:paraId="77D8AAB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16600.00</w:t>
            </w:r>
          </w:p>
        </w:tc>
        <w:tc>
          <w:tcPr>
            <w:tcW w:w="1496" w:type="dxa"/>
            <w:noWrap w:val="0"/>
            <w:vAlign w:val="center"/>
          </w:tcPr>
          <w:p w14:paraId="2B1F0C1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132800.00</w:t>
            </w:r>
          </w:p>
        </w:tc>
      </w:tr>
      <w:tr w14:paraId="5BD7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53E01DF6">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2377" w:type="dxa"/>
            <w:noWrap w:val="0"/>
            <w:vAlign w:val="center"/>
          </w:tcPr>
          <w:p w14:paraId="49AFCD1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Style w:val="65"/>
                <w:rFonts w:hint="eastAsia" w:ascii="宋体" w:hAnsi="宋体" w:eastAsia="宋体" w:cs="宋体"/>
                <w:b w:val="0"/>
                <w:bCs w:val="0"/>
                <w:color w:val="auto"/>
                <w:sz w:val="24"/>
                <w:szCs w:val="24"/>
                <w:highlight w:val="none"/>
                <w:lang w:val="en-US" w:eastAsia="zh-CN" w:bidi="ar"/>
              </w:rPr>
              <w:t>不锈钢出机</w:t>
            </w:r>
            <w:r>
              <w:rPr>
                <w:rStyle w:val="64"/>
                <w:rFonts w:hint="eastAsia" w:ascii="宋体" w:hAnsi="宋体" w:cs="宋体"/>
                <w:b w:val="0"/>
                <w:bCs w:val="0"/>
                <w:color w:val="auto"/>
                <w:sz w:val="24"/>
                <w:szCs w:val="24"/>
                <w:highlight w:val="none"/>
                <w:lang w:val="en-US" w:eastAsia="zh-CN" w:bidi="ar"/>
              </w:rPr>
              <w:t>操作面板</w:t>
            </w:r>
          </w:p>
        </w:tc>
        <w:tc>
          <w:tcPr>
            <w:tcW w:w="1575" w:type="dxa"/>
            <w:noWrap w:val="0"/>
            <w:vAlign w:val="center"/>
          </w:tcPr>
          <w:p w14:paraId="30B60925">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135B115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27BDFE6F">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661" w:type="dxa"/>
            <w:noWrap w:val="0"/>
            <w:vAlign w:val="center"/>
          </w:tcPr>
          <w:p w14:paraId="51350F4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1300.00</w:t>
            </w:r>
          </w:p>
        </w:tc>
        <w:tc>
          <w:tcPr>
            <w:tcW w:w="1496" w:type="dxa"/>
            <w:noWrap w:val="0"/>
            <w:vAlign w:val="center"/>
          </w:tcPr>
          <w:p w14:paraId="68134C0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10400.00</w:t>
            </w:r>
          </w:p>
        </w:tc>
      </w:tr>
      <w:tr w14:paraId="7CCB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58C3EE02">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2377" w:type="dxa"/>
            <w:noWrap w:val="0"/>
            <w:vAlign w:val="center"/>
          </w:tcPr>
          <w:p w14:paraId="717EA9C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收碗筐</w:t>
            </w:r>
          </w:p>
        </w:tc>
        <w:tc>
          <w:tcPr>
            <w:tcW w:w="1575" w:type="dxa"/>
            <w:noWrap w:val="0"/>
            <w:vAlign w:val="center"/>
          </w:tcPr>
          <w:p w14:paraId="00D163C9">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55F2874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80</w:t>
            </w:r>
          </w:p>
        </w:tc>
        <w:tc>
          <w:tcPr>
            <w:tcW w:w="930" w:type="dxa"/>
            <w:noWrap w:val="0"/>
            <w:vAlign w:val="center"/>
          </w:tcPr>
          <w:p w14:paraId="269AB11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661" w:type="dxa"/>
            <w:noWrap w:val="0"/>
            <w:vAlign w:val="center"/>
          </w:tcPr>
          <w:p w14:paraId="79F56CB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90.00</w:t>
            </w:r>
          </w:p>
        </w:tc>
        <w:tc>
          <w:tcPr>
            <w:tcW w:w="1496" w:type="dxa"/>
            <w:noWrap w:val="0"/>
            <w:vAlign w:val="center"/>
          </w:tcPr>
          <w:p w14:paraId="3629988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7200.00</w:t>
            </w:r>
          </w:p>
        </w:tc>
      </w:tr>
      <w:tr w14:paraId="5D32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755E811B">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2377" w:type="dxa"/>
            <w:noWrap w:val="0"/>
            <w:vAlign w:val="center"/>
          </w:tcPr>
          <w:p w14:paraId="3C9B233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洗碗机催干剂、洗涤剂</w:t>
            </w:r>
          </w:p>
        </w:tc>
        <w:tc>
          <w:tcPr>
            <w:tcW w:w="1575" w:type="dxa"/>
            <w:noWrap w:val="0"/>
            <w:vAlign w:val="center"/>
          </w:tcPr>
          <w:p w14:paraId="34113461">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070F299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930" w:type="dxa"/>
            <w:noWrap w:val="0"/>
            <w:vAlign w:val="center"/>
          </w:tcPr>
          <w:p w14:paraId="19FC020A">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桶</w:t>
            </w:r>
          </w:p>
        </w:tc>
        <w:tc>
          <w:tcPr>
            <w:tcW w:w="1661" w:type="dxa"/>
            <w:noWrap w:val="0"/>
            <w:vAlign w:val="center"/>
          </w:tcPr>
          <w:p w14:paraId="50B1A2BE">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600.00</w:t>
            </w:r>
          </w:p>
        </w:tc>
        <w:tc>
          <w:tcPr>
            <w:tcW w:w="1496" w:type="dxa"/>
            <w:noWrap w:val="0"/>
            <w:vAlign w:val="center"/>
          </w:tcPr>
          <w:p w14:paraId="6DD6A56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19200.00</w:t>
            </w:r>
          </w:p>
        </w:tc>
      </w:tr>
      <w:tr w14:paraId="3AA6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39D5E89B">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2377" w:type="dxa"/>
            <w:noWrap w:val="0"/>
            <w:vAlign w:val="center"/>
          </w:tcPr>
          <w:p w14:paraId="52F5043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洗碗机智能热气抽排系统</w:t>
            </w:r>
          </w:p>
        </w:tc>
        <w:tc>
          <w:tcPr>
            <w:tcW w:w="1575" w:type="dxa"/>
            <w:noWrap w:val="0"/>
            <w:vAlign w:val="center"/>
          </w:tcPr>
          <w:p w14:paraId="218A3560">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0DBA2E9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6996ABD3">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661" w:type="dxa"/>
            <w:noWrap w:val="0"/>
            <w:vAlign w:val="center"/>
          </w:tcPr>
          <w:p w14:paraId="643714D2">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22000.00</w:t>
            </w:r>
          </w:p>
        </w:tc>
        <w:tc>
          <w:tcPr>
            <w:tcW w:w="1496" w:type="dxa"/>
            <w:noWrap w:val="0"/>
            <w:vAlign w:val="center"/>
          </w:tcPr>
          <w:p w14:paraId="653DD21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176000.00</w:t>
            </w:r>
          </w:p>
        </w:tc>
      </w:tr>
      <w:tr w14:paraId="23D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5B5EE9F8">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w:t>
            </w:r>
          </w:p>
        </w:tc>
        <w:tc>
          <w:tcPr>
            <w:tcW w:w="2377" w:type="dxa"/>
            <w:noWrap w:val="0"/>
            <w:vAlign w:val="center"/>
          </w:tcPr>
          <w:p w14:paraId="16764CD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洗碗机智能分配器</w:t>
            </w:r>
          </w:p>
        </w:tc>
        <w:tc>
          <w:tcPr>
            <w:tcW w:w="1575" w:type="dxa"/>
            <w:noWrap w:val="0"/>
            <w:vAlign w:val="center"/>
          </w:tcPr>
          <w:p w14:paraId="77EF6D9B">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0AB59B4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1B9DCFB7">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661" w:type="dxa"/>
            <w:noWrap w:val="0"/>
            <w:vAlign w:val="center"/>
          </w:tcPr>
          <w:p w14:paraId="492A6F2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6000.00</w:t>
            </w:r>
          </w:p>
        </w:tc>
        <w:tc>
          <w:tcPr>
            <w:tcW w:w="1496" w:type="dxa"/>
            <w:noWrap w:val="0"/>
            <w:vAlign w:val="center"/>
          </w:tcPr>
          <w:p w14:paraId="750372E1">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48000.00</w:t>
            </w:r>
          </w:p>
        </w:tc>
      </w:tr>
      <w:tr w14:paraId="0755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67578D37">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w:t>
            </w:r>
          </w:p>
        </w:tc>
        <w:tc>
          <w:tcPr>
            <w:tcW w:w="2377" w:type="dxa"/>
            <w:noWrap w:val="0"/>
            <w:vAlign w:val="center"/>
          </w:tcPr>
          <w:p w14:paraId="7C6C562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洗碗机房排水、智能电控系统</w:t>
            </w:r>
          </w:p>
        </w:tc>
        <w:tc>
          <w:tcPr>
            <w:tcW w:w="1575" w:type="dxa"/>
            <w:noWrap w:val="0"/>
            <w:vAlign w:val="center"/>
          </w:tcPr>
          <w:p w14:paraId="38E04AF6">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5D2E81A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930" w:type="dxa"/>
            <w:noWrap w:val="0"/>
            <w:vAlign w:val="center"/>
          </w:tcPr>
          <w:p w14:paraId="3F18B7E3">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套</w:t>
            </w:r>
          </w:p>
        </w:tc>
        <w:tc>
          <w:tcPr>
            <w:tcW w:w="1661" w:type="dxa"/>
            <w:noWrap w:val="0"/>
            <w:vAlign w:val="center"/>
          </w:tcPr>
          <w:p w14:paraId="3A7C6B93">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w:t>
            </w:r>
            <w:r>
              <w:rPr>
                <w:rFonts w:hint="eastAsia" w:ascii="宋体" w:hAnsi="宋体" w:cs="宋体"/>
                <w:b w:val="0"/>
                <w:bCs w:val="0"/>
                <w:i w:val="0"/>
                <w:iCs w:val="0"/>
                <w:color w:val="auto"/>
                <w:kern w:val="0"/>
                <w:sz w:val="24"/>
                <w:szCs w:val="24"/>
                <w:highlight w:val="none"/>
                <w:u w:val="none"/>
                <w:lang w:val="en-US" w:eastAsia="zh-CN" w:bidi="ar"/>
              </w:rPr>
              <w:t>1375</w:t>
            </w:r>
            <w:r>
              <w:rPr>
                <w:rFonts w:hint="eastAsia" w:ascii="宋体" w:hAnsi="宋体" w:eastAsia="宋体" w:cs="宋体"/>
                <w:b w:val="0"/>
                <w:bCs w:val="0"/>
                <w:i w:val="0"/>
                <w:iCs w:val="0"/>
                <w:color w:val="auto"/>
                <w:kern w:val="0"/>
                <w:sz w:val="24"/>
                <w:szCs w:val="24"/>
                <w:highlight w:val="none"/>
                <w:u w:val="none"/>
                <w:lang w:val="en-US" w:eastAsia="zh-CN" w:bidi="ar"/>
              </w:rPr>
              <w:t>.00</w:t>
            </w:r>
          </w:p>
        </w:tc>
        <w:tc>
          <w:tcPr>
            <w:tcW w:w="1496" w:type="dxa"/>
            <w:noWrap w:val="0"/>
            <w:vAlign w:val="center"/>
          </w:tcPr>
          <w:p w14:paraId="572F4C6F">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i w:val="0"/>
                <w:iCs w:val="0"/>
                <w:color w:val="auto"/>
                <w:kern w:val="0"/>
                <w:sz w:val="24"/>
                <w:szCs w:val="24"/>
                <w:highlight w:val="none"/>
                <w:u w:val="none"/>
                <w:lang w:val="en-US" w:eastAsia="zh-CN" w:bidi="ar"/>
              </w:rPr>
              <w:t>91000</w:t>
            </w:r>
            <w:r>
              <w:rPr>
                <w:rFonts w:hint="eastAsia" w:ascii="宋体" w:hAnsi="宋体" w:eastAsia="宋体" w:cs="宋体"/>
                <w:b w:val="0"/>
                <w:bCs w:val="0"/>
                <w:i w:val="0"/>
                <w:iCs w:val="0"/>
                <w:color w:val="auto"/>
                <w:kern w:val="0"/>
                <w:sz w:val="24"/>
                <w:szCs w:val="24"/>
                <w:highlight w:val="none"/>
                <w:u w:val="none"/>
                <w:lang w:val="en-US" w:eastAsia="zh-CN" w:bidi="ar"/>
              </w:rPr>
              <w:t>.00</w:t>
            </w:r>
          </w:p>
        </w:tc>
      </w:tr>
      <w:tr w14:paraId="0017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52D2EF0A">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9</w:t>
            </w:r>
          </w:p>
        </w:tc>
        <w:tc>
          <w:tcPr>
            <w:tcW w:w="2377" w:type="dxa"/>
            <w:noWrap w:val="0"/>
            <w:vAlign w:val="center"/>
          </w:tcPr>
          <w:p w14:paraId="4F67AE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长龙式洗碗机</w:t>
            </w:r>
          </w:p>
        </w:tc>
        <w:tc>
          <w:tcPr>
            <w:tcW w:w="1575" w:type="dxa"/>
            <w:noWrap w:val="0"/>
            <w:vAlign w:val="center"/>
          </w:tcPr>
          <w:p w14:paraId="27CFF6A3">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246F3515">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930" w:type="dxa"/>
            <w:noWrap w:val="0"/>
            <w:vAlign w:val="center"/>
          </w:tcPr>
          <w:p w14:paraId="3E2AA399">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661" w:type="dxa"/>
            <w:noWrap w:val="0"/>
            <w:vAlign w:val="center"/>
          </w:tcPr>
          <w:p w14:paraId="7BA46B4E">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100000.00</w:t>
            </w:r>
          </w:p>
        </w:tc>
        <w:tc>
          <w:tcPr>
            <w:tcW w:w="1496" w:type="dxa"/>
            <w:noWrap w:val="0"/>
            <w:vAlign w:val="center"/>
          </w:tcPr>
          <w:p w14:paraId="2257C2C0">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500000.00</w:t>
            </w:r>
          </w:p>
        </w:tc>
      </w:tr>
      <w:tr w14:paraId="4B5F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5" w:type="dxa"/>
            <w:noWrap w:val="0"/>
            <w:vAlign w:val="center"/>
          </w:tcPr>
          <w:p w14:paraId="1514C340">
            <w:pPr>
              <w:pStyle w:val="10"/>
              <w:ind w:left="0" w:leftChars="0" w:firstLine="0" w:firstLine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10</w:t>
            </w:r>
          </w:p>
        </w:tc>
        <w:tc>
          <w:tcPr>
            <w:tcW w:w="2377" w:type="dxa"/>
            <w:noWrap w:val="0"/>
            <w:vAlign w:val="center"/>
          </w:tcPr>
          <w:p w14:paraId="7D34E9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 xml:space="preserve">带传式平铺洗碗机 </w:t>
            </w:r>
          </w:p>
        </w:tc>
        <w:tc>
          <w:tcPr>
            <w:tcW w:w="1575" w:type="dxa"/>
            <w:noWrap w:val="0"/>
            <w:vAlign w:val="center"/>
          </w:tcPr>
          <w:p w14:paraId="55BF03F2">
            <w:pPr>
              <w:pStyle w:val="10"/>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否</w:t>
            </w:r>
          </w:p>
        </w:tc>
        <w:tc>
          <w:tcPr>
            <w:tcW w:w="825" w:type="dxa"/>
            <w:noWrap w:val="0"/>
            <w:vAlign w:val="center"/>
          </w:tcPr>
          <w:p w14:paraId="40CA3A1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930" w:type="dxa"/>
            <w:noWrap w:val="0"/>
            <w:vAlign w:val="center"/>
          </w:tcPr>
          <w:p w14:paraId="4974F0AD">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1661" w:type="dxa"/>
            <w:noWrap w:val="0"/>
            <w:vAlign w:val="center"/>
          </w:tcPr>
          <w:p w14:paraId="18F879BF">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95000.00</w:t>
            </w:r>
          </w:p>
        </w:tc>
        <w:tc>
          <w:tcPr>
            <w:tcW w:w="1496" w:type="dxa"/>
            <w:noWrap w:val="0"/>
            <w:vAlign w:val="center"/>
          </w:tcPr>
          <w:p w14:paraId="695D8AC4">
            <w:pPr>
              <w:keepNext w:val="0"/>
              <w:keepLines w:val="0"/>
              <w:widowControl/>
              <w:suppressLineNumbers w:val="0"/>
              <w:jc w:val="center"/>
              <w:textAlignment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u w:val="none"/>
                <w:lang w:val="en-US" w:eastAsia="zh-CN" w:bidi="ar"/>
              </w:rPr>
              <w:t>285000.00</w:t>
            </w:r>
          </w:p>
        </w:tc>
      </w:tr>
      <w:tr w14:paraId="179A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13" w:type="dxa"/>
            <w:gridSpan w:val="6"/>
            <w:noWrap w:val="0"/>
            <w:vAlign w:val="center"/>
          </w:tcPr>
          <w:p w14:paraId="02DF2981">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合计（元）</w:t>
            </w:r>
          </w:p>
        </w:tc>
        <w:tc>
          <w:tcPr>
            <w:tcW w:w="1496" w:type="dxa"/>
            <w:noWrap w:val="0"/>
            <w:vAlign w:val="center"/>
          </w:tcPr>
          <w:p w14:paraId="3E1F618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12</w:t>
            </w:r>
            <w:r>
              <w:rPr>
                <w:rFonts w:hint="eastAsia" w:ascii="宋体" w:hAnsi="宋体" w:cs="宋体"/>
                <w:b w:val="0"/>
                <w:bCs w:val="0"/>
                <w:i w:val="0"/>
                <w:iCs w:val="0"/>
                <w:color w:val="auto"/>
                <w:kern w:val="0"/>
                <w:sz w:val="24"/>
                <w:szCs w:val="24"/>
                <w:highlight w:val="none"/>
                <w:u w:val="none"/>
                <w:lang w:val="en-US" w:eastAsia="zh-CN" w:bidi="ar"/>
              </w:rPr>
              <w:t>80</w:t>
            </w:r>
            <w:r>
              <w:rPr>
                <w:rFonts w:hint="eastAsia" w:ascii="宋体" w:hAnsi="宋体" w:eastAsia="宋体" w:cs="宋体"/>
                <w:b w:val="0"/>
                <w:bCs w:val="0"/>
                <w:i w:val="0"/>
                <w:iCs w:val="0"/>
                <w:color w:val="auto"/>
                <w:kern w:val="0"/>
                <w:sz w:val="24"/>
                <w:szCs w:val="24"/>
                <w:highlight w:val="none"/>
                <w:u w:val="none"/>
                <w:lang w:val="en-US" w:eastAsia="zh-CN" w:bidi="ar"/>
              </w:rPr>
              <w:t>000.00</w:t>
            </w:r>
          </w:p>
        </w:tc>
      </w:tr>
    </w:tbl>
    <w:p w14:paraId="774252C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质量要求：</w:t>
      </w:r>
      <w:r>
        <w:rPr>
          <w:rFonts w:hint="eastAsia" w:ascii="宋体" w:hAnsi="宋体" w:cs="宋体"/>
          <w:color w:val="auto"/>
          <w:sz w:val="24"/>
          <w:highlight w:val="none"/>
          <w:lang w:eastAsia="zh-CN"/>
        </w:rPr>
        <w:t>产品及安装符合现行国家相关规定及行业标准，符合采购人需求并一次性验收合格。</w:t>
      </w:r>
    </w:p>
    <w:p w14:paraId="299C449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eastAsia="zh-CN"/>
        </w:rPr>
        <w:t>合同签订后60日历天内完成供货及安装调试。</w:t>
      </w:r>
    </w:p>
    <w:p w14:paraId="56B4B87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z w:val="24"/>
          <w:highlight w:val="none"/>
          <w:lang w:eastAsia="zh-CN"/>
        </w:rPr>
        <w:t>（</w:t>
      </w:r>
      <w:r>
        <w:rPr>
          <w:rFonts w:hint="eastAsia" w:ascii="宋体" w:hAnsi="宋体" w:cs="宋体"/>
          <w:color w:val="auto"/>
          <w:sz w:val="24"/>
          <w:highlight w:val="none"/>
        </w:rPr>
        <w:t>否</w:t>
      </w:r>
      <w:r>
        <w:rPr>
          <w:rFonts w:hint="eastAsia" w:ascii="宋体" w:hAnsi="宋体" w:cs="宋体"/>
          <w:color w:val="auto"/>
          <w:sz w:val="24"/>
          <w:highlight w:val="none"/>
          <w:lang w:eastAsia="zh-CN"/>
        </w:rPr>
        <w:t>）</w:t>
      </w:r>
      <w:r>
        <w:rPr>
          <w:rFonts w:hint="eastAsia" w:ascii="宋体" w:hAnsi="宋体" w:cs="宋体"/>
          <w:color w:val="auto"/>
          <w:sz w:val="24"/>
          <w:highlight w:val="none"/>
        </w:rPr>
        <w:t>接受联合体投标。</w:t>
      </w:r>
    </w:p>
    <w:p w14:paraId="2801D394">
      <w:pPr>
        <w:pStyle w:val="3"/>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8" w:name="_Toc28359003"/>
      <w:bookmarkStart w:id="9" w:name="_Toc28359080"/>
      <w:bookmarkStart w:id="10" w:name="_Toc35393622"/>
      <w:bookmarkStart w:id="11" w:name="_Toc35393791"/>
      <w:r>
        <w:rPr>
          <w:rFonts w:hint="eastAsia" w:ascii="宋体" w:hAnsi="宋体" w:eastAsia="宋体" w:cs="宋体"/>
          <w:bCs/>
          <w:color w:val="auto"/>
          <w:sz w:val="24"/>
          <w:szCs w:val="24"/>
          <w:highlight w:val="none"/>
        </w:rPr>
        <w:t>二、申请人的资格要求：</w:t>
      </w:r>
      <w:bookmarkEnd w:id="8"/>
      <w:bookmarkEnd w:id="9"/>
      <w:bookmarkEnd w:id="10"/>
      <w:bookmarkEnd w:id="11"/>
    </w:p>
    <w:p w14:paraId="124BB351">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8BFC3BF">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bookmarkStart w:id="12" w:name="_Toc35393792"/>
      <w:bookmarkStart w:id="13" w:name="_Toc35393623"/>
      <w:bookmarkStart w:id="14" w:name="_Toc28359081"/>
      <w:bookmarkStart w:id="15" w:name="_Toc28359004"/>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提供法人或者其他组织的营业执照等证明文件，自然人的身份证明</w:t>
      </w:r>
      <w:r>
        <w:rPr>
          <w:rFonts w:hint="eastAsia" w:ascii="宋体" w:hAnsi="宋体" w:eastAsia="宋体" w:cs="宋体"/>
          <w:color w:val="auto"/>
          <w:sz w:val="24"/>
          <w:szCs w:val="24"/>
          <w:highlight w:val="none"/>
        </w:rPr>
        <w:t>；</w:t>
      </w:r>
    </w:p>
    <w:p w14:paraId="552BFFE5">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026CA57">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良好的商业信誉：①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705F2B05">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提供银行出具的资信证明</w:t>
      </w:r>
      <w:r>
        <w:rPr>
          <w:rFonts w:hint="eastAsia" w:ascii="宋体" w:hAnsi="宋体" w:eastAsia="宋体" w:cs="宋体"/>
          <w:color w:val="auto"/>
          <w:sz w:val="24"/>
          <w:szCs w:val="24"/>
          <w:highlight w:val="none"/>
        </w:rPr>
        <w:t>；</w:t>
      </w:r>
    </w:p>
    <w:p w14:paraId="0CC90086">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提供相关证明材料</w:t>
      </w:r>
      <w:r>
        <w:rPr>
          <w:rFonts w:hint="eastAsia" w:ascii="宋体" w:hAnsi="宋体" w:eastAsia="宋体" w:cs="宋体"/>
          <w:color w:val="auto"/>
          <w:sz w:val="24"/>
          <w:szCs w:val="24"/>
          <w:highlight w:val="none"/>
        </w:rPr>
        <w:t>；</w:t>
      </w:r>
    </w:p>
    <w:p w14:paraId="2A162A3C">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2AAF1B14">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（5）参与本次政府采购活动前三年内，在经营活动中没有重大违法记录：提供参加本次政府采购活动前三年内在经营活动中没有重大违法记录的书面声明；</w:t>
      </w:r>
    </w:p>
    <w:p w14:paraId="29D2589A">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p>
    <w:p w14:paraId="3EEB584F">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6C059F37">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（1）本项目不属于专门面向中小企业采购的项目；</w:t>
      </w:r>
    </w:p>
    <w:p w14:paraId="5966EB9C">
      <w:pPr>
        <w:pStyle w:val="10"/>
        <w:keepLines w:val="0"/>
        <w:pageBreakBefore w:val="0"/>
        <w:kinsoku/>
        <w:overflowPunct/>
        <w:topLinePunct w:val="0"/>
        <w:autoSpaceDE/>
        <w:autoSpaceDN/>
        <w:bidi w:val="0"/>
        <w:snapToGrid/>
        <w:spacing w:after="0" w:line="46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F8EF430">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aps w:val="0"/>
          <w:smallCaps w:val="0"/>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i w:val="0"/>
          <w:iCs w:val="0"/>
          <w:caps w:val="0"/>
          <w:smallCaps w:val="0"/>
          <w:color w:val="auto"/>
          <w:sz w:val="24"/>
          <w:szCs w:val="24"/>
          <w:highlight w:val="none"/>
          <w:lang w:eastAsia="zh-CN"/>
        </w:rPr>
        <w:t>。</w:t>
      </w:r>
    </w:p>
    <w:p w14:paraId="6A0E822D">
      <w:pPr>
        <w:pStyle w:val="3"/>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三、获取招标文件</w:t>
      </w:r>
      <w:bookmarkEnd w:id="12"/>
      <w:bookmarkEnd w:id="13"/>
      <w:bookmarkEnd w:id="14"/>
      <w:bookmarkEnd w:id="15"/>
      <w:bookmarkStart w:id="16" w:name="_Toc28359005"/>
      <w:bookmarkStart w:id="17" w:name="_Toc35393624"/>
      <w:bookmarkStart w:id="18" w:name="_Toc28359082"/>
      <w:bookmarkStart w:id="19" w:name="_Toc35393793"/>
    </w:p>
    <w:p w14:paraId="202F9AC8">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点00分</w:t>
      </w:r>
      <w:r>
        <w:rPr>
          <w:rFonts w:hint="eastAsia" w:ascii="宋体" w:hAnsi="宋体" w:cs="宋体"/>
          <w:bCs/>
          <w:color w:val="auto"/>
          <w:kern w:val="0"/>
          <w:sz w:val="24"/>
          <w:highlight w:val="none"/>
        </w:rPr>
        <w:t>至202</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7</w:t>
      </w:r>
      <w:r>
        <w:rPr>
          <w:rFonts w:hint="eastAsia" w:ascii="宋体" w:hAnsi="宋体" w:cs="宋体"/>
          <w:bCs/>
          <w:color w:val="auto"/>
          <w:kern w:val="0"/>
          <w:sz w:val="24"/>
          <w:highlight w:val="none"/>
        </w:rPr>
        <w:t>日23点59分；</w:t>
      </w:r>
    </w:p>
    <w:p w14:paraId="58E87BC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2.地点：</w:t>
      </w:r>
      <w:r>
        <w:rPr>
          <w:rFonts w:hint="eastAsia" w:ascii="宋体" w:hAnsi="宋体" w:cs="宋体"/>
          <w:b/>
          <w:bCs w:val="0"/>
          <w:color w:val="auto"/>
          <w:kern w:val="0"/>
          <w:sz w:val="24"/>
          <w:highlight w:val="none"/>
        </w:rPr>
        <w:t>政府采购云平台（https://www.zcygov.cn/）</w:t>
      </w:r>
      <w:r>
        <w:rPr>
          <w:rFonts w:hint="eastAsia" w:ascii="宋体" w:hAnsi="宋体" w:cs="宋体"/>
          <w:bCs/>
          <w:color w:val="auto"/>
          <w:kern w:val="0"/>
          <w:sz w:val="24"/>
          <w:highlight w:val="none"/>
        </w:rPr>
        <w:t>；</w:t>
      </w:r>
    </w:p>
    <w:p w14:paraId="349DBB4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3.方式：网上获取</w:t>
      </w:r>
    </w:p>
    <w:bookmarkEnd w:id="16"/>
    <w:bookmarkEnd w:id="17"/>
    <w:bookmarkEnd w:id="18"/>
    <w:bookmarkEnd w:id="19"/>
    <w:p w14:paraId="14BC0341">
      <w:pPr>
        <w:keepLines w:val="0"/>
        <w:pageBreakBefore w:val="0"/>
        <w:kinsoku/>
        <w:wordWrap w:val="0"/>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bookmarkStart w:id="20" w:name="_Toc35393632"/>
      <w:bookmarkStart w:id="21" w:name="_Toc35393801"/>
      <w:bookmarkStart w:id="22" w:name="_Toc28359092"/>
      <w:bookmarkStart w:id="23" w:name="_Toc28359015"/>
      <w:bookmarkStart w:id="24" w:name="_Toc35393794"/>
      <w:bookmarkStart w:id="25" w:name="_Toc35393625"/>
      <w:bookmarkStart w:id="26" w:name="_Toc28359084"/>
      <w:bookmarkStart w:id="27" w:name="_Toc28359007"/>
      <w:r>
        <w:rPr>
          <w:rFonts w:hint="eastAsia" w:ascii="宋体" w:hAnsi="宋体" w:cs="宋体"/>
          <w:color w:val="auto"/>
          <w:sz w:val="24"/>
          <w:highlight w:val="none"/>
        </w:rPr>
        <w:t>（1）凡有意参加投标者，须在政采云平台办理数字证书（CA），并在政采云绑定数字证书（CA）后线上获取</w:t>
      </w:r>
      <w:r>
        <w:rPr>
          <w:rFonts w:hint="eastAsia" w:ascii="宋体" w:hAnsi="宋体" w:cs="宋体"/>
          <w:color w:val="auto"/>
          <w:sz w:val="24"/>
          <w:highlight w:val="none"/>
          <w:lang w:eastAsia="zh-CN"/>
        </w:rPr>
        <w:t>招标文件及其他</w:t>
      </w:r>
      <w:r>
        <w:rPr>
          <w:rFonts w:hint="eastAsia" w:ascii="宋体" w:hAnsi="宋体" w:cs="宋体"/>
          <w:color w:val="auto"/>
          <w:sz w:val="24"/>
          <w:highlight w:val="none"/>
        </w:rPr>
        <w:t>采购资料。CA申领链接：https://middle.zcygov.cn/ca/apply/list?_app_=zcy.sys，CA申领后需</w:t>
      </w:r>
      <w:r>
        <w:rPr>
          <w:rFonts w:hint="eastAsia" w:ascii="宋体" w:hAnsi="宋体" w:cs="宋体"/>
          <w:color w:val="auto"/>
          <w:sz w:val="24"/>
          <w:highlight w:val="none"/>
          <w:lang w:eastAsia="zh-CN"/>
        </w:rPr>
        <w:t>登录</w:t>
      </w:r>
      <w:r>
        <w:rPr>
          <w:rFonts w:hint="eastAsia" w:ascii="宋体" w:hAnsi="宋体" w:cs="宋体"/>
          <w:color w:val="auto"/>
          <w:sz w:val="24"/>
          <w:highlight w:val="none"/>
        </w:rPr>
        <w:t>政采云平台完成数字证书（CA）绑定才可以使</w:t>
      </w:r>
      <w:r>
        <w:rPr>
          <w:rFonts w:hint="eastAsia" w:ascii="宋体" w:hAnsi="宋体" w:cs="宋体"/>
          <w:bCs/>
          <w:color w:val="auto"/>
          <w:kern w:val="0"/>
          <w:sz w:val="24"/>
          <w:highlight w:val="none"/>
        </w:rPr>
        <w:t>用，数字证书（CA）详见其办理流程，如有问题可拨打政采云客户服务热线95763进行咨询。</w:t>
      </w:r>
    </w:p>
    <w:p w14:paraId="171E531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自行在“政府采购云平台（https://www.zcygov.cn/）”下载</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（操作路径：登录政采云平台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我的工作台</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项目采购</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找到本项目</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点击“申请获取</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”），电子投标文件制作需要基于“政府采购云平台（https://www.zcygov.cn/）”获取的</w:t>
      </w:r>
      <w:r>
        <w:rPr>
          <w:rFonts w:hint="eastAsia" w:ascii="宋体" w:hAnsi="宋体" w:cs="宋体"/>
          <w:bCs/>
          <w:color w:val="auto"/>
          <w:kern w:val="0"/>
          <w:sz w:val="24"/>
          <w:highlight w:val="none"/>
          <w:lang w:eastAsia="zh-CN"/>
        </w:rPr>
        <w:t>招标文件</w:t>
      </w:r>
      <w:r>
        <w:rPr>
          <w:rFonts w:hint="eastAsia" w:ascii="宋体" w:hAnsi="宋体" w:cs="宋体"/>
          <w:bCs/>
          <w:color w:val="auto"/>
          <w:kern w:val="0"/>
          <w:sz w:val="24"/>
          <w:highlight w:val="none"/>
        </w:rPr>
        <w:t>编制；</w:t>
      </w:r>
    </w:p>
    <w:p w14:paraId="78914C37">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如之前已办理过云南CA数字证书的，直接在政采云平台绑定即可，无需重复办理（2022年1月1日前办理的云南CA数字证书需到云南CA办理处进行升级），CA问题咨询电话4006727666。</w:t>
      </w:r>
    </w:p>
    <w:p w14:paraId="7AC4313B">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售价：0.00元。</w:t>
      </w:r>
    </w:p>
    <w:p w14:paraId="5F593423">
      <w:pPr>
        <w:pStyle w:val="3"/>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w:t>
      </w:r>
      <w:bookmarkEnd w:id="20"/>
      <w:bookmarkEnd w:id="21"/>
      <w:bookmarkEnd w:id="22"/>
      <w:bookmarkEnd w:id="23"/>
      <w:r>
        <w:rPr>
          <w:rFonts w:hint="eastAsia" w:ascii="宋体" w:hAnsi="宋体" w:eastAsia="宋体" w:cs="宋体"/>
          <w:bCs/>
          <w:color w:val="auto"/>
          <w:sz w:val="24"/>
          <w:szCs w:val="24"/>
          <w:highlight w:val="none"/>
        </w:rPr>
        <w:t>提交投标文件截止时间、开标时间和地点</w:t>
      </w:r>
    </w:p>
    <w:p w14:paraId="74E00F34">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bookmarkStart w:id="28" w:name="_Toc28359094"/>
      <w:bookmarkStart w:id="29" w:name="_Toc35393634"/>
      <w:bookmarkStart w:id="30" w:name="_Toc28359017"/>
      <w:bookmarkStart w:id="31" w:name="_Toc35393803"/>
      <w:r>
        <w:rPr>
          <w:rFonts w:hint="eastAsia" w:ascii="宋体" w:hAnsi="宋体" w:cs="宋体"/>
          <w:color w:val="auto"/>
          <w:sz w:val="24"/>
          <w:highlight w:val="none"/>
        </w:rPr>
        <w:t>1.提交投标文件截止时间：</w:t>
      </w:r>
      <w:r>
        <w:rPr>
          <w:rFonts w:hint="eastAsia" w:ascii="宋体" w:hAnsi="宋体" w:cs="宋体"/>
          <w:color w:val="auto"/>
          <w:sz w:val="24"/>
          <w:highlight w:val="none"/>
          <w:lang w:eastAsia="zh-CN"/>
        </w:rPr>
        <w:t>2026年5月19日09时00分</w:t>
      </w:r>
      <w:r>
        <w:rPr>
          <w:rFonts w:hint="eastAsia" w:ascii="宋体" w:hAnsi="宋体" w:cs="宋体"/>
          <w:color w:val="auto"/>
          <w:sz w:val="24"/>
          <w:highlight w:val="none"/>
        </w:rPr>
        <w:t>（北京时间）</w:t>
      </w:r>
    </w:p>
    <w:p w14:paraId="027F4D59">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color w:val="auto"/>
          <w:sz w:val="24"/>
          <w:highlight w:val="none"/>
          <w:lang w:eastAsia="zh-CN"/>
        </w:rPr>
        <w:t>2026年5月19日09时00分</w:t>
      </w:r>
      <w:r>
        <w:rPr>
          <w:rFonts w:hint="eastAsia" w:ascii="宋体" w:hAnsi="宋体" w:cs="宋体"/>
          <w:color w:val="auto"/>
          <w:sz w:val="24"/>
          <w:highlight w:val="none"/>
        </w:rPr>
        <w:t>（北京时间）</w:t>
      </w:r>
    </w:p>
    <w:p w14:paraId="779AD62E">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3.开标地点：“政采云”平台开标大厅（https://www.zcygov.cn/），</w:t>
      </w:r>
      <w:r>
        <w:rPr>
          <w:rFonts w:hint="eastAsia" w:ascii="宋体" w:hAnsi="宋体" w:cs="宋体"/>
          <w:color w:val="auto"/>
          <w:sz w:val="24"/>
          <w:highlight w:val="none"/>
          <w:lang w:val="en-US" w:eastAsia="zh-CN"/>
        </w:rPr>
        <w:t>会议地点为陇川县政府采购和出让中心3号开标室（陇川县章凤镇卫国南路26号陇川县政务服务管理局4楼）</w:t>
      </w:r>
      <w:r>
        <w:rPr>
          <w:rFonts w:hint="eastAsia" w:ascii="宋体" w:hAnsi="宋体" w:cs="宋体"/>
          <w:color w:val="auto"/>
          <w:sz w:val="24"/>
          <w:highlight w:val="none"/>
        </w:rPr>
        <w:t>。</w:t>
      </w:r>
    </w:p>
    <w:p w14:paraId="3F38E247">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注：</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应按照本项目</w:t>
      </w:r>
      <w:r>
        <w:rPr>
          <w:rFonts w:hint="eastAsia" w:ascii="宋体" w:hAnsi="宋体" w:cs="宋体"/>
          <w:b w:val="0"/>
          <w:bCs w:val="0"/>
          <w:color w:val="auto"/>
          <w:sz w:val="24"/>
          <w:highlight w:val="none"/>
          <w:lang w:eastAsia="zh-CN"/>
        </w:rPr>
        <w:t>招标文件</w:t>
      </w:r>
      <w:r>
        <w:rPr>
          <w:rFonts w:hint="eastAsia" w:ascii="宋体" w:hAnsi="宋体" w:cs="宋体"/>
          <w:b w:val="0"/>
          <w:bCs w:val="0"/>
          <w:color w:val="auto"/>
          <w:sz w:val="24"/>
          <w:highlight w:val="none"/>
        </w:rPr>
        <w:t>和政采云平台的要求编制，须在</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提交截止时间前完成所有电子</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的上传，提交</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时请填写参加远程采购活动的经办人联系方式，</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提交截止时间前未完成文件上传的，视为撤回</w:t>
      </w:r>
      <w:r>
        <w:rPr>
          <w:rFonts w:hint="eastAsia" w:ascii="宋体" w:hAnsi="宋体" w:cs="宋体"/>
          <w:b w:val="0"/>
          <w:bCs w:val="0"/>
          <w:color w:val="auto"/>
          <w:sz w:val="24"/>
          <w:highlight w:val="none"/>
          <w:lang w:eastAsia="zh-CN"/>
        </w:rPr>
        <w:t>投标文件</w:t>
      </w:r>
      <w:r>
        <w:rPr>
          <w:rFonts w:hint="eastAsia" w:ascii="宋体" w:hAnsi="宋体" w:cs="宋体"/>
          <w:b w:val="0"/>
          <w:bCs w:val="0"/>
          <w:color w:val="auto"/>
          <w:sz w:val="24"/>
          <w:highlight w:val="none"/>
        </w:rPr>
        <w:t>。</w:t>
      </w:r>
    </w:p>
    <w:p w14:paraId="4B7D422E">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如遇平台相关问题，请及时联系政府采购云平台客服进行咨询，咨询电话：95763。</w:t>
      </w:r>
    </w:p>
    <w:p w14:paraId="15ACE660">
      <w:pPr>
        <w:keepLines w:val="0"/>
        <w:pageBreakBefore w:val="0"/>
        <w:widowControl/>
        <w:kinsoku/>
        <w:wordWrap w:val="0"/>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操作指南：https://edu.zcygov.cn/luban/yunnan-dzjy-gys?utm=luban.luban-PC-</w:t>
      </w:r>
      <w:r>
        <w:rPr>
          <w:rFonts w:ascii="宋体" w:hAnsi="宋体" w:cs="宋体"/>
          <w:color w:val="auto"/>
          <w:sz w:val="24"/>
          <w:highlight w:val="none"/>
        </w:rPr>
        <w:pict>
          <v:rect id="_x0000_s2050" o:spid="_x0000_s2050"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62336;mso-width-relative:page;mso-height-relative:page;"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path/>
            <v:fill focussize="0,0"/>
            <v:stroke/>
            <v:imagedata o:title=""/>
            <o:lock v:ext="edit"/>
          </v:rect>
        </w:pict>
      </w:r>
      <w:r>
        <w:rPr>
          <w:rFonts w:hint="eastAsia" w:ascii="宋体" w:hAnsi="宋体" w:cs="宋体"/>
          <w:color w:val="auto"/>
          <w:sz w:val="24"/>
          <w:highlight w:val="none"/>
        </w:rPr>
        <w:t>1514.161-market-menubar-pc.20.d37010404f7811edb5ec8fd9c5fe1d40。</w:t>
      </w:r>
    </w:p>
    <w:p w14:paraId="790E70EF">
      <w:pPr>
        <w:pStyle w:val="3"/>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五、公告期限</w:t>
      </w:r>
      <w:bookmarkEnd w:id="28"/>
      <w:bookmarkEnd w:id="29"/>
      <w:bookmarkEnd w:id="30"/>
      <w:bookmarkEnd w:id="31"/>
    </w:p>
    <w:p w14:paraId="3E6D4767">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rPr>
        <w:t>自本公告发布之日起5个工作日</w:t>
      </w:r>
      <w:r>
        <w:rPr>
          <w:rFonts w:hint="eastAsia" w:ascii="宋体" w:hAnsi="宋体" w:cs="宋体"/>
          <w:color w:val="auto"/>
          <w:kern w:val="0"/>
          <w:sz w:val="24"/>
          <w:highlight w:val="none"/>
        </w:rPr>
        <w:t>。</w:t>
      </w:r>
    </w:p>
    <w:bookmarkEnd w:id="24"/>
    <w:bookmarkEnd w:id="25"/>
    <w:bookmarkEnd w:id="26"/>
    <w:bookmarkEnd w:id="27"/>
    <w:p w14:paraId="31C0667F">
      <w:pPr>
        <w:pStyle w:val="3"/>
        <w:keepLines w:val="0"/>
        <w:pageBreakBefore w:val="0"/>
        <w:numPr>
          <w:ilvl w:val="1"/>
          <w:numId w:val="0"/>
        </w:numPr>
        <w:kinsoku/>
        <w:overflowPunct/>
        <w:topLinePunct w:val="0"/>
        <w:autoSpaceDE/>
        <w:autoSpaceDN/>
        <w:bidi w:val="0"/>
        <w:snapToGrid/>
        <w:spacing w:line="460" w:lineRule="exact"/>
        <w:textAlignment w:val="auto"/>
        <w:rPr>
          <w:rFonts w:ascii="宋体" w:hAnsi="宋体" w:eastAsia="宋体" w:cs="宋体"/>
          <w:bCs/>
          <w:color w:val="auto"/>
          <w:sz w:val="24"/>
          <w:szCs w:val="24"/>
          <w:highlight w:val="none"/>
        </w:rPr>
      </w:pPr>
      <w:bookmarkStart w:id="32" w:name="_Toc35393795"/>
      <w:bookmarkStart w:id="33" w:name="_Toc35393626"/>
      <w:r>
        <w:rPr>
          <w:rFonts w:hint="eastAsia" w:ascii="宋体" w:hAnsi="宋体" w:eastAsia="宋体" w:cs="宋体"/>
          <w:bCs/>
          <w:color w:val="auto"/>
          <w:sz w:val="24"/>
          <w:szCs w:val="24"/>
          <w:highlight w:val="none"/>
        </w:rPr>
        <w:t>六、其他补充事宜</w:t>
      </w:r>
      <w:bookmarkEnd w:id="32"/>
      <w:bookmarkEnd w:id="33"/>
    </w:p>
    <w:p w14:paraId="6248D215">
      <w:pPr>
        <w:keepLines w:val="0"/>
        <w:pageBreakBefore w:val="0"/>
        <w:kinsoku/>
        <w:overflowPunct/>
        <w:topLinePunct w:val="0"/>
        <w:autoSpaceDE/>
        <w:autoSpaceDN/>
        <w:bidi w:val="0"/>
        <w:snapToGrid/>
        <w:spacing w:line="460" w:lineRule="exact"/>
        <w:ind w:firstLine="482" w:firstLineChars="200"/>
        <w:jc w:val="left"/>
        <w:textAlignment w:val="auto"/>
        <w:rPr>
          <w:rFonts w:ascii="宋体" w:hAnsi="宋体" w:cs="宋体"/>
          <w:b/>
          <w:color w:val="auto"/>
          <w:kern w:val="0"/>
          <w:sz w:val="24"/>
          <w:highlight w:val="none"/>
        </w:rPr>
      </w:pPr>
      <w:bookmarkStart w:id="34" w:name="_Toc35393627"/>
      <w:bookmarkStart w:id="35" w:name="_Toc28359085"/>
      <w:bookmarkStart w:id="36" w:name="_Toc35393796"/>
      <w:bookmarkStart w:id="37" w:name="_Toc28359008"/>
      <w:r>
        <w:rPr>
          <w:rFonts w:hint="eastAsia" w:ascii="宋体" w:hAnsi="宋体" w:cs="宋体"/>
          <w:b/>
          <w:color w:val="auto"/>
          <w:kern w:val="0"/>
          <w:sz w:val="24"/>
          <w:highlight w:val="none"/>
        </w:rPr>
        <w:t>1.开标方式：网上开标</w:t>
      </w:r>
    </w:p>
    <w:p w14:paraId="1DAEF8DA">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（1）</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无需到达开启地点，须在政采云平台进行远程解密电子版</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w:t>
      </w:r>
    </w:p>
    <w:p w14:paraId="0D3967D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应在</w:t>
      </w:r>
      <w:r>
        <w:rPr>
          <w:rFonts w:hint="eastAsia" w:ascii="宋体" w:hAnsi="宋体" w:cs="宋体"/>
          <w:bCs/>
          <w:color w:val="auto"/>
          <w:kern w:val="0"/>
          <w:sz w:val="24"/>
          <w:highlight w:val="none"/>
          <w:lang w:eastAsia="zh-CN"/>
        </w:rPr>
        <w:t>投标文件</w:t>
      </w:r>
      <w:r>
        <w:rPr>
          <w:rFonts w:hint="eastAsia" w:ascii="宋体" w:hAnsi="宋体" w:cs="宋体"/>
          <w:bCs/>
          <w:color w:val="auto"/>
          <w:kern w:val="0"/>
          <w:sz w:val="24"/>
          <w:highlight w:val="none"/>
        </w:rPr>
        <w:t>提交截止时间前登录系统，并根据开标系统的提示操作解密文件。请参与本项目的</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在使用政采云平台时，自行配备需要的音视频等设备，做好系统的调试工作，避免出现系统不能正常使用的情况；</w:t>
      </w:r>
    </w:p>
    <w:p w14:paraId="5B0BEC4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（3）如因</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自身原因导致在规定时间内无法正常解密的（如：浏览器故障、未安装相关驱动、网络故障、加密CA与解密CA不一致等），代理机构不予异常处理，视为</w:t>
      </w:r>
      <w:r>
        <w:rPr>
          <w:rFonts w:hint="eastAsia" w:ascii="宋体" w:hAnsi="宋体" w:cs="宋体"/>
          <w:bCs/>
          <w:color w:val="auto"/>
          <w:kern w:val="0"/>
          <w:sz w:val="24"/>
          <w:highlight w:val="none"/>
          <w:lang w:eastAsia="zh-CN"/>
        </w:rPr>
        <w:t>投标人</w:t>
      </w:r>
      <w:r>
        <w:rPr>
          <w:rFonts w:hint="eastAsia" w:ascii="宋体" w:hAnsi="宋体" w:cs="宋体"/>
          <w:bCs/>
          <w:color w:val="auto"/>
          <w:kern w:val="0"/>
          <w:sz w:val="24"/>
          <w:highlight w:val="none"/>
        </w:rPr>
        <w:t>自动弃标。</w:t>
      </w:r>
    </w:p>
    <w:p w14:paraId="0084D0A9">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2.保证金</w:t>
      </w:r>
    </w:p>
    <w:p w14:paraId="040F3DC1">
      <w:pPr>
        <w:keepLines w:val="0"/>
        <w:pageBreakBefore w:val="0"/>
        <w:kinsoku/>
        <w:overflowPunct/>
        <w:topLinePunct w:val="0"/>
        <w:autoSpaceDE/>
        <w:autoSpaceDN/>
        <w:bidi w:val="0"/>
        <w:snapToGrid/>
        <w:spacing w:line="460" w:lineRule="exact"/>
        <w:ind w:firstLine="482" w:firstLineChars="200"/>
        <w:jc w:val="left"/>
        <w:textAlignment w:val="auto"/>
        <w:rPr>
          <w:rFonts w:hint="eastAsia" w:ascii="宋体" w:hAnsi="宋体" w:eastAsia="宋体" w:cs="宋体"/>
          <w:b/>
          <w:color w:val="auto"/>
          <w:sz w:val="24"/>
          <w:highlight w:val="none"/>
          <w:lang w:eastAsia="zh-CN"/>
        </w:rPr>
      </w:pPr>
      <w:r>
        <w:rPr>
          <w:rFonts w:hint="eastAsia" w:ascii="宋体" w:hAnsi="宋体" w:cs="宋体"/>
          <w:b/>
          <w:color w:val="auto"/>
          <w:kern w:val="0"/>
          <w:sz w:val="24"/>
          <w:highlight w:val="none"/>
        </w:rPr>
        <w:t>保证金金额：</w:t>
      </w:r>
      <w:r>
        <w:rPr>
          <w:rFonts w:hint="eastAsia" w:hAnsi="宋体" w:cs="宋体"/>
          <w:b/>
          <w:color w:val="auto"/>
          <w:sz w:val="24"/>
          <w:highlight w:val="none"/>
          <w:lang w:eastAsia="zh-CN"/>
        </w:rPr>
        <w:t>壹万元整（10000.00元）</w:t>
      </w:r>
    </w:p>
    <w:p w14:paraId="230489D3">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投标保证金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方式：可以采用“银行转账</w:t>
      </w:r>
      <w:r>
        <w:rPr>
          <w:rFonts w:hint="eastAsia" w:ascii="宋体" w:hAnsi="宋体" w:cs="宋体"/>
          <w:color w:val="auto"/>
          <w:sz w:val="24"/>
          <w:highlight w:val="none"/>
          <w:lang w:eastAsia="zh-CN"/>
        </w:rPr>
        <w:t>”“</w:t>
      </w:r>
      <w:r>
        <w:rPr>
          <w:rFonts w:hint="eastAsia" w:ascii="宋体" w:hAnsi="宋体" w:cs="宋体"/>
          <w:color w:val="auto"/>
          <w:sz w:val="24"/>
          <w:highlight w:val="none"/>
        </w:rPr>
        <w:t>银行保函</w:t>
      </w:r>
      <w:r>
        <w:rPr>
          <w:rFonts w:hint="eastAsia" w:ascii="宋体" w:hAnsi="宋体" w:cs="宋体"/>
          <w:color w:val="auto"/>
          <w:sz w:val="24"/>
          <w:highlight w:val="none"/>
          <w:lang w:eastAsia="zh-CN"/>
        </w:rPr>
        <w:t>”“</w:t>
      </w:r>
      <w:r>
        <w:rPr>
          <w:rFonts w:hint="eastAsia" w:ascii="宋体" w:hAnsi="宋体" w:cs="宋体"/>
          <w:color w:val="auto"/>
          <w:sz w:val="24"/>
          <w:highlight w:val="none"/>
        </w:rPr>
        <w:t>投标保证保险”任一方式，其中采用“银行转账”方式的，投标人以支票、汇票、本票、网上银行支付等非现金形式汇入指定账户；</w:t>
      </w:r>
    </w:p>
    <w:p w14:paraId="7E8EB4B4">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保证金</w:t>
      </w:r>
      <w:r>
        <w:rPr>
          <w:rFonts w:hint="eastAsia" w:ascii="宋体" w:hAnsi="宋体" w:cs="宋体"/>
          <w:color w:val="auto"/>
          <w:sz w:val="24"/>
          <w:highlight w:val="none"/>
          <w:lang w:eastAsia="zh-CN"/>
        </w:rPr>
        <w:t>缴纳</w:t>
      </w:r>
      <w:r>
        <w:rPr>
          <w:rFonts w:hint="eastAsia" w:ascii="宋体" w:hAnsi="宋体" w:cs="宋体"/>
          <w:color w:val="auto"/>
          <w:sz w:val="24"/>
          <w:highlight w:val="none"/>
        </w:rPr>
        <w:t>截止时间：</w:t>
      </w:r>
      <w:r>
        <w:rPr>
          <w:rFonts w:hint="eastAsia" w:ascii="宋体" w:hAnsi="宋体" w:cs="宋体"/>
          <w:color w:val="auto"/>
          <w:sz w:val="24"/>
          <w:highlight w:val="none"/>
          <w:lang w:val="en-US" w:eastAsia="zh-CN"/>
        </w:rPr>
        <w:t>同</w:t>
      </w:r>
      <w:r>
        <w:rPr>
          <w:rFonts w:hint="eastAsia" w:ascii="宋体" w:hAnsi="宋体" w:cs="宋体"/>
          <w:color w:val="auto"/>
          <w:sz w:val="24"/>
          <w:highlight w:val="none"/>
        </w:rPr>
        <w:t>提交投标文件截止时间。</w:t>
      </w:r>
    </w:p>
    <w:p w14:paraId="15407AE7">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户名：云南立友工程咨询有限公司</w:t>
      </w:r>
    </w:p>
    <w:p w14:paraId="1BCA7051">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账号：54000 19595 659012  </w:t>
      </w:r>
    </w:p>
    <w:p w14:paraId="56CF3439">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德宏农村商业银行芒市支行</w:t>
      </w:r>
    </w:p>
    <w:p w14:paraId="2AFBC772">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财务室联系电话：0692-2273788</w:t>
      </w:r>
    </w:p>
    <w:p w14:paraId="2246C35D">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bCs/>
          <w:color w:val="auto"/>
          <w:kern w:val="0"/>
          <w:sz w:val="24"/>
          <w:highlight w:val="none"/>
        </w:rPr>
        <w:t>3.</w:t>
      </w:r>
      <w:r>
        <w:rPr>
          <w:rFonts w:hint="eastAsia" w:ascii="宋体" w:hAnsi="宋体" w:cs="宋体"/>
          <w:bCs/>
          <w:color w:val="auto"/>
          <w:sz w:val="24"/>
          <w:highlight w:val="none"/>
        </w:rPr>
        <w:t>相关费用：</w:t>
      </w:r>
      <w:r>
        <w:rPr>
          <w:rFonts w:hint="eastAsia" w:ascii="宋体" w:hAnsi="宋体" w:cs="宋体"/>
          <w:bCs/>
          <w:color w:val="auto"/>
          <w:sz w:val="24"/>
          <w:highlight w:val="none"/>
          <w:lang w:eastAsia="zh-CN"/>
        </w:rPr>
        <w:t>中标服务费以单个项目（或标段）</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通知书的</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金额为计费基数，按关于印发《云南省建设工程招标代理服务收费</w:t>
      </w:r>
      <w:r>
        <w:rPr>
          <w:rFonts w:hint="eastAsia" w:ascii="宋体" w:hAnsi="宋体" w:cs="宋体"/>
          <w:bCs/>
          <w:color w:val="auto"/>
          <w:sz w:val="24"/>
          <w:highlight w:val="none"/>
          <w:lang w:val="en-US" w:eastAsia="zh-CN"/>
        </w:rPr>
        <w:t>参考意见</w:t>
      </w:r>
      <w:r>
        <w:rPr>
          <w:rFonts w:hint="eastAsia" w:ascii="宋体" w:hAnsi="宋体" w:cs="宋体"/>
          <w:bCs/>
          <w:color w:val="auto"/>
          <w:sz w:val="24"/>
          <w:highlight w:val="none"/>
          <w:lang w:eastAsia="zh-CN"/>
        </w:rPr>
        <w:t>》的通知（云建招协〔202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〕5</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号）收费标准收取，由</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单位支付</w:t>
      </w:r>
      <w:r>
        <w:rPr>
          <w:rFonts w:hint="eastAsia" w:ascii="宋体" w:hAnsi="宋体" w:cs="宋体"/>
          <w:color w:val="auto"/>
          <w:sz w:val="24"/>
          <w:highlight w:val="none"/>
        </w:rPr>
        <w:t>。</w:t>
      </w:r>
    </w:p>
    <w:p w14:paraId="750F6BEF">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公告发布媒体：</w:t>
      </w:r>
      <w:r>
        <w:rPr>
          <w:rFonts w:hint="eastAsia" w:ascii="宋体" w:hAnsi="宋体" w:cs="宋体"/>
          <w:color w:val="auto"/>
          <w:sz w:val="24"/>
          <w:highlight w:val="none"/>
        </w:rPr>
        <w:t>本公告在《云南省政府采购网》（http://www.yngp.com/）、</w:t>
      </w:r>
      <w:r>
        <w:rPr>
          <w:rFonts w:hint="eastAsia" w:ascii="宋体" w:hAnsi="宋体" w:cs="宋体"/>
          <w:bCs/>
          <w:color w:val="auto"/>
          <w:kern w:val="0"/>
          <w:sz w:val="24"/>
          <w:highlight w:val="none"/>
        </w:rPr>
        <w:t>政府采购云平台（https://www.zcygov.cn/）</w:t>
      </w:r>
      <w:r>
        <w:rPr>
          <w:rFonts w:hint="eastAsia" w:ascii="宋体" w:hAnsi="宋体" w:cs="宋体"/>
          <w:color w:val="auto"/>
          <w:sz w:val="24"/>
          <w:highlight w:val="none"/>
        </w:rPr>
        <w:t>上发布，我公司对其他网站或媒体转载的公告及公告内容不承担任何责任。</w:t>
      </w:r>
    </w:p>
    <w:p w14:paraId="6F2B348B">
      <w:pPr>
        <w:keepLines w:val="0"/>
        <w:pageBreakBefore w:val="0"/>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5.本项目执行政府采购促进中小企业发展、支持监狱企业、促进残疾人就业、扶持不发达地区、少数民族地区和优先采购节能、环保产品等政府采购政策。</w:t>
      </w:r>
    </w:p>
    <w:p w14:paraId="10BCC3DC">
      <w:pPr>
        <w:pStyle w:val="3"/>
        <w:keepLines w:val="0"/>
        <w:pageBreakBefore w:val="0"/>
        <w:numPr>
          <w:ilvl w:val="1"/>
          <w:numId w:val="0"/>
        </w:numPr>
        <w:kinsoku/>
        <w:overflowPunct/>
        <w:topLinePunct w:val="0"/>
        <w:autoSpaceDE/>
        <w:autoSpaceDN/>
        <w:bidi w:val="0"/>
        <w:snapToGrid/>
        <w:spacing w:before="0" w:line="460" w:lineRule="exact"/>
        <w:ind w:firstLine="480" w:firstLineChars="200"/>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6.监督部门及联系电话</w:t>
      </w:r>
    </w:p>
    <w:p w14:paraId="2DF89E58">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行政监督部门及联系电话：陇川县财政局 0692-7172965</w:t>
      </w:r>
    </w:p>
    <w:p w14:paraId="7CD273A2">
      <w:pPr>
        <w:keepLines w:val="0"/>
        <w:pageBreakBefore w:val="0"/>
        <w:widowControl/>
        <w:kinsoku/>
        <w:overflowPunct/>
        <w:topLinePunct w:val="0"/>
        <w:autoSpaceDE/>
        <w:autoSpaceDN/>
        <w:bidi w:val="0"/>
        <w:snapToGrid/>
        <w:spacing w:line="46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纪检监督联系电话：0692-12388</w:t>
      </w:r>
    </w:p>
    <w:p w14:paraId="62ED4D6E">
      <w:pPr>
        <w:pStyle w:val="3"/>
        <w:keepLines w:val="0"/>
        <w:pageBreakBefore w:val="0"/>
        <w:numPr>
          <w:ilvl w:val="1"/>
          <w:numId w:val="0"/>
        </w:numPr>
        <w:kinsoku/>
        <w:overflowPunct/>
        <w:topLinePunct w:val="0"/>
        <w:autoSpaceDE/>
        <w:autoSpaceDN/>
        <w:bidi w:val="0"/>
        <w:snapToGrid/>
        <w:spacing w:line="480" w:lineRule="exact"/>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七、对本次招标提出询问，请按以下方式联系。</w:t>
      </w:r>
      <w:bookmarkEnd w:id="34"/>
      <w:bookmarkEnd w:id="35"/>
      <w:bookmarkEnd w:id="36"/>
      <w:bookmarkEnd w:id="37"/>
    </w:p>
    <w:p w14:paraId="640F835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bookmarkStart w:id="38" w:name="_Toc35393806"/>
      <w:bookmarkStart w:id="39" w:name="_Toc35393637"/>
      <w:bookmarkStart w:id="40" w:name="_Toc28359019"/>
      <w:bookmarkStart w:id="41" w:name="_Toc28359096"/>
      <w:bookmarkStart w:id="42" w:name="_Toc35393638"/>
      <w:bookmarkStart w:id="43" w:name="_Toc28359097"/>
      <w:bookmarkStart w:id="44" w:name="_Toc28359020"/>
      <w:bookmarkStart w:id="45" w:name="_Toc35393807"/>
      <w:r>
        <w:rPr>
          <w:rFonts w:hint="eastAsia" w:ascii="宋体" w:hAnsi="宋体" w:cs="宋体"/>
          <w:color w:val="auto"/>
          <w:sz w:val="24"/>
          <w:highlight w:val="none"/>
        </w:rPr>
        <w:t>1.采购人信息</w:t>
      </w:r>
      <w:bookmarkEnd w:id="38"/>
      <w:bookmarkEnd w:id="39"/>
      <w:bookmarkEnd w:id="40"/>
      <w:bookmarkEnd w:id="41"/>
    </w:p>
    <w:p w14:paraId="2066AB5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陇川县教育体育局</w:t>
      </w:r>
    </w:p>
    <w:p w14:paraId="1DCC05F8">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eastAsia="zh-CN"/>
        </w:rPr>
        <w:t>统一社会信用代码：11533124015270580X</w:t>
      </w:r>
    </w:p>
    <w:p w14:paraId="087C6DDD">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bCs/>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云南省德宏州陇川县章凤镇卫国南路1号</w:t>
      </w:r>
    </w:p>
    <w:p w14:paraId="49935CCB">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18988223392</w:t>
      </w:r>
    </w:p>
    <w:p w14:paraId="00243C4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3CB6D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301E29C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名    称：云南立友工程咨询有限公司</w:t>
      </w:r>
    </w:p>
    <w:p w14:paraId="15792F8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统一社会信用代码：91533103MA6NT2PR2J</w:t>
      </w:r>
    </w:p>
    <w:p w14:paraId="78988FD0">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地　　址：云南省德宏州芒市榕树北路5号</w:t>
      </w:r>
    </w:p>
    <w:p w14:paraId="2EB3CE6C">
      <w:pPr>
        <w:keepNext w:val="0"/>
        <w:keepLines w:val="0"/>
        <w:pageBreakBefore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联系方式：0692-2273788</w:t>
      </w:r>
    </w:p>
    <w:p w14:paraId="1A30CEA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p>
    <w:p w14:paraId="479C0F0A">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3.项目联系方式</w:t>
      </w:r>
    </w:p>
    <w:bookmarkEnd w:id="42"/>
    <w:bookmarkEnd w:id="43"/>
    <w:bookmarkEnd w:id="44"/>
    <w:bookmarkEnd w:id="45"/>
    <w:p w14:paraId="52CBF279">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许有然</w:t>
      </w:r>
      <w:r>
        <w:rPr>
          <w:rFonts w:hint="eastAsia" w:ascii="宋体" w:hAnsi="宋体" w:cs="宋体"/>
          <w:color w:val="auto"/>
          <w:sz w:val="24"/>
          <w:highlight w:val="none"/>
        </w:rPr>
        <w:t>（采购人）、叶杨、张辉（采购代理机构）</w:t>
      </w:r>
    </w:p>
    <w:p w14:paraId="5C152DD1">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color w:val="auto"/>
          <w:szCs w:val="21"/>
          <w:highlight w:val="none"/>
        </w:rPr>
        <w:sectPr>
          <w:footerReference r:id="rId5" w:type="default"/>
          <w:pgSz w:w="11906" w:h="16838"/>
          <w:pgMar w:top="1440" w:right="1083" w:bottom="1440" w:left="1083" w:header="851" w:footer="992" w:gutter="0"/>
          <w:pgNumType w:fmt="decimal" w:start="1"/>
          <w:cols w:space="425" w:num="1"/>
          <w:docGrid w:type="lines" w:linePitch="312" w:charSpace="0"/>
        </w:sect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18988223392</w:t>
      </w:r>
      <w:r>
        <w:rPr>
          <w:rFonts w:hint="eastAsia" w:ascii="宋体" w:hAnsi="宋体" w:cs="宋体"/>
          <w:color w:val="auto"/>
          <w:sz w:val="24"/>
          <w:highlight w:val="none"/>
        </w:rPr>
        <w:t>（采购人）、13578</w:t>
      </w:r>
      <w:r>
        <w:rPr>
          <w:rFonts w:hint="eastAsia" w:ascii="宋体" w:hAnsi="宋体" w:cs="宋体"/>
          <w:color w:val="auto"/>
          <w:sz w:val="24"/>
          <w:highlight w:val="none"/>
          <w:lang w:val="en-US" w:eastAsia="zh-CN"/>
        </w:rPr>
        <w:t>266575</w:t>
      </w:r>
      <w:r>
        <w:rPr>
          <w:rFonts w:hint="eastAsia" w:ascii="宋体" w:hAnsi="宋体" w:cs="宋体"/>
          <w:color w:val="auto"/>
          <w:sz w:val="24"/>
          <w:highlight w:val="none"/>
        </w:rPr>
        <w:t>、0692-2273788（采购代理机构）</w:t>
      </w:r>
      <w:bookmarkEnd w:id="187"/>
    </w:p>
    <w:p w14:paraId="615CB0FD">
      <w:pPr>
        <w:pStyle w:val="2"/>
        <w:spacing w:before="0" w:afterLines="50" w:line="360" w:lineRule="auto"/>
        <w:jc w:val="center"/>
        <w:rPr>
          <w:rFonts w:ascii="宋体" w:hAnsi="宋体" w:cs="宋体"/>
          <w:color w:val="auto"/>
          <w:highlight w:val="none"/>
        </w:rPr>
      </w:pP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投标人须知</w:t>
      </w:r>
    </w:p>
    <w:p w14:paraId="05A17295">
      <w:pPr>
        <w:pStyle w:val="3"/>
        <w:numPr>
          <w:ilvl w:val="1"/>
          <w:numId w:val="0"/>
        </w:numPr>
        <w:tabs>
          <w:tab w:val="clear" w:pos="1021"/>
        </w:tabs>
        <w:spacing w:before="0"/>
        <w:jc w:val="center"/>
        <w:rPr>
          <w:rFonts w:ascii="宋体" w:hAnsi="宋体" w:eastAsia="宋体" w:cs="宋体"/>
          <w:color w:val="auto"/>
          <w:szCs w:val="28"/>
          <w:highlight w:val="none"/>
        </w:rPr>
      </w:pPr>
      <w:bookmarkStart w:id="46" w:name="_Toc13590"/>
      <w:bookmarkEnd w:id="46"/>
      <w:bookmarkStart w:id="47" w:name="_Toc21714"/>
      <w:bookmarkEnd w:id="47"/>
      <w:bookmarkStart w:id="48" w:name="_Toc26144"/>
      <w:bookmarkStart w:id="49" w:name="_Toc7029"/>
      <w:r>
        <w:rPr>
          <w:rFonts w:hint="eastAsia" w:ascii="宋体" w:hAnsi="宋体" w:eastAsia="宋体" w:cs="宋体"/>
          <w:color w:val="auto"/>
          <w:szCs w:val="28"/>
          <w:highlight w:val="none"/>
        </w:rPr>
        <w:t>投标人须知前附表</w:t>
      </w:r>
      <w:bookmarkEnd w:id="48"/>
      <w:bookmarkEnd w:id="49"/>
    </w:p>
    <w:p w14:paraId="581D4AC3">
      <w:pPr>
        <w:spacing w:line="200" w:lineRule="exact"/>
        <w:rPr>
          <w:rFonts w:ascii="宋体" w:hAnsi="宋体" w:cs="宋体"/>
          <w:color w:val="auto"/>
          <w:highlight w:val="none"/>
        </w:rPr>
      </w:pPr>
    </w:p>
    <w:tbl>
      <w:tblPr>
        <w:tblStyle w:val="23"/>
        <w:tblW w:w="9824" w:type="dxa"/>
        <w:jc w:val="center"/>
        <w:tblLayout w:type="fixed"/>
        <w:tblCellMar>
          <w:top w:w="0" w:type="dxa"/>
          <w:left w:w="0" w:type="dxa"/>
          <w:bottom w:w="0" w:type="dxa"/>
          <w:right w:w="0" w:type="dxa"/>
        </w:tblCellMar>
      </w:tblPr>
      <w:tblGrid>
        <w:gridCol w:w="990"/>
        <w:gridCol w:w="1638"/>
        <w:gridCol w:w="7196"/>
      </w:tblGrid>
      <w:tr w14:paraId="0BE0334E">
        <w:tblPrEx>
          <w:tblCellMar>
            <w:top w:w="0" w:type="dxa"/>
            <w:left w:w="0" w:type="dxa"/>
            <w:bottom w:w="0" w:type="dxa"/>
            <w:right w:w="0" w:type="dxa"/>
          </w:tblCellMar>
        </w:tblPrEx>
        <w:trPr>
          <w:trHeight w:val="473"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760055A2">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638" w:type="dxa"/>
            <w:tcBorders>
              <w:top w:val="single" w:color="auto" w:sz="8" w:space="0"/>
              <w:left w:val="nil"/>
              <w:bottom w:val="single" w:color="auto" w:sz="8" w:space="0"/>
              <w:right w:val="single" w:color="auto" w:sz="8" w:space="0"/>
            </w:tcBorders>
            <w:vAlign w:val="center"/>
          </w:tcPr>
          <w:p w14:paraId="047F6BBD">
            <w:pPr>
              <w:jc w:val="center"/>
              <w:rPr>
                <w:rFonts w:ascii="宋体" w:hAnsi="宋体" w:cs="宋体"/>
                <w:b/>
                <w:color w:val="auto"/>
                <w:sz w:val="24"/>
                <w:highlight w:val="none"/>
              </w:rPr>
            </w:pPr>
            <w:r>
              <w:rPr>
                <w:rFonts w:hint="eastAsia" w:ascii="宋体" w:hAnsi="宋体" w:cs="宋体"/>
                <w:b/>
                <w:color w:val="auto"/>
                <w:sz w:val="24"/>
                <w:highlight w:val="none"/>
              </w:rPr>
              <w:t>条款名称</w:t>
            </w:r>
          </w:p>
        </w:tc>
        <w:tc>
          <w:tcPr>
            <w:tcW w:w="7196" w:type="dxa"/>
            <w:tcBorders>
              <w:top w:val="single" w:color="auto" w:sz="8" w:space="0"/>
              <w:left w:val="nil"/>
              <w:bottom w:val="single" w:color="auto" w:sz="8" w:space="0"/>
              <w:right w:val="single" w:color="auto" w:sz="8" w:space="0"/>
            </w:tcBorders>
            <w:vAlign w:val="center"/>
          </w:tcPr>
          <w:p w14:paraId="2FA2E05F">
            <w:pPr>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14:paraId="794311B1">
        <w:tblPrEx>
          <w:tblCellMar>
            <w:top w:w="0" w:type="dxa"/>
            <w:left w:w="0" w:type="dxa"/>
            <w:bottom w:w="0" w:type="dxa"/>
            <w:right w:w="0" w:type="dxa"/>
          </w:tblCellMar>
        </w:tblPrEx>
        <w:trPr>
          <w:trHeight w:val="170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B410C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1.1.2</w:t>
            </w:r>
          </w:p>
        </w:tc>
        <w:tc>
          <w:tcPr>
            <w:tcW w:w="1638" w:type="dxa"/>
            <w:tcBorders>
              <w:top w:val="single" w:color="auto" w:sz="8" w:space="0"/>
              <w:left w:val="nil"/>
              <w:bottom w:val="single" w:color="auto" w:sz="8" w:space="0"/>
              <w:right w:val="single" w:color="auto" w:sz="8" w:space="0"/>
            </w:tcBorders>
            <w:vAlign w:val="center"/>
          </w:tcPr>
          <w:p w14:paraId="00F659D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w:t>
            </w:r>
          </w:p>
        </w:tc>
        <w:tc>
          <w:tcPr>
            <w:tcW w:w="7196" w:type="dxa"/>
            <w:tcBorders>
              <w:top w:val="single" w:color="auto" w:sz="8" w:space="0"/>
              <w:left w:val="nil"/>
              <w:bottom w:val="single" w:color="auto" w:sz="8" w:space="0"/>
              <w:right w:val="single" w:color="auto" w:sz="8" w:space="0"/>
            </w:tcBorders>
            <w:vAlign w:val="center"/>
          </w:tcPr>
          <w:p w14:paraId="4E99C8D4">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陇川县教育体育局</w:t>
            </w:r>
          </w:p>
          <w:p w14:paraId="3D213D1D">
            <w:pPr>
              <w:spacing w:line="360" w:lineRule="auto"/>
              <w:jc w:val="left"/>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云南省德宏州陇川县章凤镇卫国南路1号</w:t>
            </w:r>
          </w:p>
          <w:p w14:paraId="235C1EC3">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联系人：许有然</w:t>
            </w:r>
          </w:p>
          <w:p w14:paraId="0CBF064D">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电  话：18988223392</w:t>
            </w:r>
          </w:p>
        </w:tc>
      </w:tr>
      <w:tr w14:paraId="608F0159">
        <w:tblPrEx>
          <w:tblCellMar>
            <w:top w:w="0" w:type="dxa"/>
            <w:left w:w="0" w:type="dxa"/>
            <w:bottom w:w="0" w:type="dxa"/>
            <w:right w:w="0" w:type="dxa"/>
          </w:tblCellMar>
        </w:tblPrEx>
        <w:trPr>
          <w:trHeight w:val="170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95285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1.1.3</w:t>
            </w:r>
          </w:p>
        </w:tc>
        <w:tc>
          <w:tcPr>
            <w:tcW w:w="1638" w:type="dxa"/>
            <w:tcBorders>
              <w:top w:val="single" w:color="auto" w:sz="8" w:space="0"/>
              <w:left w:val="nil"/>
              <w:bottom w:val="single" w:color="auto" w:sz="8" w:space="0"/>
              <w:right w:val="single" w:color="auto" w:sz="8" w:space="0"/>
            </w:tcBorders>
            <w:vAlign w:val="center"/>
          </w:tcPr>
          <w:p w14:paraId="508505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采购代理机构</w:t>
            </w:r>
          </w:p>
        </w:tc>
        <w:tc>
          <w:tcPr>
            <w:tcW w:w="7196" w:type="dxa"/>
            <w:tcBorders>
              <w:top w:val="single" w:color="auto" w:sz="8" w:space="0"/>
              <w:left w:val="nil"/>
              <w:bottom w:val="single" w:color="auto" w:sz="8" w:space="0"/>
              <w:right w:val="single" w:color="auto" w:sz="8" w:space="0"/>
            </w:tcBorders>
            <w:vAlign w:val="center"/>
          </w:tcPr>
          <w:p w14:paraId="11113A9D">
            <w:pPr>
              <w:spacing w:line="360" w:lineRule="auto"/>
              <w:jc w:val="left"/>
              <w:rPr>
                <w:rFonts w:ascii="宋体" w:hAnsi="宋体" w:cs="宋体"/>
                <w:color w:val="auto"/>
                <w:sz w:val="24"/>
                <w:highlight w:val="none"/>
              </w:rPr>
            </w:pPr>
            <w:r>
              <w:rPr>
                <w:rFonts w:hint="eastAsia" w:ascii="宋体" w:hAnsi="宋体" w:cs="宋体"/>
                <w:color w:val="auto"/>
                <w:sz w:val="24"/>
                <w:highlight w:val="none"/>
              </w:rPr>
              <w:t>名称：云南立友工程咨询有限公司</w:t>
            </w:r>
          </w:p>
          <w:p w14:paraId="34108533">
            <w:pPr>
              <w:spacing w:line="360" w:lineRule="auto"/>
              <w:jc w:val="left"/>
              <w:rPr>
                <w:rFonts w:ascii="宋体" w:hAnsi="宋体" w:cs="宋体"/>
                <w:color w:val="auto"/>
                <w:sz w:val="24"/>
                <w:highlight w:val="none"/>
              </w:rPr>
            </w:pPr>
            <w:r>
              <w:rPr>
                <w:rFonts w:hint="eastAsia" w:ascii="宋体" w:hAnsi="宋体" w:cs="宋体"/>
                <w:color w:val="auto"/>
                <w:sz w:val="24"/>
                <w:highlight w:val="none"/>
              </w:rPr>
              <w:t>地址：云南省德宏州芒市榕树北路5号</w:t>
            </w:r>
          </w:p>
          <w:p w14:paraId="3D6B3088">
            <w:pPr>
              <w:spacing w:line="360" w:lineRule="auto"/>
              <w:jc w:val="left"/>
              <w:rPr>
                <w:rFonts w:ascii="宋体" w:hAnsi="宋体" w:cs="宋体"/>
                <w:color w:val="auto"/>
                <w:sz w:val="24"/>
                <w:highlight w:val="none"/>
              </w:rPr>
            </w:pPr>
            <w:r>
              <w:rPr>
                <w:rFonts w:hint="eastAsia" w:ascii="宋体" w:hAnsi="宋体" w:cs="宋体"/>
                <w:color w:val="auto"/>
                <w:sz w:val="24"/>
                <w:highlight w:val="none"/>
              </w:rPr>
              <w:t>联系人：叶杨、张辉</w:t>
            </w:r>
          </w:p>
          <w:p w14:paraId="303D5563">
            <w:pPr>
              <w:spacing w:line="360" w:lineRule="auto"/>
              <w:jc w:val="left"/>
              <w:rPr>
                <w:rFonts w:ascii="宋体" w:hAnsi="宋体" w:cs="宋体"/>
                <w:color w:val="auto"/>
                <w:sz w:val="24"/>
                <w:highlight w:val="none"/>
              </w:rPr>
            </w:pPr>
            <w:r>
              <w:rPr>
                <w:rFonts w:hint="eastAsia" w:ascii="宋体" w:hAnsi="宋体" w:cs="宋体"/>
                <w:color w:val="auto"/>
                <w:sz w:val="24"/>
                <w:highlight w:val="none"/>
              </w:rPr>
              <w:t>电话：13578</w:t>
            </w:r>
            <w:r>
              <w:rPr>
                <w:rFonts w:hint="eastAsia" w:ascii="宋体" w:hAnsi="宋体" w:cs="宋体"/>
                <w:color w:val="auto"/>
                <w:sz w:val="24"/>
                <w:highlight w:val="none"/>
                <w:lang w:val="en-US" w:eastAsia="zh-CN"/>
              </w:rPr>
              <w:t>266575</w:t>
            </w:r>
            <w:r>
              <w:rPr>
                <w:rFonts w:hint="eastAsia" w:ascii="宋体" w:hAnsi="宋体" w:cs="宋体"/>
                <w:color w:val="auto"/>
                <w:sz w:val="24"/>
                <w:highlight w:val="none"/>
              </w:rPr>
              <w:t>、0692-2273788</w:t>
            </w:r>
          </w:p>
        </w:tc>
      </w:tr>
      <w:tr w14:paraId="63D6B84B">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4F6867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1.1.4</w:t>
            </w:r>
          </w:p>
        </w:tc>
        <w:tc>
          <w:tcPr>
            <w:tcW w:w="1638" w:type="dxa"/>
            <w:tcBorders>
              <w:top w:val="single" w:color="auto" w:sz="8" w:space="0"/>
              <w:left w:val="nil"/>
              <w:bottom w:val="single" w:color="auto" w:sz="8" w:space="0"/>
              <w:right w:val="single" w:color="auto" w:sz="8" w:space="0"/>
            </w:tcBorders>
            <w:vAlign w:val="center"/>
          </w:tcPr>
          <w:p w14:paraId="36A8B3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采购项目名称</w:t>
            </w:r>
          </w:p>
        </w:tc>
        <w:tc>
          <w:tcPr>
            <w:tcW w:w="7196" w:type="dxa"/>
            <w:tcBorders>
              <w:top w:val="single" w:color="auto" w:sz="8" w:space="0"/>
              <w:left w:val="nil"/>
              <w:bottom w:val="single" w:color="auto" w:sz="8" w:space="0"/>
              <w:right w:val="single" w:color="auto" w:sz="8" w:space="0"/>
            </w:tcBorders>
            <w:vAlign w:val="center"/>
          </w:tcPr>
          <w:p w14:paraId="6B901082">
            <w:pPr>
              <w:spacing w:line="38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陇川县2026年义务教育薄弱环节改善与能力提升项目（洗碗机）</w:t>
            </w:r>
          </w:p>
        </w:tc>
      </w:tr>
      <w:tr w14:paraId="7F3D12BA">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412FF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w:t>
            </w:r>
          </w:p>
        </w:tc>
        <w:tc>
          <w:tcPr>
            <w:tcW w:w="1638" w:type="dxa"/>
            <w:tcBorders>
              <w:top w:val="single" w:color="auto" w:sz="8" w:space="0"/>
              <w:left w:val="nil"/>
              <w:bottom w:val="single" w:color="auto" w:sz="8" w:space="0"/>
              <w:right w:val="single" w:color="auto" w:sz="8" w:space="0"/>
            </w:tcBorders>
            <w:vAlign w:val="center"/>
          </w:tcPr>
          <w:p w14:paraId="62F1C3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资金来源及</w:t>
            </w:r>
          </w:p>
          <w:p w14:paraId="04CF21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落实情况</w:t>
            </w:r>
          </w:p>
        </w:tc>
        <w:tc>
          <w:tcPr>
            <w:tcW w:w="7196" w:type="dxa"/>
            <w:tcBorders>
              <w:top w:val="single" w:color="auto" w:sz="8" w:space="0"/>
              <w:left w:val="nil"/>
              <w:bottom w:val="single" w:color="auto" w:sz="8" w:space="0"/>
              <w:right w:val="single" w:color="auto" w:sz="8" w:space="0"/>
            </w:tcBorders>
            <w:vAlign w:val="center"/>
          </w:tcPr>
          <w:p w14:paraId="4425AD72">
            <w:pPr>
              <w:spacing w:line="360" w:lineRule="auto"/>
              <w:jc w:val="left"/>
              <w:rPr>
                <w:rFonts w:ascii="宋体" w:hAnsi="宋体" w:cs="宋体"/>
                <w:color w:val="auto"/>
                <w:sz w:val="24"/>
                <w:highlight w:val="none"/>
              </w:rPr>
            </w:pPr>
            <w:r>
              <w:rPr>
                <w:rFonts w:hint="eastAsia" w:ascii="宋体" w:hAnsi="宋体" w:cs="宋体"/>
                <w:color w:val="auto"/>
                <w:sz w:val="24"/>
                <w:highlight w:val="none"/>
              </w:rPr>
              <w:t>财政资金，已落实</w:t>
            </w:r>
          </w:p>
        </w:tc>
      </w:tr>
      <w:tr w14:paraId="2E5B1492">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589851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1.2.2</w:t>
            </w:r>
          </w:p>
        </w:tc>
        <w:tc>
          <w:tcPr>
            <w:tcW w:w="1638" w:type="dxa"/>
            <w:tcBorders>
              <w:top w:val="single" w:color="auto" w:sz="8" w:space="0"/>
              <w:left w:val="nil"/>
              <w:bottom w:val="single" w:color="auto" w:sz="8" w:space="0"/>
              <w:right w:val="single" w:color="auto" w:sz="8" w:space="0"/>
            </w:tcBorders>
            <w:vAlign w:val="center"/>
          </w:tcPr>
          <w:p w14:paraId="5DEAE6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预算金额</w:t>
            </w:r>
          </w:p>
        </w:tc>
        <w:tc>
          <w:tcPr>
            <w:tcW w:w="7196" w:type="dxa"/>
            <w:tcBorders>
              <w:top w:val="single" w:color="auto" w:sz="8" w:space="0"/>
              <w:left w:val="nil"/>
              <w:bottom w:val="single" w:color="auto" w:sz="8" w:space="0"/>
              <w:right w:val="single" w:color="auto" w:sz="8" w:space="0"/>
            </w:tcBorders>
            <w:vAlign w:val="center"/>
          </w:tcPr>
          <w:p w14:paraId="0731253F">
            <w:pPr>
              <w:spacing w:line="380" w:lineRule="exact"/>
              <w:rPr>
                <w:rFonts w:ascii="宋体" w:hAnsi="宋体" w:cs="宋体"/>
                <w:color w:val="auto"/>
                <w:sz w:val="24"/>
                <w:highlight w:val="none"/>
              </w:rPr>
            </w:pPr>
            <w:r>
              <w:rPr>
                <w:rFonts w:hint="eastAsia" w:ascii="宋体" w:hAnsi="宋体" w:cs="宋体"/>
                <w:color w:val="auto"/>
                <w:sz w:val="24"/>
                <w:highlight w:val="none"/>
                <w:lang w:eastAsia="zh-CN"/>
              </w:rPr>
              <w:t>12</w:t>
            </w:r>
            <w:r>
              <w:rPr>
                <w:rFonts w:hint="eastAsia" w:ascii="宋体" w:hAnsi="宋体" w:cs="宋体"/>
                <w:color w:val="auto"/>
                <w:sz w:val="24"/>
                <w:highlight w:val="none"/>
                <w:lang w:val="en-US" w:eastAsia="zh-CN"/>
              </w:rPr>
              <w:t>80000</w:t>
            </w:r>
            <w:r>
              <w:rPr>
                <w:rFonts w:hint="eastAsia" w:ascii="宋体" w:hAnsi="宋体" w:cs="宋体"/>
                <w:color w:val="auto"/>
                <w:sz w:val="24"/>
                <w:highlight w:val="none"/>
                <w:lang w:eastAsia="zh-CN"/>
              </w:rPr>
              <w:t>.00</w:t>
            </w:r>
            <w:r>
              <w:rPr>
                <w:rFonts w:hint="eastAsia" w:ascii="宋体" w:hAnsi="宋体" w:cs="宋体"/>
                <w:color w:val="auto"/>
                <w:sz w:val="24"/>
                <w:highlight w:val="none"/>
              </w:rPr>
              <w:t>元</w:t>
            </w:r>
          </w:p>
        </w:tc>
      </w:tr>
      <w:tr w14:paraId="3AA81E29">
        <w:tblPrEx>
          <w:tblCellMar>
            <w:top w:w="0" w:type="dxa"/>
            <w:left w:w="0" w:type="dxa"/>
            <w:bottom w:w="0" w:type="dxa"/>
            <w:right w:w="0" w:type="dxa"/>
          </w:tblCellMar>
        </w:tblPrEx>
        <w:trPr>
          <w:trHeight w:val="141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EE0E8E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1.3.1</w:t>
            </w:r>
          </w:p>
        </w:tc>
        <w:tc>
          <w:tcPr>
            <w:tcW w:w="1638" w:type="dxa"/>
            <w:tcBorders>
              <w:top w:val="single" w:color="auto" w:sz="8" w:space="0"/>
              <w:left w:val="nil"/>
              <w:bottom w:val="single" w:color="auto" w:sz="8" w:space="0"/>
              <w:right w:val="single" w:color="auto" w:sz="8" w:space="0"/>
            </w:tcBorders>
            <w:vAlign w:val="center"/>
          </w:tcPr>
          <w:p w14:paraId="28AEB3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采购内容</w:t>
            </w:r>
          </w:p>
        </w:tc>
        <w:tc>
          <w:tcPr>
            <w:tcW w:w="7196" w:type="dxa"/>
            <w:tcBorders>
              <w:top w:val="single" w:color="auto" w:sz="8" w:space="0"/>
              <w:left w:val="nil"/>
              <w:bottom w:val="single" w:color="auto" w:sz="8" w:space="0"/>
              <w:right w:val="single" w:color="auto" w:sz="8" w:space="0"/>
            </w:tcBorders>
            <w:vAlign w:val="center"/>
          </w:tcPr>
          <w:p w14:paraId="603CCE98">
            <w:pPr>
              <w:widowControl/>
              <w:spacing w:line="520" w:lineRule="exact"/>
              <w:jc w:val="left"/>
              <w:rPr>
                <w:rFonts w:ascii="宋体" w:hAnsi="宋体" w:cs="宋体"/>
                <w:color w:val="auto"/>
                <w:sz w:val="24"/>
                <w:highlight w:val="none"/>
              </w:rPr>
            </w:pPr>
            <w:r>
              <w:rPr>
                <w:rFonts w:hint="eastAsia" w:ascii="宋体" w:hAnsi="宋体" w:cs="宋体"/>
                <w:color w:val="auto"/>
                <w:sz w:val="24"/>
                <w:highlight w:val="none"/>
                <w:lang w:eastAsia="zh-CN"/>
              </w:rPr>
              <w:t>陇川县教育体育局采购洗碗机等设施设备一批</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rPr>
              <w:t>（详细的参数及采购需求详见招标文件“第五章 采购需求”）</w:t>
            </w:r>
          </w:p>
        </w:tc>
      </w:tr>
      <w:tr w14:paraId="61D83FD4">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EEDEBC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1.3.2</w:t>
            </w:r>
          </w:p>
        </w:tc>
        <w:tc>
          <w:tcPr>
            <w:tcW w:w="1638" w:type="dxa"/>
            <w:tcBorders>
              <w:top w:val="single" w:color="auto" w:sz="8" w:space="0"/>
              <w:left w:val="nil"/>
              <w:bottom w:val="single" w:color="auto" w:sz="8" w:space="0"/>
              <w:right w:val="single" w:color="auto" w:sz="8" w:space="0"/>
            </w:tcBorders>
            <w:vAlign w:val="center"/>
          </w:tcPr>
          <w:p w14:paraId="7876F9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7196" w:type="dxa"/>
            <w:tcBorders>
              <w:top w:val="single" w:color="auto" w:sz="8" w:space="0"/>
              <w:left w:val="nil"/>
              <w:bottom w:val="single" w:color="auto" w:sz="8" w:space="0"/>
              <w:right w:val="single" w:color="auto" w:sz="8" w:space="0"/>
            </w:tcBorders>
            <w:vAlign w:val="center"/>
          </w:tcPr>
          <w:p w14:paraId="5C1503B4">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合同签订后60日历天内完成供货及安装调试</w:t>
            </w:r>
            <w:r>
              <w:rPr>
                <w:rFonts w:hint="eastAsia" w:ascii="宋体" w:hAnsi="宋体" w:cs="宋体"/>
                <w:color w:val="auto"/>
                <w:sz w:val="24"/>
                <w:highlight w:val="none"/>
              </w:rPr>
              <w:t>。</w:t>
            </w:r>
          </w:p>
        </w:tc>
      </w:tr>
      <w:tr w14:paraId="0C8C3070">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1021B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1.3.3</w:t>
            </w:r>
          </w:p>
        </w:tc>
        <w:tc>
          <w:tcPr>
            <w:tcW w:w="1638" w:type="dxa"/>
            <w:tcBorders>
              <w:top w:val="single" w:color="auto" w:sz="8" w:space="0"/>
              <w:left w:val="nil"/>
              <w:bottom w:val="single" w:color="auto" w:sz="8" w:space="0"/>
              <w:right w:val="single" w:color="auto" w:sz="8" w:space="0"/>
            </w:tcBorders>
            <w:vAlign w:val="center"/>
          </w:tcPr>
          <w:p w14:paraId="400937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7196" w:type="dxa"/>
            <w:tcBorders>
              <w:top w:val="single" w:color="auto" w:sz="8" w:space="0"/>
              <w:left w:val="nil"/>
              <w:bottom w:val="single" w:color="auto" w:sz="8" w:space="0"/>
              <w:right w:val="single" w:color="auto" w:sz="8" w:space="0"/>
            </w:tcBorders>
            <w:vAlign w:val="center"/>
          </w:tcPr>
          <w:p w14:paraId="26672775">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产品及安装符合现行国家相关规定及行业标准，符合采购人需求并一次性验收合格</w:t>
            </w:r>
            <w:r>
              <w:rPr>
                <w:rFonts w:hint="eastAsia" w:ascii="宋体" w:hAnsi="宋体" w:cs="宋体"/>
                <w:color w:val="auto"/>
                <w:sz w:val="24"/>
                <w:highlight w:val="none"/>
              </w:rPr>
              <w:t>。</w:t>
            </w:r>
          </w:p>
        </w:tc>
      </w:tr>
      <w:tr w14:paraId="7867752F">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58B9BC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1.3.4</w:t>
            </w:r>
          </w:p>
        </w:tc>
        <w:tc>
          <w:tcPr>
            <w:tcW w:w="1638" w:type="dxa"/>
            <w:tcBorders>
              <w:top w:val="single" w:color="auto" w:sz="8" w:space="0"/>
              <w:left w:val="nil"/>
              <w:bottom w:val="single" w:color="auto" w:sz="8" w:space="0"/>
              <w:right w:val="single" w:color="auto" w:sz="8" w:space="0"/>
            </w:tcBorders>
            <w:vAlign w:val="center"/>
          </w:tcPr>
          <w:p w14:paraId="7728FF08">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供货地点</w:t>
            </w:r>
          </w:p>
        </w:tc>
        <w:tc>
          <w:tcPr>
            <w:tcW w:w="7196" w:type="dxa"/>
            <w:tcBorders>
              <w:top w:val="single" w:color="auto" w:sz="8" w:space="0"/>
              <w:left w:val="nil"/>
              <w:bottom w:val="single" w:color="auto" w:sz="8" w:space="0"/>
              <w:right w:val="single" w:color="auto" w:sz="8" w:space="0"/>
            </w:tcBorders>
            <w:vAlign w:val="center"/>
          </w:tcPr>
          <w:p w14:paraId="25E27FD1">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云南省德宏州陇川县</w:t>
            </w:r>
            <w:r>
              <w:rPr>
                <w:rFonts w:hint="eastAsia" w:ascii="宋体" w:hAnsi="宋体" w:cs="宋体"/>
                <w:color w:val="auto"/>
                <w:sz w:val="24"/>
                <w:highlight w:val="none"/>
              </w:rPr>
              <w:t>。</w:t>
            </w:r>
          </w:p>
        </w:tc>
      </w:tr>
      <w:tr w14:paraId="6D2CE13F">
        <w:tblPrEx>
          <w:tblCellMar>
            <w:top w:w="0" w:type="dxa"/>
            <w:left w:w="0" w:type="dxa"/>
            <w:bottom w:w="0" w:type="dxa"/>
            <w:right w:w="0" w:type="dxa"/>
          </w:tblCellMar>
        </w:tblPrEx>
        <w:trPr>
          <w:trHeight w:val="549"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FF1B7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1.4.1</w:t>
            </w:r>
          </w:p>
        </w:tc>
        <w:tc>
          <w:tcPr>
            <w:tcW w:w="1638" w:type="dxa"/>
            <w:tcBorders>
              <w:top w:val="single" w:color="auto" w:sz="8" w:space="0"/>
              <w:left w:val="nil"/>
              <w:bottom w:val="single" w:color="auto" w:sz="8" w:space="0"/>
              <w:right w:val="single" w:color="auto" w:sz="8" w:space="0"/>
            </w:tcBorders>
            <w:vAlign w:val="center"/>
          </w:tcPr>
          <w:p w14:paraId="7FFCFBD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投标人资格</w:t>
            </w:r>
          </w:p>
          <w:p w14:paraId="002A9D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要求</w:t>
            </w:r>
          </w:p>
        </w:tc>
        <w:tc>
          <w:tcPr>
            <w:tcW w:w="7196" w:type="dxa"/>
            <w:tcBorders>
              <w:top w:val="single" w:color="auto" w:sz="8" w:space="0"/>
              <w:left w:val="nil"/>
              <w:bottom w:val="single" w:color="auto" w:sz="8" w:space="0"/>
              <w:right w:val="single" w:color="auto" w:sz="8" w:space="0"/>
            </w:tcBorders>
            <w:vAlign w:val="center"/>
          </w:tcPr>
          <w:p w14:paraId="0EBBFC16">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66A7FC4">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提供法人或者其他组织的营业执照等证明文件，自然人的身份证明</w:t>
            </w:r>
            <w:r>
              <w:rPr>
                <w:rFonts w:hint="eastAsia" w:ascii="宋体" w:hAnsi="宋体" w:eastAsia="宋体" w:cs="宋体"/>
                <w:color w:val="auto"/>
                <w:sz w:val="24"/>
                <w:szCs w:val="24"/>
                <w:highlight w:val="none"/>
              </w:rPr>
              <w:t>；</w:t>
            </w:r>
          </w:p>
          <w:p w14:paraId="5F4257AE">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5FB9D30">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良好的商业信誉：①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3776C933">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提供银行出具的资信证明</w:t>
            </w:r>
            <w:r>
              <w:rPr>
                <w:rFonts w:hint="eastAsia" w:ascii="宋体" w:hAnsi="宋体" w:eastAsia="宋体" w:cs="宋体"/>
                <w:color w:val="auto"/>
                <w:sz w:val="24"/>
                <w:szCs w:val="24"/>
                <w:highlight w:val="none"/>
              </w:rPr>
              <w:t>；</w:t>
            </w:r>
          </w:p>
          <w:p w14:paraId="110804E2">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r>
              <w:rPr>
                <w:rFonts w:hint="eastAsia" w:ascii="宋体" w:hAnsi="宋体" w:eastAsia="宋体" w:cs="宋体"/>
                <w:color w:val="auto"/>
                <w:sz w:val="24"/>
                <w:szCs w:val="24"/>
                <w:highlight w:val="none"/>
                <w:lang w:eastAsia="zh-CN"/>
              </w:rPr>
              <w:t>提供相关证明材料</w:t>
            </w:r>
            <w:r>
              <w:rPr>
                <w:rFonts w:hint="eastAsia" w:ascii="宋体" w:hAnsi="宋体" w:eastAsia="宋体" w:cs="宋体"/>
                <w:color w:val="auto"/>
                <w:sz w:val="24"/>
                <w:szCs w:val="24"/>
                <w:highlight w:val="none"/>
              </w:rPr>
              <w:t>；</w:t>
            </w:r>
          </w:p>
          <w:p w14:paraId="2274501B">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（4）具有依法缴纳税收和社会保障资金的良好记录：</w:t>
            </w: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p>
          <w:p w14:paraId="2C516E37">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（5）参与本次政府采购活动前三年内，在经营活动中没有重大违法记录：提供参加本次政府采购活动前三年内在经营活动中没有重大违法记录的书面声明；</w:t>
            </w:r>
          </w:p>
          <w:p w14:paraId="28399481">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p>
          <w:p w14:paraId="783CE71E">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706D5BEC">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（1）本项目不属于专门面向中小企业采购的项目；</w:t>
            </w:r>
          </w:p>
          <w:p w14:paraId="10A475CB">
            <w:pPr>
              <w:pStyle w:val="10"/>
              <w:keepLines w:val="0"/>
              <w:pageBreakBefore w:val="0"/>
              <w:kinsoku/>
              <w:overflowPunct/>
              <w:topLinePunct w:val="0"/>
              <w:autoSpaceDE/>
              <w:autoSpaceDN/>
              <w:bidi w:val="0"/>
              <w:snapToGrid/>
              <w:spacing w:after="0" w:line="460" w:lineRule="exact"/>
              <w:ind w:left="0" w:lef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40292E46">
            <w:pPr>
              <w:pStyle w:val="10"/>
              <w:spacing w:after="0" w:line="484" w:lineRule="exact"/>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i w:val="0"/>
                <w:iCs w:val="0"/>
                <w:caps w:val="0"/>
                <w:smallCaps w:val="0"/>
                <w:color w:val="auto"/>
                <w:sz w:val="24"/>
                <w:szCs w:val="24"/>
                <w:highlight w:val="none"/>
                <w:lang w:eastAsia="zh-CN"/>
              </w:rPr>
              <w:t>。</w:t>
            </w:r>
          </w:p>
        </w:tc>
      </w:tr>
      <w:tr w14:paraId="7AC5BAF8">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740F4A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1.4.2</w:t>
            </w:r>
          </w:p>
        </w:tc>
        <w:tc>
          <w:tcPr>
            <w:tcW w:w="1638" w:type="dxa"/>
            <w:tcBorders>
              <w:top w:val="single" w:color="auto" w:sz="8" w:space="0"/>
              <w:left w:val="nil"/>
              <w:bottom w:val="single" w:color="auto" w:sz="8" w:space="0"/>
              <w:right w:val="single" w:color="auto" w:sz="8" w:space="0"/>
            </w:tcBorders>
            <w:vAlign w:val="center"/>
          </w:tcPr>
          <w:p w14:paraId="2F4298D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是否接受联合体投标</w:t>
            </w:r>
          </w:p>
        </w:tc>
        <w:tc>
          <w:tcPr>
            <w:tcW w:w="7196" w:type="dxa"/>
            <w:tcBorders>
              <w:top w:val="single" w:color="auto" w:sz="8" w:space="0"/>
              <w:left w:val="nil"/>
              <w:bottom w:val="single" w:color="auto" w:sz="8" w:space="0"/>
              <w:right w:val="single" w:color="auto" w:sz="8" w:space="0"/>
            </w:tcBorders>
            <w:vAlign w:val="center"/>
          </w:tcPr>
          <w:p w14:paraId="4FF0FC2F">
            <w:pPr>
              <w:spacing w:line="360" w:lineRule="auto"/>
              <w:jc w:val="left"/>
              <w:rPr>
                <w:rFonts w:ascii="宋体" w:hAnsi="宋体" w:cs="宋体"/>
                <w:color w:val="auto"/>
                <w:sz w:val="24"/>
                <w:highlight w:val="none"/>
              </w:rPr>
            </w:pPr>
            <w:r>
              <w:rPr>
                <w:rFonts w:hint="eastAsia" w:ascii="宋体" w:hAnsi="宋体" w:cs="宋体"/>
                <w:color w:val="auto"/>
                <w:sz w:val="24"/>
                <w:highlight w:val="none"/>
              </w:rPr>
              <w:t>□接受</w:t>
            </w:r>
          </w:p>
          <w:p w14:paraId="5FD9474C">
            <w:pPr>
              <w:spacing w:line="360" w:lineRule="auto"/>
              <w:jc w:val="left"/>
              <w:rPr>
                <w:rFonts w:ascii="宋体" w:hAnsi="宋体" w:cs="宋体"/>
                <w:color w:val="auto"/>
                <w:sz w:val="24"/>
                <w:highlight w:val="none"/>
              </w:rPr>
            </w:pPr>
            <w:r>
              <w:rPr>
                <w:rFonts w:hint="eastAsia" w:ascii="宋体" w:hAnsi="宋体" w:cs="宋体"/>
                <w:color w:val="auto"/>
                <w:sz w:val="24"/>
                <w:highlight w:val="none"/>
              </w:rPr>
              <w:t>☑不接受</w:t>
            </w:r>
          </w:p>
        </w:tc>
      </w:tr>
      <w:tr w14:paraId="35C516E4">
        <w:tblPrEx>
          <w:tblCellMar>
            <w:top w:w="0" w:type="dxa"/>
            <w:left w:w="0" w:type="dxa"/>
            <w:bottom w:w="0" w:type="dxa"/>
            <w:right w:w="0" w:type="dxa"/>
          </w:tblCellMar>
        </w:tblPrEx>
        <w:trPr>
          <w:trHeight w:val="181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3F5C88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1.9.1</w:t>
            </w:r>
          </w:p>
        </w:tc>
        <w:tc>
          <w:tcPr>
            <w:tcW w:w="1638" w:type="dxa"/>
            <w:tcBorders>
              <w:top w:val="single" w:color="auto" w:sz="8" w:space="0"/>
              <w:left w:val="nil"/>
              <w:bottom w:val="single" w:color="auto" w:sz="8" w:space="0"/>
              <w:right w:val="single" w:color="auto" w:sz="8" w:space="0"/>
            </w:tcBorders>
            <w:vAlign w:val="center"/>
          </w:tcPr>
          <w:p w14:paraId="31BC576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7196" w:type="dxa"/>
            <w:tcBorders>
              <w:top w:val="single" w:color="auto" w:sz="8" w:space="0"/>
              <w:left w:val="nil"/>
              <w:bottom w:val="single" w:color="auto" w:sz="8" w:space="0"/>
              <w:right w:val="single" w:color="auto" w:sz="8" w:space="0"/>
            </w:tcBorders>
            <w:vAlign w:val="center"/>
          </w:tcPr>
          <w:p w14:paraId="06466EE9">
            <w:pPr>
              <w:spacing w:line="360" w:lineRule="auto"/>
              <w:jc w:val="left"/>
              <w:rPr>
                <w:rFonts w:ascii="宋体" w:hAnsi="宋体" w:cs="宋体"/>
                <w:color w:val="auto"/>
                <w:sz w:val="24"/>
                <w:highlight w:val="none"/>
              </w:rPr>
            </w:pPr>
            <w:r>
              <w:rPr>
                <w:rFonts w:hint="eastAsia" w:ascii="宋体" w:hAnsi="宋体" w:cs="宋体"/>
                <w:color w:val="auto"/>
                <w:sz w:val="24"/>
                <w:highlight w:val="none"/>
              </w:rPr>
              <w:t>☑不组织</w:t>
            </w:r>
          </w:p>
          <w:p w14:paraId="644F5EBA">
            <w:pPr>
              <w:spacing w:line="360" w:lineRule="auto"/>
              <w:jc w:val="left"/>
              <w:rPr>
                <w:rFonts w:ascii="宋体" w:hAnsi="宋体" w:cs="宋体"/>
                <w:color w:val="auto"/>
                <w:sz w:val="24"/>
                <w:highlight w:val="none"/>
              </w:rPr>
            </w:pPr>
            <w:r>
              <w:rPr>
                <w:rFonts w:hint="eastAsia" w:ascii="宋体" w:hAnsi="宋体" w:cs="宋体"/>
                <w:color w:val="auto"/>
                <w:sz w:val="24"/>
                <w:highlight w:val="none"/>
              </w:rPr>
              <w:t>□组织。考察时间： 年  月  日（在招标文件提供期限截止后，开标前）</w:t>
            </w:r>
          </w:p>
          <w:p w14:paraId="0BAAD0F5">
            <w:pPr>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考察集中地点：/</w:t>
            </w:r>
          </w:p>
        </w:tc>
      </w:tr>
      <w:tr w14:paraId="1EC1F56A">
        <w:tblPrEx>
          <w:tblCellMar>
            <w:top w:w="0" w:type="dxa"/>
            <w:left w:w="0" w:type="dxa"/>
            <w:bottom w:w="0" w:type="dxa"/>
            <w:right w:w="0" w:type="dxa"/>
          </w:tblCellMar>
        </w:tblPrEx>
        <w:trPr>
          <w:trHeight w:val="141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73A31D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1.10.1</w:t>
            </w:r>
          </w:p>
        </w:tc>
        <w:tc>
          <w:tcPr>
            <w:tcW w:w="1638" w:type="dxa"/>
            <w:tcBorders>
              <w:top w:val="single" w:color="auto" w:sz="8" w:space="0"/>
              <w:left w:val="nil"/>
              <w:bottom w:val="single" w:color="auto" w:sz="8" w:space="0"/>
              <w:right w:val="single" w:color="auto" w:sz="8" w:space="0"/>
            </w:tcBorders>
            <w:vAlign w:val="center"/>
          </w:tcPr>
          <w:p w14:paraId="0A2CB9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投标预备会</w:t>
            </w:r>
          </w:p>
        </w:tc>
        <w:tc>
          <w:tcPr>
            <w:tcW w:w="7196" w:type="dxa"/>
            <w:tcBorders>
              <w:top w:val="single" w:color="auto" w:sz="8" w:space="0"/>
              <w:left w:val="nil"/>
              <w:bottom w:val="single" w:color="auto" w:sz="8" w:space="0"/>
              <w:right w:val="single" w:color="auto" w:sz="8" w:space="0"/>
            </w:tcBorders>
            <w:vAlign w:val="center"/>
          </w:tcPr>
          <w:p w14:paraId="73C20117">
            <w:pPr>
              <w:spacing w:line="360" w:lineRule="auto"/>
              <w:jc w:val="left"/>
              <w:rPr>
                <w:rFonts w:ascii="宋体" w:hAnsi="宋体" w:cs="宋体"/>
                <w:color w:val="auto"/>
                <w:sz w:val="24"/>
                <w:highlight w:val="none"/>
              </w:rPr>
            </w:pPr>
            <w:r>
              <w:rPr>
                <w:rFonts w:hint="eastAsia" w:ascii="宋体" w:hAnsi="宋体" w:cs="宋体"/>
                <w:color w:val="auto"/>
                <w:sz w:val="24"/>
                <w:highlight w:val="none"/>
              </w:rPr>
              <w:t>☑不召开</w:t>
            </w:r>
          </w:p>
          <w:p w14:paraId="30C45139">
            <w:pPr>
              <w:spacing w:line="360" w:lineRule="auto"/>
              <w:jc w:val="left"/>
              <w:rPr>
                <w:rFonts w:ascii="宋体" w:hAnsi="宋体" w:cs="宋体"/>
                <w:color w:val="auto"/>
                <w:sz w:val="24"/>
                <w:highlight w:val="none"/>
              </w:rPr>
            </w:pPr>
            <w:r>
              <w:rPr>
                <w:rFonts w:hint="eastAsia" w:ascii="宋体" w:hAnsi="宋体" w:cs="宋体"/>
                <w:color w:val="auto"/>
                <w:sz w:val="24"/>
                <w:highlight w:val="none"/>
              </w:rPr>
              <w:t>□召开，召开时间</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BAFB997">
            <w:pPr>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召开地点</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0F649621">
        <w:tblPrEx>
          <w:tblCellMar>
            <w:top w:w="0" w:type="dxa"/>
            <w:left w:w="0" w:type="dxa"/>
            <w:bottom w:w="0" w:type="dxa"/>
            <w:right w:w="0" w:type="dxa"/>
          </w:tblCellMar>
        </w:tblPrEx>
        <w:trPr>
          <w:trHeight w:val="9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F7C3A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1.11.1</w:t>
            </w:r>
          </w:p>
        </w:tc>
        <w:tc>
          <w:tcPr>
            <w:tcW w:w="1638" w:type="dxa"/>
            <w:tcBorders>
              <w:top w:val="single" w:color="auto" w:sz="8" w:space="0"/>
              <w:left w:val="nil"/>
              <w:bottom w:val="single" w:color="auto" w:sz="8" w:space="0"/>
              <w:right w:val="single" w:color="auto" w:sz="8" w:space="0"/>
            </w:tcBorders>
            <w:vAlign w:val="center"/>
          </w:tcPr>
          <w:p w14:paraId="5909B2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分包</w:t>
            </w:r>
          </w:p>
        </w:tc>
        <w:tc>
          <w:tcPr>
            <w:tcW w:w="7196" w:type="dxa"/>
            <w:tcBorders>
              <w:top w:val="single" w:color="auto" w:sz="8" w:space="0"/>
              <w:left w:val="nil"/>
              <w:bottom w:val="single" w:color="auto" w:sz="8" w:space="0"/>
              <w:right w:val="single" w:color="auto" w:sz="8" w:space="0"/>
            </w:tcBorders>
            <w:vAlign w:val="center"/>
          </w:tcPr>
          <w:p w14:paraId="6B91650D">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不允许</w:t>
            </w:r>
          </w:p>
          <w:p w14:paraId="508F23FB">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允许，分包内容要求</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2791428">
            <w:pPr>
              <w:spacing w:line="360" w:lineRule="auto"/>
              <w:ind w:firstLine="960" w:firstLineChars="400"/>
              <w:jc w:val="left"/>
              <w:rPr>
                <w:rFonts w:ascii="宋体" w:hAnsi="宋体" w:cs="宋体"/>
                <w:color w:val="auto"/>
                <w:sz w:val="24"/>
                <w:highlight w:val="none"/>
              </w:rPr>
            </w:pPr>
            <w:r>
              <w:rPr>
                <w:rFonts w:hint="eastAsia" w:ascii="宋体" w:hAnsi="宋体" w:cs="宋体"/>
                <w:color w:val="auto"/>
                <w:sz w:val="24"/>
                <w:highlight w:val="none"/>
              </w:rPr>
              <w:t>分包金额要求</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29ABEE7F">
            <w:pPr>
              <w:spacing w:line="360" w:lineRule="auto"/>
              <w:ind w:firstLine="960" w:firstLineChars="4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对分包人的资质要求</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tc>
      </w:tr>
      <w:tr w14:paraId="2EE2E08E">
        <w:tblPrEx>
          <w:tblCellMar>
            <w:top w:w="0" w:type="dxa"/>
            <w:left w:w="0" w:type="dxa"/>
            <w:bottom w:w="0" w:type="dxa"/>
            <w:right w:w="0" w:type="dxa"/>
          </w:tblCellMar>
        </w:tblPrEx>
        <w:trPr>
          <w:trHeight w:val="124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E01E4A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1.12.1</w:t>
            </w:r>
          </w:p>
        </w:tc>
        <w:tc>
          <w:tcPr>
            <w:tcW w:w="1638" w:type="dxa"/>
            <w:tcBorders>
              <w:top w:val="single" w:color="auto" w:sz="8" w:space="0"/>
              <w:left w:val="nil"/>
              <w:bottom w:val="single" w:color="auto" w:sz="8" w:space="0"/>
              <w:right w:val="single" w:color="auto" w:sz="8" w:space="0"/>
            </w:tcBorders>
            <w:vAlign w:val="center"/>
          </w:tcPr>
          <w:p w14:paraId="5B2953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实质性要求</w:t>
            </w:r>
          </w:p>
          <w:p w14:paraId="6FDFB3A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和条件</w:t>
            </w:r>
          </w:p>
        </w:tc>
        <w:tc>
          <w:tcPr>
            <w:tcW w:w="7196" w:type="dxa"/>
            <w:tcBorders>
              <w:top w:val="single" w:color="auto" w:sz="8" w:space="0"/>
              <w:left w:val="nil"/>
              <w:bottom w:val="single" w:color="auto" w:sz="8" w:space="0"/>
              <w:right w:val="single" w:color="auto" w:sz="8" w:space="0"/>
            </w:tcBorders>
            <w:vAlign w:val="center"/>
          </w:tcPr>
          <w:p w14:paraId="635DDE28">
            <w:pPr>
              <w:spacing w:line="360" w:lineRule="auto"/>
              <w:jc w:val="left"/>
              <w:rPr>
                <w:rFonts w:ascii="宋体" w:hAnsi="宋体" w:cs="宋体"/>
                <w:color w:val="auto"/>
                <w:sz w:val="24"/>
                <w:highlight w:val="none"/>
              </w:rPr>
            </w:pPr>
            <w:r>
              <w:rPr>
                <w:rFonts w:hint="eastAsia" w:ascii="宋体" w:hAnsi="宋体" w:cs="宋体"/>
                <w:color w:val="auto"/>
                <w:sz w:val="24"/>
                <w:highlight w:val="none"/>
              </w:rPr>
              <w:t>第三章“评标办法”资格评审标准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符合性评审标准</w:t>
            </w:r>
            <w:r>
              <w:rPr>
                <w:rFonts w:hint="eastAsia" w:ascii="宋体" w:hAnsi="宋体" w:cs="宋体"/>
                <w:color w:val="auto"/>
                <w:sz w:val="24"/>
                <w:highlight w:val="none"/>
              </w:rPr>
              <w:t>规定的内容为实质性要求和条件，不满足任何一条将导致投标无效。请各投标人仔细阅读初步评审标准。</w:t>
            </w:r>
          </w:p>
        </w:tc>
      </w:tr>
      <w:tr w14:paraId="7693CC52">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8" w:space="0"/>
              <w:bottom w:val="single" w:color="auto" w:sz="4" w:space="0"/>
              <w:right w:val="single" w:color="auto" w:sz="8" w:space="0"/>
            </w:tcBorders>
            <w:vAlign w:val="center"/>
          </w:tcPr>
          <w:p w14:paraId="40CA7FF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1.12.3</w:t>
            </w:r>
          </w:p>
        </w:tc>
        <w:tc>
          <w:tcPr>
            <w:tcW w:w="1638" w:type="dxa"/>
            <w:tcBorders>
              <w:top w:val="single" w:color="auto" w:sz="8" w:space="0"/>
              <w:left w:val="nil"/>
              <w:bottom w:val="single" w:color="auto" w:sz="4" w:space="0"/>
              <w:right w:val="single" w:color="auto" w:sz="8" w:space="0"/>
            </w:tcBorders>
            <w:vAlign w:val="center"/>
          </w:tcPr>
          <w:p w14:paraId="04B9DD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w:t>
            </w:r>
          </w:p>
        </w:tc>
        <w:tc>
          <w:tcPr>
            <w:tcW w:w="7196" w:type="dxa"/>
            <w:tcBorders>
              <w:top w:val="single" w:color="auto" w:sz="8" w:space="0"/>
              <w:left w:val="nil"/>
              <w:bottom w:val="single" w:color="auto" w:sz="8" w:space="0"/>
              <w:right w:val="single" w:color="auto" w:sz="8" w:space="0"/>
            </w:tcBorders>
            <w:vAlign w:val="center"/>
          </w:tcPr>
          <w:p w14:paraId="25AE3C61">
            <w:pPr>
              <w:spacing w:line="360" w:lineRule="auto"/>
              <w:jc w:val="left"/>
              <w:rPr>
                <w:rFonts w:ascii="宋体" w:hAnsi="宋体" w:cs="宋体"/>
                <w:color w:val="auto"/>
                <w:sz w:val="24"/>
                <w:highlight w:val="none"/>
              </w:rPr>
            </w:pPr>
            <w:r>
              <w:rPr>
                <w:rFonts w:hint="eastAsia" w:ascii="宋体" w:hAnsi="宋体" w:cs="宋体"/>
                <w:color w:val="auto"/>
                <w:sz w:val="24"/>
                <w:highlight w:val="none"/>
              </w:rPr>
              <w:t>□不允许</w:t>
            </w:r>
          </w:p>
          <w:p w14:paraId="09DCF766">
            <w:pPr>
              <w:spacing w:line="360" w:lineRule="auto"/>
              <w:jc w:val="left"/>
              <w:rPr>
                <w:rFonts w:ascii="宋体" w:hAnsi="宋体" w:cs="宋体"/>
                <w:color w:val="auto"/>
                <w:sz w:val="24"/>
                <w:highlight w:val="none"/>
              </w:rPr>
            </w:pPr>
            <w:r>
              <w:rPr>
                <w:rFonts w:hint="eastAsia" w:ascii="宋体" w:hAnsi="宋体" w:cs="宋体"/>
                <w:color w:val="auto"/>
                <w:sz w:val="24"/>
                <w:highlight w:val="none"/>
              </w:rPr>
              <w:t>☑允许：</w:t>
            </w:r>
            <w:r>
              <w:rPr>
                <w:rFonts w:hint="eastAsia" w:ascii="宋体" w:hAnsi="宋体" w:cs="宋体"/>
                <w:b/>
                <w:bCs/>
                <w:color w:val="auto"/>
                <w:sz w:val="24"/>
                <w:highlight w:val="none"/>
              </w:rPr>
              <w:t>除采购货物参数允许偏离外，其余内容</w:t>
            </w:r>
            <w:r>
              <w:rPr>
                <w:rFonts w:hint="eastAsia" w:ascii="宋体" w:hAnsi="宋体" w:cs="宋体"/>
                <w:b/>
                <w:bCs/>
                <w:color w:val="auto"/>
                <w:sz w:val="24"/>
                <w:highlight w:val="none"/>
                <w:lang w:val="en-US" w:eastAsia="zh-CN"/>
              </w:rPr>
              <w:t>只允许正偏离</w:t>
            </w:r>
            <w:r>
              <w:rPr>
                <w:rFonts w:hint="eastAsia" w:ascii="宋体" w:hAnsi="宋体" w:cs="宋体"/>
                <w:b/>
                <w:bCs/>
                <w:color w:val="auto"/>
                <w:sz w:val="24"/>
                <w:highlight w:val="none"/>
              </w:rPr>
              <w:t>。</w:t>
            </w:r>
          </w:p>
        </w:tc>
      </w:tr>
      <w:tr w14:paraId="20FDA089">
        <w:tblPrEx>
          <w:tblCellMar>
            <w:top w:w="0" w:type="dxa"/>
            <w:left w:w="0" w:type="dxa"/>
            <w:bottom w:w="0" w:type="dxa"/>
            <w:right w:w="0" w:type="dxa"/>
          </w:tblCellMar>
        </w:tblPrEx>
        <w:trPr>
          <w:trHeight w:val="1247" w:hRule="atLeast"/>
          <w:jc w:val="center"/>
        </w:trPr>
        <w:tc>
          <w:tcPr>
            <w:tcW w:w="990" w:type="dxa"/>
            <w:tcBorders>
              <w:top w:val="single" w:color="auto" w:sz="4" w:space="0"/>
              <w:left w:val="single" w:color="auto" w:sz="4" w:space="0"/>
              <w:bottom w:val="single" w:color="auto" w:sz="8" w:space="0"/>
              <w:right w:val="single" w:color="auto" w:sz="8" w:space="0"/>
            </w:tcBorders>
            <w:vAlign w:val="center"/>
          </w:tcPr>
          <w:p w14:paraId="300F4EB8">
            <w:pPr>
              <w:spacing w:line="360" w:lineRule="auto"/>
              <w:jc w:val="center"/>
              <w:rPr>
                <w:rFonts w:ascii="宋体" w:hAnsi="宋体" w:cs="宋体"/>
                <w:color w:val="auto"/>
                <w:sz w:val="24"/>
                <w:highlight w:val="none"/>
              </w:rPr>
            </w:pPr>
            <w:bookmarkStart w:id="50" w:name="page17"/>
            <w:bookmarkEnd w:id="50"/>
            <w:r>
              <w:rPr>
                <w:rFonts w:hint="eastAsia" w:ascii="宋体" w:hAnsi="宋体" w:cs="宋体"/>
                <w:color w:val="auto"/>
                <w:sz w:val="24"/>
                <w:highlight w:val="none"/>
              </w:rPr>
              <w:t>2.1</w:t>
            </w:r>
          </w:p>
        </w:tc>
        <w:tc>
          <w:tcPr>
            <w:tcW w:w="1638" w:type="dxa"/>
            <w:tcBorders>
              <w:top w:val="single" w:color="auto" w:sz="4" w:space="0"/>
              <w:left w:val="nil"/>
              <w:bottom w:val="single" w:color="auto" w:sz="8" w:space="0"/>
              <w:right w:val="single" w:color="auto" w:sz="4" w:space="0"/>
            </w:tcBorders>
            <w:vAlign w:val="center"/>
          </w:tcPr>
          <w:p w14:paraId="294B6A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构成招标文件的其他资料</w:t>
            </w:r>
          </w:p>
        </w:tc>
        <w:tc>
          <w:tcPr>
            <w:tcW w:w="7196" w:type="dxa"/>
            <w:tcBorders>
              <w:top w:val="single" w:color="auto" w:sz="8" w:space="0"/>
              <w:left w:val="single" w:color="auto" w:sz="4" w:space="0"/>
              <w:bottom w:val="single" w:color="auto" w:sz="8" w:space="0"/>
              <w:right w:val="single" w:color="auto" w:sz="8" w:space="0"/>
            </w:tcBorders>
            <w:vAlign w:val="center"/>
          </w:tcPr>
          <w:p w14:paraId="5C6739A6">
            <w:pPr>
              <w:spacing w:line="360" w:lineRule="auto"/>
              <w:jc w:val="left"/>
              <w:rPr>
                <w:rFonts w:ascii="宋体" w:hAnsi="宋体" w:cs="宋体"/>
                <w:color w:val="auto"/>
                <w:sz w:val="24"/>
                <w:highlight w:val="none"/>
              </w:rPr>
            </w:pPr>
            <w:r>
              <w:rPr>
                <w:rFonts w:hint="eastAsia" w:ascii="宋体" w:hAnsi="宋体" w:cs="宋体"/>
                <w:color w:val="auto"/>
                <w:sz w:val="24"/>
                <w:highlight w:val="none"/>
              </w:rPr>
              <w:t>采购人发出的澄清、补充、修改、答疑书或通知等。</w:t>
            </w:r>
          </w:p>
        </w:tc>
      </w:tr>
      <w:tr w14:paraId="3EB88C97">
        <w:tblPrEx>
          <w:tblCellMar>
            <w:top w:w="0" w:type="dxa"/>
            <w:left w:w="0" w:type="dxa"/>
            <w:bottom w:w="0" w:type="dxa"/>
            <w:right w:w="0" w:type="dxa"/>
          </w:tblCellMar>
        </w:tblPrEx>
        <w:trPr>
          <w:trHeight w:val="1814" w:hRule="atLeast"/>
          <w:jc w:val="center"/>
        </w:trPr>
        <w:tc>
          <w:tcPr>
            <w:tcW w:w="990" w:type="dxa"/>
            <w:tcBorders>
              <w:top w:val="single" w:color="auto" w:sz="8" w:space="0"/>
              <w:left w:val="single" w:color="auto" w:sz="4" w:space="0"/>
              <w:bottom w:val="single" w:color="auto" w:sz="8" w:space="0"/>
              <w:right w:val="single" w:color="auto" w:sz="8" w:space="0"/>
            </w:tcBorders>
            <w:vAlign w:val="center"/>
          </w:tcPr>
          <w:p w14:paraId="4C2FE6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2.2</w:t>
            </w:r>
          </w:p>
        </w:tc>
        <w:tc>
          <w:tcPr>
            <w:tcW w:w="1638" w:type="dxa"/>
            <w:tcBorders>
              <w:top w:val="single" w:color="auto" w:sz="8" w:space="0"/>
              <w:left w:val="nil"/>
              <w:bottom w:val="single" w:color="auto" w:sz="8" w:space="0"/>
              <w:right w:val="single" w:color="auto" w:sz="4" w:space="0"/>
            </w:tcBorders>
            <w:vAlign w:val="center"/>
          </w:tcPr>
          <w:p w14:paraId="1FD509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投标人提出问题及要求澄清招标文件的截止时间</w:t>
            </w:r>
          </w:p>
        </w:tc>
        <w:tc>
          <w:tcPr>
            <w:tcW w:w="7196" w:type="dxa"/>
            <w:tcBorders>
              <w:top w:val="single" w:color="auto" w:sz="8" w:space="0"/>
              <w:left w:val="single" w:color="auto" w:sz="4" w:space="0"/>
              <w:bottom w:val="single" w:color="auto" w:sz="8" w:space="0"/>
              <w:right w:val="single" w:color="auto" w:sz="8" w:space="0"/>
            </w:tcBorders>
            <w:vAlign w:val="center"/>
          </w:tcPr>
          <w:p w14:paraId="3AE33A0E">
            <w:pPr>
              <w:pStyle w:val="40"/>
              <w:spacing w:line="360" w:lineRule="auto"/>
              <w:jc w:val="left"/>
              <w:rPr>
                <w:rFonts w:ascii="宋体" w:hAnsi="宋体" w:cs="宋体"/>
                <w:color w:val="auto"/>
                <w:sz w:val="24"/>
                <w:highlight w:val="none"/>
              </w:rPr>
            </w:pPr>
            <w:r>
              <w:rPr>
                <w:rFonts w:hint="eastAsia" w:ascii="宋体" w:hAnsi="宋体" w:cs="宋体"/>
                <w:color w:val="auto"/>
                <w:sz w:val="24"/>
                <w:highlight w:val="none"/>
              </w:rPr>
              <w:t>截止时间为：应当在获取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或者</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公告期限届满之日起7个工作日内提出。</w:t>
            </w:r>
          </w:p>
          <w:p w14:paraId="289A5EA3">
            <w:pPr>
              <w:pStyle w:val="40"/>
              <w:spacing w:line="360" w:lineRule="auto"/>
              <w:jc w:val="left"/>
              <w:rPr>
                <w:rFonts w:ascii="宋体" w:hAnsi="宋体" w:cs="宋体"/>
                <w:color w:val="auto"/>
                <w:sz w:val="24"/>
                <w:highlight w:val="none"/>
              </w:rPr>
            </w:pPr>
            <w:r>
              <w:rPr>
                <w:rFonts w:hint="eastAsia" w:ascii="宋体" w:hAnsi="宋体" w:cs="宋体"/>
                <w:color w:val="auto"/>
                <w:sz w:val="24"/>
                <w:highlight w:val="none"/>
              </w:rPr>
              <w:t>形式：登录“政府采购云平台（https://www.zcygov.cn/）”，通过在线方式提出。</w:t>
            </w:r>
            <w:r>
              <w:rPr>
                <w:rFonts w:hint="eastAsia" w:ascii="宋体" w:hAnsi="宋体" w:cs="宋体"/>
                <w:color w:val="auto"/>
                <w:sz w:val="24"/>
                <w:highlight w:val="none"/>
                <w:lang w:val="en-US" w:eastAsia="zh-CN"/>
              </w:rPr>
              <w:t>（注：政府采购云平台尚未开通地域，投标人联系代理机构采用书面方式提出）</w:t>
            </w:r>
          </w:p>
        </w:tc>
      </w:tr>
      <w:tr w14:paraId="7CCD50EF">
        <w:tblPrEx>
          <w:tblCellMar>
            <w:top w:w="0" w:type="dxa"/>
            <w:left w:w="0" w:type="dxa"/>
            <w:bottom w:w="0" w:type="dxa"/>
            <w:right w:w="0" w:type="dxa"/>
          </w:tblCellMar>
        </w:tblPrEx>
        <w:trPr>
          <w:trHeight w:val="559" w:hRule="atLeast"/>
          <w:jc w:val="center"/>
        </w:trPr>
        <w:tc>
          <w:tcPr>
            <w:tcW w:w="990" w:type="dxa"/>
            <w:tcBorders>
              <w:top w:val="single" w:color="auto" w:sz="8" w:space="0"/>
              <w:left w:val="single" w:color="auto" w:sz="4" w:space="0"/>
              <w:bottom w:val="single" w:color="auto" w:sz="8" w:space="0"/>
              <w:right w:val="single" w:color="auto" w:sz="8" w:space="0"/>
            </w:tcBorders>
            <w:vAlign w:val="center"/>
          </w:tcPr>
          <w:p w14:paraId="4D64A0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2.3.2</w:t>
            </w:r>
          </w:p>
        </w:tc>
        <w:tc>
          <w:tcPr>
            <w:tcW w:w="1638" w:type="dxa"/>
            <w:tcBorders>
              <w:top w:val="single" w:color="auto" w:sz="8" w:space="0"/>
              <w:left w:val="nil"/>
              <w:bottom w:val="single" w:color="auto" w:sz="8" w:space="0"/>
              <w:right w:val="single" w:color="auto" w:sz="4" w:space="0"/>
            </w:tcBorders>
            <w:vAlign w:val="center"/>
          </w:tcPr>
          <w:p w14:paraId="4233503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招标文件澄清或修改截止</w:t>
            </w:r>
          </w:p>
          <w:p w14:paraId="1271A6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时间</w:t>
            </w:r>
          </w:p>
        </w:tc>
        <w:tc>
          <w:tcPr>
            <w:tcW w:w="7196" w:type="dxa"/>
            <w:tcBorders>
              <w:top w:val="single" w:color="auto" w:sz="8" w:space="0"/>
              <w:left w:val="single" w:color="auto" w:sz="4" w:space="0"/>
              <w:bottom w:val="single" w:color="auto" w:sz="8" w:space="0"/>
              <w:right w:val="single" w:color="auto" w:sz="8" w:space="0"/>
            </w:tcBorders>
            <w:vAlign w:val="center"/>
          </w:tcPr>
          <w:p w14:paraId="0FC0FCEE">
            <w:pPr>
              <w:pStyle w:val="40"/>
              <w:spacing w:line="360" w:lineRule="auto"/>
              <w:jc w:val="left"/>
              <w:rPr>
                <w:rFonts w:ascii="宋体" w:hAnsi="宋体" w:cs="宋体"/>
                <w:color w:val="auto"/>
                <w:sz w:val="24"/>
                <w:highlight w:val="none"/>
              </w:rPr>
            </w:pPr>
            <w:r>
              <w:rPr>
                <w:rFonts w:hint="eastAsia" w:ascii="宋体" w:hAnsi="宋体" w:cs="宋体"/>
                <w:color w:val="auto"/>
                <w:sz w:val="24"/>
                <w:highlight w:val="none"/>
              </w:rPr>
              <w:t>截止时间：投标截止时间前15日。</w:t>
            </w:r>
          </w:p>
          <w:p w14:paraId="458A387D">
            <w:pPr>
              <w:pStyle w:val="40"/>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形式：在公告发布媒介上发布澄清公告</w:t>
            </w:r>
            <w:r>
              <w:rPr>
                <w:rFonts w:hint="eastAsia" w:ascii="宋体" w:hAnsi="宋体" w:cs="宋体"/>
                <w:color w:val="auto"/>
                <w:sz w:val="24"/>
                <w:highlight w:val="none"/>
                <w:lang w:eastAsia="zh-CN"/>
              </w:rPr>
              <w:t>。</w:t>
            </w:r>
          </w:p>
        </w:tc>
      </w:tr>
      <w:tr w14:paraId="24E6372D">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4" w:space="0"/>
              <w:bottom w:val="single" w:color="auto" w:sz="4" w:space="0"/>
              <w:right w:val="single" w:color="auto" w:sz="8" w:space="0"/>
            </w:tcBorders>
            <w:vAlign w:val="center"/>
          </w:tcPr>
          <w:p w14:paraId="167353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3.2.3</w:t>
            </w:r>
          </w:p>
        </w:tc>
        <w:tc>
          <w:tcPr>
            <w:tcW w:w="1638" w:type="dxa"/>
            <w:tcBorders>
              <w:top w:val="single" w:color="auto" w:sz="8" w:space="0"/>
              <w:left w:val="nil"/>
              <w:bottom w:val="single" w:color="auto" w:sz="4" w:space="0"/>
              <w:right w:val="single" w:color="auto" w:sz="4" w:space="0"/>
            </w:tcBorders>
            <w:vAlign w:val="center"/>
          </w:tcPr>
          <w:p w14:paraId="79FB32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最高投标限价</w:t>
            </w:r>
          </w:p>
        </w:tc>
        <w:tc>
          <w:tcPr>
            <w:tcW w:w="7196" w:type="dxa"/>
            <w:tcBorders>
              <w:top w:val="single" w:color="auto" w:sz="8" w:space="0"/>
              <w:left w:val="single" w:color="auto" w:sz="4" w:space="0"/>
              <w:bottom w:val="single" w:color="auto" w:sz="8" w:space="0"/>
              <w:right w:val="single" w:color="auto" w:sz="8" w:space="0"/>
            </w:tcBorders>
            <w:vAlign w:val="center"/>
          </w:tcPr>
          <w:p w14:paraId="0CE3CCEB">
            <w:pPr>
              <w:spacing w:line="360" w:lineRule="auto"/>
              <w:jc w:val="left"/>
              <w:rPr>
                <w:rFonts w:ascii="宋体" w:hAnsi="宋体" w:cs="宋体"/>
                <w:color w:val="auto"/>
                <w:sz w:val="24"/>
                <w:highlight w:val="none"/>
              </w:rPr>
            </w:pPr>
            <w:r>
              <w:rPr>
                <w:rFonts w:hint="eastAsia" w:ascii="宋体" w:hAnsi="宋体" w:cs="宋体"/>
                <w:color w:val="auto"/>
                <w:sz w:val="24"/>
                <w:highlight w:val="none"/>
              </w:rPr>
              <w:t>□无</w:t>
            </w:r>
          </w:p>
          <w:p w14:paraId="1767E5A1">
            <w:pPr>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☑有，最高投标限价：</w:t>
            </w:r>
            <w:r>
              <w:rPr>
                <w:rFonts w:hint="eastAsia" w:ascii="宋体" w:hAnsi="宋体" w:cs="宋体"/>
                <w:b/>
                <w:bCs/>
                <w:color w:val="auto"/>
                <w:sz w:val="24"/>
                <w:highlight w:val="none"/>
                <w:lang w:eastAsia="zh-CN"/>
              </w:rPr>
              <w:t>12</w:t>
            </w:r>
            <w:r>
              <w:rPr>
                <w:rFonts w:hint="eastAsia" w:ascii="宋体" w:hAnsi="宋体" w:cs="宋体"/>
                <w:b/>
                <w:bCs/>
                <w:color w:val="auto"/>
                <w:sz w:val="24"/>
                <w:highlight w:val="none"/>
                <w:lang w:val="en-US" w:eastAsia="zh-CN"/>
              </w:rPr>
              <w:t>80</w:t>
            </w:r>
            <w:r>
              <w:rPr>
                <w:rFonts w:hint="eastAsia" w:ascii="宋体" w:hAnsi="宋体" w:cs="宋体"/>
                <w:b/>
                <w:bCs/>
                <w:color w:val="auto"/>
                <w:sz w:val="24"/>
                <w:highlight w:val="none"/>
                <w:lang w:eastAsia="zh-CN"/>
              </w:rPr>
              <w:t>000.00</w:t>
            </w:r>
            <w:r>
              <w:rPr>
                <w:rFonts w:hint="eastAsia" w:ascii="宋体" w:hAnsi="宋体" w:cs="宋体"/>
                <w:b/>
                <w:bCs/>
                <w:color w:val="auto"/>
                <w:sz w:val="24"/>
                <w:highlight w:val="none"/>
              </w:rPr>
              <w:t>元（超过此报价的作无效标处理）</w:t>
            </w:r>
            <w:r>
              <w:rPr>
                <w:rFonts w:hint="eastAsia" w:ascii="宋体" w:hAnsi="宋体" w:cs="宋体"/>
                <w:color w:val="auto"/>
                <w:sz w:val="24"/>
                <w:highlight w:val="none"/>
              </w:rPr>
              <w:t>。</w:t>
            </w:r>
          </w:p>
        </w:tc>
      </w:tr>
      <w:tr w14:paraId="584609CF">
        <w:tblPrEx>
          <w:tblCellMar>
            <w:top w:w="0" w:type="dxa"/>
            <w:left w:w="0" w:type="dxa"/>
            <w:bottom w:w="0" w:type="dxa"/>
            <w:right w:w="0" w:type="dxa"/>
          </w:tblCellMar>
        </w:tblPrEx>
        <w:trPr>
          <w:trHeight w:val="1447" w:hRule="atLeast"/>
          <w:jc w:val="center"/>
        </w:trPr>
        <w:tc>
          <w:tcPr>
            <w:tcW w:w="990" w:type="dxa"/>
            <w:tcBorders>
              <w:top w:val="single" w:color="auto" w:sz="4" w:space="0"/>
              <w:left w:val="single" w:color="auto" w:sz="8" w:space="0"/>
              <w:bottom w:val="single" w:color="auto" w:sz="8" w:space="0"/>
              <w:right w:val="single" w:color="auto" w:sz="8" w:space="0"/>
            </w:tcBorders>
            <w:vAlign w:val="center"/>
          </w:tcPr>
          <w:p w14:paraId="340C62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3.2.4</w:t>
            </w:r>
          </w:p>
        </w:tc>
        <w:tc>
          <w:tcPr>
            <w:tcW w:w="1638" w:type="dxa"/>
            <w:tcBorders>
              <w:top w:val="single" w:color="auto" w:sz="4" w:space="0"/>
              <w:left w:val="nil"/>
              <w:bottom w:val="single" w:color="auto" w:sz="8" w:space="0"/>
              <w:right w:val="single" w:color="auto" w:sz="8" w:space="0"/>
            </w:tcBorders>
            <w:vAlign w:val="center"/>
          </w:tcPr>
          <w:p w14:paraId="52D777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投标报价的</w:t>
            </w:r>
          </w:p>
          <w:p w14:paraId="17773A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7196" w:type="dxa"/>
            <w:tcBorders>
              <w:top w:val="single" w:color="auto" w:sz="8" w:space="0"/>
              <w:left w:val="nil"/>
              <w:bottom w:val="single" w:color="auto" w:sz="8" w:space="0"/>
              <w:right w:val="single" w:color="auto" w:sz="8" w:space="0"/>
            </w:tcBorders>
            <w:vAlign w:val="center"/>
          </w:tcPr>
          <w:p w14:paraId="22626EF3">
            <w:pPr>
              <w:pStyle w:val="6"/>
              <w:topLinePunct/>
              <w:spacing w:line="360" w:lineRule="auto"/>
              <w:jc w:val="left"/>
              <w:rPr>
                <w:rFonts w:hAnsi="宋体" w:cs="宋体"/>
                <w:b/>
                <w:bCs/>
                <w:color w:val="auto"/>
                <w:highlight w:val="none"/>
              </w:rPr>
            </w:pPr>
            <w:r>
              <w:rPr>
                <w:rFonts w:hint="eastAsia" w:hAnsi="宋体" w:cs="宋体"/>
                <w:b/>
                <w:bCs/>
                <w:color w:val="auto"/>
                <w:highlight w:val="none"/>
              </w:rPr>
              <w:t>（1）本项目设有</w:t>
            </w:r>
            <w:r>
              <w:rPr>
                <w:rFonts w:hint="eastAsia" w:hAnsi="宋体" w:cs="宋体"/>
                <w:b/>
                <w:bCs/>
                <w:color w:val="auto"/>
                <w:highlight w:val="none"/>
                <w:lang w:val="en-US" w:eastAsia="zh-CN"/>
              </w:rPr>
              <w:t>单价</w:t>
            </w:r>
            <w:r>
              <w:rPr>
                <w:rFonts w:hint="eastAsia" w:hAnsi="宋体" w:cs="宋体"/>
                <w:b/>
                <w:bCs/>
                <w:color w:val="auto"/>
                <w:highlight w:val="none"/>
              </w:rPr>
              <w:t>最高限价，投标人报价明细中单</w:t>
            </w:r>
            <w:r>
              <w:rPr>
                <w:rFonts w:hint="eastAsia" w:hAnsi="宋体" w:cs="宋体"/>
                <w:b/>
                <w:bCs/>
                <w:color w:val="auto"/>
                <w:highlight w:val="none"/>
                <w:lang w:val="en-US" w:eastAsia="zh-CN"/>
              </w:rPr>
              <w:t>价</w:t>
            </w:r>
            <w:r>
              <w:rPr>
                <w:rFonts w:hint="eastAsia" w:hAnsi="宋体" w:cs="宋体"/>
                <w:b/>
                <w:bCs/>
                <w:color w:val="auto"/>
                <w:highlight w:val="none"/>
              </w:rPr>
              <w:t>报价与总价均不能超过</w:t>
            </w:r>
            <w:r>
              <w:rPr>
                <w:rFonts w:hint="eastAsia" w:hAnsi="宋体" w:cs="宋体"/>
                <w:b/>
                <w:bCs/>
                <w:color w:val="auto"/>
                <w:highlight w:val="none"/>
                <w:lang w:val="en-US" w:eastAsia="zh-CN"/>
              </w:rPr>
              <w:t>相应的</w:t>
            </w:r>
            <w:r>
              <w:rPr>
                <w:rFonts w:hint="eastAsia" w:hAnsi="宋体" w:cs="宋体"/>
                <w:b/>
                <w:bCs/>
                <w:color w:val="auto"/>
                <w:highlight w:val="none"/>
              </w:rPr>
              <w:t>最高限价。</w:t>
            </w:r>
          </w:p>
          <w:p w14:paraId="117C091F">
            <w:pPr>
              <w:pStyle w:val="6"/>
              <w:topLinePunct/>
              <w:spacing w:line="360" w:lineRule="auto"/>
              <w:jc w:val="left"/>
              <w:rPr>
                <w:rFonts w:hAnsi="宋体" w:cs="宋体"/>
                <w:color w:val="auto"/>
                <w:highlight w:val="none"/>
              </w:rPr>
            </w:pPr>
            <w:r>
              <w:rPr>
                <w:rFonts w:hint="eastAsia" w:hAnsi="宋体" w:cs="宋体"/>
                <w:color w:val="auto"/>
                <w:highlight w:val="none"/>
              </w:rPr>
              <w:t>（2）本次投标报价为综合报价，报价应为人民币含税价（元），包括货物成本价格、利润、</w:t>
            </w:r>
            <w:r>
              <w:rPr>
                <w:rFonts w:hint="eastAsia" w:hAnsi="宋体" w:cs="宋体"/>
                <w:color w:val="auto"/>
                <w:highlight w:val="none"/>
                <w:lang w:val="zh-CN"/>
              </w:rPr>
              <w:t>运输</w:t>
            </w:r>
            <w:r>
              <w:rPr>
                <w:rFonts w:hint="eastAsia" w:hAnsi="宋体" w:cs="宋体"/>
                <w:color w:val="auto"/>
                <w:highlight w:val="none"/>
              </w:rPr>
              <w:t>、</w:t>
            </w:r>
            <w:r>
              <w:rPr>
                <w:rFonts w:hint="eastAsia" w:hAnsi="宋体" w:cs="宋体"/>
                <w:color w:val="auto"/>
                <w:highlight w:val="none"/>
                <w:lang w:val="en-US" w:eastAsia="zh-CN"/>
              </w:rPr>
              <w:t>安装调试、</w:t>
            </w:r>
            <w:r>
              <w:rPr>
                <w:rFonts w:hint="eastAsia" w:hAnsi="宋体" w:cs="宋体"/>
                <w:color w:val="auto"/>
                <w:highlight w:val="none"/>
                <w:lang w:val="zh-CN"/>
              </w:rPr>
              <w:t>验收、质保、</w:t>
            </w:r>
            <w:r>
              <w:rPr>
                <w:rFonts w:hint="eastAsia" w:hAnsi="宋体" w:cs="宋体"/>
                <w:color w:val="auto"/>
                <w:highlight w:val="none"/>
              </w:rPr>
              <w:t>保险、</w:t>
            </w:r>
            <w:r>
              <w:rPr>
                <w:rFonts w:hint="eastAsia" w:ascii="宋体" w:hAnsi="宋体" w:cs="宋体"/>
                <w:color w:val="auto"/>
                <w:sz w:val="24"/>
                <w:highlight w:val="none"/>
              </w:rPr>
              <w:t>税收、</w:t>
            </w:r>
            <w:r>
              <w:rPr>
                <w:rFonts w:hint="eastAsia" w:ascii="宋体" w:hAnsi="宋体" w:cs="宋体"/>
                <w:color w:val="auto"/>
                <w:sz w:val="24"/>
                <w:highlight w:val="none"/>
                <w:lang w:val="en-US" w:eastAsia="zh-CN"/>
              </w:rPr>
              <w:t>培训</w:t>
            </w:r>
            <w:r>
              <w:rPr>
                <w:rFonts w:hint="eastAsia" w:hAnsi="宋体" w:cs="宋体"/>
                <w:color w:val="auto"/>
                <w:highlight w:val="none"/>
                <w:lang w:val="en-US" w:eastAsia="zh-CN"/>
              </w:rPr>
              <w:t>、</w:t>
            </w:r>
            <w:r>
              <w:rPr>
                <w:rFonts w:hint="eastAsia" w:hAnsi="宋体" w:cs="宋体"/>
                <w:color w:val="auto"/>
                <w:highlight w:val="none"/>
              </w:rPr>
              <w:t>后续服务、</w:t>
            </w:r>
            <w:r>
              <w:rPr>
                <w:rFonts w:hint="eastAsia" w:hAnsi="宋体" w:cs="宋体"/>
                <w:color w:val="auto"/>
                <w:highlight w:val="none"/>
                <w:lang w:eastAsia="zh-CN"/>
              </w:rPr>
              <w:t>中标服务费</w:t>
            </w:r>
            <w:r>
              <w:rPr>
                <w:rFonts w:hint="eastAsia" w:hAnsi="宋体" w:cs="宋体"/>
                <w:color w:val="auto"/>
                <w:highlight w:val="none"/>
              </w:rPr>
              <w:t>等本项目所涉及的一切费用。</w:t>
            </w:r>
          </w:p>
          <w:p w14:paraId="067CA2BB">
            <w:pPr>
              <w:pStyle w:val="6"/>
              <w:topLinePunct/>
              <w:spacing w:line="360" w:lineRule="auto"/>
              <w:jc w:val="left"/>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3</w:t>
            </w:r>
            <w:r>
              <w:rPr>
                <w:rFonts w:hint="eastAsia" w:hAnsi="宋体" w:cs="宋体"/>
                <w:color w:val="auto"/>
                <w:highlight w:val="none"/>
              </w:rPr>
              <w:t>）投标人应承担所有与参加投标有关的自身的所有费用，不论采购的结果如何，采购代理机构和采购人在任何情况下均无义务和责任承担这些费用。</w:t>
            </w:r>
          </w:p>
          <w:p w14:paraId="3D814488">
            <w:pPr>
              <w:pStyle w:val="6"/>
              <w:topLinePunct/>
              <w:spacing w:line="360" w:lineRule="auto"/>
              <w:jc w:val="left"/>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highlight w:val="none"/>
              </w:rPr>
              <w:t>）有关本项目实施所需的所有费用（含税费）均计入报价。开标一览表（报价表）是报价的唯一载体。投标文件中价格全部采用人民币报价。招标文件未列明，而投标人认为必需的费用也需列入报价。</w:t>
            </w:r>
          </w:p>
          <w:p w14:paraId="4BC12295">
            <w:pPr>
              <w:pStyle w:val="6"/>
              <w:topLinePunct/>
              <w:spacing w:line="360" w:lineRule="auto"/>
              <w:jc w:val="left"/>
              <w:rPr>
                <w:rFonts w:hAnsi="宋体" w:cs="宋体"/>
                <w:b/>
                <w:bCs/>
                <w:color w:val="auto"/>
                <w:highlight w:val="none"/>
              </w:rPr>
            </w:pPr>
            <w:r>
              <w:rPr>
                <w:rFonts w:hint="eastAsia" w:hAnsi="宋体" w:cs="宋体"/>
                <w:b/>
                <w:bCs/>
                <w:color w:val="auto"/>
                <w:highlight w:val="none"/>
              </w:rPr>
              <w:t>投标报价出现下列情形的，投标无效：</w:t>
            </w:r>
          </w:p>
          <w:p w14:paraId="20916EAB">
            <w:pPr>
              <w:pStyle w:val="6"/>
              <w:topLinePunct/>
              <w:spacing w:line="360" w:lineRule="auto"/>
              <w:jc w:val="left"/>
              <w:rPr>
                <w:rFonts w:hAnsi="宋体" w:cs="宋体"/>
                <w:color w:val="auto"/>
                <w:highlight w:val="none"/>
              </w:rPr>
            </w:pPr>
            <w:r>
              <w:rPr>
                <w:rFonts w:hint="eastAsia" w:hAnsi="宋体" w:cs="宋体"/>
                <w:color w:val="auto"/>
                <w:highlight w:val="none"/>
              </w:rPr>
              <w:t>①投标文件出现不是唯一的、有选择性投标报价的；</w:t>
            </w:r>
          </w:p>
          <w:p w14:paraId="1C7FD595">
            <w:pPr>
              <w:pStyle w:val="6"/>
              <w:topLinePunct/>
              <w:spacing w:line="360" w:lineRule="auto"/>
              <w:jc w:val="left"/>
              <w:rPr>
                <w:rFonts w:hAnsi="宋体" w:cs="宋体"/>
                <w:color w:val="auto"/>
                <w:highlight w:val="none"/>
              </w:rPr>
            </w:pPr>
            <w:r>
              <w:rPr>
                <w:rFonts w:hint="eastAsia" w:hAnsi="宋体" w:cs="宋体"/>
                <w:color w:val="auto"/>
                <w:highlight w:val="none"/>
              </w:rPr>
              <w:t>②投标报价超过招标文件中规定的预算金额或者最高限价的；</w:t>
            </w:r>
          </w:p>
          <w:p w14:paraId="4A3AC347">
            <w:pPr>
              <w:pStyle w:val="6"/>
              <w:topLinePunct/>
              <w:spacing w:line="360" w:lineRule="auto"/>
              <w:jc w:val="left"/>
              <w:rPr>
                <w:rFonts w:hAnsi="宋体" w:cs="宋体"/>
                <w:color w:val="auto"/>
                <w:highlight w:val="none"/>
              </w:rPr>
            </w:pPr>
            <w:r>
              <w:rPr>
                <w:rFonts w:hint="eastAsia" w:hAnsi="宋体" w:cs="宋体"/>
                <w:color w:val="auto"/>
                <w:highlight w:val="none"/>
              </w:rPr>
              <w:t>③投标人对根据修正原则修正后的报价不确认的。</w:t>
            </w:r>
          </w:p>
          <w:p w14:paraId="558A5B68">
            <w:pPr>
              <w:pStyle w:val="6"/>
              <w:topLinePunct/>
              <w:spacing w:line="360" w:lineRule="auto"/>
              <w:jc w:val="left"/>
              <w:rPr>
                <w:rFonts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5</w:t>
            </w:r>
            <w:r>
              <w:rPr>
                <w:rFonts w:hint="eastAsia" w:hAnsi="宋体" w:cs="宋体"/>
                <w:color w:val="auto"/>
                <w:highlight w:val="none"/>
              </w:rPr>
              <w:t>）</w:t>
            </w:r>
            <w:r>
              <w:rPr>
                <w:rFonts w:hint="eastAsia" w:hAnsi="宋体" w:cs="宋体"/>
                <w:color w:val="auto"/>
                <w:highlight w:val="none"/>
                <w:lang w:eastAsia="zh-CN"/>
              </w:rPr>
              <w:t>中标服务费</w:t>
            </w:r>
            <w:r>
              <w:rPr>
                <w:rFonts w:hint="eastAsia" w:hAnsi="宋体" w:cs="宋体"/>
                <w:color w:val="auto"/>
                <w:highlight w:val="none"/>
              </w:rPr>
              <w:t>：</w:t>
            </w:r>
            <w:r>
              <w:rPr>
                <w:rFonts w:hint="eastAsia" w:ascii="宋体" w:hAnsi="宋体" w:cs="宋体"/>
                <w:bCs/>
                <w:color w:val="auto"/>
                <w:sz w:val="24"/>
                <w:highlight w:val="none"/>
                <w:lang w:eastAsia="zh-CN"/>
              </w:rPr>
              <w:t>中标服务费以单个项目（或标段）</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通知书的</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金额为计费基数，按关于印发《云南省建设工程招标代理服务收费</w:t>
            </w:r>
            <w:r>
              <w:rPr>
                <w:rFonts w:hint="eastAsia" w:ascii="宋体" w:hAnsi="宋体" w:cs="宋体"/>
                <w:bCs/>
                <w:color w:val="auto"/>
                <w:sz w:val="24"/>
                <w:highlight w:val="none"/>
                <w:lang w:val="en-US" w:eastAsia="zh-CN"/>
              </w:rPr>
              <w:t>参考意见</w:t>
            </w:r>
            <w:r>
              <w:rPr>
                <w:rFonts w:hint="eastAsia" w:ascii="宋体" w:hAnsi="宋体" w:cs="宋体"/>
                <w:bCs/>
                <w:color w:val="auto"/>
                <w:sz w:val="24"/>
                <w:highlight w:val="none"/>
                <w:lang w:eastAsia="zh-CN"/>
              </w:rPr>
              <w:t>》的通知（云建招协〔202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〕5</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lang w:eastAsia="zh-CN"/>
              </w:rPr>
              <w:t>号）收费标准收取，由</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lang w:eastAsia="zh-CN"/>
              </w:rPr>
              <w:t>单位支付</w:t>
            </w:r>
            <w:r>
              <w:rPr>
                <w:rFonts w:hint="eastAsia" w:hAnsi="宋体" w:cs="宋体"/>
                <w:color w:val="auto"/>
                <w:highlight w:val="none"/>
              </w:rPr>
              <w:t>。</w:t>
            </w:r>
          </w:p>
        </w:tc>
      </w:tr>
      <w:tr w14:paraId="728A2BBE">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3FF94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1638" w:type="dxa"/>
            <w:tcBorders>
              <w:top w:val="single" w:color="auto" w:sz="8" w:space="0"/>
              <w:left w:val="nil"/>
              <w:bottom w:val="single" w:color="auto" w:sz="8" w:space="0"/>
              <w:right w:val="single" w:color="auto" w:sz="8" w:space="0"/>
            </w:tcBorders>
            <w:vAlign w:val="center"/>
          </w:tcPr>
          <w:p w14:paraId="300310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7196" w:type="dxa"/>
            <w:tcBorders>
              <w:top w:val="single" w:color="auto" w:sz="8" w:space="0"/>
              <w:left w:val="nil"/>
              <w:bottom w:val="single" w:color="auto" w:sz="8" w:space="0"/>
              <w:right w:val="single" w:color="auto" w:sz="8" w:space="0"/>
            </w:tcBorders>
            <w:vAlign w:val="center"/>
          </w:tcPr>
          <w:p w14:paraId="4EB082C0">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投标有效期为90日历天（从提交投标文件截止</w:t>
            </w:r>
            <w:r>
              <w:rPr>
                <w:rFonts w:hint="eastAsia" w:ascii="宋体" w:hAnsi="宋体" w:cs="宋体"/>
                <w:color w:val="auto"/>
                <w:sz w:val="24"/>
                <w:highlight w:val="none"/>
                <w:lang w:val="en-US" w:eastAsia="zh-CN"/>
              </w:rPr>
              <w:t>之</w:t>
            </w:r>
            <w:r>
              <w:rPr>
                <w:rFonts w:hint="eastAsia" w:ascii="宋体" w:hAnsi="宋体" w:cs="宋体"/>
                <w:color w:val="auto"/>
                <w:sz w:val="24"/>
                <w:highlight w:val="none"/>
              </w:rPr>
              <w:t>日算起）。</w:t>
            </w:r>
          </w:p>
        </w:tc>
      </w:tr>
      <w:tr w14:paraId="50E14B42">
        <w:tblPrEx>
          <w:tblCellMar>
            <w:top w:w="0" w:type="dxa"/>
            <w:left w:w="0" w:type="dxa"/>
            <w:bottom w:w="0" w:type="dxa"/>
            <w:right w:w="0" w:type="dxa"/>
          </w:tblCellMar>
        </w:tblPrEx>
        <w:trPr>
          <w:trHeight w:val="50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61E4B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3.4.1</w:t>
            </w:r>
          </w:p>
        </w:tc>
        <w:tc>
          <w:tcPr>
            <w:tcW w:w="1638" w:type="dxa"/>
            <w:tcBorders>
              <w:top w:val="single" w:color="auto" w:sz="8" w:space="0"/>
              <w:left w:val="nil"/>
              <w:bottom w:val="single" w:color="auto" w:sz="8" w:space="0"/>
              <w:right w:val="single" w:color="auto" w:sz="8" w:space="0"/>
            </w:tcBorders>
            <w:vAlign w:val="center"/>
          </w:tcPr>
          <w:p w14:paraId="1F61081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7196" w:type="dxa"/>
            <w:tcBorders>
              <w:top w:val="single" w:color="auto" w:sz="8" w:space="0"/>
              <w:left w:val="nil"/>
              <w:bottom w:val="single" w:color="auto" w:sz="8" w:space="0"/>
              <w:right w:val="single" w:color="auto" w:sz="8" w:space="0"/>
            </w:tcBorders>
            <w:vAlign w:val="center"/>
          </w:tcPr>
          <w:p w14:paraId="0337FA81">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一、投标保证金提交方式</w:t>
            </w:r>
          </w:p>
          <w:p w14:paraId="36E5CD84">
            <w:pPr>
              <w:spacing w:line="360" w:lineRule="auto"/>
              <w:jc w:val="left"/>
              <w:rPr>
                <w:rFonts w:ascii="宋体" w:hAnsi="宋体" w:cs="宋体"/>
                <w:color w:val="auto"/>
                <w:sz w:val="24"/>
                <w:highlight w:val="none"/>
              </w:rPr>
            </w:pPr>
            <w:r>
              <w:rPr>
                <w:rFonts w:hint="eastAsia" w:ascii="宋体" w:hAnsi="宋体" w:cs="宋体"/>
                <w:color w:val="auto"/>
                <w:sz w:val="24"/>
                <w:highlight w:val="none"/>
              </w:rPr>
              <w:t>保证金的提交方式有三种：银行转账、银行保函、投标保证保险。</w:t>
            </w:r>
          </w:p>
          <w:p w14:paraId="1E442FCA">
            <w:pPr>
              <w:spacing w:line="360" w:lineRule="auto"/>
              <w:jc w:val="left"/>
              <w:rPr>
                <w:rFonts w:ascii="宋体" w:hAnsi="宋体" w:cs="宋体"/>
                <w:color w:val="auto"/>
                <w:sz w:val="24"/>
                <w:highlight w:val="none"/>
              </w:rPr>
            </w:pPr>
            <w:r>
              <w:rPr>
                <w:rFonts w:hint="eastAsia" w:ascii="宋体" w:hAnsi="宋体" w:cs="宋体"/>
                <w:color w:val="auto"/>
                <w:sz w:val="24"/>
                <w:highlight w:val="none"/>
              </w:rPr>
              <w:t>（一）银行转账：投标保证金应以供应商自身的名义提交，不得以分支机构其他名义提交。</w:t>
            </w:r>
          </w:p>
          <w:p w14:paraId="7F945F88">
            <w:pPr>
              <w:spacing w:line="360" w:lineRule="auto"/>
              <w:jc w:val="left"/>
              <w:rPr>
                <w:rFonts w:ascii="宋体" w:hAnsi="宋体" w:cs="宋体"/>
                <w:color w:val="auto"/>
                <w:sz w:val="24"/>
                <w:highlight w:val="none"/>
              </w:rPr>
            </w:pPr>
            <w:r>
              <w:rPr>
                <w:rFonts w:hint="eastAsia" w:ascii="宋体" w:hAnsi="宋体" w:cs="宋体"/>
                <w:color w:val="auto"/>
                <w:sz w:val="24"/>
                <w:highlight w:val="none"/>
              </w:rPr>
              <w:t>（二）银行保函：保函申请人必须是供应商，受益人必须是采购人；银行保函必须正确填写受益人和申请人的全称，并与招标文件规定的名称相一致，以免造成投标无效。</w:t>
            </w:r>
          </w:p>
          <w:p w14:paraId="37D59237">
            <w:pPr>
              <w:spacing w:line="360" w:lineRule="auto"/>
              <w:jc w:val="left"/>
              <w:rPr>
                <w:rFonts w:ascii="宋体" w:hAnsi="宋体" w:cs="宋体"/>
                <w:color w:val="auto"/>
                <w:sz w:val="24"/>
                <w:highlight w:val="none"/>
              </w:rPr>
            </w:pPr>
            <w:r>
              <w:rPr>
                <w:rFonts w:hint="eastAsia" w:ascii="宋体" w:hAnsi="宋体" w:cs="宋体"/>
                <w:color w:val="auto"/>
                <w:sz w:val="24"/>
                <w:highlight w:val="none"/>
              </w:rPr>
              <w:t>（三）保证保险：供应商为投保人，采购人为被保险人。当供应商违反法律法规且符合投标保证金不予退回情形的，由保险公司</w:t>
            </w:r>
            <w:r>
              <w:rPr>
                <w:rFonts w:hint="eastAsia" w:ascii="宋体" w:hAnsi="宋体" w:cs="宋体"/>
                <w:color w:val="auto"/>
                <w:sz w:val="24"/>
                <w:highlight w:val="none"/>
                <w:lang w:eastAsia="zh-CN"/>
              </w:rPr>
              <w:t>按照</w:t>
            </w:r>
            <w:r>
              <w:rPr>
                <w:rFonts w:hint="eastAsia" w:ascii="宋体" w:hAnsi="宋体" w:cs="宋体"/>
                <w:color w:val="auto"/>
                <w:sz w:val="24"/>
                <w:highlight w:val="none"/>
              </w:rPr>
              <w:t>保险合同对采购人代偿投标保证金金额。</w:t>
            </w:r>
          </w:p>
          <w:p w14:paraId="1B11307C">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二、投标保证金的提交时间</w:t>
            </w:r>
          </w:p>
          <w:p w14:paraId="735FF1C7">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需在</w:t>
            </w:r>
            <w:r>
              <w:rPr>
                <w:rFonts w:hint="eastAsia" w:ascii="宋体" w:hAnsi="宋体" w:cs="宋体"/>
                <w:color w:val="auto"/>
                <w:sz w:val="24"/>
                <w:highlight w:val="none"/>
                <w:lang w:val="en-US" w:eastAsia="zh-CN"/>
              </w:rPr>
              <w:t>提交</w:t>
            </w: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文件</w:t>
            </w:r>
            <w:r>
              <w:rPr>
                <w:rFonts w:hint="eastAsia" w:ascii="宋体" w:hAnsi="宋体" w:cs="宋体"/>
                <w:color w:val="auto"/>
                <w:sz w:val="24"/>
                <w:highlight w:val="none"/>
              </w:rPr>
              <w:t>截止时间前</w:t>
            </w:r>
            <w:r>
              <w:rPr>
                <w:rFonts w:hint="eastAsia" w:ascii="宋体" w:hAnsi="宋体" w:cs="宋体"/>
                <w:color w:val="auto"/>
                <w:sz w:val="24"/>
                <w:highlight w:val="none"/>
                <w:lang w:eastAsia="zh-CN"/>
              </w:rPr>
              <w:t>提交</w:t>
            </w:r>
            <w:r>
              <w:rPr>
                <w:rFonts w:hint="eastAsia" w:ascii="宋体" w:hAnsi="宋体" w:cs="宋体"/>
                <w:color w:val="auto"/>
                <w:sz w:val="24"/>
                <w:highlight w:val="none"/>
              </w:rPr>
              <w:t>保证金。</w:t>
            </w:r>
          </w:p>
          <w:p w14:paraId="03E71FB5">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三、投标保证金的办理程序</w:t>
            </w:r>
          </w:p>
          <w:p w14:paraId="7186F31F">
            <w:pPr>
              <w:spacing w:line="360" w:lineRule="auto"/>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AUTOTEXT  input534 \* MERGEFORMAT </w:instrText>
            </w:r>
            <w:r>
              <w:rPr>
                <w:color w:val="auto"/>
                <w:highlight w:val="none"/>
              </w:rPr>
              <w:fldChar w:fldCharType="separate"/>
            </w:r>
            <w:r>
              <w:rPr>
                <w:rFonts w:hint="eastAsia" w:ascii="宋体" w:hAnsi="宋体" w:cs="宋体"/>
                <w:b/>
                <w:bCs/>
                <w:color w:val="auto"/>
                <w:sz w:val="24"/>
                <w:highlight w:val="none"/>
              </w:rPr>
              <w:t>☑</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t>（一）采用银行转账方式：</w:t>
            </w:r>
          </w:p>
          <w:p w14:paraId="0F79FCDE">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陇川县2026年义务教育薄弱环节改善与能力提升项目（洗碗机）</w:t>
            </w:r>
          </w:p>
          <w:p w14:paraId="2E792B62">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保证金金额：</w:t>
            </w:r>
            <w:r>
              <w:rPr>
                <w:rFonts w:hint="eastAsia" w:ascii="宋体" w:hAnsi="宋体" w:cs="宋体"/>
                <w:color w:val="auto"/>
                <w:sz w:val="24"/>
                <w:highlight w:val="none"/>
                <w:lang w:eastAsia="zh-CN"/>
              </w:rPr>
              <w:t>壹万元整（10000.00元）</w:t>
            </w:r>
          </w:p>
          <w:p w14:paraId="64EB60B0">
            <w:pPr>
              <w:spacing w:line="360" w:lineRule="auto"/>
              <w:jc w:val="left"/>
              <w:rPr>
                <w:rFonts w:ascii="宋体" w:hAnsi="宋体" w:cs="宋体"/>
                <w:color w:val="auto"/>
                <w:sz w:val="24"/>
                <w:highlight w:val="none"/>
              </w:rPr>
            </w:pPr>
            <w:r>
              <w:rPr>
                <w:rFonts w:hint="eastAsia" w:ascii="宋体" w:hAnsi="宋体" w:cs="宋体"/>
                <w:color w:val="auto"/>
                <w:sz w:val="24"/>
                <w:highlight w:val="none"/>
              </w:rPr>
              <w:t>户名：云南立友工程咨询有限公司</w:t>
            </w:r>
          </w:p>
          <w:p w14:paraId="7A02C58C">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账号：54000 19595 659012    </w:t>
            </w:r>
          </w:p>
          <w:p w14:paraId="6FC04652">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lang w:val="en-US" w:eastAsia="zh-CN"/>
              </w:rPr>
              <w:t>德宏农村商业银行芒市支行</w:t>
            </w:r>
            <w:r>
              <w:rPr>
                <w:rFonts w:hint="eastAsia" w:ascii="宋体" w:hAnsi="宋体" w:cs="宋体"/>
                <w:color w:val="auto"/>
                <w:sz w:val="24"/>
                <w:highlight w:val="none"/>
              </w:rPr>
              <w:t xml:space="preserve"> </w:t>
            </w:r>
          </w:p>
          <w:p w14:paraId="361A4119">
            <w:pPr>
              <w:spacing w:line="360" w:lineRule="auto"/>
              <w:jc w:val="left"/>
              <w:rPr>
                <w:rFonts w:ascii="宋体" w:hAnsi="宋体" w:cs="宋体"/>
                <w:color w:val="auto"/>
                <w:sz w:val="24"/>
                <w:highlight w:val="none"/>
              </w:rPr>
            </w:pPr>
            <w:r>
              <w:rPr>
                <w:rFonts w:hint="eastAsia" w:ascii="宋体" w:hAnsi="宋体" w:cs="宋体"/>
                <w:color w:val="auto"/>
                <w:sz w:val="24"/>
                <w:highlight w:val="none"/>
              </w:rPr>
              <w:t>财务室联系电话：0692-2273788</w:t>
            </w:r>
          </w:p>
          <w:p w14:paraId="20DCFFD2">
            <w:pPr>
              <w:spacing w:line="360" w:lineRule="auto"/>
              <w:jc w:val="left"/>
              <w:rPr>
                <w:rFonts w:ascii="宋体" w:hAnsi="宋体" w:cs="宋体"/>
                <w:color w:val="auto"/>
                <w:sz w:val="24"/>
                <w:highlight w:val="none"/>
              </w:rPr>
            </w:pPr>
            <w:r>
              <w:rPr>
                <w:rFonts w:hint="eastAsia" w:ascii="宋体" w:hAnsi="宋体" w:cs="宋体"/>
                <w:color w:val="auto"/>
                <w:sz w:val="24"/>
                <w:highlight w:val="none"/>
              </w:rPr>
              <w:t>办理程序：</w:t>
            </w:r>
          </w:p>
          <w:p w14:paraId="30AC0334">
            <w:pPr>
              <w:spacing w:line="360" w:lineRule="auto"/>
              <w:jc w:val="left"/>
              <w:rPr>
                <w:rFonts w:ascii="宋体" w:hAnsi="宋体" w:cs="宋体"/>
                <w:color w:val="auto"/>
                <w:sz w:val="24"/>
                <w:highlight w:val="none"/>
              </w:rPr>
            </w:pPr>
            <w:r>
              <w:rPr>
                <w:rFonts w:hint="eastAsia" w:ascii="宋体" w:hAnsi="宋体" w:cs="宋体"/>
                <w:color w:val="auto"/>
                <w:sz w:val="24"/>
                <w:highlight w:val="none"/>
              </w:rPr>
              <w:t>于投标文件提交截止时间前以投标人自身的名义提交并保证开标时必须到户，转账时需注明项目名称或招标编号。</w:t>
            </w:r>
          </w:p>
          <w:p w14:paraId="1ECED84B">
            <w:pPr>
              <w:spacing w:line="360" w:lineRule="auto"/>
              <w:jc w:val="left"/>
              <w:rPr>
                <w:rFonts w:ascii="宋体" w:hAnsi="宋体" w:cs="宋体"/>
                <w:b/>
                <w:bCs/>
                <w:color w:val="auto"/>
                <w:sz w:val="24"/>
                <w:highlight w:val="none"/>
              </w:rPr>
            </w:pPr>
            <w:r>
              <w:rPr>
                <w:color w:val="auto"/>
                <w:highlight w:val="none"/>
              </w:rPr>
              <w:fldChar w:fldCharType="begin"/>
            </w:r>
            <w:r>
              <w:rPr>
                <w:color w:val="auto"/>
                <w:highlight w:val="none"/>
              </w:rPr>
              <w:instrText xml:space="preserve"> AUTOTEXT  input535 \* MERGEFORMAT </w:instrText>
            </w:r>
            <w:r>
              <w:rPr>
                <w:color w:val="auto"/>
                <w:highlight w:val="none"/>
              </w:rPr>
              <w:fldChar w:fldCharType="separate"/>
            </w:r>
            <w:r>
              <w:rPr>
                <w:rFonts w:hint="eastAsia" w:ascii="宋体" w:hAnsi="宋体" w:cs="宋体"/>
                <w:b/>
                <w:bCs/>
                <w:color w:val="auto"/>
                <w:sz w:val="24"/>
                <w:highlight w:val="none"/>
              </w:rPr>
              <w:t>☑</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t>（二）采用银行保函方式：</w:t>
            </w:r>
          </w:p>
          <w:p w14:paraId="19B569E5">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陇川县2026年义务教育薄弱环节改善与能力提升项目（洗碗机）</w:t>
            </w:r>
          </w:p>
          <w:p w14:paraId="0BBECB73">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保证金金额：</w:t>
            </w:r>
            <w:r>
              <w:rPr>
                <w:rFonts w:hint="eastAsia" w:ascii="宋体" w:hAnsi="宋体" w:cs="宋体"/>
                <w:color w:val="auto"/>
                <w:sz w:val="24"/>
                <w:highlight w:val="none"/>
                <w:lang w:eastAsia="zh-CN"/>
              </w:rPr>
              <w:t>壹万元整（10000.00元）</w:t>
            </w:r>
          </w:p>
          <w:p w14:paraId="114F1E49">
            <w:pPr>
              <w:spacing w:line="360" w:lineRule="auto"/>
              <w:jc w:val="left"/>
              <w:rPr>
                <w:rFonts w:ascii="宋体" w:hAnsi="宋体" w:cs="宋体"/>
                <w:color w:val="auto"/>
                <w:sz w:val="24"/>
                <w:highlight w:val="none"/>
              </w:rPr>
            </w:pPr>
            <w:r>
              <w:rPr>
                <w:rFonts w:hint="eastAsia" w:ascii="宋体" w:hAnsi="宋体" w:cs="宋体"/>
                <w:color w:val="auto"/>
                <w:sz w:val="24"/>
                <w:highlight w:val="none"/>
              </w:rPr>
              <w:t>办理程序：</w:t>
            </w:r>
          </w:p>
          <w:p w14:paraId="5D47A880">
            <w:pPr>
              <w:spacing w:line="360" w:lineRule="auto"/>
              <w:jc w:val="left"/>
              <w:rPr>
                <w:rFonts w:ascii="宋体" w:hAnsi="宋体" w:cs="宋体"/>
                <w:color w:val="auto"/>
                <w:sz w:val="24"/>
                <w:highlight w:val="none"/>
              </w:rPr>
            </w:pPr>
            <w:r>
              <w:rPr>
                <w:rFonts w:hint="eastAsia" w:ascii="宋体" w:hAnsi="宋体" w:cs="宋体"/>
                <w:color w:val="auto"/>
                <w:sz w:val="24"/>
                <w:highlight w:val="none"/>
              </w:rPr>
              <w:t>潜在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银行保函必须在规定的提交投标文件截止时间前</w:t>
            </w:r>
            <w:r>
              <w:rPr>
                <w:rFonts w:hint="eastAsia" w:ascii="宋体" w:hAnsi="宋体" w:cs="宋体"/>
                <w:color w:val="auto"/>
                <w:sz w:val="24"/>
                <w:highlight w:val="none"/>
                <w:lang w:eastAsia="zh-CN"/>
              </w:rPr>
              <w:t>提交</w:t>
            </w:r>
            <w:r>
              <w:rPr>
                <w:rFonts w:hint="eastAsia" w:ascii="宋体" w:hAnsi="宋体" w:cs="宋体"/>
                <w:color w:val="auto"/>
                <w:sz w:val="24"/>
                <w:highlight w:val="none"/>
              </w:rPr>
              <w:t>至银行。</w:t>
            </w:r>
          </w:p>
          <w:p w14:paraId="766B4A7E">
            <w:pPr>
              <w:spacing w:line="360" w:lineRule="auto"/>
              <w:jc w:val="left"/>
              <w:rPr>
                <w:rFonts w:ascii="宋体" w:hAnsi="宋体" w:cs="宋体"/>
                <w:color w:val="auto"/>
                <w:sz w:val="24"/>
                <w:highlight w:val="none"/>
              </w:rPr>
            </w:pPr>
            <w:r>
              <w:rPr>
                <w:color w:val="auto"/>
                <w:highlight w:val="none"/>
              </w:rPr>
              <w:fldChar w:fldCharType="begin"/>
            </w:r>
            <w:r>
              <w:rPr>
                <w:color w:val="auto"/>
                <w:highlight w:val="none"/>
              </w:rPr>
              <w:instrText xml:space="preserve"> AUTOTEXT  input536 \* MERGEFORMAT </w:instrText>
            </w:r>
            <w:r>
              <w:rPr>
                <w:color w:val="auto"/>
                <w:highlight w:val="none"/>
              </w:rPr>
              <w:fldChar w:fldCharType="separate"/>
            </w:r>
            <w:r>
              <w:rPr>
                <w:rFonts w:hint="eastAsia" w:ascii="宋体" w:hAnsi="宋体" w:cs="宋体"/>
                <w:b/>
                <w:bCs/>
                <w:color w:val="auto"/>
                <w:sz w:val="24"/>
                <w:highlight w:val="none"/>
              </w:rPr>
              <w:t>☑</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t>（三）采用投标保证保险方式</w:t>
            </w:r>
            <w:r>
              <w:rPr>
                <w:rFonts w:hint="eastAsia" w:ascii="宋体" w:hAnsi="宋体" w:cs="宋体"/>
                <w:color w:val="auto"/>
                <w:sz w:val="24"/>
                <w:highlight w:val="none"/>
              </w:rPr>
              <w:t>：</w:t>
            </w:r>
          </w:p>
          <w:p w14:paraId="4C8E0FFD">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陇川县2026年义务教育薄弱环节改善与能力提升项目（洗碗机）</w:t>
            </w:r>
          </w:p>
          <w:p w14:paraId="70F9187F">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保证金金额：</w:t>
            </w:r>
            <w:r>
              <w:rPr>
                <w:rFonts w:hint="eastAsia" w:ascii="宋体" w:hAnsi="宋体" w:cs="宋体"/>
                <w:color w:val="auto"/>
                <w:sz w:val="24"/>
                <w:highlight w:val="none"/>
                <w:lang w:eastAsia="zh-CN"/>
              </w:rPr>
              <w:t>壹万元整（10000.00元）</w:t>
            </w:r>
          </w:p>
          <w:p w14:paraId="7883EC64">
            <w:pPr>
              <w:spacing w:line="360" w:lineRule="auto"/>
              <w:jc w:val="left"/>
              <w:rPr>
                <w:rFonts w:ascii="宋体" w:hAnsi="宋体" w:cs="宋体"/>
                <w:color w:val="auto"/>
                <w:sz w:val="24"/>
                <w:highlight w:val="none"/>
              </w:rPr>
            </w:pPr>
            <w:r>
              <w:rPr>
                <w:rFonts w:hint="eastAsia" w:ascii="宋体" w:hAnsi="宋体" w:cs="宋体"/>
                <w:color w:val="auto"/>
                <w:sz w:val="24"/>
                <w:highlight w:val="none"/>
              </w:rPr>
              <w:t>办理程序：投标保证保险的投保人应当在项目投标前与保险公司签订投标保证保险合同。</w:t>
            </w:r>
          </w:p>
          <w:p w14:paraId="6214EC17">
            <w:pPr>
              <w:spacing w:line="360" w:lineRule="auto"/>
              <w:jc w:val="left"/>
              <w:rPr>
                <w:rFonts w:ascii="宋体" w:hAnsi="宋体" w:cs="宋体"/>
                <w:color w:val="auto"/>
                <w:sz w:val="24"/>
                <w:highlight w:val="none"/>
              </w:rPr>
            </w:pPr>
            <w:r>
              <w:rPr>
                <w:rFonts w:hint="eastAsia" w:ascii="宋体" w:hAnsi="宋体" w:eastAsia="宋体" w:cs="宋体"/>
                <w:b/>
                <w:bCs/>
                <w:color w:val="auto"/>
                <w:sz w:val="24"/>
                <w:highlight w:val="none"/>
              </w:rPr>
              <w:t>四、</w:t>
            </w:r>
            <w:r>
              <w:rPr>
                <w:rFonts w:hint="eastAsia" w:ascii="宋体" w:hAnsi="宋体" w:eastAsia="宋体" w:cs="宋体"/>
                <w:b/>
                <w:bCs/>
                <w:color w:val="auto"/>
                <w:sz w:val="24"/>
                <w:highlight w:val="none"/>
                <w:lang w:val="en-US" w:eastAsia="zh-CN"/>
              </w:rPr>
              <w:t>保证金的退还方式</w:t>
            </w:r>
            <w:r>
              <w:rPr>
                <w:rFonts w:hint="eastAsia" w:ascii="宋体" w:hAnsi="宋体" w:cs="宋体"/>
                <w:color w:val="auto"/>
                <w:sz w:val="24"/>
                <w:highlight w:val="none"/>
              </w:rPr>
              <w:br w:type="textWrapping"/>
            </w:r>
            <w:r>
              <w:rPr>
                <w:rFonts w:hint="eastAsia" w:ascii="宋体" w:hAnsi="宋体" w:eastAsia="宋体" w:cs="宋体"/>
                <w:color w:val="auto"/>
                <w:sz w:val="24"/>
                <w:highlight w:val="none"/>
              </w:rPr>
              <w:t>1.以支票、汇票、本票、网上银行支付等非现金形式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通过银行转账方式</w:t>
            </w:r>
            <w:r>
              <w:rPr>
                <w:rFonts w:hint="eastAsia" w:ascii="宋体" w:hAnsi="宋体" w:eastAsia="宋体" w:cs="宋体"/>
                <w:color w:val="auto"/>
                <w:sz w:val="24"/>
                <w:highlight w:val="none"/>
              </w:rPr>
              <w:t>缴纳的保证金，以网银对公转账的方式退还到供应商账户；</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2.以银行保函或者投标保证保险方式缴纳的保证金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由供应商自行联系出函机构进行退还</w:t>
            </w:r>
            <w:r>
              <w:rPr>
                <w:rFonts w:hint="eastAsia" w:ascii="宋体" w:hAnsi="宋体" w:cs="宋体"/>
                <w:color w:val="auto"/>
                <w:sz w:val="24"/>
                <w:highlight w:val="none"/>
              </w:rPr>
              <w:t>。</w:t>
            </w:r>
          </w:p>
        </w:tc>
      </w:tr>
      <w:tr w14:paraId="75A75D1A">
        <w:tblPrEx>
          <w:tblCellMar>
            <w:top w:w="0" w:type="dxa"/>
            <w:left w:w="0" w:type="dxa"/>
            <w:bottom w:w="0" w:type="dxa"/>
            <w:right w:w="0" w:type="dxa"/>
          </w:tblCellMar>
        </w:tblPrEx>
        <w:trPr>
          <w:trHeight w:val="680"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5CFC20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3.5.1</w:t>
            </w:r>
          </w:p>
        </w:tc>
        <w:tc>
          <w:tcPr>
            <w:tcW w:w="1638" w:type="dxa"/>
            <w:tcBorders>
              <w:top w:val="single" w:color="auto" w:sz="8" w:space="0"/>
              <w:left w:val="nil"/>
              <w:bottom w:val="single" w:color="auto" w:sz="8" w:space="0"/>
              <w:right w:val="single" w:color="auto" w:sz="8" w:space="0"/>
            </w:tcBorders>
            <w:vAlign w:val="center"/>
          </w:tcPr>
          <w:p w14:paraId="31001C6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资格审查方式</w:t>
            </w:r>
          </w:p>
        </w:tc>
        <w:tc>
          <w:tcPr>
            <w:tcW w:w="7196" w:type="dxa"/>
            <w:tcBorders>
              <w:top w:val="single" w:color="auto" w:sz="8" w:space="0"/>
              <w:left w:val="nil"/>
              <w:bottom w:val="single" w:color="auto" w:sz="8" w:space="0"/>
              <w:right w:val="single" w:color="auto" w:sz="8" w:space="0"/>
            </w:tcBorders>
            <w:vAlign w:val="center"/>
          </w:tcPr>
          <w:p w14:paraId="15A36023">
            <w:pPr>
              <w:spacing w:line="360" w:lineRule="auto"/>
              <w:jc w:val="left"/>
              <w:rPr>
                <w:rFonts w:ascii="宋体" w:hAnsi="宋体" w:cs="宋体"/>
                <w:color w:val="auto"/>
                <w:sz w:val="24"/>
                <w:highlight w:val="none"/>
              </w:rPr>
            </w:pPr>
            <w:r>
              <w:rPr>
                <w:rFonts w:hint="eastAsia" w:ascii="宋体" w:hAnsi="宋体" w:cs="宋体"/>
                <w:color w:val="auto"/>
                <w:sz w:val="24"/>
                <w:highlight w:val="none"/>
              </w:rPr>
              <w:t>本项目采用资格后审</w:t>
            </w:r>
          </w:p>
        </w:tc>
      </w:tr>
      <w:tr w14:paraId="35CCD8E0">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30C08C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3.6.1</w:t>
            </w:r>
          </w:p>
        </w:tc>
        <w:tc>
          <w:tcPr>
            <w:tcW w:w="1638" w:type="dxa"/>
            <w:tcBorders>
              <w:top w:val="single" w:color="auto" w:sz="8" w:space="0"/>
              <w:left w:val="nil"/>
              <w:bottom w:val="single" w:color="auto" w:sz="8" w:space="0"/>
              <w:right w:val="single" w:color="auto" w:sz="8" w:space="0"/>
            </w:tcBorders>
            <w:vAlign w:val="center"/>
          </w:tcPr>
          <w:p w14:paraId="1D8CDF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是否允许</w:t>
            </w:r>
            <w:r>
              <w:rPr>
                <w:rFonts w:hint="eastAsia" w:ascii="宋体" w:hAnsi="宋体" w:cs="宋体"/>
                <w:color w:val="auto"/>
                <w:sz w:val="24"/>
                <w:highlight w:val="none"/>
                <w:lang w:eastAsia="zh-CN"/>
              </w:rPr>
              <w:t>提交</w:t>
            </w:r>
            <w:r>
              <w:rPr>
                <w:rFonts w:hint="eastAsia" w:ascii="宋体" w:hAnsi="宋体" w:cs="宋体"/>
                <w:color w:val="auto"/>
                <w:sz w:val="24"/>
                <w:highlight w:val="none"/>
              </w:rPr>
              <w:t>备选投标方案</w:t>
            </w:r>
          </w:p>
        </w:tc>
        <w:tc>
          <w:tcPr>
            <w:tcW w:w="7196" w:type="dxa"/>
            <w:tcBorders>
              <w:top w:val="single" w:color="auto" w:sz="8" w:space="0"/>
              <w:left w:val="nil"/>
              <w:bottom w:val="single" w:color="auto" w:sz="8" w:space="0"/>
              <w:right w:val="single" w:color="auto" w:sz="8" w:space="0"/>
            </w:tcBorders>
            <w:vAlign w:val="center"/>
          </w:tcPr>
          <w:p w14:paraId="5A6BCAF3">
            <w:pPr>
              <w:spacing w:line="360" w:lineRule="auto"/>
              <w:jc w:val="left"/>
              <w:rPr>
                <w:rFonts w:ascii="宋体" w:hAnsi="宋体" w:cs="宋体"/>
                <w:color w:val="auto"/>
                <w:sz w:val="24"/>
                <w:highlight w:val="none"/>
              </w:rPr>
            </w:pPr>
            <w:r>
              <w:rPr>
                <w:rFonts w:hint="eastAsia" w:ascii="宋体" w:hAnsi="宋体" w:cs="宋体"/>
                <w:color w:val="auto"/>
                <w:sz w:val="24"/>
                <w:highlight w:val="none"/>
              </w:rPr>
              <w:t>☑不允许</w:t>
            </w:r>
          </w:p>
          <w:p w14:paraId="76218B12">
            <w:pPr>
              <w:spacing w:line="360" w:lineRule="auto"/>
              <w:jc w:val="left"/>
              <w:rPr>
                <w:rFonts w:ascii="宋体" w:hAnsi="宋体" w:cs="宋体"/>
                <w:color w:val="auto"/>
                <w:sz w:val="24"/>
                <w:highlight w:val="none"/>
              </w:rPr>
            </w:pPr>
            <w:r>
              <w:rPr>
                <w:rFonts w:hint="eastAsia" w:ascii="宋体" w:hAnsi="宋体" w:cs="宋体"/>
                <w:color w:val="auto"/>
                <w:sz w:val="24"/>
                <w:highlight w:val="none"/>
              </w:rPr>
              <w:t>□允许</w:t>
            </w:r>
          </w:p>
        </w:tc>
      </w:tr>
      <w:tr w14:paraId="7935794C">
        <w:tblPrEx>
          <w:tblCellMar>
            <w:top w:w="0" w:type="dxa"/>
            <w:left w:w="0" w:type="dxa"/>
            <w:bottom w:w="0" w:type="dxa"/>
            <w:right w:w="0" w:type="dxa"/>
          </w:tblCellMar>
        </w:tblPrEx>
        <w:trPr>
          <w:trHeight w:val="85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8D80D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3.7.4</w:t>
            </w:r>
          </w:p>
        </w:tc>
        <w:tc>
          <w:tcPr>
            <w:tcW w:w="1638" w:type="dxa"/>
            <w:tcBorders>
              <w:top w:val="single" w:color="auto" w:sz="8" w:space="0"/>
              <w:left w:val="nil"/>
              <w:bottom w:val="single" w:color="auto" w:sz="8" w:space="0"/>
              <w:right w:val="single" w:color="auto" w:sz="8" w:space="0"/>
            </w:tcBorders>
            <w:vAlign w:val="center"/>
          </w:tcPr>
          <w:p w14:paraId="5DE00E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p w14:paraId="6105D1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编制</w:t>
            </w:r>
          </w:p>
        </w:tc>
        <w:tc>
          <w:tcPr>
            <w:tcW w:w="7196" w:type="dxa"/>
            <w:tcBorders>
              <w:top w:val="single" w:color="auto" w:sz="8" w:space="0"/>
              <w:left w:val="nil"/>
              <w:bottom w:val="single" w:color="auto" w:sz="8" w:space="0"/>
              <w:right w:val="single" w:color="auto" w:sz="8" w:space="0"/>
            </w:tcBorders>
            <w:vAlign w:val="center"/>
          </w:tcPr>
          <w:p w14:paraId="3CCE1548">
            <w:pPr>
              <w:spacing w:line="360" w:lineRule="auto"/>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ascii="宋体" w:hAnsi="宋体" w:cs="宋体"/>
                <w:color w:val="auto"/>
                <w:sz w:val="24"/>
                <w:highlight w:val="none"/>
              </w:rPr>
              <w:t>应安装“政采云投标客户端”，须按照</w:t>
            </w:r>
            <w:r>
              <w:rPr>
                <w:rFonts w:hint="eastAsia" w:ascii="宋体" w:hAnsi="宋体" w:cs="宋体"/>
                <w:color w:val="auto"/>
                <w:sz w:val="24"/>
                <w:highlight w:val="none"/>
                <w:lang w:eastAsia="zh-CN"/>
              </w:rPr>
              <w:t>招标文件</w:t>
            </w:r>
            <w:r>
              <w:rPr>
                <w:rFonts w:ascii="宋体" w:hAnsi="宋体" w:cs="宋体"/>
                <w:color w:val="auto"/>
                <w:sz w:val="24"/>
                <w:highlight w:val="none"/>
              </w:rPr>
              <w:t>和政采云平台的要求编制投标文件。</w:t>
            </w:r>
          </w:p>
        </w:tc>
      </w:tr>
      <w:tr w14:paraId="5F225445">
        <w:tblPrEx>
          <w:tblCellMar>
            <w:top w:w="0" w:type="dxa"/>
            <w:left w:w="0" w:type="dxa"/>
            <w:bottom w:w="0" w:type="dxa"/>
            <w:right w:w="0" w:type="dxa"/>
          </w:tblCellMar>
        </w:tblPrEx>
        <w:trPr>
          <w:trHeight w:val="170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7CFAA9A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4.1.1</w:t>
            </w:r>
          </w:p>
        </w:tc>
        <w:tc>
          <w:tcPr>
            <w:tcW w:w="1638" w:type="dxa"/>
            <w:tcBorders>
              <w:top w:val="single" w:color="auto" w:sz="8" w:space="0"/>
              <w:left w:val="nil"/>
              <w:bottom w:val="single" w:color="auto" w:sz="8" w:space="0"/>
              <w:right w:val="single" w:color="auto" w:sz="8" w:space="0"/>
            </w:tcBorders>
            <w:vAlign w:val="center"/>
          </w:tcPr>
          <w:p w14:paraId="4A750D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投标文件的加密</w:t>
            </w:r>
          </w:p>
        </w:tc>
        <w:tc>
          <w:tcPr>
            <w:tcW w:w="7196" w:type="dxa"/>
            <w:tcBorders>
              <w:top w:val="single" w:color="auto" w:sz="8" w:space="0"/>
              <w:left w:val="nil"/>
              <w:bottom w:val="single" w:color="auto" w:sz="8" w:space="0"/>
              <w:right w:val="single" w:color="auto" w:sz="8" w:space="0"/>
            </w:tcBorders>
            <w:vAlign w:val="center"/>
          </w:tcPr>
          <w:p w14:paraId="3BEEE927">
            <w:pPr>
              <w:spacing w:line="360" w:lineRule="auto"/>
              <w:jc w:val="left"/>
              <w:rPr>
                <w:rFonts w:ascii="宋体" w:hAnsi="宋体" w:cs="宋体"/>
                <w:color w:val="auto"/>
                <w:sz w:val="24"/>
                <w:highlight w:val="none"/>
              </w:rPr>
            </w:pPr>
            <w:r>
              <w:rPr>
                <w:rFonts w:hint="eastAsia" w:ascii="宋体" w:hAnsi="宋体" w:cs="宋体"/>
                <w:color w:val="auto"/>
                <w:sz w:val="24"/>
                <w:highlight w:val="none"/>
              </w:rPr>
              <w:t>（1）投标人进行电子交易应安装</w:t>
            </w:r>
            <w:r>
              <w:rPr>
                <w:rFonts w:ascii="宋体" w:hAnsi="宋体" w:cs="宋体"/>
                <w:color w:val="auto"/>
                <w:sz w:val="24"/>
                <w:highlight w:val="none"/>
              </w:rPr>
              <w:t>“政采云投标客户端”</w:t>
            </w:r>
            <w:r>
              <w:rPr>
                <w:rFonts w:hint="eastAsia" w:ascii="宋体" w:hAnsi="宋体" w:cs="宋体"/>
                <w:color w:val="auto"/>
                <w:sz w:val="24"/>
                <w:highlight w:val="none"/>
              </w:rPr>
              <w:t>，并按照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和政采云平台的要求编制并加密投标文件。投标人未按规定加密的投标文件，电子交易平台将拒收并提示。</w:t>
            </w:r>
          </w:p>
          <w:p w14:paraId="44353A00">
            <w:pPr>
              <w:spacing w:line="360" w:lineRule="auto"/>
              <w:jc w:val="left"/>
              <w:rPr>
                <w:rFonts w:ascii="宋体" w:hAnsi="宋体" w:cs="宋体"/>
                <w:color w:val="auto"/>
                <w:sz w:val="24"/>
                <w:highlight w:val="none"/>
              </w:rPr>
            </w:pPr>
            <w:r>
              <w:rPr>
                <w:rFonts w:hint="eastAsia" w:ascii="宋体" w:hAnsi="宋体" w:cs="宋体"/>
                <w:color w:val="auto"/>
                <w:sz w:val="24"/>
                <w:highlight w:val="none"/>
              </w:rPr>
              <w:t>（2）使用</w:t>
            </w:r>
            <w:r>
              <w:rPr>
                <w:rFonts w:ascii="宋体" w:hAnsi="宋体" w:cs="宋体"/>
                <w:color w:val="auto"/>
                <w:sz w:val="24"/>
                <w:highlight w:val="none"/>
              </w:rPr>
              <w:t>“政采云投标客户端”</w:t>
            </w:r>
            <w:r>
              <w:rPr>
                <w:rFonts w:hint="eastAsia" w:ascii="宋体" w:hAnsi="宋体" w:cs="宋体"/>
                <w:color w:val="auto"/>
                <w:sz w:val="24"/>
                <w:highlight w:val="none"/>
              </w:rPr>
              <w:t>需要提前申领CA数字证书。</w:t>
            </w:r>
          </w:p>
          <w:p w14:paraId="426149EF">
            <w:pPr>
              <w:spacing w:line="360" w:lineRule="auto"/>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（3）为确保网上操作合法、有效和安全，投标人应当在投标文件提交截止时间前完成在“政府采购云平台”的身份认证，确保在电子交易过程中能够对相关数据电文进行加密和使用电子签名。</w:t>
            </w:r>
          </w:p>
        </w:tc>
      </w:tr>
      <w:tr w14:paraId="2ADA0D9A">
        <w:tblPrEx>
          <w:tblCellMar>
            <w:top w:w="0" w:type="dxa"/>
            <w:left w:w="0" w:type="dxa"/>
            <w:bottom w:w="0" w:type="dxa"/>
            <w:right w:w="0" w:type="dxa"/>
          </w:tblCellMar>
        </w:tblPrEx>
        <w:trPr>
          <w:trHeight w:val="56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546986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4.2.1</w:t>
            </w:r>
          </w:p>
        </w:tc>
        <w:tc>
          <w:tcPr>
            <w:tcW w:w="1638" w:type="dxa"/>
            <w:tcBorders>
              <w:top w:val="single" w:color="auto" w:sz="8" w:space="0"/>
              <w:left w:val="nil"/>
              <w:bottom w:val="single" w:color="auto" w:sz="8" w:space="0"/>
              <w:right w:val="single" w:color="auto" w:sz="8" w:space="0"/>
            </w:tcBorders>
            <w:vAlign w:val="center"/>
          </w:tcPr>
          <w:p w14:paraId="480F7B82">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开启解密</w:t>
            </w:r>
            <w:r>
              <w:rPr>
                <w:rFonts w:hint="eastAsia" w:ascii="宋体" w:hAnsi="宋体" w:cs="宋体"/>
                <w:b/>
                <w:bCs/>
                <w:color w:val="auto"/>
                <w:sz w:val="24"/>
                <w:highlight w:val="none"/>
              </w:rPr>
              <w:t>时间</w:t>
            </w:r>
          </w:p>
        </w:tc>
        <w:tc>
          <w:tcPr>
            <w:tcW w:w="7196" w:type="dxa"/>
            <w:tcBorders>
              <w:top w:val="single" w:color="auto" w:sz="8" w:space="0"/>
              <w:left w:val="nil"/>
              <w:bottom w:val="single" w:color="auto" w:sz="8" w:space="0"/>
              <w:right w:val="single" w:color="auto" w:sz="8" w:space="0"/>
            </w:tcBorders>
            <w:vAlign w:val="center"/>
          </w:tcPr>
          <w:p w14:paraId="20888F8C">
            <w:pPr>
              <w:spacing w:line="360" w:lineRule="auto"/>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2026年5月19日09时00分</w:t>
            </w:r>
          </w:p>
        </w:tc>
      </w:tr>
      <w:tr w14:paraId="72BC76C7">
        <w:tblPrEx>
          <w:tblCellMar>
            <w:top w:w="0" w:type="dxa"/>
            <w:left w:w="0" w:type="dxa"/>
            <w:bottom w:w="0" w:type="dxa"/>
            <w:right w:w="0" w:type="dxa"/>
          </w:tblCellMar>
        </w:tblPrEx>
        <w:trPr>
          <w:trHeight w:val="124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A88E26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4.2.2</w:t>
            </w:r>
          </w:p>
        </w:tc>
        <w:tc>
          <w:tcPr>
            <w:tcW w:w="1638" w:type="dxa"/>
            <w:tcBorders>
              <w:top w:val="single" w:color="auto" w:sz="8" w:space="0"/>
              <w:left w:val="nil"/>
              <w:bottom w:val="single" w:color="auto" w:sz="8" w:space="0"/>
              <w:right w:val="single" w:color="auto" w:sz="8" w:space="0"/>
            </w:tcBorders>
            <w:vAlign w:val="center"/>
          </w:tcPr>
          <w:p w14:paraId="7EB3EA1C">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投标文件</w:t>
            </w:r>
            <w:r>
              <w:rPr>
                <w:rFonts w:hint="eastAsia" w:ascii="宋体" w:hAnsi="宋体" w:cs="宋体"/>
                <w:color w:val="auto"/>
                <w:sz w:val="24"/>
                <w:highlight w:val="none"/>
                <w:lang w:eastAsia="zh-CN"/>
              </w:rPr>
              <w:t>提交</w:t>
            </w:r>
          </w:p>
        </w:tc>
        <w:tc>
          <w:tcPr>
            <w:tcW w:w="7196" w:type="dxa"/>
            <w:tcBorders>
              <w:top w:val="single" w:color="auto" w:sz="8" w:space="0"/>
              <w:left w:val="nil"/>
              <w:bottom w:val="single" w:color="auto" w:sz="8" w:space="0"/>
              <w:right w:val="single" w:color="auto" w:sz="8" w:space="0"/>
            </w:tcBorders>
            <w:vAlign w:val="center"/>
          </w:tcPr>
          <w:p w14:paraId="37793EFE">
            <w:pPr>
              <w:wordWrap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（1）投标文件</w:t>
            </w:r>
            <w:r>
              <w:rPr>
                <w:rFonts w:hint="eastAsia" w:ascii="宋体" w:hAnsi="宋体" w:cs="宋体"/>
                <w:b/>
                <w:bCs/>
                <w:color w:val="auto"/>
                <w:sz w:val="24"/>
                <w:highlight w:val="none"/>
                <w:lang w:eastAsia="zh-CN"/>
              </w:rPr>
              <w:t>提交</w:t>
            </w:r>
            <w:r>
              <w:rPr>
                <w:rFonts w:hint="eastAsia" w:ascii="宋体" w:hAnsi="宋体" w:cs="宋体"/>
                <w:b/>
                <w:bCs/>
                <w:color w:val="auto"/>
                <w:sz w:val="24"/>
                <w:highlight w:val="none"/>
              </w:rPr>
              <w:t>截止时间：</w:t>
            </w:r>
            <w:r>
              <w:rPr>
                <w:rFonts w:hint="eastAsia" w:ascii="宋体" w:hAnsi="宋体" w:cs="宋体"/>
                <w:color w:val="auto"/>
                <w:sz w:val="24"/>
                <w:highlight w:val="none"/>
              </w:rPr>
              <w:t>同</w:t>
            </w:r>
            <w:r>
              <w:rPr>
                <w:rFonts w:hint="eastAsia" w:ascii="宋体" w:hAnsi="宋体" w:cs="宋体"/>
                <w:b w:val="0"/>
                <w:bCs w:val="0"/>
                <w:color w:val="auto"/>
                <w:sz w:val="24"/>
                <w:highlight w:val="none"/>
                <w:lang w:val="en-US" w:eastAsia="zh-CN"/>
              </w:rPr>
              <w:t>开启解密</w:t>
            </w:r>
            <w:r>
              <w:rPr>
                <w:rFonts w:hint="eastAsia" w:ascii="宋体" w:hAnsi="宋体" w:cs="宋体"/>
                <w:b w:val="0"/>
                <w:bCs w:val="0"/>
                <w:color w:val="auto"/>
                <w:sz w:val="24"/>
                <w:highlight w:val="none"/>
              </w:rPr>
              <w:t>时间</w:t>
            </w:r>
            <w:r>
              <w:rPr>
                <w:rFonts w:hint="eastAsia" w:ascii="宋体" w:hAnsi="宋体" w:cs="宋体"/>
                <w:color w:val="auto"/>
                <w:sz w:val="24"/>
                <w:highlight w:val="none"/>
              </w:rPr>
              <w:t>；</w:t>
            </w:r>
          </w:p>
          <w:p w14:paraId="20581DC1">
            <w:pPr>
              <w:wordWrap w:val="0"/>
              <w:spacing w:line="360" w:lineRule="auto"/>
              <w:jc w:val="left"/>
              <w:rPr>
                <w:rFonts w:ascii="宋体" w:hAnsi="宋体" w:cs="宋体"/>
                <w:color w:val="auto"/>
                <w:sz w:val="24"/>
                <w:highlight w:val="none"/>
              </w:rPr>
            </w:pPr>
            <w:r>
              <w:rPr>
                <w:rFonts w:hint="eastAsia" w:ascii="宋体" w:hAnsi="宋体" w:cs="宋体"/>
                <w:b/>
                <w:bCs/>
                <w:color w:val="auto"/>
                <w:sz w:val="24"/>
                <w:highlight w:val="none"/>
              </w:rPr>
              <w:t>（2）投标文件</w:t>
            </w:r>
            <w:r>
              <w:rPr>
                <w:rFonts w:hint="eastAsia" w:ascii="宋体" w:hAnsi="宋体" w:cs="宋体"/>
                <w:b/>
                <w:bCs/>
                <w:color w:val="auto"/>
                <w:sz w:val="24"/>
                <w:highlight w:val="none"/>
                <w:lang w:eastAsia="zh-CN"/>
              </w:rPr>
              <w:t>提交</w:t>
            </w:r>
            <w:r>
              <w:rPr>
                <w:rFonts w:hint="eastAsia" w:ascii="宋体" w:hAnsi="宋体" w:cs="宋体"/>
                <w:b/>
                <w:bCs/>
                <w:color w:val="auto"/>
                <w:sz w:val="24"/>
                <w:highlight w:val="none"/>
              </w:rPr>
              <w:t>方式：</w:t>
            </w:r>
            <w:r>
              <w:rPr>
                <w:rFonts w:hint="eastAsia" w:ascii="宋体" w:hAnsi="宋体" w:cs="宋体"/>
                <w:color w:val="auto"/>
                <w:sz w:val="24"/>
                <w:highlight w:val="none"/>
              </w:rPr>
              <w:t>上传至“政府采购云平台（https://www.zcygov.cn/）”</w:t>
            </w:r>
          </w:p>
        </w:tc>
      </w:tr>
      <w:tr w14:paraId="189EF0B8">
        <w:tblPrEx>
          <w:tblCellMar>
            <w:top w:w="0" w:type="dxa"/>
            <w:left w:w="0" w:type="dxa"/>
            <w:bottom w:w="0" w:type="dxa"/>
            <w:right w:w="0" w:type="dxa"/>
          </w:tblCellMar>
        </w:tblPrEx>
        <w:trPr>
          <w:trHeight w:val="90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FD94A6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4.2.3</w:t>
            </w:r>
          </w:p>
        </w:tc>
        <w:tc>
          <w:tcPr>
            <w:tcW w:w="1638" w:type="dxa"/>
            <w:tcBorders>
              <w:top w:val="single" w:color="auto" w:sz="8" w:space="0"/>
              <w:left w:val="nil"/>
              <w:bottom w:val="single" w:color="auto" w:sz="8" w:space="0"/>
              <w:right w:val="single" w:color="auto" w:sz="8" w:space="0"/>
            </w:tcBorders>
            <w:vAlign w:val="center"/>
          </w:tcPr>
          <w:p w14:paraId="151CFA5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投标文件是否</w:t>
            </w:r>
          </w:p>
          <w:p w14:paraId="6F8C981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w:t>
            </w:r>
          </w:p>
        </w:tc>
        <w:tc>
          <w:tcPr>
            <w:tcW w:w="7196" w:type="dxa"/>
            <w:tcBorders>
              <w:top w:val="single" w:color="auto" w:sz="8" w:space="0"/>
              <w:left w:val="nil"/>
              <w:bottom w:val="single" w:color="auto" w:sz="8" w:space="0"/>
              <w:right w:val="single" w:color="auto" w:sz="8" w:space="0"/>
            </w:tcBorders>
            <w:vAlign w:val="center"/>
          </w:tcPr>
          <w:p w14:paraId="2827E096">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投标文件退还：☑否</w:t>
            </w:r>
          </w:p>
          <w:p w14:paraId="4E283478">
            <w:pPr>
              <w:spacing w:line="360" w:lineRule="auto"/>
              <w:ind w:firstLine="1680" w:firstLineChars="700"/>
              <w:jc w:val="left"/>
              <w:rPr>
                <w:rFonts w:ascii="宋体" w:hAnsi="宋体" w:cs="宋体"/>
                <w:color w:val="auto"/>
                <w:sz w:val="24"/>
                <w:highlight w:val="none"/>
              </w:rPr>
            </w:pPr>
            <w:r>
              <w:rPr>
                <w:rFonts w:hint="eastAsia" w:ascii="宋体" w:hAnsi="宋体" w:cs="宋体"/>
                <w:color w:val="auto"/>
                <w:sz w:val="24"/>
                <w:highlight w:val="none"/>
              </w:rPr>
              <w:t>□是</w:t>
            </w:r>
          </w:p>
          <w:p w14:paraId="180EA20E">
            <w:pPr>
              <w:spacing w:line="360" w:lineRule="auto"/>
              <w:jc w:val="left"/>
              <w:rPr>
                <w:rFonts w:ascii="宋体" w:hAnsi="宋体" w:cs="宋体"/>
                <w:color w:val="auto"/>
                <w:sz w:val="24"/>
                <w:highlight w:val="none"/>
              </w:rPr>
            </w:pPr>
            <w:r>
              <w:rPr>
                <w:rFonts w:hint="eastAsia" w:ascii="宋体" w:hAnsi="宋体" w:cs="宋体"/>
                <w:color w:val="auto"/>
                <w:sz w:val="24"/>
                <w:highlight w:val="none"/>
              </w:rPr>
              <w:t>退还时间：/</w:t>
            </w:r>
          </w:p>
        </w:tc>
      </w:tr>
      <w:tr w14:paraId="18F9B4F5">
        <w:tblPrEx>
          <w:tblCellMar>
            <w:top w:w="0" w:type="dxa"/>
            <w:left w:w="0" w:type="dxa"/>
            <w:bottom w:w="0" w:type="dxa"/>
            <w:right w:w="0" w:type="dxa"/>
          </w:tblCellMar>
        </w:tblPrEx>
        <w:trPr>
          <w:trHeight w:val="1576"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836D7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1638" w:type="dxa"/>
            <w:tcBorders>
              <w:top w:val="single" w:color="auto" w:sz="8" w:space="0"/>
              <w:left w:val="nil"/>
              <w:bottom w:val="single" w:color="auto" w:sz="8" w:space="0"/>
              <w:right w:val="single" w:color="auto" w:sz="8" w:space="0"/>
            </w:tcBorders>
            <w:vAlign w:val="center"/>
          </w:tcPr>
          <w:p w14:paraId="6EFDDB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开标时间</w:t>
            </w:r>
          </w:p>
          <w:p w14:paraId="24CD132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和地点</w:t>
            </w:r>
          </w:p>
        </w:tc>
        <w:tc>
          <w:tcPr>
            <w:tcW w:w="7196" w:type="dxa"/>
            <w:tcBorders>
              <w:top w:val="single" w:color="auto" w:sz="8" w:space="0"/>
              <w:left w:val="nil"/>
              <w:bottom w:val="single" w:color="auto" w:sz="8" w:space="0"/>
              <w:right w:val="single" w:color="auto" w:sz="8" w:space="0"/>
            </w:tcBorders>
            <w:vAlign w:val="center"/>
          </w:tcPr>
          <w:p w14:paraId="643C7A2D">
            <w:pPr>
              <w:spacing w:line="360" w:lineRule="auto"/>
              <w:jc w:val="left"/>
              <w:rPr>
                <w:rFonts w:ascii="宋体" w:hAnsi="宋体" w:cs="宋体"/>
                <w:color w:val="auto"/>
                <w:sz w:val="24"/>
                <w:highlight w:val="none"/>
              </w:rPr>
            </w:pPr>
            <w:r>
              <w:rPr>
                <w:rFonts w:hint="eastAsia" w:ascii="宋体" w:hAnsi="宋体" w:cs="宋体"/>
                <w:color w:val="auto"/>
                <w:sz w:val="24"/>
                <w:highlight w:val="none"/>
              </w:rPr>
              <w:t>（1）开标时间：同</w:t>
            </w:r>
            <w:r>
              <w:rPr>
                <w:rFonts w:hint="eastAsia" w:ascii="宋体" w:hAnsi="宋体" w:cs="宋体"/>
                <w:b w:val="0"/>
                <w:bCs w:val="0"/>
                <w:color w:val="auto"/>
                <w:sz w:val="24"/>
                <w:highlight w:val="none"/>
                <w:lang w:val="en-US" w:eastAsia="zh-CN"/>
              </w:rPr>
              <w:t>开启解密</w:t>
            </w:r>
            <w:r>
              <w:rPr>
                <w:rFonts w:hint="eastAsia" w:ascii="宋体" w:hAnsi="宋体" w:cs="宋体"/>
                <w:b w:val="0"/>
                <w:bCs w:val="0"/>
                <w:color w:val="auto"/>
                <w:sz w:val="24"/>
                <w:highlight w:val="none"/>
              </w:rPr>
              <w:t>时间</w:t>
            </w:r>
          </w:p>
          <w:p w14:paraId="55738725">
            <w:pPr>
              <w:spacing w:line="360" w:lineRule="auto"/>
              <w:jc w:val="left"/>
              <w:rPr>
                <w:rFonts w:ascii="宋体" w:hAnsi="宋体" w:cs="宋体"/>
                <w:color w:val="auto"/>
                <w:sz w:val="24"/>
                <w:highlight w:val="none"/>
              </w:rPr>
            </w:pPr>
            <w:r>
              <w:rPr>
                <w:rFonts w:hint="eastAsia" w:ascii="宋体" w:hAnsi="宋体" w:cs="宋体"/>
                <w:color w:val="auto"/>
                <w:sz w:val="24"/>
                <w:highlight w:val="none"/>
              </w:rPr>
              <w:t>（2）开标地点：政府采购云平台（https://www.zcygov.cn/）</w:t>
            </w:r>
          </w:p>
          <w:p w14:paraId="53991A5B">
            <w:pPr>
              <w:spacing w:line="360" w:lineRule="auto"/>
              <w:jc w:val="left"/>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须在政采云平台进行远程解密电子版</w:t>
            </w:r>
            <w:r>
              <w:rPr>
                <w:rFonts w:hint="eastAsia" w:ascii="宋体" w:hAnsi="宋体" w:cs="宋体"/>
                <w:b/>
                <w:bCs/>
                <w:color w:val="auto"/>
                <w:sz w:val="24"/>
                <w:highlight w:val="none"/>
                <w:lang w:eastAsia="zh-CN"/>
              </w:rPr>
              <w:t>投标文件。</w:t>
            </w:r>
          </w:p>
        </w:tc>
      </w:tr>
      <w:tr w14:paraId="0AEF23F2">
        <w:tblPrEx>
          <w:tblCellMar>
            <w:top w:w="0" w:type="dxa"/>
            <w:left w:w="0" w:type="dxa"/>
            <w:bottom w:w="0" w:type="dxa"/>
            <w:right w:w="0" w:type="dxa"/>
          </w:tblCellMar>
        </w:tblPrEx>
        <w:trPr>
          <w:trHeight w:val="458"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CD08C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1638" w:type="dxa"/>
            <w:tcBorders>
              <w:top w:val="single" w:color="auto" w:sz="8" w:space="0"/>
              <w:left w:val="nil"/>
              <w:bottom w:val="single" w:color="auto" w:sz="8" w:space="0"/>
              <w:right w:val="single" w:color="auto" w:sz="8" w:space="0"/>
            </w:tcBorders>
            <w:vAlign w:val="center"/>
          </w:tcPr>
          <w:p w14:paraId="655929D8">
            <w:pPr>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文件解密</w:t>
            </w:r>
            <w:r>
              <w:rPr>
                <w:rFonts w:hint="eastAsia" w:ascii="宋体" w:hAnsi="宋体" w:cs="宋体"/>
                <w:color w:val="auto"/>
                <w:sz w:val="24"/>
                <w:highlight w:val="none"/>
                <w:lang w:val="en-US" w:eastAsia="zh-CN"/>
              </w:rPr>
              <w:t>与开启</w:t>
            </w:r>
          </w:p>
        </w:tc>
        <w:tc>
          <w:tcPr>
            <w:tcW w:w="7196" w:type="dxa"/>
            <w:tcBorders>
              <w:top w:val="single" w:color="auto" w:sz="8" w:space="0"/>
              <w:left w:val="nil"/>
              <w:bottom w:val="single" w:color="auto" w:sz="8" w:space="0"/>
              <w:right w:val="single" w:color="auto" w:sz="8" w:space="0"/>
            </w:tcBorders>
            <w:vAlign w:val="center"/>
          </w:tcPr>
          <w:p w14:paraId="14980C07">
            <w:pPr>
              <w:spacing w:line="360" w:lineRule="auto"/>
              <w:jc w:val="left"/>
              <w:rPr>
                <w:rFonts w:ascii="宋体" w:hAnsi="宋体" w:cs="宋体"/>
                <w:color w:val="auto"/>
                <w:sz w:val="24"/>
                <w:highlight w:val="none"/>
              </w:rPr>
            </w:pPr>
            <w:r>
              <w:rPr>
                <w:rFonts w:hint="eastAsia" w:ascii="宋体" w:hAnsi="宋体" w:cs="宋体"/>
                <w:color w:val="auto"/>
                <w:sz w:val="24"/>
                <w:highlight w:val="none"/>
              </w:rPr>
              <w:t>（1）采购代理机构依托电子交易平台发起开始解密指令，</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须使用加密时所用的CA锁按平台提示和</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的规定登录到“政采云”平台电子开标大厅签到，并在发起解密指令之时起</w:t>
            </w:r>
            <w:r>
              <w:rPr>
                <w:rFonts w:hint="eastAsia" w:ascii="宋体" w:hAnsi="宋体" w:cs="宋体"/>
                <w:b/>
                <w:bCs/>
                <w:color w:val="auto"/>
                <w:sz w:val="24"/>
                <w:highlight w:val="none"/>
              </w:rPr>
              <w:t>30分钟</w:t>
            </w:r>
            <w:r>
              <w:rPr>
                <w:rFonts w:hint="eastAsia" w:ascii="宋体" w:hAnsi="宋体" w:cs="宋体"/>
                <w:color w:val="auto"/>
                <w:sz w:val="24"/>
                <w:highlight w:val="none"/>
              </w:rPr>
              <w:t>内完成对电子</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文件在线解密。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因投标人原因造成投标文件未解密的，视为撤销其投标文件。</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）解密完成后系统自动导入有效的电子</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开启</w:t>
            </w:r>
            <w:r>
              <w:rPr>
                <w:rFonts w:hint="eastAsia" w:ascii="宋体" w:hAnsi="宋体" w:cs="宋体"/>
                <w:color w:val="auto"/>
                <w:sz w:val="24"/>
                <w:highlight w:val="none"/>
              </w:rPr>
              <w:t>并记录在案。</w:t>
            </w:r>
          </w:p>
        </w:tc>
      </w:tr>
      <w:tr w14:paraId="171F1DCD">
        <w:tblPrEx>
          <w:tblCellMar>
            <w:top w:w="0" w:type="dxa"/>
            <w:left w:w="0" w:type="dxa"/>
            <w:bottom w:w="0" w:type="dxa"/>
            <w:right w:w="0" w:type="dxa"/>
          </w:tblCellMar>
        </w:tblPrEx>
        <w:trPr>
          <w:trHeight w:val="51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54277D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6.1.1</w:t>
            </w:r>
          </w:p>
        </w:tc>
        <w:tc>
          <w:tcPr>
            <w:tcW w:w="1638" w:type="dxa"/>
            <w:tcBorders>
              <w:top w:val="single" w:color="auto" w:sz="8" w:space="0"/>
              <w:left w:val="nil"/>
              <w:bottom w:val="single" w:color="auto" w:sz="8" w:space="0"/>
              <w:right w:val="single" w:color="auto" w:sz="8" w:space="0"/>
            </w:tcBorders>
            <w:vAlign w:val="center"/>
          </w:tcPr>
          <w:p w14:paraId="073F22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7196" w:type="dxa"/>
            <w:tcBorders>
              <w:top w:val="single" w:color="auto" w:sz="8" w:space="0"/>
              <w:left w:val="nil"/>
              <w:bottom w:val="single" w:color="auto" w:sz="8" w:space="0"/>
              <w:right w:val="single" w:color="auto" w:sz="8" w:space="0"/>
            </w:tcBorders>
            <w:vAlign w:val="center"/>
          </w:tcPr>
          <w:p w14:paraId="144D1AC1">
            <w:pPr>
              <w:spacing w:line="360" w:lineRule="auto"/>
              <w:jc w:val="left"/>
              <w:rPr>
                <w:rFonts w:ascii="宋体" w:hAnsi="宋体" w:cs="宋体"/>
                <w:color w:val="auto"/>
                <w:sz w:val="24"/>
                <w:highlight w:val="none"/>
              </w:rPr>
            </w:pPr>
            <w:r>
              <w:rPr>
                <w:rFonts w:hint="eastAsia" w:ascii="宋体" w:hAnsi="宋体" w:cs="宋体"/>
                <w:color w:val="auto"/>
                <w:sz w:val="24"/>
                <w:highlight w:val="none"/>
              </w:rPr>
              <w:t>评标委员会人数：5人。</w:t>
            </w:r>
          </w:p>
          <w:p w14:paraId="6FC958D7">
            <w:pPr>
              <w:spacing w:line="360" w:lineRule="auto"/>
              <w:jc w:val="left"/>
              <w:rPr>
                <w:rFonts w:ascii="宋体" w:hAnsi="宋体" w:cs="宋体"/>
                <w:color w:val="auto"/>
                <w:sz w:val="24"/>
                <w:highlight w:val="none"/>
              </w:rPr>
            </w:pPr>
            <w:r>
              <w:rPr>
                <w:rFonts w:hint="eastAsia" w:ascii="宋体" w:hAnsi="宋体" w:cs="宋体"/>
                <w:color w:val="auto"/>
                <w:sz w:val="24"/>
                <w:highlight w:val="none"/>
              </w:rPr>
              <w:t>评标专家确定方式：在《云南省政府采购评审专家库》中随机抽取4人，采购人代表1人。</w:t>
            </w:r>
          </w:p>
          <w:p w14:paraId="13B56C48">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注：特殊情况经审批后确定。</w:t>
            </w:r>
          </w:p>
        </w:tc>
      </w:tr>
      <w:tr w14:paraId="11DBFBA0">
        <w:tblPrEx>
          <w:tblCellMar>
            <w:top w:w="0" w:type="dxa"/>
            <w:left w:w="0" w:type="dxa"/>
            <w:bottom w:w="0" w:type="dxa"/>
            <w:right w:w="0" w:type="dxa"/>
          </w:tblCellMar>
        </w:tblPrEx>
        <w:trPr>
          <w:trHeight w:val="124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5B7A7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6.3.2</w:t>
            </w:r>
          </w:p>
        </w:tc>
        <w:tc>
          <w:tcPr>
            <w:tcW w:w="1638" w:type="dxa"/>
            <w:tcBorders>
              <w:top w:val="single" w:color="auto" w:sz="8" w:space="0"/>
              <w:left w:val="nil"/>
              <w:bottom w:val="single" w:color="auto" w:sz="8" w:space="0"/>
              <w:right w:val="single" w:color="auto" w:sz="8" w:space="0"/>
            </w:tcBorders>
            <w:vAlign w:val="center"/>
          </w:tcPr>
          <w:p w14:paraId="2D106D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评标委员会推荐中标候选人的人数</w:t>
            </w:r>
          </w:p>
        </w:tc>
        <w:tc>
          <w:tcPr>
            <w:tcW w:w="7196" w:type="dxa"/>
            <w:tcBorders>
              <w:top w:val="single" w:color="auto" w:sz="8" w:space="0"/>
              <w:left w:val="nil"/>
              <w:bottom w:val="single" w:color="auto" w:sz="8" w:space="0"/>
              <w:right w:val="single" w:color="auto" w:sz="8" w:space="0"/>
            </w:tcBorders>
            <w:vAlign w:val="center"/>
          </w:tcPr>
          <w:p w14:paraId="51B9CB97">
            <w:pPr>
              <w:spacing w:line="360" w:lineRule="auto"/>
              <w:jc w:val="left"/>
              <w:rPr>
                <w:rFonts w:ascii="宋体" w:hAnsi="宋体" w:cs="宋体"/>
                <w:color w:val="auto"/>
                <w:sz w:val="24"/>
                <w:highlight w:val="none"/>
              </w:rPr>
            </w:pPr>
            <w:r>
              <w:rPr>
                <w:rFonts w:hint="eastAsia" w:ascii="宋体" w:hAnsi="宋体" w:cs="宋体"/>
                <w:color w:val="auto"/>
                <w:sz w:val="24"/>
                <w:highlight w:val="none"/>
              </w:rPr>
              <w:t>评标委员会推荐的中标</w:t>
            </w:r>
            <w:r>
              <w:rPr>
                <w:rFonts w:hint="eastAsia" w:ascii="宋体" w:hAnsi="宋体" w:cs="宋体"/>
                <w:color w:val="auto"/>
                <w:sz w:val="24"/>
                <w:highlight w:val="none"/>
                <w:lang w:eastAsia="zh-CN"/>
              </w:rPr>
              <w:t>候选人</w:t>
            </w:r>
            <w:r>
              <w:rPr>
                <w:rFonts w:hint="eastAsia" w:ascii="宋体" w:hAnsi="宋体" w:cs="宋体"/>
                <w:color w:val="auto"/>
                <w:sz w:val="24"/>
                <w:highlight w:val="none"/>
              </w:rPr>
              <w:t>人数：3名。</w:t>
            </w:r>
          </w:p>
        </w:tc>
      </w:tr>
      <w:tr w14:paraId="74A19BB7">
        <w:tblPrEx>
          <w:tblCellMar>
            <w:top w:w="0" w:type="dxa"/>
            <w:left w:w="0" w:type="dxa"/>
            <w:bottom w:w="0" w:type="dxa"/>
            <w:right w:w="0" w:type="dxa"/>
          </w:tblCellMar>
        </w:tblPrEx>
        <w:trPr>
          <w:trHeight w:val="175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6364C2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7.1</w:t>
            </w:r>
          </w:p>
        </w:tc>
        <w:tc>
          <w:tcPr>
            <w:tcW w:w="1638" w:type="dxa"/>
            <w:tcBorders>
              <w:top w:val="single" w:color="auto" w:sz="8" w:space="0"/>
              <w:left w:val="nil"/>
              <w:bottom w:val="single" w:color="auto" w:sz="8" w:space="0"/>
              <w:right w:val="single" w:color="auto" w:sz="8" w:space="0"/>
            </w:tcBorders>
            <w:vAlign w:val="center"/>
          </w:tcPr>
          <w:p w14:paraId="6971F6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96" w:type="dxa"/>
            <w:tcBorders>
              <w:top w:val="single" w:color="auto" w:sz="8" w:space="0"/>
              <w:left w:val="nil"/>
              <w:bottom w:val="single" w:color="auto" w:sz="8" w:space="0"/>
              <w:right w:val="single" w:color="auto" w:sz="8" w:space="0"/>
            </w:tcBorders>
            <w:vAlign w:val="center"/>
          </w:tcPr>
          <w:p w14:paraId="03F24CC8">
            <w:pPr>
              <w:spacing w:line="360" w:lineRule="auto"/>
              <w:jc w:val="left"/>
              <w:rPr>
                <w:rFonts w:ascii="宋体" w:hAnsi="宋体" w:cs="宋体"/>
                <w:color w:val="auto"/>
                <w:sz w:val="24"/>
                <w:highlight w:val="none"/>
              </w:rPr>
            </w:pPr>
            <w:r>
              <w:rPr>
                <w:rFonts w:hint="eastAsia" w:ascii="宋体" w:hAnsi="宋体" w:cs="宋体"/>
                <w:color w:val="auto"/>
                <w:sz w:val="24"/>
                <w:highlight w:val="none"/>
              </w:rPr>
              <w:t>□是</w:t>
            </w:r>
          </w:p>
          <w:p w14:paraId="59D12401">
            <w:pPr>
              <w:spacing w:line="360" w:lineRule="auto"/>
              <w:jc w:val="left"/>
              <w:rPr>
                <w:rFonts w:ascii="宋体" w:hAnsi="宋体" w:cs="宋体"/>
                <w:color w:val="auto"/>
                <w:sz w:val="24"/>
                <w:highlight w:val="none"/>
              </w:rPr>
            </w:pPr>
            <w:r>
              <w:rPr>
                <w:rFonts w:hint="eastAsia" w:ascii="宋体" w:hAnsi="宋体" w:cs="宋体"/>
                <w:color w:val="auto"/>
                <w:sz w:val="24"/>
                <w:highlight w:val="none"/>
              </w:rPr>
              <w:t>☑否，评标委员会依据本招标文件规定的评标标准和方法</w:t>
            </w:r>
            <w:r>
              <w:rPr>
                <w:rFonts w:hint="eastAsia" w:ascii="宋体" w:hAnsi="宋体" w:cs="宋体"/>
                <w:color w:val="auto"/>
                <w:sz w:val="24"/>
                <w:highlight w:val="none"/>
                <w:lang w:eastAsia="zh-CN"/>
              </w:rPr>
              <w:t>，</w:t>
            </w:r>
            <w:r>
              <w:rPr>
                <w:rFonts w:hint="eastAsia" w:ascii="宋体" w:hAnsi="宋体" w:cs="宋体"/>
                <w:color w:val="auto"/>
                <w:sz w:val="24"/>
                <w:highlight w:val="none"/>
              </w:rPr>
              <w:t>按最终得分从高到低的顺序推荐出3名中标候选人。采购人依据评标委员会推荐的中标候选人排序确定第一中标候选人为本项目的中标人。</w:t>
            </w:r>
          </w:p>
        </w:tc>
      </w:tr>
      <w:tr w14:paraId="625331E4">
        <w:tblPrEx>
          <w:tblCellMar>
            <w:top w:w="0" w:type="dxa"/>
            <w:left w:w="0" w:type="dxa"/>
            <w:bottom w:w="0" w:type="dxa"/>
            <w:right w:w="0" w:type="dxa"/>
          </w:tblCellMar>
        </w:tblPrEx>
        <w:trPr>
          <w:trHeight w:val="909"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9BBC1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1638" w:type="dxa"/>
            <w:tcBorders>
              <w:top w:val="single" w:color="auto" w:sz="8" w:space="0"/>
              <w:left w:val="nil"/>
              <w:bottom w:val="single" w:color="auto" w:sz="8" w:space="0"/>
              <w:right w:val="single" w:color="auto" w:sz="8" w:space="0"/>
            </w:tcBorders>
            <w:vAlign w:val="center"/>
          </w:tcPr>
          <w:p w14:paraId="71B6BEA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中标公告媒介及期限</w:t>
            </w:r>
          </w:p>
        </w:tc>
        <w:tc>
          <w:tcPr>
            <w:tcW w:w="7196" w:type="dxa"/>
            <w:tcBorders>
              <w:top w:val="single" w:color="auto" w:sz="8" w:space="0"/>
              <w:left w:val="nil"/>
              <w:bottom w:val="single" w:color="auto" w:sz="8" w:space="0"/>
              <w:right w:val="single" w:color="auto" w:sz="8" w:space="0"/>
            </w:tcBorders>
            <w:vAlign w:val="center"/>
          </w:tcPr>
          <w:p w14:paraId="5402B854">
            <w:pPr>
              <w:spacing w:line="360" w:lineRule="auto"/>
              <w:jc w:val="left"/>
              <w:rPr>
                <w:rFonts w:ascii="宋体" w:hAnsi="宋体" w:cs="宋体"/>
                <w:color w:val="auto"/>
                <w:sz w:val="24"/>
                <w:highlight w:val="none"/>
              </w:rPr>
            </w:pPr>
            <w:r>
              <w:rPr>
                <w:rFonts w:hint="eastAsia" w:ascii="宋体" w:hAnsi="宋体" w:cs="宋体"/>
                <w:color w:val="auto"/>
                <w:sz w:val="24"/>
                <w:highlight w:val="none"/>
              </w:rPr>
              <w:t>公告媒介：同发布招标公告的媒介</w:t>
            </w:r>
          </w:p>
          <w:p w14:paraId="65FE0E9B">
            <w:pPr>
              <w:spacing w:line="360" w:lineRule="auto"/>
              <w:jc w:val="left"/>
              <w:rPr>
                <w:rFonts w:ascii="宋体" w:hAnsi="宋体" w:cs="宋体"/>
                <w:color w:val="auto"/>
                <w:sz w:val="24"/>
                <w:highlight w:val="none"/>
              </w:rPr>
            </w:pPr>
            <w:r>
              <w:rPr>
                <w:rFonts w:hint="eastAsia" w:ascii="宋体" w:hAnsi="宋体" w:cs="宋体"/>
                <w:color w:val="auto"/>
                <w:sz w:val="24"/>
                <w:highlight w:val="none"/>
              </w:rPr>
              <w:t>公告期限：1个工作日</w:t>
            </w:r>
          </w:p>
        </w:tc>
      </w:tr>
      <w:tr w14:paraId="5F859E00">
        <w:tblPrEx>
          <w:tblCellMar>
            <w:top w:w="0" w:type="dxa"/>
            <w:left w:w="0" w:type="dxa"/>
            <w:bottom w:w="0" w:type="dxa"/>
            <w:right w:w="0" w:type="dxa"/>
          </w:tblCellMar>
        </w:tblPrEx>
        <w:trPr>
          <w:trHeight w:val="175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0BF8B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7.4.1</w:t>
            </w:r>
          </w:p>
        </w:tc>
        <w:tc>
          <w:tcPr>
            <w:tcW w:w="1638" w:type="dxa"/>
            <w:tcBorders>
              <w:top w:val="single" w:color="auto" w:sz="8" w:space="0"/>
              <w:left w:val="nil"/>
              <w:bottom w:val="single" w:color="auto" w:sz="8" w:space="0"/>
              <w:right w:val="single" w:color="auto" w:sz="8" w:space="0"/>
            </w:tcBorders>
            <w:vAlign w:val="center"/>
          </w:tcPr>
          <w:p w14:paraId="156975C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196" w:type="dxa"/>
            <w:tcBorders>
              <w:top w:val="single" w:color="auto" w:sz="8" w:space="0"/>
              <w:left w:val="nil"/>
              <w:bottom w:val="single" w:color="auto" w:sz="8" w:space="0"/>
              <w:right w:val="single" w:color="auto" w:sz="8" w:space="0"/>
            </w:tcBorders>
            <w:vAlign w:val="center"/>
          </w:tcPr>
          <w:p w14:paraId="0F63136A">
            <w:pPr>
              <w:pStyle w:val="6"/>
              <w:topLinePunct/>
              <w:spacing w:line="360" w:lineRule="auto"/>
              <w:rPr>
                <w:rFonts w:hAnsi="宋体" w:cs="宋体"/>
                <w:color w:val="auto"/>
                <w:highlight w:val="none"/>
              </w:rPr>
            </w:pPr>
            <w:r>
              <w:rPr>
                <w:rFonts w:hint="eastAsia" w:hAnsi="宋体" w:cs="宋体"/>
                <w:color w:val="auto"/>
                <w:highlight w:val="none"/>
              </w:rPr>
              <w:t>是否要求中标人提交履约保证金：</w:t>
            </w:r>
          </w:p>
          <w:p w14:paraId="217FC54E">
            <w:pPr>
              <w:pStyle w:val="6"/>
              <w:topLinePunct/>
              <w:spacing w:line="360" w:lineRule="auto"/>
              <w:rPr>
                <w:rFonts w:hAnsi="宋体" w:cs="宋体"/>
                <w:color w:val="auto"/>
                <w:highlight w:val="none"/>
              </w:rPr>
            </w:pPr>
            <w:r>
              <w:rPr>
                <w:rFonts w:hint="eastAsia" w:hAnsi="宋体" w:cs="宋体"/>
                <w:color w:val="auto"/>
                <w:highlight w:val="none"/>
              </w:rPr>
              <w:t>□要求，</w:t>
            </w:r>
          </w:p>
          <w:p w14:paraId="35175EEE">
            <w:pPr>
              <w:pStyle w:val="6"/>
              <w:topLinePunct/>
              <w:spacing w:line="360" w:lineRule="auto"/>
              <w:rPr>
                <w:rFonts w:hAnsi="宋体" w:cs="宋体"/>
                <w:color w:val="auto"/>
                <w:highlight w:val="none"/>
              </w:rPr>
            </w:pPr>
            <w:r>
              <w:rPr>
                <w:rFonts w:hint="eastAsia" w:hAnsi="宋体" w:cs="宋体"/>
                <w:color w:val="auto"/>
                <w:highlight w:val="none"/>
              </w:rPr>
              <w:t>履约担保的金额：/</w:t>
            </w:r>
          </w:p>
          <w:p w14:paraId="102E940E">
            <w:pPr>
              <w:pStyle w:val="6"/>
              <w:topLinePunct/>
              <w:spacing w:line="360" w:lineRule="auto"/>
              <w:rPr>
                <w:rFonts w:hAnsi="宋体" w:cs="宋体"/>
                <w:color w:val="auto"/>
                <w:highlight w:val="none"/>
              </w:rPr>
            </w:pPr>
            <w:r>
              <w:rPr>
                <w:rFonts w:hint="eastAsia" w:hAnsi="宋体" w:cs="宋体"/>
                <w:color w:val="auto"/>
                <w:kern w:val="0"/>
                <w:highlight w:val="none"/>
              </w:rPr>
              <w:t>☑不要求</w:t>
            </w:r>
          </w:p>
        </w:tc>
      </w:tr>
      <w:tr w14:paraId="63399D75">
        <w:tblPrEx>
          <w:tblCellMar>
            <w:top w:w="0" w:type="dxa"/>
            <w:left w:w="0" w:type="dxa"/>
            <w:bottom w:w="0" w:type="dxa"/>
            <w:right w:w="0" w:type="dxa"/>
          </w:tblCellMar>
        </w:tblPrEx>
        <w:trPr>
          <w:trHeight w:val="291"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7571C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638" w:type="dxa"/>
            <w:tcBorders>
              <w:top w:val="single" w:color="auto" w:sz="8" w:space="0"/>
              <w:left w:val="nil"/>
              <w:bottom w:val="single" w:color="auto" w:sz="8" w:space="0"/>
              <w:right w:val="single" w:color="auto" w:sz="8" w:space="0"/>
            </w:tcBorders>
            <w:vAlign w:val="center"/>
          </w:tcPr>
          <w:p w14:paraId="5640E7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询问与答复</w:t>
            </w:r>
          </w:p>
        </w:tc>
        <w:tc>
          <w:tcPr>
            <w:tcW w:w="7196" w:type="dxa"/>
            <w:tcBorders>
              <w:top w:val="single" w:color="auto" w:sz="8" w:space="0"/>
              <w:left w:val="nil"/>
              <w:bottom w:val="single" w:color="auto" w:sz="8" w:space="0"/>
              <w:right w:val="single" w:color="auto" w:sz="8" w:space="0"/>
            </w:tcBorders>
            <w:vAlign w:val="center"/>
          </w:tcPr>
          <w:p w14:paraId="445ACF8D">
            <w:pPr>
              <w:spacing w:line="360" w:lineRule="auto"/>
              <w:jc w:val="left"/>
              <w:rPr>
                <w:rFonts w:ascii="宋体" w:hAnsi="宋体" w:cs="宋体"/>
                <w:color w:val="auto"/>
                <w:sz w:val="24"/>
                <w:highlight w:val="none"/>
              </w:rPr>
            </w:pPr>
            <w:r>
              <w:rPr>
                <w:rFonts w:hint="eastAsia" w:ascii="宋体" w:hAnsi="宋体" w:cs="宋体"/>
                <w:color w:val="auto"/>
                <w:sz w:val="24"/>
                <w:highlight w:val="none"/>
              </w:rPr>
              <w:t>凡对本次招标采购活动事项有疑问的，可以向采购代理机构提出询问，采购代理机构将及时作出答复，但答复的内容不得涉及商业秘密。</w:t>
            </w:r>
          </w:p>
        </w:tc>
      </w:tr>
      <w:tr w14:paraId="712A4541">
        <w:tblPrEx>
          <w:tblCellMar>
            <w:top w:w="0" w:type="dxa"/>
            <w:left w:w="0" w:type="dxa"/>
            <w:bottom w:w="0" w:type="dxa"/>
            <w:right w:w="0" w:type="dxa"/>
          </w:tblCellMar>
        </w:tblPrEx>
        <w:trPr>
          <w:trHeight w:val="175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620ED8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10.1</w:t>
            </w:r>
          </w:p>
          <w:p w14:paraId="51AB1A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10.2</w:t>
            </w:r>
          </w:p>
        </w:tc>
        <w:tc>
          <w:tcPr>
            <w:tcW w:w="1638" w:type="dxa"/>
            <w:tcBorders>
              <w:top w:val="single" w:color="auto" w:sz="8" w:space="0"/>
              <w:left w:val="nil"/>
              <w:bottom w:val="single" w:color="auto" w:sz="8" w:space="0"/>
              <w:right w:val="single" w:color="auto" w:sz="8" w:space="0"/>
            </w:tcBorders>
            <w:vAlign w:val="center"/>
          </w:tcPr>
          <w:p w14:paraId="438484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对招标文件中的内容、采购过程及中标结果的质疑及回复</w:t>
            </w:r>
          </w:p>
        </w:tc>
        <w:tc>
          <w:tcPr>
            <w:tcW w:w="7196" w:type="dxa"/>
            <w:tcBorders>
              <w:top w:val="single" w:color="auto" w:sz="8" w:space="0"/>
              <w:left w:val="nil"/>
              <w:bottom w:val="single" w:color="auto" w:sz="8" w:space="0"/>
              <w:right w:val="single" w:color="auto" w:sz="8" w:space="0"/>
            </w:tcBorders>
            <w:vAlign w:val="center"/>
          </w:tcPr>
          <w:p w14:paraId="7E8F977E">
            <w:pPr>
              <w:spacing w:line="360" w:lineRule="auto"/>
              <w:jc w:val="left"/>
              <w:rPr>
                <w:rFonts w:ascii="宋体" w:hAnsi="宋体" w:cs="宋体"/>
                <w:color w:val="auto"/>
                <w:sz w:val="24"/>
                <w:highlight w:val="none"/>
              </w:rPr>
            </w:pPr>
            <w:r>
              <w:rPr>
                <w:rFonts w:hint="eastAsia" w:ascii="宋体" w:hAnsi="宋体" w:cs="宋体"/>
                <w:color w:val="auto"/>
                <w:sz w:val="24"/>
                <w:highlight w:val="none"/>
              </w:rPr>
              <w:t>详见总则10.1条“质疑接收”及10.2条“质疑回复”</w:t>
            </w:r>
          </w:p>
        </w:tc>
      </w:tr>
      <w:tr w14:paraId="382D84CE">
        <w:tblPrEx>
          <w:tblCellMar>
            <w:top w:w="0" w:type="dxa"/>
            <w:left w:w="0" w:type="dxa"/>
            <w:bottom w:w="0" w:type="dxa"/>
            <w:right w:w="0" w:type="dxa"/>
          </w:tblCellMar>
        </w:tblPrEx>
        <w:trPr>
          <w:trHeight w:val="39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6C6CC3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638" w:type="dxa"/>
            <w:tcBorders>
              <w:top w:val="single" w:color="auto" w:sz="8" w:space="0"/>
              <w:left w:val="nil"/>
              <w:bottom w:val="single" w:color="auto" w:sz="8" w:space="0"/>
              <w:right w:val="single" w:color="auto" w:sz="8" w:space="0"/>
            </w:tcBorders>
            <w:vAlign w:val="center"/>
          </w:tcPr>
          <w:p w14:paraId="2082DC2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投诉</w:t>
            </w:r>
          </w:p>
        </w:tc>
        <w:tc>
          <w:tcPr>
            <w:tcW w:w="7196" w:type="dxa"/>
            <w:tcBorders>
              <w:top w:val="single" w:color="auto" w:sz="8" w:space="0"/>
              <w:left w:val="nil"/>
              <w:bottom w:val="single" w:color="auto" w:sz="8" w:space="0"/>
              <w:right w:val="single" w:color="auto" w:sz="8" w:space="0"/>
            </w:tcBorders>
            <w:vAlign w:val="center"/>
          </w:tcPr>
          <w:p w14:paraId="35DF08E5">
            <w:pPr>
              <w:spacing w:line="360" w:lineRule="auto"/>
              <w:jc w:val="left"/>
              <w:rPr>
                <w:rFonts w:ascii="宋体" w:hAnsi="宋体" w:cs="宋体"/>
                <w:color w:val="auto"/>
                <w:sz w:val="24"/>
                <w:highlight w:val="none"/>
              </w:rPr>
            </w:pPr>
            <w:r>
              <w:rPr>
                <w:rFonts w:hint="eastAsia" w:ascii="宋体" w:hAnsi="宋体" w:cs="宋体"/>
                <w:color w:val="auto"/>
                <w:sz w:val="24"/>
                <w:highlight w:val="none"/>
              </w:rPr>
              <w:t>详见总则11条“投诉”</w:t>
            </w:r>
          </w:p>
        </w:tc>
      </w:tr>
      <w:tr w14:paraId="5358B798">
        <w:tblPrEx>
          <w:tblCellMar>
            <w:top w:w="0" w:type="dxa"/>
            <w:left w:w="0" w:type="dxa"/>
            <w:bottom w:w="0" w:type="dxa"/>
            <w:right w:w="0" w:type="dxa"/>
          </w:tblCellMar>
        </w:tblPrEx>
        <w:trPr>
          <w:trHeight w:val="397"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21F104C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8834" w:type="dxa"/>
            <w:gridSpan w:val="2"/>
            <w:tcBorders>
              <w:top w:val="single" w:color="auto" w:sz="8" w:space="0"/>
              <w:left w:val="nil"/>
              <w:bottom w:val="single" w:color="auto" w:sz="8" w:space="0"/>
              <w:right w:val="single" w:color="auto" w:sz="8" w:space="0"/>
            </w:tcBorders>
            <w:vAlign w:val="center"/>
          </w:tcPr>
          <w:p w14:paraId="5400CB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需要补充的其他内容</w:t>
            </w:r>
          </w:p>
        </w:tc>
      </w:tr>
      <w:tr w14:paraId="6CD8D5EE">
        <w:tblPrEx>
          <w:tblCellMar>
            <w:top w:w="0" w:type="dxa"/>
            <w:left w:w="0" w:type="dxa"/>
            <w:bottom w:w="0" w:type="dxa"/>
            <w:right w:w="0" w:type="dxa"/>
          </w:tblCellMar>
        </w:tblPrEx>
        <w:trPr>
          <w:trHeight w:val="96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61F26C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w:t>
            </w:r>
          </w:p>
        </w:tc>
        <w:tc>
          <w:tcPr>
            <w:tcW w:w="1638" w:type="dxa"/>
            <w:tcBorders>
              <w:top w:val="single" w:color="auto" w:sz="8" w:space="0"/>
              <w:left w:val="nil"/>
              <w:bottom w:val="single" w:color="auto" w:sz="8" w:space="0"/>
              <w:right w:val="single" w:color="auto" w:sz="8" w:space="0"/>
            </w:tcBorders>
            <w:vAlign w:val="center"/>
          </w:tcPr>
          <w:p w14:paraId="27138B0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评标方法</w:t>
            </w:r>
          </w:p>
        </w:tc>
        <w:tc>
          <w:tcPr>
            <w:tcW w:w="7196" w:type="dxa"/>
            <w:tcBorders>
              <w:top w:val="single" w:color="auto" w:sz="8" w:space="0"/>
              <w:left w:val="nil"/>
              <w:bottom w:val="single" w:color="auto" w:sz="8" w:space="0"/>
              <w:right w:val="single" w:color="auto" w:sz="8" w:space="0"/>
            </w:tcBorders>
            <w:vAlign w:val="center"/>
          </w:tcPr>
          <w:p w14:paraId="324C9031">
            <w:pPr>
              <w:spacing w:line="360" w:lineRule="auto"/>
              <w:jc w:val="left"/>
              <w:rPr>
                <w:rFonts w:ascii="宋体" w:hAnsi="宋体" w:cs="宋体"/>
                <w:color w:val="auto"/>
                <w:sz w:val="24"/>
                <w:highlight w:val="none"/>
              </w:rPr>
            </w:pPr>
            <w:r>
              <w:rPr>
                <w:rFonts w:hint="eastAsia" w:ascii="宋体" w:hAnsi="宋体" w:cs="宋体"/>
                <w:color w:val="auto"/>
                <w:sz w:val="24"/>
                <w:highlight w:val="none"/>
              </w:rPr>
              <w:t>☑综合评分法</w:t>
            </w:r>
          </w:p>
          <w:p w14:paraId="27F20BF6">
            <w:pPr>
              <w:spacing w:line="360" w:lineRule="auto"/>
              <w:jc w:val="left"/>
              <w:rPr>
                <w:rFonts w:ascii="宋体" w:hAnsi="宋体" w:cs="宋体"/>
                <w:color w:val="auto"/>
                <w:sz w:val="24"/>
                <w:highlight w:val="none"/>
              </w:rPr>
            </w:pPr>
            <w:r>
              <w:rPr>
                <w:rFonts w:hint="eastAsia" w:ascii="宋体" w:hAnsi="宋体" w:cs="宋体"/>
                <w:color w:val="auto"/>
                <w:sz w:val="24"/>
                <w:highlight w:val="none"/>
              </w:rPr>
              <w:t>□最低评标价法</w:t>
            </w:r>
          </w:p>
        </w:tc>
      </w:tr>
      <w:tr w14:paraId="26D4490A">
        <w:tblPrEx>
          <w:tblCellMar>
            <w:top w:w="0" w:type="dxa"/>
            <w:left w:w="0" w:type="dxa"/>
            <w:bottom w:w="0" w:type="dxa"/>
            <w:right w:w="0" w:type="dxa"/>
          </w:tblCellMar>
        </w:tblPrEx>
        <w:trPr>
          <w:trHeight w:val="479"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483D17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12.2</w:t>
            </w:r>
          </w:p>
        </w:tc>
        <w:tc>
          <w:tcPr>
            <w:tcW w:w="1638" w:type="dxa"/>
            <w:tcBorders>
              <w:top w:val="single" w:color="auto" w:sz="8" w:space="0"/>
              <w:left w:val="nil"/>
              <w:bottom w:val="single" w:color="auto" w:sz="8" w:space="0"/>
              <w:right w:val="single" w:color="auto" w:sz="8" w:space="0"/>
            </w:tcBorders>
            <w:vAlign w:val="center"/>
          </w:tcPr>
          <w:p w14:paraId="31B200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追加合同金额</w:t>
            </w:r>
          </w:p>
        </w:tc>
        <w:tc>
          <w:tcPr>
            <w:tcW w:w="7196" w:type="dxa"/>
            <w:tcBorders>
              <w:top w:val="single" w:color="auto" w:sz="8" w:space="0"/>
              <w:left w:val="nil"/>
              <w:bottom w:val="single" w:color="auto" w:sz="8" w:space="0"/>
              <w:right w:val="single" w:color="auto" w:sz="8" w:space="0"/>
            </w:tcBorders>
            <w:vAlign w:val="center"/>
          </w:tcPr>
          <w:p w14:paraId="5BDE5C75">
            <w:pPr>
              <w:spacing w:line="360" w:lineRule="auto"/>
              <w:jc w:val="left"/>
              <w:rPr>
                <w:rFonts w:ascii="宋体" w:hAnsi="宋体" w:cs="宋体"/>
                <w:color w:val="auto"/>
                <w:sz w:val="24"/>
                <w:highlight w:val="none"/>
              </w:rPr>
            </w:pPr>
            <w:r>
              <w:rPr>
                <w:rFonts w:hint="eastAsia" w:ascii="宋体" w:hAnsi="宋体" w:cs="宋体"/>
                <w:color w:val="auto"/>
                <w:sz w:val="24"/>
                <w:highlight w:val="none"/>
              </w:rPr>
              <w:t>政府采购合同履行中，采购人需追加与合同标的相同的</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的，在不改变合同其他条款的前提下，可以与中标投标人签订补充合同，但所有补充合同的采购金额变更不得超过原合同采购金额的10%，其中金额增加需办理合同追加手续。</w:t>
            </w:r>
          </w:p>
        </w:tc>
      </w:tr>
      <w:tr w14:paraId="04370C92">
        <w:tblPrEx>
          <w:tblCellMar>
            <w:top w:w="0" w:type="dxa"/>
            <w:left w:w="0" w:type="dxa"/>
            <w:bottom w:w="0" w:type="dxa"/>
            <w:right w:w="0" w:type="dxa"/>
          </w:tblCellMar>
        </w:tblPrEx>
        <w:trPr>
          <w:trHeight w:val="33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0075A1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12.3</w:t>
            </w:r>
          </w:p>
        </w:tc>
        <w:tc>
          <w:tcPr>
            <w:tcW w:w="1638" w:type="dxa"/>
            <w:tcBorders>
              <w:top w:val="single" w:color="auto" w:sz="8" w:space="0"/>
              <w:left w:val="nil"/>
              <w:bottom w:val="single" w:color="auto" w:sz="8" w:space="0"/>
              <w:right w:val="single" w:color="auto" w:sz="8" w:space="0"/>
            </w:tcBorders>
            <w:vAlign w:val="center"/>
          </w:tcPr>
          <w:p w14:paraId="22C6DF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信用查询具体要求</w:t>
            </w:r>
          </w:p>
        </w:tc>
        <w:tc>
          <w:tcPr>
            <w:tcW w:w="7196" w:type="dxa"/>
            <w:tcBorders>
              <w:top w:val="single" w:color="auto" w:sz="8" w:space="0"/>
              <w:left w:val="nil"/>
              <w:bottom w:val="single" w:color="auto" w:sz="8" w:space="0"/>
              <w:right w:val="single" w:color="auto" w:sz="8" w:space="0"/>
            </w:tcBorders>
            <w:vAlign w:val="center"/>
          </w:tcPr>
          <w:p w14:paraId="54FC553E">
            <w:pPr>
              <w:spacing w:line="360" w:lineRule="auto"/>
              <w:jc w:val="left"/>
              <w:rPr>
                <w:rFonts w:ascii="宋体" w:hAnsi="宋体" w:cs="宋体"/>
                <w:color w:val="auto"/>
                <w:sz w:val="24"/>
                <w:highlight w:val="none"/>
              </w:rPr>
            </w:pPr>
            <w:r>
              <w:rPr>
                <w:rFonts w:hint="eastAsia" w:ascii="宋体" w:hAnsi="宋体" w:cs="宋体"/>
                <w:color w:val="auto"/>
                <w:sz w:val="24"/>
                <w:highlight w:val="none"/>
              </w:rPr>
              <w:t>本项目将执行在政府采购活动中查询及使用信用记录的规定，具体要求为：</w:t>
            </w:r>
          </w:p>
          <w:p w14:paraId="2D40A3C0">
            <w:pPr>
              <w:spacing w:line="360" w:lineRule="auto"/>
              <w:jc w:val="left"/>
              <w:rPr>
                <w:rFonts w:ascii="宋体" w:hAnsi="宋体" w:cs="宋体"/>
                <w:color w:val="auto"/>
                <w:sz w:val="24"/>
                <w:highlight w:val="none"/>
              </w:rPr>
            </w:pPr>
            <w:r>
              <w:rPr>
                <w:rFonts w:hint="eastAsia" w:ascii="宋体" w:hAnsi="宋体" w:cs="宋体"/>
                <w:color w:val="auto"/>
                <w:sz w:val="24"/>
                <w:highlight w:val="none"/>
              </w:rPr>
              <w:t>（1）①投标人应在信用中国（www.creditchina.gov.cn）中未被列入失信被执行人；②投标人应在信用中国（www.creditchina.gov.cn）中未被列入重大税收违法失信主体；③投标人应在中国政府采购网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中未被列入政府采购严重违法失信行为记录名单（被禁止在一定期限内参加政府采购活动但期限届满的除外）；</w:t>
            </w:r>
          </w:p>
          <w:p w14:paraId="4B5064A1">
            <w:pPr>
              <w:spacing w:line="360" w:lineRule="auto"/>
              <w:jc w:val="left"/>
              <w:rPr>
                <w:rFonts w:ascii="宋体" w:hAnsi="宋体" w:cs="宋体"/>
                <w:color w:val="auto"/>
                <w:sz w:val="24"/>
                <w:highlight w:val="none"/>
              </w:rPr>
            </w:pPr>
            <w:r>
              <w:rPr>
                <w:rFonts w:hint="eastAsia" w:ascii="宋体" w:hAnsi="宋体" w:cs="宋体"/>
                <w:color w:val="auto"/>
                <w:sz w:val="24"/>
                <w:highlight w:val="none"/>
              </w:rPr>
              <w:t>（2）信用信息查询的截止时点：提交投标文件截止时间；</w:t>
            </w:r>
          </w:p>
          <w:p w14:paraId="35D5AC7A">
            <w:pPr>
              <w:spacing w:line="360" w:lineRule="auto"/>
              <w:jc w:val="left"/>
              <w:rPr>
                <w:rFonts w:ascii="宋体" w:hAnsi="宋体" w:cs="宋体"/>
                <w:color w:val="auto"/>
                <w:sz w:val="24"/>
                <w:highlight w:val="none"/>
              </w:rPr>
            </w:pPr>
            <w:r>
              <w:rPr>
                <w:rFonts w:hint="eastAsia" w:ascii="宋体" w:hAnsi="宋体" w:cs="宋体"/>
                <w:color w:val="auto"/>
                <w:sz w:val="24"/>
                <w:highlight w:val="none"/>
              </w:rPr>
              <w:t>（3）信用信息查询渠道：“信用中国</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t>
            </w:r>
          </w:p>
          <w:p w14:paraId="54EFED1C">
            <w:pPr>
              <w:spacing w:line="360" w:lineRule="auto"/>
              <w:jc w:val="left"/>
              <w:rPr>
                <w:rFonts w:ascii="宋体" w:hAnsi="宋体" w:cs="宋体"/>
                <w:color w:val="auto"/>
                <w:sz w:val="24"/>
                <w:highlight w:val="none"/>
              </w:rPr>
            </w:pPr>
            <w:r>
              <w:rPr>
                <w:rFonts w:hint="eastAsia" w:ascii="宋体" w:hAnsi="宋体" w:cs="宋体"/>
                <w:color w:val="auto"/>
                <w:sz w:val="24"/>
                <w:highlight w:val="none"/>
              </w:rPr>
              <w:t>（4）信用信息查询记录和证据留存具体方式：采购人、采购代理机构将经查询存在不良信用记录的潜在投标人查询结果证明材料作为查询记录和证据，与其他招标文件一并保存；</w:t>
            </w:r>
          </w:p>
          <w:p w14:paraId="61A53BEC">
            <w:pPr>
              <w:spacing w:line="360" w:lineRule="auto"/>
              <w:jc w:val="left"/>
              <w:rPr>
                <w:rFonts w:ascii="宋体" w:hAnsi="宋体" w:cs="宋体"/>
                <w:color w:val="auto"/>
                <w:sz w:val="24"/>
                <w:highlight w:val="none"/>
              </w:rPr>
            </w:pPr>
            <w:r>
              <w:rPr>
                <w:rFonts w:hint="eastAsia" w:ascii="宋体" w:hAnsi="宋体" w:cs="宋体"/>
                <w:color w:val="auto"/>
                <w:sz w:val="24"/>
                <w:highlight w:val="none"/>
              </w:rPr>
              <w:t>（5）信用信息的使用规则：本政府采购项目的投标人在信用信息查询截止时点（含）之前被列入失信被执行人、重大税收违法失信主体、政府采购严重违法失信行为记录名单及其他不符合《中华人民共和国政府采购法》第二十二条规定条件的投标人，其投标无效；</w:t>
            </w:r>
          </w:p>
          <w:p w14:paraId="6F0AFDB0">
            <w:pPr>
              <w:spacing w:line="360" w:lineRule="auto"/>
              <w:jc w:val="left"/>
              <w:rPr>
                <w:rFonts w:ascii="宋体" w:hAnsi="宋体" w:cs="宋体"/>
                <w:color w:val="auto"/>
                <w:sz w:val="24"/>
                <w:highlight w:val="none"/>
              </w:rPr>
            </w:pPr>
            <w:r>
              <w:rPr>
                <w:rFonts w:hint="eastAsia" w:ascii="宋体" w:hAnsi="宋体" w:cs="宋体"/>
                <w:color w:val="auto"/>
                <w:sz w:val="24"/>
                <w:highlight w:val="none"/>
              </w:rPr>
              <w:t>（6）采购人、采购代理机构通过“信用中国</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中国政府采购网”等渠道查询相关主体信用记录，若投标人存在被列入失信被执行人、重大税收违法失信主体、政府采购严重违法失信行为记录名单，则投标无效。</w:t>
            </w:r>
          </w:p>
        </w:tc>
      </w:tr>
      <w:tr w14:paraId="14F3257E">
        <w:tblPrEx>
          <w:tblCellMar>
            <w:top w:w="0" w:type="dxa"/>
            <w:left w:w="0" w:type="dxa"/>
            <w:bottom w:w="0" w:type="dxa"/>
            <w:right w:w="0" w:type="dxa"/>
          </w:tblCellMar>
        </w:tblPrEx>
        <w:trPr>
          <w:trHeight w:val="33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131A938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12.4</w:t>
            </w:r>
          </w:p>
        </w:tc>
        <w:tc>
          <w:tcPr>
            <w:tcW w:w="1638" w:type="dxa"/>
            <w:tcBorders>
              <w:top w:val="single" w:color="auto" w:sz="8" w:space="0"/>
              <w:left w:val="nil"/>
              <w:bottom w:val="single" w:color="auto" w:sz="8" w:space="0"/>
              <w:right w:val="single" w:color="auto" w:sz="8" w:space="0"/>
            </w:tcBorders>
            <w:vAlign w:val="center"/>
          </w:tcPr>
          <w:p w14:paraId="21EEA6A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采购标的对应的中小企业划分标准所属行业</w:t>
            </w:r>
          </w:p>
        </w:tc>
        <w:tc>
          <w:tcPr>
            <w:tcW w:w="7196" w:type="dxa"/>
            <w:tcBorders>
              <w:top w:val="single" w:color="auto" w:sz="8" w:space="0"/>
              <w:left w:val="nil"/>
              <w:bottom w:val="single" w:color="auto" w:sz="8" w:space="0"/>
              <w:right w:val="single" w:color="auto" w:sz="8" w:space="0"/>
            </w:tcBorders>
            <w:vAlign w:val="center"/>
          </w:tcPr>
          <w:p w14:paraId="4E4D35CB">
            <w:pPr>
              <w:spacing w:line="360" w:lineRule="auto"/>
              <w:jc w:val="left"/>
              <w:rPr>
                <w:rFonts w:ascii="宋体" w:hAnsi="宋体" w:cs="宋体"/>
                <w:color w:val="auto"/>
                <w:sz w:val="24"/>
                <w:highlight w:val="none"/>
              </w:rPr>
            </w:pPr>
            <w:r>
              <w:rPr>
                <w:rFonts w:hint="eastAsia" w:ascii="宋体" w:hAnsi="宋体" w:cs="宋体"/>
                <w:color w:val="auto"/>
                <w:sz w:val="24"/>
                <w:highlight w:val="none"/>
              </w:rPr>
              <w:t>标的：</w:t>
            </w:r>
            <w:r>
              <w:rPr>
                <w:rFonts w:hint="eastAsia" w:ascii="宋体" w:hAnsi="宋体" w:cs="宋体"/>
                <w:color w:val="auto"/>
                <w:sz w:val="24"/>
                <w:highlight w:val="none"/>
                <w:lang w:eastAsia="zh-CN"/>
              </w:rPr>
              <w:t>陇川县2026年义务教育薄弱环节改善与能力提升项目（洗碗机）</w:t>
            </w:r>
            <w:r>
              <w:rPr>
                <w:rFonts w:hint="eastAsia" w:ascii="宋体" w:hAnsi="宋体" w:cs="宋体"/>
                <w:color w:val="auto"/>
                <w:sz w:val="24"/>
                <w:highlight w:val="none"/>
              </w:rPr>
              <w:t>；</w:t>
            </w:r>
          </w:p>
          <w:p w14:paraId="2B1234D1">
            <w:pPr>
              <w:spacing w:line="360" w:lineRule="auto"/>
              <w:jc w:val="left"/>
              <w:rPr>
                <w:rFonts w:ascii="宋体" w:hAnsi="宋体" w:cs="宋体"/>
                <w:b w:val="0"/>
                <w:bCs w:val="0"/>
                <w:color w:val="auto"/>
                <w:sz w:val="24"/>
                <w:highlight w:val="none"/>
              </w:rPr>
            </w:pPr>
            <w:r>
              <w:rPr>
                <w:rFonts w:hint="eastAsia" w:ascii="宋体" w:hAnsi="宋体" w:cs="宋体"/>
                <w:b/>
                <w:bCs/>
                <w:color w:val="auto"/>
                <w:sz w:val="24"/>
                <w:highlight w:val="none"/>
              </w:rPr>
              <w:t>所属行业：</w:t>
            </w:r>
            <w:r>
              <w:rPr>
                <w:rFonts w:hint="eastAsia" w:ascii="宋体" w:hAnsi="宋体" w:cs="宋体"/>
                <w:b/>
                <w:bCs/>
                <w:color w:val="auto"/>
                <w:sz w:val="24"/>
                <w:highlight w:val="none"/>
                <w:lang w:val="en-US" w:eastAsia="zh-CN"/>
              </w:rPr>
              <w:t>工业</w:t>
            </w:r>
            <w:r>
              <w:rPr>
                <w:rFonts w:hint="eastAsia" w:ascii="宋体" w:hAnsi="宋体" w:cs="宋体"/>
                <w:b w:val="0"/>
                <w:bCs w:val="0"/>
                <w:color w:val="auto"/>
                <w:sz w:val="24"/>
                <w:highlight w:val="none"/>
                <w:lang w:val="en-US" w:eastAsia="zh-CN"/>
              </w:rPr>
              <w:t>（包括采矿业，制造业，电力、热力、燃气及水生产和供应业）</w:t>
            </w:r>
          </w:p>
          <w:p w14:paraId="0770109D">
            <w:pPr>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划分标准：符合国家统计局关于印发《统计上大中小微型企业划分办法（2017）》的通知（国统字〔2017〕213号）</w:t>
            </w:r>
            <w:r>
              <w:rPr>
                <w:rFonts w:hint="eastAsia" w:ascii="宋体" w:hAnsi="宋体" w:cs="宋体"/>
                <w:b/>
                <w:bCs/>
                <w:color w:val="auto"/>
                <w:sz w:val="24"/>
                <w:highlight w:val="none"/>
                <w:lang w:val="en-US" w:eastAsia="zh-CN"/>
              </w:rPr>
              <w:t>工业</w:t>
            </w:r>
            <w:r>
              <w:rPr>
                <w:rFonts w:hint="eastAsia" w:ascii="宋体" w:hAnsi="宋体" w:cs="宋体"/>
                <w:color w:val="auto"/>
                <w:sz w:val="24"/>
                <w:highlight w:val="none"/>
              </w:rPr>
              <w:t>行业划分标准。</w:t>
            </w:r>
          </w:p>
        </w:tc>
      </w:tr>
      <w:tr w14:paraId="1E73DA45">
        <w:tblPrEx>
          <w:tblCellMar>
            <w:top w:w="0" w:type="dxa"/>
            <w:left w:w="0" w:type="dxa"/>
            <w:bottom w:w="0" w:type="dxa"/>
            <w:right w:w="0" w:type="dxa"/>
          </w:tblCellMar>
        </w:tblPrEx>
        <w:trPr>
          <w:trHeight w:val="33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4A0EA43B">
            <w:pPr>
              <w:pStyle w:val="41"/>
              <w:spacing w:line="360" w:lineRule="auto"/>
              <w:jc w:val="center"/>
              <w:rPr>
                <w:rFonts w:hAnsi="宋体" w:cs="宋体"/>
                <w:color w:val="auto"/>
                <w:sz w:val="24"/>
                <w:szCs w:val="24"/>
                <w:highlight w:val="none"/>
              </w:rPr>
            </w:pPr>
            <w:r>
              <w:rPr>
                <w:rFonts w:hint="eastAsia" w:hAnsi="宋体" w:cs="宋体"/>
                <w:color w:val="auto"/>
                <w:sz w:val="24"/>
                <w:szCs w:val="24"/>
                <w:highlight w:val="none"/>
              </w:rPr>
              <w:t>12.5</w:t>
            </w:r>
          </w:p>
        </w:tc>
        <w:tc>
          <w:tcPr>
            <w:tcW w:w="1638" w:type="dxa"/>
            <w:tcBorders>
              <w:top w:val="single" w:color="auto" w:sz="8" w:space="0"/>
              <w:left w:val="nil"/>
              <w:bottom w:val="single" w:color="auto" w:sz="8" w:space="0"/>
              <w:right w:val="single" w:color="auto" w:sz="8" w:space="0"/>
            </w:tcBorders>
            <w:vAlign w:val="center"/>
          </w:tcPr>
          <w:p w14:paraId="0FA72E73">
            <w:pPr>
              <w:pStyle w:val="41"/>
              <w:spacing w:line="360" w:lineRule="auto"/>
              <w:jc w:val="center"/>
              <w:rPr>
                <w:rFonts w:hAnsi="宋体" w:cs="宋体"/>
                <w:color w:val="auto"/>
                <w:sz w:val="24"/>
                <w:szCs w:val="24"/>
                <w:highlight w:val="none"/>
              </w:rPr>
            </w:pPr>
            <w:r>
              <w:rPr>
                <w:rFonts w:hint="eastAsia" w:hAnsi="宋体" w:cs="宋体"/>
                <w:color w:val="auto"/>
                <w:sz w:val="24"/>
                <w:szCs w:val="24"/>
                <w:highlight w:val="none"/>
              </w:rPr>
              <w:t>评审中价格扣除及优先采购</w:t>
            </w:r>
          </w:p>
          <w:p w14:paraId="2A8898CB">
            <w:pPr>
              <w:pStyle w:val="41"/>
              <w:spacing w:line="360" w:lineRule="auto"/>
              <w:jc w:val="center"/>
              <w:rPr>
                <w:rFonts w:hAnsi="宋体" w:cs="宋体"/>
                <w:color w:val="auto"/>
                <w:sz w:val="24"/>
                <w:szCs w:val="24"/>
                <w:highlight w:val="none"/>
              </w:rPr>
            </w:pPr>
          </w:p>
        </w:tc>
        <w:tc>
          <w:tcPr>
            <w:tcW w:w="7196" w:type="dxa"/>
            <w:tcBorders>
              <w:top w:val="single" w:color="auto" w:sz="8" w:space="0"/>
              <w:left w:val="nil"/>
              <w:bottom w:val="single" w:color="auto" w:sz="8" w:space="0"/>
              <w:right w:val="single" w:color="auto" w:sz="8" w:space="0"/>
            </w:tcBorders>
            <w:vAlign w:val="center"/>
          </w:tcPr>
          <w:p w14:paraId="7CC67921">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（1）根据《政府采购促进中小企业发展管理办法》（财库</w:t>
            </w:r>
            <w:r>
              <w:rPr>
                <w:rFonts w:hint="eastAsia" w:hAnsi="宋体" w:cs="宋体"/>
                <w:color w:val="auto"/>
                <w:sz w:val="24"/>
                <w:szCs w:val="24"/>
                <w:highlight w:val="none"/>
                <w:lang w:eastAsia="zh-CN"/>
              </w:rPr>
              <w:t>〔2020〕46号</w:t>
            </w:r>
            <w:r>
              <w:rPr>
                <w:rFonts w:hint="eastAsia" w:hAnsi="宋体" w:cs="宋体"/>
                <w:color w:val="auto"/>
                <w:sz w:val="24"/>
                <w:szCs w:val="24"/>
                <w:highlight w:val="none"/>
              </w:rPr>
              <w:t>）、《关于进一步加大政府采购支持中小企业力度的通知》（财库〔2022〕19号）规定，本次采购项目，对</w:t>
            </w:r>
            <w:r>
              <w:rPr>
                <w:rFonts w:hint="eastAsia" w:hAnsi="宋体" w:cs="宋体"/>
                <w:color w:val="auto"/>
                <w:sz w:val="24"/>
                <w:szCs w:val="24"/>
                <w:highlight w:val="none"/>
                <w:lang w:val="en-US" w:eastAsia="zh-CN"/>
              </w:rPr>
              <w:t>所有货物制造商均为</w:t>
            </w:r>
            <w:r>
              <w:rPr>
                <w:rFonts w:hint="eastAsia" w:hAnsi="宋体" w:cs="宋体"/>
                <w:color w:val="auto"/>
                <w:sz w:val="24"/>
                <w:szCs w:val="24"/>
                <w:highlight w:val="none"/>
              </w:rPr>
              <w:t>小型和微型企业产品的价格给予10%的扣除，是否为小微企业投标人提供《中小企业声明函》；</w:t>
            </w:r>
          </w:p>
          <w:p w14:paraId="67448A41">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（2）按照《财政部司法部关于政府采购支持监狱企业发展有关问题的通知》（财库</w:t>
            </w:r>
            <w:r>
              <w:rPr>
                <w:rFonts w:hint="eastAsia" w:hAnsi="宋体" w:cs="宋体"/>
                <w:color w:val="auto"/>
                <w:sz w:val="24"/>
                <w:szCs w:val="24"/>
                <w:highlight w:val="none"/>
                <w:lang w:eastAsia="zh-CN"/>
              </w:rPr>
              <w:t>〔2014〕68号</w:t>
            </w:r>
            <w:r>
              <w:rPr>
                <w:rFonts w:hint="eastAsia" w:hAnsi="宋体" w:cs="宋体"/>
                <w:color w:val="auto"/>
                <w:sz w:val="24"/>
                <w:szCs w:val="24"/>
                <w:highlight w:val="none"/>
              </w:rPr>
              <w:t xml:space="preserve">）文件规定，在政府采购活动中，监狱企业视同小型、微型企业，享受评审中价格扣除的政府采购政策； </w:t>
            </w:r>
          </w:p>
          <w:p w14:paraId="13690DCC">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 xml:space="preserve">（3）按照《财政部民政部中国残疾人联合会关于促进残疾人就业政府采购政策的通知》，残疾人福利性单位视同小型、微型企业，享受评审中价格扣除的政府采购政策，残疾人福利性单位属于小型、微型企业的，不重复享受政策； </w:t>
            </w:r>
          </w:p>
          <w:p w14:paraId="7A2758BB">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（4）评审价格=投标报价-（投标报价×扣除比例）；</w:t>
            </w:r>
          </w:p>
          <w:p w14:paraId="5BE8603B">
            <w:pPr>
              <w:pStyle w:val="41"/>
              <w:spacing w:line="360" w:lineRule="auto"/>
              <w:jc w:val="left"/>
              <w:rPr>
                <w:rFonts w:hAnsi="宋体" w:cs="宋体"/>
                <w:b/>
                <w:bCs/>
                <w:color w:val="auto"/>
                <w:sz w:val="24"/>
                <w:szCs w:val="24"/>
                <w:highlight w:val="none"/>
              </w:rPr>
            </w:pPr>
            <w:r>
              <w:rPr>
                <w:rFonts w:hint="eastAsia" w:hAnsi="宋体" w:cs="宋体"/>
                <w:b/>
                <w:bCs/>
                <w:color w:val="auto"/>
                <w:sz w:val="24"/>
                <w:szCs w:val="24"/>
                <w:highlight w:val="none"/>
              </w:rPr>
              <w:t>注：评审价格仅为评审计算依据，不作为最终的中标价格。</w:t>
            </w:r>
          </w:p>
          <w:p w14:paraId="66B218FA">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（5）按财库</w:t>
            </w:r>
            <w:r>
              <w:rPr>
                <w:rFonts w:hint="eastAsia" w:hAnsi="宋体" w:cs="宋体"/>
                <w:color w:val="auto"/>
                <w:sz w:val="24"/>
                <w:szCs w:val="24"/>
                <w:highlight w:val="none"/>
                <w:lang w:eastAsia="zh-CN"/>
              </w:rPr>
              <w:t>〔2019〕9号</w:t>
            </w:r>
            <w:r>
              <w:rPr>
                <w:rFonts w:hint="eastAsia" w:hAnsi="宋体" w:cs="宋体"/>
                <w:color w:val="auto"/>
                <w:sz w:val="24"/>
                <w:szCs w:val="24"/>
                <w:highlight w:val="none"/>
              </w:rPr>
              <w:t>文及财库</w:t>
            </w:r>
            <w:r>
              <w:rPr>
                <w:rFonts w:hint="eastAsia" w:hAnsi="宋体" w:cs="宋体"/>
                <w:color w:val="auto"/>
                <w:sz w:val="24"/>
                <w:szCs w:val="24"/>
                <w:highlight w:val="none"/>
                <w:lang w:eastAsia="zh-CN"/>
              </w:rPr>
              <w:t>〔2019〕18号</w:t>
            </w:r>
            <w:r>
              <w:rPr>
                <w:rFonts w:hint="eastAsia" w:hAnsi="宋体" w:cs="宋体"/>
                <w:color w:val="auto"/>
                <w:sz w:val="24"/>
                <w:szCs w:val="24"/>
                <w:highlight w:val="none"/>
              </w:rPr>
              <w:t>通知，采购的产品属于环境标志产品政府采购品目清单时，在技术、服务等指标同等条件下，应当优先采购或强制采购。投标人投标产品是否为环境标志产品，由投标人提供国家确定的认证机构出具的、处于有效期之内的环境标志产品认证证书。</w:t>
            </w:r>
          </w:p>
          <w:p w14:paraId="45753696">
            <w:pPr>
              <w:pStyle w:val="41"/>
              <w:spacing w:line="360" w:lineRule="auto"/>
              <w:jc w:val="left"/>
              <w:rPr>
                <w:rFonts w:hAnsi="宋体" w:cs="宋体"/>
                <w:color w:val="auto"/>
                <w:sz w:val="24"/>
                <w:szCs w:val="24"/>
                <w:highlight w:val="none"/>
              </w:rPr>
            </w:pPr>
            <w:r>
              <w:rPr>
                <w:rFonts w:hint="eastAsia" w:hAnsi="宋体" w:cs="宋体"/>
                <w:color w:val="auto"/>
                <w:sz w:val="24"/>
                <w:szCs w:val="24"/>
                <w:highlight w:val="none"/>
              </w:rPr>
              <w:t>（6）按财库</w:t>
            </w:r>
            <w:r>
              <w:rPr>
                <w:rFonts w:hint="eastAsia" w:hAnsi="宋体" w:cs="宋体"/>
                <w:color w:val="auto"/>
                <w:sz w:val="24"/>
                <w:szCs w:val="24"/>
                <w:highlight w:val="none"/>
                <w:lang w:eastAsia="zh-CN"/>
              </w:rPr>
              <w:t>〔2019〕9号</w:t>
            </w:r>
            <w:r>
              <w:rPr>
                <w:rFonts w:hint="eastAsia" w:hAnsi="宋体" w:cs="宋体"/>
                <w:color w:val="auto"/>
                <w:sz w:val="24"/>
                <w:szCs w:val="24"/>
                <w:highlight w:val="none"/>
              </w:rPr>
              <w:t>文及财库</w:t>
            </w:r>
            <w:r>
              <w:rPr>
                <w:rFonts w:hint="eastAsia" w:hAnsi="宋体" w:cs="宋体"/>
                <w:color w:val="auto"/>
                <w:sz w:val="24"/>
                <w:szCs w:val="24"/>
                <w:highlight w:val="none"/>
                <w:lang w:eastAsia="zh-CN"/>
              </w:rPr>
              <w:t>〔2019〕19号</w:t>
            </w:r>
            <w:r>
              <w:rPr>
                <w:rFonts w:hint="eastAsia" w:hAnsi="宋体" w:cs="宋体"/>
                <w:color w:val="auto"/>
                <w:sz w:val="24"/>
                <w:szCs w:val="24"/>
                <w:highlight w:val="none"/>
              </w:rPr>
              <w:t>通知，采购的产品属于节能产品政府采购品目清单时，在技术、服务等指标同等条件下，应当优先采购或强制采购。投标人投标产品是否为节能产品，由投标人提供国家确定的认证机构出具的、处于有效期之内的节能产品认证证书。</w:t>
            </w:r>
          </w:p>
        </w:tc>
      </w:tr>
      <w:tr w14:paraId="4C90D211">
        <w:tblPrEx>
          <w:tblCellMar>
            <w:top w:w="0" w:type="dxa"/>
            <w:left w:w="0" w:type="dxa"/>
            <w:bottom w:w="0" w:type="dxa"/>
            <w:right w:w="0" w:type="dxa"/>
          </w:tblCellMar>
        </w:tblPrEx>
        <w:trPr>
          <w:trHeight w:val="334"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71AE953C">
            <w:pPr>
              <w:pStyle w:val="41"/>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12.6</w:t>
            </w:r>
          </w:p>
        </w:tc>
        <w:tc>
          <w:tcPr>
            <w:tcW w:w="1638" w:type="dxa"/>
            <w:tcBorders>
              <w:top w:val="single" w:color="auto" w:sz="8" w:space="0"/>
              <w:left w:val="nil"/>
              <w:bottom w:val="single" w:color="auto" w:sz="8" w:space="0"/>
              <w:right w:val="single" w:color="auto" w:sz="8" w:space="0"/>
            </w:tcBorders>
            <w:vAlign w:val="center"/>
          </w:tcPr>
          <w:p w14:paraId="7ADC3C27">
            <w:pPr>
              <w:pStyle w:val="41"/>
              <w:spacing w:line="360" w:lineRule="auto"/>
              <w:jc w:val="center"/>
              <w:rPr>
                <w:rFonts w:hAnsi="宋体" w:cs="宋体"/>
                <w:color w:val="auto"/>
                <w:sz w:val="24"/>
                <w:szCs w:val="24"/>
                <w:highlight w:val="none"/>
              </w:rPr>
            </w:pPr>
            <w:r>
              <w:rPr>
                <w:rFonts w:hint="eastAsia" w:hAnsi="宋体" w:cs="宋体"/>
                <w:color w:val="auto"/>
                <w:sz w:val="24"/>
                <w:szCs w:val="24"/>
                <w:highlight w:val="none"/>
              </w:rPr>
              <w:t>对本国产品的支持政策</w:t>
            </w:r>
          </w:p>
        </w:tc>
        <w:tc>
          <w:tcPr>
            <w:tcW w:w="7196" w:type="dxa"/>
            <w:tcBorders>
              <w:top w:val="single" w:color="auto" w:sz="8" w:space="0"/>
              <w:left w:val="nil"/>
              <w:bottom w:val="single" w:color="auto" w:sz="8" w:space="0"/>
              <w:right w:val="single" w:color="auto" w:sz="8" w:space="0"/>
            </w:tcBorders>
            <w:vAlign w:val="center"/>
          </w:tcPr>
          <w:p w14:paraId="1F1A4199">
            <w:pPr>
              <w:pStyle w:val="41"/>
              <w:spacing w:line="360" w:lineRule="auto"/>
              <w:jc w:val="left"/>
              <w:rPr>
                <w:rFonts w:hint="eastAsia" w:hAnsi="宋体" w:cs="宋体"/>
                <w:color w:val="auto"/>
                <w:sz w:val="24"/>
                <w:szCs w:val="24"/>
                <w:highlight w:val="none"/>
                <w:lang w:eastAsia="zh-CN"/>
              </w:rPr>
            </w:pPr>
            <w:r>
              <w:rPr>
                <w:rFonts w:hint="eastAsia" w:hAnsi="宋体" w:cs="宋体"/>
                <w:color w:val="auto"/>
                <w:sz w:val="24"/>
                <w:szCs w:val="24"/>
                <w:highlight w:val="none"/>
                <w:lang w:val="en-US" w:eastAsia="zh-CN"/>
              </w:rPr>
              <w:t>依据《</w:t>
            </w:r>
            <w:r>
              <w:rPr>
                <w:rFonts w:hint="eastAsia" w:hAnsi="宋体" w:cs="宋体"/>
                <w:color w:val="auto"/>
                <w:sz w:val="24"/>
                <w:szCs w:val="24"/>
                <w:highlight w:val="none"/>
              </w:rPr>
              <w:t>国务院办公厅关于在政府采购中实施本国产品标准及相关政策的通知</w:t>
            </w:r>
            <w:r>
              <w:rPr>
                <w:rFonts w:hint="eastAsia" w:hAnsi="宋体" w:cs="宋体"/>
                <w:color w:val="auto"/>
                <w:sz w:val="24"/>
                <w:szCs w:val="24"/>
                <w:highlight w:val="none"/>
                <w:lang w:val="en-US" w:eastAsia="zh-CN"/>
              </w:rPr>
              <w:t>》</w:t>
            </w:r>
            <w:r>
              <w:rPr>
                <w:rFonts w:hint="eastAsia" w:hAnsi="宋体" w:cs="宋体"/>
                <w:color w:val="auto"/>
                <w:sz w:val="24"/>
                <w:szCs w:val="24"/>
                <w:highlight w:val="none"/>
                <w:lang w:eastAsia="zh-CN"/>
              </w:rPr>
              <w:t>（国办发〔2025〕34号）</w:t>
            </w:r>
            <w:r>
              <w:rPr>
                <w:rFonts w:hint="eastAsia" w:hAnsi="宋体" w:cs="宋体"/>
                <w:color w:val="auto"/>
                <w:sz w:val="24"/>
                <w:szCs w:val="24"/>
                <w:highlight w:val="none"/>
                <w:lang w:val="en-US" w:eastAsia="zh-CN"/>
              </w:rPr>
              <w:t>及</w:t>
            </w:r>
            <w:r>
              <w:rPr>
                <w:rFonts w:hint="eastAsia" w:hAnsi="宋体" w:cs="宋体"/>
                <w:color w:val="auto"/>
                <w:sz w:val="24"/>
                <w:szCs w:val="24"/>
                <w:highlight w:val="none"/>
              </w:rPr>
              <w:t>《财政部关于贯彻落实&lt;国务院办公厅关于在政府采购中实施本国产品标准及相关政策的通知&gt;的意见》(财库〔2025〕30号)相关规定，本项目政府采购活动中对本国产品实施以下支持政策</w:t>
            </w:r>
            <w:r>
              <w:rPr>
                <w:rFonts w:hint="eastAsia" w:hAnsi="宋体" w:cs="宋体"/>
                <w:color w:val="auto"/>
                <w:sz w:val="24"/>
                <w:szCs w:val="24"/>
                <w:highlight w:val="none"/>
                <w:lang w:eastAsia="zh-CN"/>
              </w:rPr>
              <w:t>：</w:t>
            </w:r>
          </w:p>
          <w:p w14:paraId="35F4E948">
            <w:pPr>
              <w:pStyle w:val="41"/>
              <w:spacing w:line="360" w:lineRule="auto"/>
              <w:jc w:val="left"/>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1</w:t>
            </w:r>
            <w:r>
              <w:rPr>
                <w:rFonts w:hint="eastAsia" w:hAnsi="宋体" w:cs="宋体"/>
                <w:color w:val="auto"/>
                <w:sz w:val="24"/>
                <w:szCs w:val="24"/>
                <w:highlight w:val="none"/>
                <w:lang w:eastAsia="zh-CN"/>
              </w:rPr>
              <w:t>）政府采购活动中既有本国产品又有非本国产品参与竞争的，依法对本国产品给予价格评审优惠，对本国产品的报价给予20%的价格扣除，用扣除后的价格参与评审。</w:t>
            </w:r>
          </w:p>
          <w:p w14:paraId="07EB8FAE">
            <w:pPr>
              <w:pStyle w:val="41"/>
              <w:spacing w:line="360" w:lineRule="auto"/>
              <w:jc w:val="left"/>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C4D9D06">
            <w:pPr>
              <w:pStyle w:val="41"/>
              <w:spacing w:line="360" w:lineRule="auto"/>
              <w:jc w:val="left"/>
              <w:rPr>
                <w:rFonts w:hint="eastAsia" w:hAnsi="宋体" w:eastAsia="宋体" w:cs="宋体"/>
                <w:color w:val="auto"/>
                <w:sz w:val="24"/>
                <w:szCs w:val="24"/>
                <w:highlight w:val="none"/>
                <w:lang w:eastAsia="zh-CN"/>
              </w:rPr>
            </w:pPr>
            <w:r>
              <w:rPr>
                <w:rFonts w:hint="eastAsia" w:hAnsi="宋体" w:cs="宋体"/>
                <w:b/>
                <w:bCs/>
                <w:color w:val="auto"/>
                <w:sz w:val="24"/>
                <w:szCs w:val="24"/>
                <w:highlight w:val="none"/>
              </w:rPr>
              <w:t>注：评审价格仅为评审计算依据，不作为最终的中标价格。</w:t>
            </w:r>
          </w:p>
        </w:tc>
      </w:tr>
      <w:tr w14:paraId="6E4A7190">
        <w:tblPrEx>
          <w:tblCellMar>
            <w:top w:w="0" w:type="dxa"/>
            <w:left w:w="0" w:type="dxa"/>
            <w:bottom w:w="0" w:type="dxa"/>
            <w:right w:w="0" w:type="dxa"/>
          </w:tblCellMar>
        </w:tblPrEx>
        <w:trPr>
          <w:trHeight w:val="358" w:hRule="atLeast"/>
          <w:jc w:val="center"/>
        </w:trPr>
        <w:tc>
          <w:tcPr>
            <w:tcW w:w="990" w:type="dxa"/>
            <w:tcBorders>
              <w:top w:val="single" w:color="auto" w:sz="8" w:space="0"/>
              <w:left w:val="single" w:color="auto" w:sz="8" w:space="0"/>
              <w:bottom w:val="single" w:color="auto" w:sz="8" w:space="0"/>
              <w:right w:val="single" w:color="auto" w:sz="8" w:space="0"/>
            </w:tcBorders>
            <w:vAlign w:val="center"/>
          </w:tcPr>
          <w:p w14:paraId="651424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638" w:type="dxa"/>
            <w:tcBorders>
              <w:top w:val="single" w:color="auto" w:sz="8" w:space="0"/>
              <w:left w:val="nil"/>
              <w:bottom w:val="single" w:color="auto" w:sz="8" w:space="0"/>
              <w:right w:val="single" w:color="auto" w:sz="8" w:space="0"/>
            </w:tcBorders>
            <w:vAlign w:val="center"/>
          </w:tcPr>
          <w:p w14:paraId="082B19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政府采购政策</w:t>
            </w:r>
          </w:p>
        </w:tc>
        <w:tc>
          <w:tcPr>
            <w:tcW w:w="7196" w:type="dxa"/>
            <w:tcBorders>
              <w:top w:val="single" w:color="auto" w:sz="8" w:space="0"/>
              <w:left w:val="nil"/>
              <w:bottom w:val="single" w:color="auto" w:sz="8" w:space="0"/>
              <w:right w:val="single" w:color="auto" w:sz="8" w:space="0"/>
            </w:tcBorders>
            <w:vAlign w:val="center"/>
          </w:tcPr>
          <w:p w14:paraId="2B8BCFC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cs="宋体"/>
                <w:color w:val="auto"/>
                <w:sz w:val="24"/>
                <w:highlight w:val="none"/>
                <w:lang w:eastAsia="zh-CN"/>
              </w:rPr>
              <w:t>（</w:t>
            </w:r>
            <w:r>
              <w:rPr>
                <w:rFonts w:hint="eastAsia" w:ascii="宋体" w:hAnsi="宋体" w:cs="宋体"/>
                <w:color w:val="auto"/>
                <w:sz w:val="24"/>
                <w:highlight w:val="none"/>
              </w:rPr>
              <w:t>财库〔2014〕68号</w:t>
            </w:r>
            <w:r>
              <w:rPr>
                <w:rFonts w:hint="eastAsia" w:ascii="宋体" w:hAnsi="宋体" w:cs="宋体"/>
                <w:color w:val="auto"/>
                <w:sz w:val="24"/>
                <w:highlight w:val="none"/>
                <w:lang w:eastAsia="zh-CN"/>
              </w:rPr>
              <w:t>）</w:t>
            </w:r>
            <w:r>
              <w:rPr>
                <w:rFonts w:hint="eastAsia" w:ascii="宋体" w:hAnsi="宋体" w:cs="宋体"/>
                <w:color w:val="auto"/>
                <w:sz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w:t>
            </w:r>
            <w:r>
              <w:rPr>
                <w:rFonts w:hint="eastAsia" w:ascii="宋体" w:hAnsi="宋体" w:cs="宋体"/>
                <w:color w:val="auto"/>
                <w:sz w:val="24"/>
                <w:highlight w:val="none"/>
                <w:lang w:eastAsia="zh-CN"/>
              </w:rPr>
              <w:t>、</w:t>
            </w:r>
            <w:r>
              <w:rPr>
                <w:rFonts w:hint="eastAsia" w:hAnsi="宋体" w:cs="宋体"/>
                <w:color w:val="auto"/>
                <w:sz w:val="24"/>
                <w:szCs w:val="24"/>
                <w:highlight w:val="none"/>
                <w:lang w:val="en-US" w:eastAsia="zh-CN"/>
              </w:rPr>
              <w:t>《</w:t>
            </w:r>
            <w:r>
              <w:rPr>
                <w:rFonts w:hint="eastAsia" w:hAnsi="宋体" w:cs="宋体"/>
                <w:color w:val="auto"/>
                <w:sz w:val="24"/>
                <w:szCs w:val="24"/>
                <w:highlight w:val="none"/>
              </w:rPr>
              <w:t>国务院办公厅关于在政府采购中实施本国产品标准及相关政策的通知</w:t>
            </w:r>
            <w:r>
              <w:rPr>
                <w:rFonts w:hint="eastAsia" w:hAnsi="宋体" w:cs="宋体"/>
                <w:color w:val="auto"/>
                <w:sz w:val="24"/>
                <w:szCs w:val="24"/>
                <w:highlight w:val="none"/>
                <w:lang w:val="en-US" w:eastAsia="zh-CN"/>
              </w:rPr>
              <w:t>》</w:t>
            </w:r>
            <w:r>
              <w:rPr>
                <w:rFonts w:hint="eastAsia" w:hAnsi="宋体" w:cs="宋体"/>
                <w:color w:val="auto"/>
                <w:sz w:val="24"/>
                <w:szCs w:val="24"/>
                <w:highlight w:val="none"/>
                <w:lang w:eastAsia="zh-CN"/>
              </w:rPr>
              <w:t>（国办发〔2025〕34号）</w:t>
            </w:r>
            <w:r>
              <w:rPr>
                <w:rFonts w:hint="eastAsia" w:hAnsi="宋体" w:cs="宋体"/>
                <w:color w:val="auto"/>
                <w:sz w:val="24"/>
                <w:szCs w:val="24"/>
                <w:highlight w:val="none"/>
                <w:lang w:val="en-US" w:eastAsia="zh-CN"/>
              </w:rPr>
              <w:t>及</w:t>
            </w:r>
            <w:r>
              <w:rPr>
                <w:rFonts w:hint="eastAsia" w:hAnsi="宋体" w:cs="宋体"/>
                <w:color w:val="auto"/>
                <w:sz w:val="24"/>
                <w:szCs w:val="24"/>
                <w:highlight w:val="none"/>
              </w:rPr>
              <w:t>《财政部关于贯彻落实&lt;国务院办公厅关于在政府采购中实施本国产品标准及相关政策的通知&gt;的意见》(财库〔2025〕30号)</w:t>
            </w:r>
            <w:r>
              <w:rPr>
                <w:rFonts w:hint="eastAsia" w:ascii="宋体" w:hAnsi="宋体" w:cs="宋体"/>
                <w:color w:val="auto"/>
                <w:sz w:val="24"/>
                <w:highlight w:val="none"/>
              </w:rPr>
              <w:t>等。</w:t>
            </w:r>
          </w:p>
        </w:tc>
      </w:tr>
    </w:tbl>
    <w:p w14:paraId="592C9315">
      <w:pPr>
        <w:pStyle w:val="10"/>
        <w:rPr>
          <w:color w:val="auto"/>
          <w:highlight w:val="none"/>
        </w:rPr>
        <w:sectPr>
          <w:pgSz w:w="11906" w:h="16838"/>
          <w:pgMar w:top="1440" w:right="1080" w:bottom="1440" w:left="1080" w:header="851" w:footer="992" w:gutter="0"/>
          <w:pgNumType w:fmt="decimal"/>
          <w:cols w:space="425" w:num="1"/>
          <w:docGrid w:type="lines" w:linePitch="312" w:charSpace="0"/>
        </w:sectPr>
      </w:pPr>
    </w:p>
    <w:p w14:paraId="510E3F9E">
      <w:pPr>
        <w:pStyle w:val="4"/>
        <w:numPr>
          <w:ilvl w:val="2"/>
          <w:numId w:val="0"/>
        </w:numPr>
        <w:tabs>
          <w:tab w:val="clear" w:pos="900"/>
        </w:tabs>
        <w:rPr>
          <w:rFonts w:eastAsia="Times New Roman"/>
          <w:color w:val="auto"/>
          <w:highlight w:val="none"/>
        </w:rPr>
      </w:pPr>
      <w:r>
        <w:rPr>
          <w:rFonts w:hint="eastAsia" w:eastAsia="Times New Roman"/>
          <w:color w:val="auto"/>
          <w:highlight w:val="none"/>
        </w:rPr>
        <w:t>1. 总则</w:t>
      </w:r>
    </w:p>
    <w:p w14:paraId="02791E77">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51" w:name="_Toc31335"/>
      <w:bookmarkEnd w:id="51"/>
      <w:bookmarkStart w:id="52" w:name="_Toc700"/>
      <w:r>
        <w:rPr>
          <w:rFonts w:hint="eastAsia" w:asciiTheme="minorEastAsia" w:hAnsiTheme="minorEastAsia" w:eastAsiaTheme="minorEastAsia" w:cstheme="minorEastAsia"/>
          <w:color w:val="auto"/>
          <w:szCs w:val="28"/>
          <w:highlight w:val="none"/>
        </w:rPr>
        <w:t>1.1 项目概况</w:t>
      </w:r>
      <w:bookmarkEnd w:id="52"/>
    </w:p>
    <w:p w14:paraId="4FDD786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1.1.1根据《中华人民共和国政府采购法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中华人民共和国政府采购法实施条例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政府采购货物和服务招标投标管理办法》（财政部令第87号）等有关</w:t>
      </w:r>
      <w:r>
        <w:rPr>
          <w:rFonts w:hint="eastAsia" w:asciiTheme="minorEastAsia" w:hAnsiTheme="minorEastAsia" w:eastAsiaTheme="minorEastAsia" w:cstheme="minorEastAsia"/>
          <w:color w:val="auto"/>
          <w:sz w:val="24"/>
          <w:highlight w:val="none"/>
          <w:lang w:eastAsia="zh-CN"/>
        </w:rPr>
        <w:t>法律法规</w:t>
      </w:r>
      <w:r>
        <w:rPr>
          <w:rFonts w:hint="eastAsia" w:asciiTheme="minorEastAsia" w:hAnsiTheme="minorEastAsia" w:eastAsiaTheme="minorEastAsia" w:cstheme="minorEastAsia"/>
          <w:color w:val="auto"/>
          <w:sz w:val="24"/>
          <w:highlight w:val="none"/>
        </w:rPr>
        <w:t>和规章的规定，本招标项目已具备招标条件，现对本项目进行招标。</w:t>
      </w:r>
    </w:p>
    <w:p w14:paraId="236D39D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采购人：见投标人须知前附表。</w:t>
      </w:r>
    </w:p>
    <w:p w14:paraId="75A91EDB">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采购代理机构：见投标人须知前附表。</w:t>
      </w:r>
    </w:p>
    <w:p w14:paraId="37E9DED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采购</w:t>
      </w:r>
      <w:r>
        <w:rPr>
          <w:rFonts w:hint="eastAsia" w:ascii="宋体" w:hAnsi="宋体" w:cs="宋体"/>
          <w:color w:val="auto"/>
          <w:sz w:val="24"/>
          <w:highlight w:val="none"/>
        </w:rPr>
        <w:t>项目名称</w:t>
      </w:r>
      <w:r>
        <w:rPr>
          <w:rFonts w:hint="eastAsia" w:asciiTheme="minorEastAsia" w:hAnsiTheme="minorEastAsia" w:eastAsiaTheme="minorEastAsia" w:cstheme="minorEastAsia"/>
          <w:color w:val="auto"/>
          <w:sz w:val="24"/>
          <w:highlight w:val="none"/>
        </w:rPr>
        <w:t>：见投标人须知前附表。</w:t>
      </w:r>
    </w:p>
    <w:p w14:paraId="044B559F">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53" w:name="_Toc27395"/>
      <w:bookmarkEnd w:id="53"/>
      <w:bookmarkStart w:id="54" w:name="_Toc28747"/>
      <w:r>
        <w:rPr>
          <w:rFonts w:hint="eastAsia" w:asciiTheme="minorEastAsia" w:hAnsiTheme="minorEastAsia" w:eastAsiaTheme="minorEastAsia" w:cstheme="minorEastAsia"/>
          <w:color w:val="auto"/>
          <w:szCs w:val="28"/>
          <w:highlight w:val="none"/>
        </w:rPr>
        <w:t>1.2 招标项目的资金情况</w:t>
      </w:r>
      <w:bookmarkEnd w:id="54"/>
    </w:p>
    <w:p w14:paraId="09C31C1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 资金来源及落实情况：见投标人须知前附表。</w:t>
      </w:r>
    </w:p>
    <w:p w14:paraId="4BB9F92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 预算金额：见投标人须知前附表。</w:t>
      </w:r>
    </w:p>
    <w:p w14:paraId="75F87952">
      <w:pPr>
        <w:pStyle w:val="4"/>
        <w:numPr>
          <w:ilvl w:val="2"/>
          <w:numId w:val="0"/>
        </w:numPr>
        <w:tabs>
          <w:tab w:val="clear" w:pos="900"/>
        </w:tabs>
        <w:spacing w:before="0"/>
        <w:rPr>
          <w:rFonts w:hint="eastAsia" w:asciiTheme="minorEastAsia" w:hAnsiTheme="minorEastAsia" w:eastAsiaTheme="minorEastAsia" w:cstheme="minorEastAsia"/>
          <w:color w:val="auto"/>
          <w:szCs w:val="28"/>
          <w:highlight w:val="none"/>
          <w:lang w:eastAsia="zh-CN"/>
        </w:rPr>
      </w:pPr>
      <w:bookmarkStart w:id="55" w:name="_Toc16064"/>
      <w:bookmarkEnd w:id="55"/>
      <w:bookmarkStart w:id="56" w:name="_Toc17694"/>
      <w:bookmarkEnd w:id="56"/>
      <w:bookmarkStart w:id="57" w:name="_Toc16202"/>
      <w:bookmarkEnd w:id="57"/>
      <w:bookmarkStart w:id="58" w:name="_Toc179632549"/>
      <w:bookmarkStart w:id="59" w:name="_Toc152042308"/>
      <w:bookmarkStart w:id="60" w:name="_Toc246996921"/>
      <w:bookmarkStart w:id="61" w:name="_Toc247085692"/>
      <w:bookmarkStart w:id="62" w:name="_Toc33640250"/>
      <w:bookmarkStart w:id="63" w:name="_Toc482706203"/>
      <w:bookmarkStart w:id="64" w:name="_Toc152045532"/>
      <w:bookmarkStart w:id="65" w:name="_Toc246996178"/>
      <w:bookmarkStart w:id="66" w:name="_Toc144974500"/>
      <w:bookmarkStart w:id="67" w:name="_Toc10611"/>
      <w:r>
        <w:rPr>
          <w:rFonts w:hint="eastAsia" w:asciiTheme="minorEastAsia" w:hAnsiTheme="minorEastAsia" w:eastAsiaTheme="minorEastAsia" w:cstheme="minorEastAsia"/>
          <w:color w:val="auto"/>
          <w:szCs w:val="28"/>
          <w:highlight w:val="none"/>
        </w:rPr>
        <w:t>1.3 采购内容、合同履行期限、质量要求</w:t>
      </w:r>
      <w:bookmarkEnd w:id="58"/>
      <w:bookmarkEnd w:id="59"/>
      <w:bookmarkEnd w:id="60"/>
      <w:bookmarkEnd w:id="61"/>
      <w:bookmarkEnd w:id="62"/>
      <w:bookmarkEnd w:id="63"/>
      <w:bookmarkEnd w:id="64"/>
      <w:bookmarkEnd w:id="65"/>
      <w:bookmarkEnd w:id="66"/>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lang w:eastAsia="zh-CN"/>
        </w:rPr>
        <w:t>供货地点</w:t>
      </w:r>
    </w:p>
    <w:p w14:paraId="44CC201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本次采购内容：见投标人须知前附表。</w:t>
      </w:r>
    </w:p>
    <w:p w14:paraId="1DFA6649">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本招标项目的合同履行期限：见投标人须知前附表。</w:t>
      </w:r>
    </w:p>
    <w:p w14:paraId="1C47C64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本招标项目的质量要求：见投标人须知前附表。</w:t>
      </w:r>
    </w:p>
    <w:p w14:paraId="56D2DD1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本招标项目的</w:t>
      </w:r>
      <w:r>
        <w:rPr>
          <w:rFonts w:hint="eastAsia" w:asciiTheme="minorEastAsia" w:hAnsiTheme="minorEastAsia" w:eastAsiaTheme="minorEastAsia" w:cstheme="minorEastAsia"/>
          <w:color w:val="auto"/>
          <w:sz w:val="24"/>
          <w:highlight w:val="none"/>
          <w:lang w:eastAsia="zh-CN"/>
        </w:rPr>
        <w:t>供货地点</w:t>
      </w:r>
      <w:r>
        <w:rPr>
          <w:rFonts w:hint="eastAsia" w:asciiTheme="minorEastAsia" w:hAnsiTheme="minorEastAsia" w:eastAsiaTheme="minorEastAsia" w:cstheme="minorEastAsia"/>
          <w:color w:val="auto"/>
          <w:sz w:val="24"/>
          <w:highlight w:val="none"/>
        </w:rPr>
        <w:t>：见投标人须知前附表。</w:t>
      </w:r>
    </w:p>
    <w:p w14:paraId="3BC328F7">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1.4 投标人资格要求</w:t>
      </w:r>
      <w:bookmarkEnd w:id="67"/>
    </w:p>
    <w:p w14:paraId="2F66FC6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投标人应具备承担本项目的资格条件。</w:t>
      </w:r>
    </w:p>
    <w:p w14:paraId="4E4C4BF8">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投标人须知前附表规定接受联合体投标的，联合体除应符合本章第1.4.1 项；</w:t>
      </w:r>
    </w:p>
    <w:p w14:paraId="4A1AC5C7">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68" w:name="_Toc27960"/>
      <w:bookmarkEnd w:id="68"/>
      <w:bookmarkStart w:id="69" w:name="_Toc18144"/>
      <w:r>
        <w:rPr>
          <w:rFonts w:hint="eastAsia" w:asciiTheme="minorEastAsia" w:hAnsiTheme="minorEastAsia" w:eastAsiaTheme="minorEastAsia" w:cstheme="minorEastAsia"/>
          <w:color w:val="auto"/>
          <w:szCs w:val="28"/>
          <w:highlight w:val="none"/>
        </w:rPr>
        <w:t>1.5 费用承担</w:t>
      </w:r>
      <w:bookmarkEnd w:id="69"/>
    </w:p>
    <w:p w14:paraId="721CCFE9">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投标人准备和参加投标活动发生的费用自理。</w:t>
      </w:r>
    </w:p>
    <w:p w14:paraId="01A88E0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70" w:name="_Toc6230"/>
      <w:bookmarkEnd w:id="70"/>
      <w:bookmarkStart w:id="71" w:name="_Toc16680"/>
      <w:r>
        <w:rPr>
          <w:rFonts w:hint="eastAsia" w:asciiTheme="minorEastAsia" w:hAnsiTheme="minorEastAsia" w:eastAsiaTheme="minorEastAsia" w:cstheme="minorEastAsia"/>
          <w:color w:val="auto"/>
          <w:szCs w:val="28"/>
          <w:highlight w:val="none"/>
        </w:rPr>
        <w:t>1.6 保密</w:t>
      </w:r>
      <w:bookmarkEnd w:id="71"/>
    </w:p>
    <w:p w14:paraId="3F39B191">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参与招标投标活动的各方应对招标文件和投标文件中的商业和技术等秘密保密，则应承担相应的法律责任。</w:t>
      </w:r>
    </w:p>
    <w:p w14:paraId="35DC1243">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72" w:name="_Toc31781"/>
      <w:bookmarkEnd w:id="72"/>
      <w:bookmarkStart w:id="73" w:name="_Toc787"/>
      <w:r>
        <w:rPr>
          <w:rFonts w:hint="eastAsia" w:asciiTheme="minorEastAsia" w:hAnsiTheme="minorEastAsia" w:eastAsiaTheme="minorEastAsia" w:cstheme="minorEastAsia"/>
          <w:color w:val="auto"/>
          <w:szCs w:val="28"/>
          <w:highlight w:val="none"/>
        </w:rPr>
        <w:t>1.7 语言文字</w:t>
      </w:r>
      <w:bookmarkEnd w:id="73"/>
    </w:p>
    <w:p w14:paraId="515FB5C9">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招标投标文件使用的语言文字为中文。专用术语使用外文的，应附有中文注释。</w:t>
      </w:r>
    </w:p>
    <w:p w14:paraId="18F797CF">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74" w:name="_Toc29423"/>
      <w:bookmarkEnd w:id="74"/>
      <w:bookmarkStart w:id="75" w:name="_Toc29116"/>
      <w:r>
        <w:rPr>
          <w:rFonts w:hint="eastAsia" w:asciiTheme="minorEastAsia" w:hAnsiTheme="minorEastAsia" w:eastAsiaTheme="minorEastAsia" w:cstheme="minorEastAsia"/>
          <w:color w:val="auto"/>
          <w:szCs w:val="28"/>
          <w:highlight w:val="none"/>
        </w:rPr>
        <w:t>1.8 计量单位</w:t>
      </w:r>
      <w:bookmarkEnd w:id="75"/>
    </w:p>
    <w:p w14:paraId="37B31182">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所有计量均采用中华人民共和国法定计量单位。</w:t>
      </w:r>
    </w:p>
    <w:p w14:paraId="5B05724A">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76" w:name="_Toc29812"/>
      <w:bookmarkEnd w:id="76"/>
      <w:bookmarkStart w:id="77" w:name="_Toc296602429"/>
      <w:bookmarkEnd w:id="77"/>
      <w:bookmarkStart w:id="78" w:name="_Toc247592876"/>
      <w:bookmarkEnd w:id="78"/>
      <w:bookmarkStart w:id="79" w:name="_Toc144974507"/>
      <w:bookmarkEnd w:id="79"/>
      <w:bookmarkStart w:id="80" w:name="_Toc247513962"/>
      <w:bookmarkEnd w:id="80"/>
      <w:bookmarkStart w:id="81" w:name="_Toc152042315"/>
      <w:bookmarkEnd w:id="81"/>
      <w:bookmarkStart w:id="82" w:name="_Toc152045539"/>
      <w:bookmarkEnd w:id="82"/>
      <w:bookmarkStart w:id="83" w:name="_Toc247527563"/>
      <w:bookmarkEnd w:id="83"/>
      <w:bookmarkStart w:id="84" w:name="_Toc29408"/>
      <w:r>
        <w:rPr>
          <w:rFonts w:hint="eastAsia" w:asciiTheme="minorEastAsia" w:hAnsiTheme="minorEastAsia" w:eastAsiaTheme="minorEastAsia" w:cstheme="minorEastAsia"/>
          <w:color w:val="auto"/>
          <w:szCs w:val="28"/>
          <w:highlight w:val="none"/>
        </w:rPr>
        <w:t>1.9 现场</w:t>
      </w:r>
      <w:bookmarkEnd w:id="84"/>
      <w:r>
        <w:rPr>
          <w:rFonts w:hint="eastAsia" w:asciiTheme="minorEastAsia" w:hAnsiTheme="minorEastAsia" w:eastAsiaTheme="minorEastAsia" w:cstheme="minorEastAsia"/>
          <w:color w:val="auto"/>
          <w:szCs w:val="28"/>
          <w:highlight w:val="none"/>
        </w:rPr>
        <w:t>考察</w:t>
      </w:r>
    </w:p>
    <w:p w14:paraId="5B320FC9">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 投标人须知前附表规定组织现场考察的，采购人按投标人须知前附表规定的时间、地点组织投标人考察项目现场。</w:t>
      </w:r>
    </w:p>
    <w:p w14:paraId="4C3FE25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投标人考察现场发生的费用自理。</w:t>
      </w:r>
    </w:p>
    <w:p w14:paraId="58E9D35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 除采购人的原因外，投标人自行负责在考察现场中所发生的人员伤亡和财产损失。</w:t>
      </w:r>
    </w:p>
    <w:p w14:paraId="3E093AF7">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 采购人在考察现场中介绍的项目场地和相关的周边环境情况，供投标人在编制投标文件时参考，采购人不对投标人据此作出的判断和决策负责。</w:t>
      </w:r>
    </w:p>
    <w:p w14:paraId="204A1F5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85" w:name="_Toc587"/>
      <w:bookmarkEnd w:id="85"/>
      <w:bookmarkStart w:id="86" w:name="_Toc31848"/>
      <w:bookmarkEnd w:id="86"/>
      <w:r>
        <w:rPr>
          <w:rFonts w:hint="eastAsia" w:asciiTheme="minorEastAsia" w:hAnsiTheme="minorEastAsia" w:eastAsiaTheme="minorEastAsia" w:cstheme="minorEastAsia"/>
          <w:color w:val="auto"/>
          <w:szCs w:val="28"/>
          <w:highlight w:val="none"/>
        </w:rPr>
        <w:t>1.10 投标预备会</w:t>
      </w:r>
    </w:p>
    <w:p w14:paraId="3CB2666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1.10.1 投标人须知前附表规定召开投标预备会的，采购人按投标人须知前附表规定的时间和地点召开投标预备会，澄清投标人提出的问题。</w:t>
      </w:r>
    </w:p>
    <w:p w14:paraId="0FA268C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1.10.2 投标人应按投标人须知前附表规定的时间和形式将提出的问题送达采购人，以便招标人在会议期间澄清。</w:t>
      </w:r>
    </w:p>
    <w:p w14:paraId="5F24DBF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1.10.3 投标预备会后，采购人将对投标人所提问题的澄清，以投标人须知前附表规定的形式通知所有购买招标文件的投标人。该澄清内容为招标文件的组成部分。</w:t>
      </w:r>
    </w:p>
    <w:p w14:paraId="738AB49E">
      <w:pPr>
        <w:pStyle w:val="4"/>
        <w:numPr>
          <w:ilvl w:val="2"/>
          <w:numId w:val="0"/>
        </w:numPr>
        <w:tabs>
          <w:tab w:val="clear" w:pos="900"/>
        </w:tabs>
        <w:spacing w:before="0"/>
        <w:rPr>
          <w:rFonts w:hint="eastAsia" w:asciiTheme="minorEastAsia" w:hAnsiTheme="minorEastAsia" w:eastAsiaTheme="minorEastAsia" w:cstheme="minorEastAsia"/>
          <w:color w:val="auto"/>
          <w:szCs w:val="28"/>
          <w:highlight w:val="none"/>
          <w:lang w:eastAsia="zh-CN"/>
        </w:rPr>
      </w:pPr>
      <w:r>
        <w:rPr>
          <w:rFonts w:hint="eastAsia" w:asciiTheme="minorEastAsia" w:hAnsiTheme="minorEastAsia" w:eastAsiaTheme="minorEastAsia" w:cstheme="minorEastAsia"/>
          <w:color w:val="auto"/>
          <w:szCs w:val="28"/>
          <w:highlight w:val="none"/>
        </w:rPr>
        <w:t>1.11 分包</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本项目不允许</w:t>
      </w:r>
      <w:r>
        <w:rPr>
          <w:rFonts w:hint="eastAsia" w:asciiTheme="minorEastAsia" w:hAnsiTheme="minorEastAsia" w:eastAsiaTheme="minorEastAsia" w:cstheme="minorEastAsia"/>
          <w:color w:val="auto"/>
          <w:szCs w:val="28"/>
          <w:highlight w:val="none"/>
          <w:lang w:eastAsia="zh-CN"/>
        </w:rPr>
        <w:t>）</w:t>
      </w:r>
    </w:p>
    <w:p w14:paraId="55E103C1">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1.11.1 投标人拟在中标后将中标项目的非主体、非关键性设计工作进行分包的，应符合投标人须知前附表规定的分包内容、分包金额和资质要求等限制性条件，除投标人须知前附表规 定的非主体、非关键性设计工作外，其他工作不得分包。</w:t>
      </w:r>
    </w:p>
    <w:p w14:paraId="673B50F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1.11.2 中标人不得向他人转让中标项目，接受分包的人不得再次分包。中标人应当就分包项目向采购人负责，接受分包的人就分包项目承担连带责任。</w:t>
      </w:r>
    </w:p>
    <w:p w14:paraId="6E1B860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1.12 响应和偏差</w:t>
      </w:r>
    </w:p>
    <w:p w14:paraId="7E9FF38D">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1.12.1 投标文件应当对招标文件的实质性要求和条件作出满足性或更有利于采购人的响应，否则，投标人的投标将被否决。实质性要求和条件见投标人须知前附表。</w:t>
      </w:r>
    </w:p>
    <w:p w14:paraId="71CC49C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1.12.2 投标人应根据招标文件的要求提供投标设计方案等内容以对招标文件作出响应。</w:t>
      </w:r>
    </w:p>
    <w:p w14:paraId="23C9A05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1.12.3 投标人须知前附表允许投标文件偏离招标文件某些要求的，偏差应当符合招标文件规定的偏差范围和幅度。</w:t>
      </w:r>
    </w:p>
    <w:p w14:paraId="0E6586C1">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87" w:name="_Toc32012"/>
      <w:bookmarkEnd w:id="87"/>
      <w:bookmarkStart w:id="88" w:name="_Toc31795"/>
      <w:bookmarkEnd w:id="88"/>
      <w:bookmarkStart w:id="89" w:name="_Toc29767"/>
      <w:bookmarkStart w:id="90" w:name="_Toc31733"/>
      <w:r>
        <w:rPr>
          <w:rFonts w:hint="eastAsia" w:asciiTheme="minorEastAsia" w:hAnsiTheme="minorEastAsia" w:eastAsiaTheme="minorEastAsia" w:cstheme="minorEastAsia"/>
          <w:color w:val="auto"/>
          <w:szCs w:val="28"/>
          <w:highlight w:val="none"/>
        </w:rPr>
        <w:t>2. 招标文件</w:t>
      </w:r>
      <w:bookmarkEnd w:id="89"/>
      <w:bookmarkEnd w:id="90"/>
    </w:p>
    <w:p w14:paraId="3FCD47E0">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91" w:name="_Toc21536"/>
      <w:bookmarkEnd w:id="91"/>
      <w:bookmarkStart w:id="92" w:name="_Toc16596"/>
      <w:r>
        <w:rPr>
          <w:rFonts w:hint="eastAsia" w:asciiTheme="minorEastAsia" w:hAnsiTheme="minorEastAsia" w:eastAsiaTheme="minorEastAsia" w:cstheme="minorEastAsia"/>
          <w:color w:val="auto"/>
          <w:szCs w:val="28"/>
          <w:highlight w:val="none"/>
        </w:rPr>
        <w:t>2.1 招标文件的组成</w:t>
      </w:r>
      <w:bookmarkEnd w:id="92"/>
    </w:p>
    <w:p w14:paraId="4CDFF5A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本招标文件包括：</w:t>
      </w:r>
    </w:p>
    <w:p w14:paraId="0574ADF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（1）招标公告；</w:t>
      </w:r>
    </w:p>
    <w:p w14:paraId="1958D35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（2）投标人须知；</w:t>
      </w:r>
    </w:p>
    <w:p w14:paraId="226549E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（3）评标办法；</w:t>
      </w:r>
    </w:p>
    <w:p w14:paraId="0234A819">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（4）合同条款；</w:t>
      </w:r>
    </w:p>
    <w:p w14:paraId="5308B36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（5）采购需求；</w:t>
      </w:r>
    </w:p>
    <w:p w14:paraId="44EFF471">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（6）投标文件格式；</w:t>
      </w:r>
    </w:p>
    <w:p w14:paraId="138F0A2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根据本章第2.2款和第2.3款对招标文件所</w:t>
      </w:r>
      <w:r>
        <w:rPr>
          <w:rFonts w:hint="eastAsia" w:asciiTheme="minorEastAsia" w:hAnsiTheme="minorEastAsia" w:eastAsiaTheme="minorEastAsia" w:cstheme="minorEastAsia"/>
          <w:color w:val="auto"/>
          <w:sz w:val="24"/>
          <w:highlight w:val="none"/>
          <w:lang w:eastAsia="zh-CN"/>
        </w:rPr>
        <w:t>做</w:t>
      </w:r>
      <w:r>
        <w:rPr>
          <w:rFonts w:hint="eastAsia" w:asciiTheme="minorEastAsia" w:hAnsiTheme="minorEastAsia" w:eastAsiaTheme="minorEastAsia" w:cstheme="minorEastAsia"/>
          <w:color w:val="auto"/>
          <w:sz w:val="24"/>
          <w:highlight w:val="none"/>
        </w:rPr>
        <w:t>的澄清、修改，构成招标文件的组成部分。</w:t>
      </w:r>
    </w:p>
    <w:p w14:paraId="7D2FB168">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93" w:name="_Toc23003"/>
      <w:bookmarkEnd w:id="93"/>
      <w:bookmarkStart w:id="94" w:name="_Toc13591"/>
      <w:r>
        <w:rPr>
          <w:rFonts w:hint="eastAsia" w:asciiTheme="minorEastAsia" w:hAnsiTheme="minorEastAsia" w:eastAsiaTheme="minorEastAsia" w:cstheme="minorEastAsia"/>
          <w:color w:val="auto"/>
          <w:szCs w:val="28"/>
          <w:highlight w:val="none"/>
        </w:rPr>
        <w:t>2.2投标人提疑</w:t>
      </w:r>
    </w:p>
    <w:p w14:paraId="39702620">
      <w:pPr>
        <w:pStyle w:val="7"/>
        <w:wordWrap w:val="0"/>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投标人应仔细阅读和检查招标文件的全部内容。如发现缺页或附件不全，应及时向采购人提出，以便补齐。如有疑问，应在投标人须知前附表规定的时间前</w:t>
      </w:r>
      <w:r>
        <w:rPr>
          <w:rFonts w:hint="eastAsia" w:ascii="宋体" w:hAnsi="宋体" w:cs="宋体"/>
          <w:color w:val="auto"/>
          <w:sz w:val="24"/>
          <w:highlight w:val="none"/>
        </w:rPr>
        <w:t>登录“政府采购云平台（https://www.zcygov.cn/）”线上提出</w:t>
      </w:r>
      <w:r>
        <w:rPr>
          <w:rFonts w:hint="eastAsia" w:asciiTheme="minorEastAsia" w:hAnsiTheme="minorEastAsia" w:eastAsiaTheme="minorEastAsia" w:cstheme="minorEastAsia"/>
          <w:color w:val="auto"/>
          <w:sz w:val="24"/>
          <w:highlight w:val="none"/>
        </w:rPr>
        <w:t>，要求采购人对招标文件予以澄清。</w:t>
      </w:r>
      <w:r>
        <w:rPr>
          <w:rFonts w:hint="eastAsia" w:ascii="宋体" w:hAnsi="宋体" w:cs="宋体"/>
          <w:color w:val="auto"/>
          <w:sz w:val="24"/>
          <w:highlight w:val="none"/>
          <w:lang w:val="en-US" w:eastAsia="zh-CN"/>
        </w:rPr>
        <w:t>（注：政府采购云平台尚未开通地域，投标人联系代理机构采用书面方式提出）</w:t>
      </w:r>
    </w:p>
    <w:p w14:paraId="292CF155">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2.3 招标文件的澄清或修改</w:t>
      </w:r>
    </w:p>
    <w:bookmarkEnd w:id="94"/>
    <w:p w14:paraId="14E2232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2.3.1采购人或者采购代理机构可以对已发出的招标文件进行必要的澄清或者修改，但不得改变采购标的和资格条件。</w:t>
      </w:r>
    </w:p>
    <w:p w14:paraId="193C08E8">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2.3.2招标文件的修改</w:t>
      </w:r>
    </w:p>
    <w:p w14:paraId="0A3398D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（1）采购人对</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中内容做出变更，将同时发布补遗文件进行说明。</w:t>
      </w:r>
    </w:p>
    <w:p w14:paraId="091FE20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澄清或者修改的内容可能影响投标文件编制的，采购人或者采购代理机构应当在投标截止时间至少15日前，不足15日的，采购人或者采购代理机构应当顺延提交投标文件的截止时间。在公告发布媒介上发布澄清公告，所有获取招标文件的潜在投标人自行查看，不再另行通知，因各投标人未及时上网看到更正公告或者下载补充（变更）通知的后果由投标人自行承担。</w:t>
      </w:r>
    </w:p>
    <w:p w14:paraId="3928B584">
      <w:pPr>
        <w:spacing w:line="360" w:lineRule="auto"/>
        <w:rPr>
          <w:rFonts w:asciiTheme="minorEastAsia" w:hAnsiTheme="minorEastAsia" w:eastAsiaTheme="minorEastAsia" w:cstheme="minorEastAsia"/>
          <w:b/>
          <w:color w:val="auto"/>
          <w:kern w:val="0"/>
          <w:sz w:val="28"/>
          <w:szCs w:val="28"/>
          <w:highlight w:val="none"/>
        </w:rPr>
      </w:pPr>
      <w:bookmarkStart w:id="95" w:name="_Toc17621"/>
      <w:bookmarkEnd w:id="95"/>
      <w:bookmarkStart w:id="96" w:name="_Toc16663"/>
      <w:bookmarkEnd w:id="96"/>
      <w:bookmarkStart w:id="97" w:name="_Toc24916"/>
      <w:bookmarkEnd w:id="97"/>
      <w:bookmarkStart w:id="98" w:name="_Toc29741"/>
      <w:bookmarkEnd w:id="98"/>
      <w:bookmarkStart w:id="99" w:name="_Toc13853"/>
      <w:bookmarkStart w:id="100" w:name="_Toc24768"/>
      <w:r>
        <w:rPr>
          <w:rFonts w:hint="eastAsia" w:asciiTheme="minorEastAsia" w:hAnsiTheme="minorEastAsia" w:eastAsiaTheme="minorEastAsia" w:cstheme="minorEastAsia"/>
          <w:b/>
          <w:color w:val="auto"/>
          <w:kern w:val="0"/>
          <w:sz w:val="28"/>
          <w:szCs w:val="28"/>
          <w:highlight w:val="none"/>
        </w:rPr>
        <w:t>3. 投标文件</w:t>
      </w:r>
      <w:bookmarkEnd w:id="99"/>
      <w:bookmarkEnd w:id="100"/>
    </w:p>
    <w:p w14:paraId="79DEA611">
      <w:pPr>
        <w:pStyle w:val="7"/>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详见本招标文件“第六章 投标文件格式”。</w:t>
      </w:r>
    </w:p>
    <w:p w14:paraId="0C875AA8">
      <w:pPr>
        <w:spacing w:line="360" w:lineRule="auto"/>
        <w:rPr>
          <w:rFonts w:asciiTheme="minorEastAsia" w:hAnsiTheme="minorEastAsia" w:eastAsiaTheme="minorEastAsia" w:cstheme="minorEastAsia"/>
          <w:b/>
          <w:color w:val="auto"/>
          <w:kern w:val="0"/>
          <w:sz w:val="28"/>
          <w:szCs w:val="28"/>
          <w:highlight w:val="none"/>
        </w:rPr>
      </w:pPr>
      <w:bookmarkStart w:id="101" w:name="_Toc21369"/>
      <w:r>
        <w:rPr>
          <w:rFonts w:hint="eastAsia" w:asciiTheme="minorEastAsia" w:hAnsiTheme="minorEastAsia" w:eastAsiaTheme="minorEastAsia" w:cstheme="minorEastAsia"/>
          <w:b/>
          <w:color w:val="auto"/>
          <w:kern w:val="0"/>
          <w:sz w:val="28"/>
          <w:szCs w:val="28"/>
          <w:highlight w:val="none"/>
        </w:rPr>
        <w:t>3.2 投标报价</w:t>
      </w:r>
      <w:bookmarkEnd w:id="101"/>
    </w:p>
    <w:p w14:paraId="297D89A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 投标人应按“第六章投标文件格式”的要求进行报价。</w:t>
      </w:r>
    </w:p>
    <w:p w14:paraId="29952E4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投标人应充分了解该项目的总体情况以及影响投标报价的其他要素。</w:t>
      </w:r>
    </w:p>
    <w:p w14:paraId="459016A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投标人的投标报价不得超过最高投标限价，若采购人还设有单价最高投标限价的，投标人的投标单价报价还应当不得超过单价最高投标限价，最高投标限价在投标人须知前附表中</w:t>
      </w:r>
      <w:r>
        <w:rPr>
          <w:rFonts w:hint="eastAsia" w:asciiTheme="minorEastAsia" w:hAnsiTheme="minorEastAsia" w:eastAsiaTheme="minorEastAsia" w:cstheme="minorEastAsia"/>
          <w:color w:val="auto"/>
          <w:sz w:val="24"/>
          <w:highlight w:val="none"/>
          <w:lang w:val="en-US" w:eastAsia="zh-CN"/>
        </w:rPr>
        <w:t>已</w:t>
      </w:r>
      <w:r>
        <w:rPr>
          <w:rFonts w:hint="eastAsia" w:asciiTheme="minorEastAsia" w:hAnsiTheme="minorEastAsia" w:eastAsiaTheme="minorEastAsia" w:cstheme="minorEastAsia"/>
          <w:color w:val="auto"/>
          <w:sz w:val="24"/>
          <w:highlight w:val="none"/>
        </w:rPr>
        <w:t>载明。</w:t>
      </w:r>
    </w:p>
    <w:p w14:paraId="05C471C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 投标报价的其他要求见投标人须知前附表。</w:t>
      </w:r>
    </w:p>
    <w:p w14:paraId="500601FE">
      <w:pPr>
        <w:spacing w:line="360" w:lineRule="auto"/>
        <w:rPr>
          <w:rFonts w:asciiTheme="minorEastAsia" w:hAnsiTheme="minorEastAsia" w:eastAsiaTheme="minorEastAsia" w:cstheme="minorEastAsia"/>
          <w:b/>
          <w:color w:val="auto"/>
          <w:kern w:val="0"/>
          <w:sz w:val="28"/>
          <w:szCs w:val="28"/>
          <w:highlight w:val="none"/>
        </w:rPr>
      </w:pPr>
      <w:bookmarkStart w:id="102" w:name="_Toc14190"/>
      <w:r>
        <w:rPr>
          <w:rFonts w:hint="eastAsia" w:asciiTheme="minorEastAsia" w:hAnsiTheme="minorEastAsia" w:eastAsiaTheme="minorEastAsia" w:cstheme="minorEastAsia"/>
          <w:b/>
          <w:color w:val="auto"/>
          <w:kern w:val="0"/>
          <w:sz w:val="28"/>
          <w:szCs w:val="28"/>
          <w:highlight w:val="none"/>
        </w:rPr>
        <w:t>3.3 投标有效期</w:t>
      </w:r>
      <w:bookmarkEnd w:id="102"/>
    </w:p>
    <w:p w14:paraId="05DAE25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3.3.1投标有效期见投标人须知前附表。</w:t>
      </w:r>
    </w:p>
    <w:p w14:paraId="7C1B050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3.3.2在投标有效期内，投标人撤销或修改其投标文件的，应承担招标文件和法律规定的责任。</w:t>
      </w:r>
    </w:p>
    <w:p w14:paraId="04DD719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6B948E90">
      <w:pPr>
        <w:spacing w:line="360" w:lineRule="auto"/>
        <w:rPr>
          <w:rFonts w:asciiTheme="minorEastAsia" w:hAnsiTheme="minorEastAsia" w:eastAsiaTheme="minorEastAsia" w:cstheme="minorEastAsia"/>
          <w:b/>
          <w:color w:val="auto"/>
          <w:kern w:val="0"/>
          <w:sz w:val="28"/>
          <w:szCs w:val="28"/>
          <w:highlight w:val="none"/>
        </w:rPr>
      </w:pPr>
      <w:bookmarkStart w:id="103" w:name="_Toc1543"/>
      <w:bookmarkEnd w:id="103"/>
      <w:bookmarkStart w:id="104" w:name="_Toc23125"/>
      <w:r>
        <w:rPr>
          <w:rFonts w:hint="eastAsia" w:asciiTheme="minorEastAsia" w:hAnsiTheme="minorEastAsia" w:eastAsiaTheme="minorEastAsia" w:cstheme="minorEastAsia"/>
          <w:b/>
          <w:color w:val="auto"/>
          <w:kern w:val="0"/>
          <w:sz w:val="28"/>
          <w:szCs w:val="28"/>
          <w:highlight w:val="none"/>
        </w:rPr>
        <w:t>3.4 投标保证金</w:t>
      </w:r>
      <w:bookmarkEnd w:id="104"/>
    </w:p>
    <w:p w14:paraId="43018C0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3.4.1投标人在</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投标文件的同时，应按投标人须知前附表规定的金额、形式和第六章“投标文件格式”规定的投标保证金格式</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投标保证金，并作为其投标文件的组成部分。联合体投标的，其投标保证金可以由牵头人</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w:t>
      </w:r>
    </w:p>
    <w:p w14:paraId="4073989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 投标人不按本章第3.4.1 项要求提交投标保证金的，其投标将被视为无效投标。</w:t>
      </w:r>
    </w:p>
    <w:p w14:paraId="5030310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3.4.3 采购人或者采购代理机构应当自</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发出之日起5个工作日内退还未中标人的投标保证金，自采购合同签订之日起5个工作日内退还中标人的投标保证金。</w:t>
      </w:r>
    </w:p>
    <w:p w14:paraId="1BE3F33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3.4.4 有下列情形之一的，投标保证金将不予退还：</w:t>
      </w:r>
    </w:p>
    <w:p w14:paraId="276A2EF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（1）投标人在投标有效期内撤销投标文件；</w:t>
      </w:r>
    </w:p>
    <w:p w14:paraId="0A5F6D4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（2）中标人在收到</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后，无正当理由不与采购人订立合同，在签订合同时向采购人提出附加条件，或者不按照招标文件要求提交履约保证金；</w:t>
      </w:r>
    </w:p>
    <w:p w14:paraId="0529BB3D">
      <w:pPr>
        <w:spacing w:line="360" w:lineRule="auto"/>
        <w:ind w:firstLine="480" w:firstLineChars="200"/>
        <w:rPr>
          <w:rFonts w:asciiTheme="minorEastAsia" w:hAnsiTheme="minorEastAsia" w:eastAsiaTheme="minorEastAsia" w:cstheme="minorEastAsia"/>
          <w:color w:val="auto"/>
          <w:sz w:val="24"/>
          <w:highlight w:val="none"/>
        </w:rPr>
      </w:pPr>
      <w:bookmarkStart w:id="105" w:name="_Toc32408"/>
      <w:bookmarkEnd w:id="105"/>
      <w:bookmarkStart w:id="106" w:name="_Toc4859"/>
      <w:r>
        <w:rPr>
          <w:rFonts w:hint="eastAsia" w:asciiTheme="minorEastAsia" w:hAnsiTheme="minorEastAsia" w:eastAsiaTheme="minorEastAsia" w:cstheme="minorEastAsia"/>
          <w:color w:val="auto"/>
          <w:sz w:val="24"/>
          <w:highlight w:val="none"/>
        </w:rPr>
        <w:t>（3）中标人中标未按招标文件的规定支付</w:t>
      </w:r>
      <w:r>
        <w:rPr>
          <w:rFonts w:hint="eastAsia" w:asciiTheme="minorEastAsia" w:hAnsiTheme="minorEastAsia" w:eastAsiaTheme="minorEastAsia" w:cstheme="minorEastAsia"/>
          <w:color w:val="auto"/>
          <w:sz w:val="24"/>
          <w:highlight w:val="none"/>
          <w:lang w:eastAsia="zh-CN"/>
        </w:rPr>
        <w:t>中标服务费</w:t>
      </w:r>
      <w:r>
        <w:rPr>
          <w:rFonts w:hint="eastAsia" w:asciiTheme="minorEastAsia" w:hAnsiTheme="minorEastAsia" w:eastAsiaTheme="minorEastAsia" w:cstheme="minorEastAsia"/>
          <w:color w:val="auto"/>
          <w:sz w:val="24"/>
          <w:highlight w:val="none"/>
        </w:rPr>
        <w:t>的；</w:t>
      </w:r>
    </w:p>
    <w:p w14:paraId="1225740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（4）其他法律法规要求不予退还投标保证金的情形。</w:t>
      </w:r>
    </w:p>
    <w:p w14:paraId="2D8F14A4">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3.5资格审查资料</w:t>
      </w:r>
    </w:p>
    <w:p w14:paraId="404B8290">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3.5.1资格审查方式：详见投标须知前附表</w:t>
      </w:r>
      <w:r>
        <w:rPr>
          <w:rFonts w:hint="eastAsia" w:asciiTheme="minorEastAsia" w:hAnsiTheme="minorEastAsia" w:eastAsiaTheme="minorEastAsia" w:cstheme="minorEastAsia"/>
          <w:color w:val="auto"/>
          <w:sz w:val="24"/>
          <w:highlight w:val="none"/>
          <w:lang w:eastAsia="zh-CN"/>
        </w:rPr>
        <w:t>。</w:t>
      </w:r>
    </w:p>
    <w:p w14:paraId="1577FB5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3.5.2除投标人须知前附表另有规定外，投标人应按“第六章 投标文件格式”规定提供资格审查资料，以证明其满足投标须知前附表1.4.1规定的资格要求。</w:t>
      </w:r>
    </w:p>
    <w:p w14:paraId="53889F9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3.5.3投标人须知前附表规定接受联合体投标的，投标须知前附表1.4.1项规定的资格要求包括联合体各方相关情况。</w:t>
      </w:r>
    </w:p>
    <w:bookmarkEnd w:id="106"/>
    <w:p w14:paraId="23ED9579">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3.6备选投标方案</w:t>
      </w:r>
    </w:p>
    <w:p w14:paraId="26F6038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除投标人须知前附表规定允许外，投标人不得</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备选投标方案，否则其投标将被否决。</w:t>
      </w:r>
    </w:p>
    <w:p w14:paraId="11711DD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 允许投标人</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备选投标方案的，只有中标人所</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的备选投标方案方可予以考虑。 评标委员会认为中标人的备选投标方案优于其按照招标文件要求编制的投标方案的，采购人可以接受该备选投标方案。</w:t>
      </w:r>
    </w:p>
    <w:p w14:paraId="0A7D7E2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3.6.3 投标人提供两个或两个以上投标报价，或者在投标文件中提供一个报价，但同时提供两个或两个以上设计方案的，视为提供备选方案。</w:t>
      </w:r>
    </w:p>
    <w:p w14:paraId="16AD2583">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07" w:name="_Toc7149"/>
      <w:bookmarkStart w:id="108" w:name="_Toc18302"/>
      <w:r>
        <w:rPr>
          <w:rFonts w:hint="eastAsia" w:asciiTheme="minorEastAsia" w:hAnsiTheme="minorEastAsia" w:eastAsiaTheme="minorEastAsia" w:cstheme="minorEastAsia"/>
          <w:color w:val="auto"/>
          <w:szCs w:val="28"/>
          <w:highlight w:val="none"/>
        </w:rPr>
        <w:t>3.7投标文件的编制</w:t>
      </w:r>
    </w:p>
    <w:p w14:paraId="52758F0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投标文件应按“第六章投标文件格式”进行编写。</w:t>
      </w:r>
    </w:p>
    <w:p w14:paraId="53C5129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投标文件应当对招标文件投标人须知前附表1.12.3规定的不允许偏离的实质性要求和条件作出响应。</w:t>
      </w:r>
    </w:p>
    <w:p w14:paraId="156E9E7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应安装“政采云投标客户端”，须按照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和政采云平台的要求编制投标文件。</w:t>
      </w:r>
    </w:p>
    <w:p w14:paraId="43BD8EB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3.7.4电子投标文件编制</w:t>
      </w:r>
      <w:r>
        <w:rPr>
          <w:rFonts w:hint="eastAsia" w:ascii="宋体" w:hAnsi="宋体" w:cs="宋体"/>
          <w:color w:val="auto"/>
          <w:sz w:val="24"/>
          <w:highlight w:val="none"/>
        </w:rPr>
        <w:t>：</w:t>
      </w:r>
      <w:r>
        <w:rPr>
          <w:rFonts w:hint="eastAsia" w:asciiTheme="minorEastAsia" w:hAnsiTheme="minorEastAsia" w:eastAsiaTheme="minorEastAsia" w:cstheme="minorEastAsia"/>
          <w:color w:val="auto"/>
          <w:sz w:val="24"/>
          <w:highlight w:val="none"/>
        </w:rPr>
        <w:t>见投标人须知前附表。</w:t>
      </w:r>
    </w:p>
    <w:p w14:paraId="62495496">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 投标</w:t>
      </w:r>
      <w:bookmarkEnd w:id="107"/>
      <w:bookmarkEnd w:id="108"/>
    </w:p>
    <w:p w14:paraId="692412C1">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09" w:name="_Toc1523"/>
      <w:bookmarkEnd w:id="109"/>
      <w:bookmarkStart w:id="110" w:name="_Toc25497"/>
      <w:r>
        <w:rPr>
          <w:rFonts w:hint="eastAsia" w:asciiTheme="minorEastAsia" w:hAnsiTheme="minorEastAsia" w:eastAsiaTheme="minorEastAsia" w:cstheme="minorEastAsia"/>
          <w:color w:val="auto"/>
          <w:szCs w:val="28"/>
          <w:highlight w:val="none"/>
        </w:rPr>
        <w:t xml:space="preserve">4.1 </w:t>
      </w:r>
      <w:bookmarkEnd w:id="110"/>
      <w:r>
        <w:rPr>
          <w:rFonts w:hint="eastAsia" w:asciiTheme="minorEastAsia" w:hAnsiTheme="minorEastAsia" w:eastAsiaTheme="minorEastAsia" w:cstheme="minorEastAsia"/>
          <w:color w:val="auto"/>
          <w:szCs w:val="28"/>
          <w:highlight w:val="none"/>
        </w:rPr>
        <w:t>投标文件的加密</w:t>
      </w:r>
    </w:p>
    <w:p w14:paraId="73AEC5FB">
      <w:pPr>
        <w:spacing w:line="360" w:lineRule="auto"/>
        <w:ind w:firstLine="480" w:firstLineChars="200"/>
        <w:rPr>
          <w:rFonts w:hint="eastAsia" w:asciiTheme="minorEastAsia" w:hAnsiTheme="minorEastAsia" w:eastAsiaTheme="minorEastAsia" w:cstheme="minorEastAsia"/>
          <w:color w:val="auto"/>
          <w:sz w:val="24"/>
          <w:highlight w:val="none"/>
        </w:rPr>
      </w:pPr>
      <w:bookmarkStart w:id="111" w:name="_Toc27596"/>
      <w:bookmarkEnd w:id="111"/>
      <w:r>
        <w:rPr>
          <w:rFonts w:hint="eastAsia" w:asciiTheme="minorEastAsia" w:hAnsiTheme="minorEastAsia" w:eastAsiaTheme="minorEastAsia" w:cstheme="minorEastAsia"/>
          <w:color w:val="auto"/>
          <w:sz w:val="24"/>
          <w:highlight w:val="none"/>
        </w:rPr>
        <w:t>4.1.1网上</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的投标文件需要对投标文件进行加密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详见</w:t>
      </w:r>
      <w:r>
        <w:rPr>
          <w:rFonts w:hint="eastAsia" w:asciiTheme="minorEastAsia" w:hAnsiTheme="minorEastAsia" w:eastAsiaTheme="minorEastAsia" w:cstheme="minorEastAsia"/>
          <w:color w:val="auto"/>
          <w:sz w:val="24"/>
          <w:highlight w:val="none"/>
        </w:rPr>
        <w:t>投标人须知前附表。</w:t>
      </w:r>
    </w:p>
    <w:p w14:paraId="693C729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4.1.2未按本章第4.1.1项要求</w:t>
      </w:r>
      <w:r>
        <w:rPr>
          <w:rFonts w:hint="eastAsia" w:asciiTheme="minorEastAsia" w:hAnsiTheme="minorEastAsia" w:eastAsiaTheme="minorEastAsia" w:cstheme="minorEastAsia"/>
          <w:color w:val="auto"/>
          <w:sz w:val="24"/>
          <w:highlight w:val="none"/>
          <w:lang w:val="en-US" w:eastAsia="zh-CN"/>
        </w:rPr>
        <w:t>加密</w:t>
      </w:r>
      <w:r>
        <w:rPr>
          <w:rFonts w:hint="eastAsia" w:asciiTheme="minorEastAsia" w:hAnsiTheme="minorEastAsia" w:eastAsiaTheme="minorEastAsia" w:cstheme="minorEastAsia"/>
          <w:color w:val="auto"/>
          <w:sz w:val="24"/>
          <w:highlight w:val="none"/>
        </w:rPr>
        <w:t>的投标文件，</w:t>
      </w: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不予受理。</w:t>
      </w:r>
    </w:p>
    <w:p w14:paraId="6579BD23">
      <w:pPr>
        <w:pStyle w:val="4"/>
        <w:numPr>
          <w:ilvl w:val="2"/>
          <w:numId w:val="0"/>
        </w:numPr>
        <w:tabs>
          <w:tab w:val="clear" w:pos="900"/>
        </w:tabs>
        <w:spacing w:before="0"/>
        <w:rPr>
          <w:rFonts w:hint="eastAsia" w:asciiTheme="minorEastAsia" w:hAnsiTheme="minorEastAsia" w:eastAsiaTheme="minorEastAsia" w:cstheme="minorEastAsia"/>
          <w:color w:val="auto"/>
          <w:szCs w:val="28"/>
          <w:highlight w:val="none"/>
          <w:lang w:eastAsia="zh-CN"/>
        </w:rPr>
      </w:pPr>
      <w:bookmarkStart w:id="112" w:name="_Toc20611"/>
      <w:bookmarkEnd w:id="112"/>
      <w:bookmarkStart w:id="113" w:name="_Toc9134"/>
      <w:r>
        <w:rPr>
          <w:rFonts w:hint="eastAsia" w:asciiTheme="minorEastAsia" w:hAnsiTheme="minorEastAsia" w:eastAsiaTheme="minorEastAsia" w:cstheme="minorEastAsia"/>
          <w:color w:val="auto"/>
          <w:szCs w:val="28"/>
          <w:highlight w:val="none"/>
        </w:rPr>
        <w:t>4.2 投标文件的</w:t>
      </w:r>
      <w:bookmarkEnd w:id="113"/>
      <w:r>
        <w:rPr>
          <w:rFonts w:hint="eastAsia" w:asciiTheme="minorEastAsia" w:hAnsiTheme="minorEastAsia" w:eastAsiaTheme="minorEastAsia" w:cstheme="minorEastAsia"/>
          <w:color w:val="auto"/>
          <w:szCs w:val="28"/>
          <w:highlight w:val="none"/>
          <w:lang w:eastAsia="zh-CN"/>
        </w:rPr>
        <w:t>提交</w:t>
      </w:r>
    </w:p>
    <w:p w14:paraId="094D8A9C">
      <w:pPr>
        <w:spacing w:line="360" w:lineRule="auto"/>
        <w:ind w:firstLine="480" w:firstLineChars="200"/>
        <w:rPr>
          <w:rFonts w:asciiTheme="minorEastAsia" w:hAnsiTheme="minorEastAsia" w:eastAsiaTheme="minorEastAsia" w:cstheme="minorEastAsia"/>
          <w:color w:val="auto"/>
          <w:sz w:val="24"/>
          <w:highlight w:val="none"/>
        </w:rPr>
      </w:pPr>
      <w:bookmarkStart w:id="114" w:name="_Toc21133"/>
      <w:bookmarkEnd w:id="114"/>
      <w:r>
        <w:rPr>
          <w:rFonts w:hint="eastAsia" w:asciiTheme="minorEastAsia" w:hAnsiTheme="minorEastAsia" w:eastAsiaTheme="minorEastAsia" w:cstheme="minorEastAsia"/>
          <w:color w:val="auto"/>
          <w:sz w:val="24"/>
          <w:highlight w:val="none"/>
        </w:rPr>
        <w:t>4.2.1 投标人应在投标人须知前附表规定的</w:t>
      </w:r>
      <w:r>
        <w:rPr>
          <w:rFonts w:hint="eastAsia" w:asciiTheme="minorEastAsia" w:hAnsiTheme="minorEastAsia" w:eastAsiaTheme="minorEastAsia" w:cstheme="minorEastAsia"/>
          <w:color w:val="auto"/>
          <w:sz w:val="24"/>
          <w:highlight w:val="none"/>
          <w:lang w:val="en-US" w:eastAsia="zh-CN"/>
        </w:rPr>
        <w:t>开启解密</w:t>
      </w:r>
      <w:r>
        <w:rPr>
          <w:rFonts w:hint="eastAsia" w:asciiTheme="minorEastAsia" w:hAnsiTheme="minorEastAsia" w:eastAsiaTheme="minorEastAsia" w:cstheme="minorEastAsia"/>
          <w:color w:val="auto"/>
          <w:sz w:val="24"/>
          <w:highlight w:val="none"/>
        </w:rPr>
        <w:t>时间前上传投标文件。</w:t>
      </w:r>
    </w:p>
    <w:p w14:paraId="79A12B4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4.2.2 投标文件</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：见投标人须知前附表。</w:t>
      </w:r>
    </w:p>
    <w:p w14:paraId="1648F82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4.2.3 除投标人须知前附表另有规定外，投标人所</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的投标文件不予退还。</w:t>
      </w:r>
    </w:p>
    <w:p w14:paraId="1FC907C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4.2.4 逾期提交投标文件的或者不按照投标文件要求加密封的，视为撤回投标文件，采购人不予受理。</w:t>
      </w:r>
    </w:p>
    <w:p w14:paraId="0C522CA2">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15" w:name="_Toc8975"/>
      <w:bookmarkEnd w:id="115"/>
      <w:bookmarkStart w:id="116" w:name="_Toc5071"/>
      <w:r>
        <w:rPr>
          <w:rFonts w:hint="eastAsia" w:asciiTheme="minorEastAsia" w:hAnsiTheme="minorEastAsia" w:eastAsiaTheme="minorEastAsia" w:cstheme="minorEastAsia"/>
          <w:color w:val="auto"/>
          <w:szCs w:val="28"/>
          <w:highlight w:val="none"/>
        </w:rPr>
        <w:t>4.3 投标文件的修改与撤回</w:t>
      </w:r>
      <w:bookmarkEnd w:id="116"/>
    </w:p>
    <w:p w14:paraId="5DDECB8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4.3.1 在本章第4.2.1项规定的</w:t>
      </w:r>
      <w:r>
        <w:rPr>
          <w:rFonts w:hint="eastAsia" w:asciiTheme="minorEastAsia" w:hAnsiTheme="minorEastAsia" w:eastAsiaTheme="minorEastAsia" w:cstheme="minorEastAsia"/>
          <w:color w:val="auto"/>
          <w:sz w:val="24"/>
          <w:highlight w:val="none"/>
          <w:lang w:val="en-US" w:eastAsia="zh-CN"/>
        </w:rPr>
        <w:t>开启解密</w:t>
      </w:r>
      <w:r>
        <w:rPr>
          <w:rFonts w:hint="eastAsia" w:asciiTheme="minorEastAsia" w:hAnsiTheme="minorEastAsia" w:eastAsiaTheme="minorEastAsia" w:cstheme="minorEastAsia"/>
          <w:color w:val="auto"/>
          <w:sz w:val="24"/>
          <w:highlight w:val="none"/>
        </w:rPr>
        <w:t>时间前，投标人可以修改或撤回已</w:t>
      </w:r>
      <w:r>
        <w:rPr>
          <w:rFonts w:hint="eastAsia" w:asciiTheme="minorEastAsia" w:hAnsiTheme="minorEastAsia" w:eastAsiaTheme="minorEastAsia" w:cstheme="minorEastAsia"/>
          <w:color w:val="auto"/>
          <w:sz w:val="24"/>
          <w:highlight w:val="none"/>
          <w:lang w:eastAsia="zh-CN"/>
        </w:rPr>
        <w:t>提交</w:t>
      </w:r>
      <w:r>
        <w:rPr>
          <w:rFonts w:hint="eastAsia" w:asciiTheme="minorEastAsia" w:hAnsiTheme="minorEastAsia" w:eastAsiaTheme="minorEastAsia" w:cstheme="minorEastAsia"/>
          <w:color w:val="auto"/>
          <w:sz w:val="24"/>
          <w:highlight w:val="none"/>
        </w:rPr>
        <w:t>的投标文件，无须以书面形式通知采购人。</w:t>
      </w:r>
    </w:p>
    <w:p w14:paraId="2BB3D9B8">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17" w:name="_Toc14362"/>
      <w:bookmarkEnd w:id="117"/>
      <w:bookmarkStart w:id="118" w:name="_Toc9271"/>
      <w:bookmarkEnd w:id="118"/>
      <w:bookmarkStart w:id="119" w:name="_Toc20324"/>
      <w:bookmarkStart w:id="120" w:name="_Toc27234"/>
      <w:r>
        <w:rPr>
          <w:rFonts w:hint="eastAsia" w:asciiTheme="minorEastAsia" w:hAnsiTheme="minorEastAsia" w:eastAsiaTheme="minorEastAsia" w:cstheme="minorEastAsia"/>
          <w:color w:val="auto"/>
          <w:szCs w:val="28"/>
          <w:highlight w:val="none"/>
        </w:rPr>
        <w:t>5. 开标</w:t>
      </w:r>
      <w:bookmarkEnd w:id="119"/>
      <w:bookmarkEnd w:id="120"/>
    </w:p>
    <w:p w14:paraId="331F8E31">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21" w:name="_Toc1527"/>
      <w:bookmarkEnd w:id="121"/>
      <w:bookmarkStart w:id="122" w:name="_Toc9143"/>
      <w:r>
        <w:rPr>
          <w:rFonts w:hint="eastAsia" w:asciiTheme="minorEastAsia" w:hAnsiTheme="minorEastAsia" w:eastAsiaTheme="minorEastAsia" w:cstheme="minorEastAsia"/>
          <w:color w:val="auto"/>
          <w:szCs w:val="28"/>
          <w:highlight w:val="none"/>
        </w:rPr>
        <w:t>5.1 开标时间和地点</w:t>
      </w:r>
      <w:bookmarkEnd w:id="122"/>
    </w:p>
    <w:p w14:paraId="5E695DD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采购人在本章第4.2.1款规定的</w:t>
      </w:r>
      <w:r>
        <w:rPr>
          <w:rFonts w:hint="eastAsia" w:asciiTheme="minorEastAsia" w:hAnsiTheme="minorEastAsia" w:eastAsiaTheme="minorEastAsia" w:cstheme="minorEastAsia"/>
          <w:color w:val="auto"/>
          <w:sz w:val="24"/>
          <w:highlight w:val="none"/>
          <w:lang w:val="en-US" w:eastAsia="zh-CN"/>
        </w:rPr>
        <w:t>开</w:t>
      </w:r>
      <w:r>
        <w:rPr>
          <w:rFonts w:hint="eastAsia" w:ascii="宋体" w:hAnsi="宋体" w:cs="宋体"/>
          <w:b w:val="0"/>
          <w:bCs w:val="0"/>
          <w:color w:val="auto"/>
          <w:sz w:val="24"/>
          <w:highlight w:val="none"/>
          <w:lang w:val="en-US" w:eastAsia="zh-CN"/>
        </w:rPr>
        <w:t>启解密</w:t>
      </w:r>
      <w:r>
        <w:rPr>
          <w:rFonts w:hint="eastAsia" w:ascii="宋体" w:hAnsi="宋体" w:cs="宋体"/>
          <w:b w:val="0"/>
          <w:bCs w:val="0"/>
          <w:color w:val="auto"/>
          <w:sz w:val="24"/>
          <w:highlight w:val="none"/>
        </w:rPr>
        <w:t>时间</w:t>
      </w:r>
      <w:r>
        <w:rPr>
          <w:rFonts w:hint="eastAsia" w:asciiTheme="minorEastAsia" w:hAnsiTheme="minorEastAsia" w:eastAsiaTheme="minorEastAsia" w:cstheme="minorEastAsia"/>
          <w:color w:val="auto"/>
          <w:sz w:val="24"/>
          <w:highlight w:val="none"/>
        </w:rPr>
        <w:t>（开标时间）和投标人须知前附表规定的地点公开开标。</w:t>
      </w:r>
    </w:p>
    <w:p w14:paraId="2C92B49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23" w:name="_Toc21332"/>
      <w:bookmarkEnd w:id="123"/>
      <w:bookmarkStart w:id="124" w:name="_Toc27792"/>
      <w:bookmarkEnd w:id="124"/>
      <w:bookmarkStart w:id="125" w:name="_Toc24636"/>
      <w:r>
        <w:rPr>
          <w:rFonts w:hint="eastAsia" w:asciiTheme="minorEastAsia" w:hAnsiTheme="minorEastAsia" w:eastAsiaTheme="minorEastAsia" w:cstheme="minorEastAsia"/>
          <w:color w:val="auto"/>
          <w:szCs w:val="28"/>
          <w:highlight w:val="none"/>
        </w:rPr>
        <w:t xml:space="preserve">5.2 </w:t>
      </w:r>
      <w:bookmarkEnd w:id="125"/>
      <w:r>
        <w:rPr>
          <w:rFonts w:hint="eastAsia" w:asciiTheme="minorEastAsia" w:hAnsiTheme="minorEastAsia" w:eastAsiaTheme="minorEastAsia" w:cstheme="minorEastAsia"/>
          <w:color w:val="auto"/>
          <w:szCs w:val="28"/>
          <w:highlight w:val="none"/>
          <w:lang w:val="en-US" w:eastAsia="zh-CN"/>
        </w:rPr>
        <w:t>投标</w:t>
      </w:r>
      <w:r>
        <w:rPr>
          <w:rFonts w:hint="eastAsia" w:asciiTheme="minorEastAsia" w:hAnsiTheme="minorEastAsia" w:eastAsiaTheme="minorEastAsia" w:cstheme="minorEastAsia"/>
          <w:color w:val="auto"/>
          <w:szCs w:val="28"/>
          <w:highlight w:val="none"/>
        </w:rPr>
        <w:t>文件解密</w:t>
      </w:r>
      <w:r>
        <w:rPr>
          <w:rFonts w:hint="eastAsia" w:asciiTheme="minorEastAsia" w:hAnsiTheme="minorEastAsia" w:eastAsiaTheme="minorEastAsia" w:cstheme="minorEastAsia"/>
          <w:color w:val="auto"/>
          <w:szCs w:val="28"/>
          <w:highlight w:val="none"/>
          <w:lang w:val="en-US" w:eastAsia="zh-CN"/>
        </w:rPr>
        <w:t>与开启</w:t>
      </w:r>
    </w:p>
    <w:p w14:paraId="7D1B747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5.1.1主持人按下列程序进行开标：</w:t>
      </w:r>
    </w:p>
    <w:p w14:paraId="54ABC8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采购代理机构依托电子交易平台发起开始解密指令，投标人须使用加密时所用的CA锁按平台提示和招标文件的规定登录到“政采云”平台电子开标大厅签到，并在发起解密指令之时起</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0分钟内完成对电子投标文件在线解密</w:t>
      </w:r>
      <w:r>
        <w:rPr>
          <w:rFonts w:hint="eastAsia" w:asciiTheme="minorEastAsia" w:hAnsiTheme="minorEastAsia" w:eastAsiaTheme="minorEastAsia" w:cstheme="minorEastAsia"/>
          <w:color w:val="auto"/>
          <w:sz w:val="24"/>
          <w:highlight w:val="none"/>
        </w:rPr>
        <w:t>；</w:t>
      </w:r>
    </w:p>
    <w:p w14:paraId="764A493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lang w:val="en-US" w:eastAsia="zh-CN"/>
        </w:rPr>
        <w:t>因投标人原因造成投标文件未解密的，视为撤销其投标文件</w:t>
      </w:r>
      <w:r>
        <w:rPr>
          <w:rFonts w:hint="eastAsia" w:asciiTheme="minorEastAsia" w:hAnsiTheme="minorEastAsia" w:eastAsiaTheme="minorEastAsia" w:cstheme="minorEastAsia"/>
          <w:color w:val="auto"/>
          <w:sz w:val="24"/>
          <w:highlight w:val="none"/>
        </w:rPr>
        <w:t>；</w:t>
      </w:r>
    </w:p>
    <w:p w14:paraId="6F18F9AD">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3）</w:t>
      </w:r>
      <w:r>
        <w:rPr>
          <w:rFonts w:hint="eastAsia" w:ascii="宋体" w:hAnsi="宋体" w:cs="宋体"/>
          <w:color w:val="auto"/>
          <w:sz w:val="24"/>
          <w:highlight w:val="none"/>
        </w:rPr>
        <w:t>解密完成后系统自动导入有效的电子</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开启</w:t>
      </w:r>
      <w:r>
        <w:rPr>
          <w:rFonts w:hint="eastAsia" w:ascii="宋体" w:hAnsi="宋体" w:cs="宋体"/>
          <w:color w:val="auto"/>
          <w:sz w:val="24"/>
          <w:highlight w:val="none"/>
        </w:rPr>
        <w:t>并记录在案</w:t>
      </w:r>
      <w:r>
        <w:rPr>
          <w:rFonts w:hint="eastAsia" w:asciiTheme="minorEastAsia" w:hAnsiTheme="minorEastAsia" w:eastAsiaTheme="minorEastAsia" w:cstheme="minorEastAsia"/>
          <w:color w:val="auto"/>
          <w:sz w:val="24"/>
          <w:highlight w:val="none"/>
          <w:lang w:eastAsia="zh-CN"/>
        </w:rPr>
        <w:t>。</w:t>
      </w:r>
    </w:p>
    <w:p w14:paraId="09D4974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5.2.2该项目采用网上开标的方式，投标人选择网上远程解密</w:t>
      </w:r>
      <w:r>
        <w:rPr>
          <w:rFonts w:hint="eastAsia" w:asciiTheme="minorEastAsia" w:hAnsiTheme="minorEastAsia" w:eastAsiaTheme="minorEastAsia" w:cstheme="minorEastAsia"/>
          <w:color w:val="auto"/>
          <w:sz w:val="24"/>
          <w:highlight w:val="none"/>
          <w:lang w:val="en-US" w:eastAsia="zh-CN"/>
        </w:rPr>
        <w:t>方式</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无需到现场参加开标会及解密投标文件</w:t>
      </w:r>
      <w:r>
        <w:rPr>
          <w:rFonts w:hint="eastAsia" w:asciiTheme="minorEastAsia" w:hAnsiTheme="minorEastAsia" w:eastAsiaTheme="minorEastAsia" w:cstheme="minorEastAsia"/>
          <w:color w:val="auto"/>
          <w:sz w:val="24"/>
          <w:highlight w:val="none"/>
        </w:rPr>
        <w:t>。</w:t>
      </w:r>
    </w:p>
    <w:p w14:paraId="670E298F">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26" w:name="_Toc27216"/>
      <w:bookmarkEnd w:id="126"/>
      <w:bookmarkStart w:id="127" w:name="_Toc22860"/>
      <w:r>
        <w:rPr>
          <w:rFonts w:hint="eastAsia" w:asciiTheme="minorEastAsia" w:hAnsiTheme="minorEastAsia" w:eastAsiaTheme="minorEastAsia" w:cstheme="minorEastAsia"/>
          <w:color w:val="auto"/>
          <w:szCs w:val="28"/>
          <w:highlight w:val="none"/>
        </w:rPr>
        <w:t>5.3 开标</w:t>
      </w:r>
      <w:bookmarkEnd w:id="127"/>
      <w:r>
        <w:rPr>
          <w:rFonts w:hint="eastAsia" w:asciiTheme="minorEastAsia" w:hAnsiTheme="minorEastAsia" w:eastAsiaTheme="minorEastAsia" w:cstheme="minorEastAsia"/>
          <w:color w:val="auto"/>
          <w:szCs w:val="28"/>
          <w:highlight w:val="none"/>
        </w:rPr>
        <w:t>异议</w:t>
      </w:r>
    </w:p>
    <w:p w14:paraId="5DA2B1C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开标过程应当由采购人或者采购代理机构负责记录，由参加开标的各投标人代表和相关工作人员签字确认后随</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一并存档。</w:t>
      </w:r>
    </w:p>
    <w:p w14:paraId="0E4DFBF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代表对开标过程和开标记录有异议，以及认为采购人、采购代理机构相关工作人员有需要回避的情形的，应当场提出询问或者回避申请。采购人、采购代理机构对投标人代表提出的询问或者回避申请应当及时处理。</w:t>
      </w:r>
    </w:p>
    <w:p w14:paraId="2D049E7E">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28" w:name="_Toc27754"/>
      <w:bookmarkEnd w:id="128"/>
      <w:bookmarkStart w:id="129" w:name="_Toc11518"/>
      <w:bookmarkEnd w:id="129"/>
      <w:bookmarkStart w:id="130" w:name="_Toc28237"/>
      <w:bookmarkEnd w:id="130"/>
      <w:bookmarkStart w:id="131" w:name="_Toc25563"/>
      <w:bookmarkEnd w:id="131"/>
      <w:bookmarkStart w:id="132" w:name="_Toc26040"/>
      <w:bookmarkEnd w:id="132"/>
      <w:bookmarkStart w:id="133" w:name="_Toc11677"/>
      <w:bookmarkStart w:id="134" w:name="_Toc3756"/>
      <w:bookmarkStart w:id="135" w:name="_Toc29087"/>
      <w:r>
        <w:rPr>
          <w:rFonts w:hint="eastAsia" w:asciiTheme="minorEastAsia" w:hAnsiTheme="minorEastAsia" w:eastAsiaTheme="minorEastAsia" w:cstheme="minorEastAsia"/>
          <w:color w:val="auto"/>
          <w:szCs w:val="28"/>
          <w:highlight w:val="none"/>
        </w:rPr>
        <w:t>6. 评标</w:t>
      </w:r>
      <w:bookmarkEnd w:id="133"/>
      <w:bookmarkEnd w:id="134"/>
      <w:bookmarkEnd w:id="135"/>
    </w:p>
    <w:p w14:paraId="532A6B02">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36" w:name="_Toc11207"/>
      <w:bookmarkEnd w:id="136"/>
      <w:bookmarkStart w:id="137" w:name="_Toc4770"/>
      <w:r>
        <w:rPr>
          <w:rFonts w:hint="eastAsia" w:asciiTheme="minorEastAsia" w:hAnsiTheme="minorEastAsia" w:eastAsiaTheme="minorEastAsia" w:cstheme="minorEastAsia"/>
          <w:color w:val="auto"/>
          <w:szCs w:val="28"/>
          <w:highlight w:val="none"/>
        </w:rPr>
        <w:t>6.1 评标委员会</w:t>
      </w:r>
      <w:bookmarkEnd w:id="137"/>
    </w:p>
    <w:p w14:paraId="5546D51D">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6.1.1 评标由采购人依法组建的评标委员会负责。评标委员会由采购人代表以及有关技术、经济等方面的专家组成。评标委员会成员人数以及技术、经济等方面专家的确定方式见投标人须知前附表。</w:t>
      </w:r>
    </w:p>
    <w:p w14:paraId="64CCC28A">
      <w:pPr>
        <w:pStyle w:val="7"/>
        <w:ind w:firstLine="480" w:firstLineChars="200"/>
        <w:rPr>
          <w:rFonts w:asciiTheme="minorEastAsia" w:hAnsiTheme="minorEastAsia" w:eastAsiaTheme="minorEastAsia" w:cstheme="minorEastAsia"/>
          <w:color w:val="auto"/>
          <w:sz w:val="24"/>
          <w:highlight w:val="none"/>
        </w:rPr>
      </w:pPr>
      <w:bookmarkStart w:id="138" w:name="_Toc6336"/>
      <w:r>
        <w:rPr>
          <w:rFonts w:hint="eastAsia" w:asciiTheme="minorEastAsia" w:hAnsiTheme="minorEastAsia" w:eastAsiaTheme="minorEastAsia" w:cstheme="minorEastAsia"/>
          <w:color w:val="auto"/>
          <w:sz w:val="24"/>
          <w:highlight w:val="none"/>
        </w:rPr>
        <w:t>6.1.2 评标委员会成员有下列情形之一的，应当回避：</w:t>
      </w:r>
    </w:p>
    <w:p w14:paraId="116E05B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（1）投标人或投标人主要负责人的近亲属；</w:t>
      </w:r>
    </w:p>
    <w:p w14:paraId="2717AC3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（2）项目主管部门或者行政监督部门的人员；</w:t>
      </w:r>
    </w:p>
    <w:p w14:paraId="3F72324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（3）与投标人有经济利益关系，可能影响对投标公正评审的；</w:t>
      </w:r>
    </w:p>
    <w:p w14:paraId="2090EBD7">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（4）曾因在招标、评标以及其他与招标投标有关活动中从事违法行为而受过行政处罚或刑事处罚的；</w:t>
      </w:r>
    </w:p>
    <w:p w14:paraId="174B79FD">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（5）与投标人有其他利害关系。</w:t>
      </w:r>
    </w:p>
    <w:p w14:paraId="04F532F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23CFF652">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6.2 评标原则</w:t>
      </w:r>
      <w:bookmarkEnd w:id="138"/>
    </w:p>
    <w:p w14:paraId="5D63CFA7">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评标活动遵循公平、公正、科学和择优的原则。</w:t>
      </w:r>
    </w:p>
    <w:p w14:paraId="19FE4F95">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39" w:name="_Toc10442"/>
      <w:bookmarkEnd w:id="139"/>
      <w:bookmarkStart w:id="140" w:name="_Toc5282"/>
      <w:r>
        <w:rPr>
          <w:rFonts w:hint="eastAsia" w:asciiTheme="minorEastAsia" w:hAnsiTheme="minorEastAsia" w:eastAsiaTheme="minorEastAsia" w:cstheme="minorEastAsia"/>
          <w:color w:val="auto"/>
          <w:szCs w:val="28"/>
          <w:highlight w:val="none"/>
        </w:rPr>
        <w:t>6.3 评标</w:t>
      </w:r>
      <w:bookmarkEnd w:id="140"/>
    </w:p>
    <w:p w14:paraId="4F4C528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6.3.1 评标委员会按照“第三章评标办法”规定的方法、评审因素、标准和程序对投标文件进行评审。“第三章评标办法”没有规定的方法、评审因素和标准，不作为评标依据。</w:t>
      </w:r>
    </w:p>
    <w:p w14:paraId="44F63079">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6.3.2 评标完成后，评标委员会应当向采购人提交书面评标报告和中标候选人名单。评标委员会推荐中标候选人的人数见投标人须知前附表。</w:t>
      </w:r>
    </w:p>
    <w:p w14:paraId="6EC35696">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41" w:name="_Toc30483"/>
      <w:bookmarkEnd w:id="141"/>
      <w:bookmarkStart w:id="142" w:name="_Toc6003"/>
      <w:bookmarkEnd w:id="142"/>
      <w:bookmarkStart w:id="143" w:name="_Toc28955"/>
      <w:bookmarkStart w:id="144" w:name="_Toc22840"/>
      <w:r>
        <w:rPr>
          <w:rFonts w:hint="eastAsia" w:asciiTheme="minorEastAsia" w:hAnsiTheme="minorEastAsia" w:eastAsiaTheme="minorEastAsia" w:cstheme="minorEastAsia"/>
          <w:color w:val="auto"/>
          <w:szCs w:val="28"/>
          <w:highlight w:val="none"/>
        </w:rPr>
        <w:t>7. 中标和合同</w:t>
      </w:r>
      <w:bookmarkEnd w:id="143"/>
      <w:bookmarkEnd w:id="144"/>
    </w:p>
    <w:p w14:paraId="4513F635">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45" w:name="_Toc18219"/>
      <w:bookmarkEnd w:id="145"/>
      <w:bookmarkStart w:id="146" w:name="_Toc31217"/>
      <w:r>
        <w:rPr>
          <w:rFonts w:hint="eastAsia" w:asciiTheme="minorEastAsia" w:hAnsiTheme="minorEastAsia" w:eastAsiaTheme="minorEastAsia" w:cstheme="minorEastAsia"/>
          <w:color w:val="auto"/>
          <w:szCs w:val="28"/>
          <w:highlight w:val="none"/>
        </w:rPr>
        <w:t>7.1 定标</w:t>
      </w:r>
      <w:bookmarkEnd w:id="146"/>
    </w:p>
    <w:p w14:paraId="0002352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按照投标人须知前附表的规定，采购人或采购人授权的评标委员会依法确定中标人。</w:t>
      </w:r>
    </w:p>
    <w:p w14:paraId="7CD697C3">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47" w:name="_Toc18811"/>
      <w:bookmarkEnd w:id="147"/>
      <w:bookmarkStart w:id="148" w:name="_Toc18115"/>
      <w:r>
        <w:rPr>
          <w:rFonts w:hint="eastAsia" w:asciiTheme="minorEastAsia" w:hAnsiTheme="minorEastAsia" w:eastAsiaTheme="minorEastAsia" w:cstheme="minorEastAsia"/>
          <w:color w:val="auto"/>
          <w:szCs w:val="28"/>
          <w:highlight w:val="none"/>
        </w:rPr>
        <w:t>7.2中标公告</w:t>
      </w:r>
      <w:bookmarkEnd w:id="148"/>
    </w:p>
    <w:p w14:paraId="44BC3CA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采购人或者采购代理机构应当自中标人确定之日起2个工作日内，按照投标人须知前附表规定的媒介和期限公告中标结果，招标文件应当随中标结果同时公告。</w:t>
      </w:r>
    </w:p>
    <w:p w14:paraId="5624F77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中标公告期限详见投标人须知前附表。</w:t>
      </w:r>
    </w:p>
    <w:p w14:paraId="34144F21">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49" w:name="_Toc8411"/>
      <w:bookmarkEnd w:id="149"/>
      <w:bookmarkStart w:id="150" w:name="_Toc16495"/>
      <w:bookmarkEnd w:id="150"/>
      <w:bookmarkStart w:id="151" w:name="_Toc3833"/>
      <w:r>
        <w:rPr>
          <w:rFonts w:hint="eastAsia" w:asciiTheme="minorEastAsia" w:hAnsiTheme="minorEastAsia" w:eastAsiaTheme="minorEastAsia" w:cstheme="minorEastAsia"/>
          <w:color w:val="auto"/>
          <w:szCs w:val="28"/>
          <w:highlight w:val="none"/>
        </w:rPr>
        <w:t>7.3中标通知</w:t>
      </w:r>
      <w:bookmarkEnd w:id="151"/>
    </w:p>
    <w:p w14:paraId="4F9E6AD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在本章第3.3款规定的投标有效期内，在公告中标结果的同时，采购人或者采购代理机构应当向中标人发出</w:t>
      </w:r>
      <w:r>
        <w:rPr>
          <w:rFonts w:hint="eastAsia" w:asciiTheme="minorEastAsia" w:hAnsiTheme="minorEastAsia" w:eastAsiaTheme="minorEastAsia" w:cstheme="minorEastAsia"/>
          <w:color w:val="auto"/>
          <w:sz w:val="24"/>
          <w:highlight w:val="none"/>
          <w:lang w:val="en-US" w:eastAsia="zh-CN"/>
        </w:rPr>
        <w:t>中标</w:t>
      </w:r>
      <w:r>
        <w:rPr>
          <w:rFonts w:hint="eastAsia" w:asciiTheme="minorEastAsia" w:hAnsiTheme="minorEastAsia" w:eastAsiaTheme="minorEastAsia" w:cstheme="minorEastAsia"/>
          <w:color w:val="auto"/>
          <w:sz w:val="24"/>
          <w:highlight w:val="none"/>
        </w:rPr>
        <w:t>通知书。</w:t>
      </w:r>
    </w:p>
    <w:p w14:paraId="32B05132">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52" w:name="_Toc13042"/>
      <w:bookmarkEnd w:id="152"/>
      <w:bookmarkStart w:id="153" w:name="_Toc7193"/>
      <w:r>
        <w:rPr>
          <w:rFonts w:hint="eastAsia" w:asciiTheme="minorEastAsia" w:hAnsiTheme="minorEastAsia" w:eastAsiaTheme="minorEastAsia" w:cstheme="minorEastAsia"/>
          <w:color w:val="auto"/>
          <w:szCs w:val="28"/>
          <w:highlight w:val="none"/>
        </w:rPr>
        <w:t>7.4 履约</w:t>
      </w:r>
      <w:bookmarkEnd w:id="153"/>
      <w:r>
        <w:rPr>
          <w:rFonts w:hint="eastAsia" w:asciiTheme="minorEastAsia" w:hAnsiTheme="minorEastAsia" w:eastAsiaTheme="minorEastAsia" w:cstheme="minorEastAsia"/>
          <w:color w:val="auto"/>
          <w:szCs w:val="28"/>
          <w:highlight w:val="none"/>
        </w:rPr>
        <w:t>担保（本项目不要求）</w:t>
      </w:r>
    </w:p>
    <w:p w14:paraId="1F019EF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7.4.1  在签订合同前，中标人应按投标人须知前附表规定的形式、金额和招标文件“第四章合同条款及格式”规定的或者事先经过采购人书面认可的履约保证金格式向采购人提交履约保证金。履约保证金不得超过中标合同金额的10%。联合体中标的，其履约保证金以联合体各方或者联合体中牵头人的名义提交。</w:t>
      </w:r>
    </w:p>
    <w:p w14:paraId="78482461">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7.4.2 中标人不能按本章第 7.4.1 项要求提交履约保证金的，视为放弃中标，其投标保证金不予退还，给采购人造成的损失超过投标保证金数额的，中标人还应当对超过部分予以赔偿。</w:t>
      </w:r>
    </w:p>
    <w:p w14:paraId="36966CE3">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54" w:name="_Toc6413"/>
      <w:bookmarkEnd w:id="154"/>
      <w:bookmarkStart w:id="155" w:name="_Toc18519"/>
      <w:r>
        <w:rPr>
          <w:rFonts w:hint="eastAsia" w:asciiTheme="minorEastAsia" w:hAnsiTheme="minorEastAsia" w:eastAsiaTheme="minorEastAsia" w:cstheme="minorEastAsia"/>
          <w:color w:val="auto"/>
          <w:szCs w:val="28"/>
          <w:highlight w:val="none"/>
        </w:rPr>
        <w:t>7.5 签订合同</w:t>
      </w:r>
      <w:bookmarkEnd w:id="155"/>
    </w:p>
    <w:p w14:paraId="3227B69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7.5.1 采购人应当自</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FCBD6C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7.5.2 </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发出后，采购人不得违法改变中标结果，中标人无正当理由不得放弃中标。</w:t>
      </w:r>
    </w:p>
    <w:p w14:paraId="6C7E74F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7.5.3联合体中标的，联合体各方应当共同与采购人签订合同，就中标项目向采购人承担连带责任。</w:t>
      </w:r>
    </w:p>
    <w:p w14:paraId="3FCB3242">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8.重新招标</w:t>
      </w:r>
    </w:p>
    <w:p w14:paraId="3D8C13F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有下列情形之一的依法必须招标的项目， 采购人将重新招标</w:t>
      </w:r>
      <w:r>
        <w:rPr>
          <w:rFonts w:hint="eastAsia" w:asciiTheme="minorEastAsia" w:hAnsiTheme="minorEastAsia" w:eastAsiaTheme="minorEastAsia" w:cstheme="minorEastAsia"/>
          <w:color w:val="auto"/>
          <w:sz w:val="24"/>
          <w:highlight w:val="none"/>
          <w:lang w:eastAsia="zh-CN"/>
        </w:rPr>
        <w:t>：</w:t>
      </w:r>
    </w:p>
    <w:p w14:paraId="47A9F88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（1）经评标委员会评审后否决所有投标的</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w:t>
      </w:r>
    </w:p>
    <w:p w14:paraId="16F069A1">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（2）国家相关法律法规规定的其他重新招标情形。</w:t>
      </w:r>
    </w:p>
    <w:p w14:paraId="555BFD9D">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（3）公开招标数额标准以上的采购项目，投标截止后投标人不足3家或者通过资格审查或符合性审查的投标人不足3家的，除采购任务取消情形外，按照以下方式处理：</w:t>
      </w:r>
    </w:p>
    <w:p w14:paraId="4FF67868">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（一）招标文件存在不合理条款或者招标程序不符合规定的，采购人、采购代理机构改正后依法重新招标；</w:t>
      </w:r>
    </w:p>
    <w:p w14:paraId="48279F9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（二）招标文件没有不合理条款、招标程序符合规定，需要采用其他采购方式采购的，采购人应当依法报财政部门批准。</w:t>
      </w:r>
    </w:p>
    <w:p w14:paraId="61613166">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56" w:name="_Toc31137"/>
      <w:bookmarkEnd w:id="156"/>
      <w:bookmarkStart w:id="157" w:name="_Toc20692"/>
      <w:bookmarkEnd w:id="157"/>
      <w:bookmarkStart w:id="158" w:name="_Toc11854"/>
      <w:bookmarkEnd w:id="158"/>
      <w:r>
        <w:rPr>
          <w:rFonts w:hint="eastAsia" w:asciiTheme="minorEastAsia" w:hAnsiTheme="minorEastAsia" w:eastAsiaTheme="minorEastAsia" w:cstheme="minorEastAsia"/>
          <w:color w:val="auto"/>
          <w:szCs w:val="28"/>
          <w:highlight w:val="none"/>
        </w:rPr>
        <w:t>9.纪律和监督</w:t>
      </w:r>
    </w:p>
    <w:p w14:paraId="7368DB6F">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9.1 对采购人的纪律要求</w:t>
      </w:r>
    </w:p>
    <w:p w14:paraId="7492E6D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采购人不得泄露招标投标活动中应当保密的情况和资料，不得与投标人串通损害国家利益、社会公共利益或者他人合法权益。</w:t>
      </w:r>
    </w:p>
    <w:p w14:paraId="0CF6CDB2">
      <w:pPr>
        <w:pStyle w:val="4"/>
        <w:numPr>
          <w:ilvl w:val="2"/>
          <w:numId w:val="0"/>
        </w:numPr>
        <w:tabs>
          <w:tab w:val="clear" w:pos="900"/>
        </w:tabs>
        <w:spacing w:before="0"/>
        <w:rPr>
          <w:rFonts w:asciiTheme="minorEastAsia" w:hAnsiTheme="minorEastAsia" w:eastAsiaTheme="minorEastAsia" w:cstheme="minorEastAsia"/>
          <w:color w:val="auto"/>
          <w:kern w:val="2"/>
          <w:szCs w:val="28"/>
          <w:highlight w:val="none"/>
        </w:rPr>
      </w:pPr>
      <w:r>
        <w:rPr>
          <w:rFonts w:hint="eastAsia" w:asciiTheme="minorEastAsia" w:hAnsiTheme="minorEastAsia" w:eastAsiaTheme="minorEastAsia" w:cstheme="minorEastAsia"/>
          <w:color w:val="auto"/>
          <w:szCs w:val="28"/>
          <w:highlight w:val="none"/>
        </w:rPr>
        <w:t>9.2 对投标人的纪律要求</w:t>
      </w:r>
    </w:p>
    <w:p w14:paraId="366CB439">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A95BFD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59" w:name="_bookmark74"/>
      <w:bookmarkEnd w:id="159"/>
      <w:r>
        <w:rPr>
          <w:rFonts w:hint="eastAsia" w:asciiTheme="minorEastAsia" w:hAnsiTheme="minorEastAsia" w:eastAsiaTheme="minorEastAsia" w:cstheme="minorEastAsia"/>
          <w:color w:val="auto"/>
          <w:szCs w:val="28"/>
          <w:highlight w:val="none"/>
        </w:rPr>
        <w:t>9.3 对评标委员会成员的纪律要求</w:t>
      </w:r>
    </w:p>
    <w:p w14:paraId="61C12027">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A6EFB1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p>
    <w:p w14:paraId="197EB43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委员会、竞争性谈判小组或者询价小组在评审过程中发现投标人有行贿、提供虚假材料或者串通等违法行为的，应当及时向财政部门报告。政府采购评审专家在评审过程中受到非法干预的，应当及时向财政、监察等部门举报。</w:t>
      </w:r>
    </w:p>
    <w:p w14:paraId="7B6B1C9E">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9.4 对与评标活动有关的工作人员的纪律要求</w:t>
      </w:r>
    </w:p>
    <w:p w14:paraId="04B434D4">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A06677">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60" w:name="_Toc5396"/>
      <w:bookmarkStart w:id="161" w:name="_Toc23291"/>
      <w:r>
        <w:rPr>
          <w:rFonts w:hint="eastAsia" w:asciiTheme="minorEastAsia" w:hAnsiTheme="minorEastAsia" w:eastAsiaTheme="minorEastAsia" w:cstheme="minorEastAsia"/>
          <w:color w:val="auto"/>
          <w:szCs w:val="28"/>
          <w:highlight w:val="none"/>
        </w:rPr>
        <w:t>10.质疑接收、回复</w:t>
      </w:r>
      <w:bookmarkEnd w:id="160"/>
      <w:bookmarkEnd w:id="161"/>
      <w:r>
        <w:rPr>
          <w:rFonts w:hint="eastAsia" w:asciiTheme="minorEastAsia" w:hAnsiTheme="minorEastAsia" w:eastAsiaTheme="minorEastAsia" w:cstheme="minorEastAsia"/>
          <w:color w:val="auto"/>
          <w:szCs w:val="28"/>
          <w:highlight w:val="none"/>
        </w:rPr>
        <w:t>询问与答复</w:t>
      </w:r>
    </w:p>
    <w:p w14:paraId="195A63E0">
      <w:pPr>
        <w:pStyle w:val="7"/>
        <w:ind w:left="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凡对本次招标采购活动事项有疑问的，可以向采购代理机构提出询问，采购代理机构将及时作出答复，但答复的内容不得涉及商业秘密。</w:t>
      </w:r>
    </w:p>
    <w:p w14:paraId="280E046D">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10.1质疑接收</w:t>
      </w:r>
    </w:p>
    <w:p w14:paraId="5CB4E6E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10.1.1 投标人认为招标文件、招标过程和中标结果使自己的权益受到损害的，</w:t>
      </w:r>
      <w:r>
        <w:rPr>
          <w:rFonts w:hint="eastAsia" w:asciiTheme="minorEastAsia" w:hAnsiTheme="minorEastAsia" w:eastAsiaTheme="minorEastAsia" w:cstheme="minorEastAsia"/>
          <w:color w:val="auto"/>
          <w:spacing w:val="12"/>
          <w:sz w:val="24"/>
          <w:highlight w:val="none"/>
        </w:rPr>
        <w:t>可以在知道或者应知其权益受到损害之日起7个工作日内，</w:t>
      </w:r>
      <w:r>
        <w:rPr>
          <w:rFonts w:hint="eastAsia" w:asciiTheme="minorEastAsia" w:hAnsiTheme="minorEastAsia" w:eastAsiaTheme="minorEastAsia" w:cstheme="minorEastAsia"/>
          <w:color w:val="auto"/>
          <w:sz w:val="24"/>
          <w:highlight w:val="none"/>
        </w:rPr>
        <w:t>根据《中华人民共和国政府采购法</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中华人民共和国政府采购法实施条例》和《政府采购质疑和投诉办法》的有关规定，依法通过“政府采购云平台（https://www.zcygov.cn/）”向采购人或其委托的采购代理机构提出质疑。</w:t>
      </w:r>
      <w:r>
        <w:rPr>
          <w:rFonts w:hint="eastAsia" w:ascii="宋体" w:hAnsi="宋体" w:cs="宋体"/>
          <w:color w:val="auto"/>
          <w:sz w:val="24"/>
          <w:highlight w:val="none"/>
          <w:lang w:val="en-US" w:eastAsia="zh-CN"/>
        </w:rPr>
        <w:t>（注：政府采购云平台尚未开通地域，投标人联系代理机构采用书面方式提出）</w:t>
      </w:r>
    </w:p>
    <w:p w14:paraId="54157AC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10.1.2 质疑投标人应按照财政部制定的《政府采购质疑函范本》格式和《政府采购质疑和投诉办法》的要求，在法定质疑期内通过“政府采购云平台（https://www.zcygov.cn/）”向采购人、采购代理机构提出质疑，针对同一采购程序环节的质疑应一次性提出。</w:t>
      </w:r>
    </w:p>
    <w:p w14:paraId="7D68B72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超出法定质疑期的、重复提出的、分次提出的或内容、形式不符合《政府采购质疑和投诉办法》的，质疑投标人将依法承担不利后果。</w:t>
      </w:r>
    </w:p>
    <w:p w14:paraId="55F17E52">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提出质疑的投标人（以下简称质疑投标人）应当是参与所质疑项目采购活动的投标人。</w:t>
      </w:r>
    </w:p>
    <w:p w14:paraId="01B33EE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潜在投标人已依法获取其可质疑的</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的，可以对该文件提出质疑。对</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提出质疑的，应当在获取</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公告期限届满之日起7个工作日内提出。</w:t>
      </w:r>
    </w:p>
    <w:p w14:paraId="57324BD1">
      <w:pPr>
        <w:pStyle w:val="32"/>
        <w:ind w:firstLine="528"/>
        <w:rPr>
          <w:rFonts w:asciiTheme="minorEastAsia" w:hAnsiTheme="minorEastAsia" w:cstheme="minorEastAsia"/>
          <w:color w:val="auto"/>
          <w:szCs w:val="24"/>
          <w:highlight w:val="none"/>
        </w:rPr>
      </w:pPr>
      <w:r>
        <w:rPr>
          <w:rFonts w:hint="eastAsia" w:asciiTheme="minorEastAsia" w:hAnsiTheme="minorEastAsia" w:cstheme="minorEastAsia"/>
          <w:color w:val="auto"/>
          <w:szCs w:val="24"/>
          <w:highlight w:val="none"/>
        </w:rPr>
        <w:t>10.1.3 投标人提出质疑应当提交质疑函和必要的证明材料。质疑函应当包括下列内容：</w:t>
      </w:r>
    </w:p>
    <w:p w14:paraId="7C17FD6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（一）投标人的姓名或者名称、地址、邮编、联系人及联系电话；</w:t>
      </w:r>
    </w:p>
    <w:p w14:paraId="3D59209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14:paraId="2187E09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（三）具体、明确的质疑事项和与质疑事项相关的请求；</w:t>
      </w:r>
    </w:p>
    <w:p w14:paraId="20D1048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w:t>
      </w:r>
    </w:p>
    <w:p w14:paraId="0ED1B9A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（五）必要的法律依据；</w:t>
      </w:r>
    </w:p>
    <w:p w14:paraId="61CDA26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14:paraId="4E811E5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投标人为自然人的，应当由本人签字；投标人为法人或者其他组织的，应当由法定代表人、主要负责人，或者其授权代表签字或者盖章，并加盖公章。</w:t>
      </w:r>
    </w:p>
    <w:p w14:paraId="268382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接收质疑函的方式、联系部门、联系电话和通讯地址</w:t>
      </w:r>
    </w:p>
    <w:p w14:paraId="31C37D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接收质疑函的方式：以书面形式递交</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邮寄送达的以</w:t>
      </w:r>
      <w:r>
        <w:rPr>
          <w:rFonts w:hint="eastAsia" w:asciiTheme="minorEastAsia" w:hAnsiTheme="minorEastAsia" w:eastAsiaTheme="minorEastAsia" w:cstheme="minorEastAsia"/>
          <w:color w:val="auto"/>
          <w:sz w:val="24"/>
          <w:highlight w:val="none"/>
          <w:lang w:val="en-US" w:eastAsia="zh-CN"/>
        </w:rPr>
        <w:t>签收</w:t>
      </w:r>
      <w:r>
        <w:rPr>
          <w:rFonts w:hint="eastAsia" w:asciiTheme="minorEastAsia" w:hAnsiTheme="minorEastAsia" w:eastAsiaTheme="minorEastAsia" w:cstheme="minorEastAsia"/>
          <w:color w:val="auto"/>
          <w:sz w:val="24"/>
          <w:highlight w:val="none"/>
        </w:rPr>
        <w:t>日期为准。</w:t>
      </w:r>
    </w:p>
    <w:p w14:paraId="775433E3">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联系部门：</w:t>
      </w:r>
      <w:r>
        <w:rPr>
          <w:rFonts w:hint="eastAsia" w:asciiTheme="minorEastAsia" w:hAnsiTheme="minorEastAsia" w:eastAsiaTheme="minorEastAsia" w:cstheme="minorEastAsia"/>
          <w:color w:val="auto"/>
          <w:sz w:val="24"/>
          <w:highlight w:val="none"/>
          <w:lang w:val="en-US" w:eastAsia="zh-CN"/>
        </w:rPr>
        <w:t>办公室</w:t>
      </w:r>
    </w:p>
    <w:p w14:paraId="69CD47D2">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val="en-US" w:eastAsia="zh-CN"/>
        </w:rPr>
        <w:t>13578266575、0692-2273788</w:t>
      </w:r>
    </w:p>
    <w:p w14:paraId="7773AA2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通讯地址：云南省德宏州芒市榕树北路5号</w:t>
      </w:r>
      <w:r>
        <w:rPr>
          <w:rFonts w:hint="eastAsia" w:asciiTheme="minorEastAsia" w:hAnsiTheme="minorEastAsia" w:eastAsiaTheme="minorEastAsia" w:cstheme="minorEastAsia"/>
          <w:color w:val="auto"/>
          <w:sz w:val="24"/>
          <w:highlight w:val="none"/>
          <w:lang w:eastAsia="zh-CN"/>
        </w:rPr>
        <w:t>（云南立友工程咨询有限公司</w:t>
      </w:r>
      <w:r>
        <w:rPr>
          <w:rFonts w:hint="eastAsia" w:asciiTheme="minorEastAsia" w:hAnsiTheme="minorEastAsia" w:eastAsiaTheme="minorEastAsia" w:cstheme="minorEastAsia"/>
          <w:color w:val="auto"/>
          <w:sz w:val="24"/>
          <w:highlight w:val="none"/>
          <w:lang w:val="en-US" w:eastAsia="zh-CN"/>
        </w:rPr>
        <w:t>3楼办公室</w:t>
      </w:r>
      <w:r>
        <w:rPr>
          <w:rFonts w:hint="eastAsia" w:asciiTheme="minorEastAsia" w:hAnsiTheme="minorEastAsia" w:eastAsiaTheme="minorEastAsia" w:cstheme="minorEastAsia"/>
          <w:color w:val="auto"/>
          <w:sz w:val="24"/>
          <w:highlight w:val="none"/>
          <w:lang w:eastAsia="zh-CN"/>
        </w:rPr>
        <w:t>）</w:t>
      </w:r>
    </w:p>
    <w:p w14:paraId="0EC348EC">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10.2质疑回复</w:t>
      </w:r>
    </w:p>
    <w:p w14:paraId="2A17C83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采购人、采购代理机构不得拒收质疑投标人在法定质疑期内发出的质疑函，应当在收到质疑函后7个工作日内作出答复，并通过“政府采购云平台（https://www.zcygov.cn/）”回复质疑人和所有潜在投标人。</w:t>
      </w:r>
      <w:r>
        <w:rPr>
          <w:rFonts w:hint="eastAsia" w:ascii="宋体" w:hAnsi="宋体" w:cs="宋体"/>
          <w:color w:val="auto"/>
          <w:sz w:val="24"/>
          <w:highlight w:val="none"/>
          <w:lang w:val="en-US" w:eastAsia="zh-CN"/>
        </w:rPr>
        <w:t>（注：政府采购云平台尚未开通地域，代理机构采用邮件或邮寄方式回复）</w:t>
      </w:r>
    </w:p>
    <w:p w14:paraId="4862F26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投标人对评审过程、中标或者成交结果提出质疑的，采购人、采购代理机构可以组织原评标委员会协助答复质疑。</w:t>
      </w:r>
    </w:p>
    <w:p w14:paraId="0A274AE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质疑答复应当包括下列内容：</w:t>
      </w:r>
    </w:p>
    <w:p w14:paraId="75137CD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（一）质疑投标人的姓名或者名称；</w:t>
      </w:r>
    </w:p>
    <w:p w14:paraId="223358C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（二）收到质疑函的日期、质疑项目名称及编号；</w:t>
      </w:r>
    </w:p>
    <w:p w14:paraId="460820C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（三）质疑事项、质疑答复的具体内容、事实依据和法律依据；</w:t>
      </w:r>
    </w:p>
    <w:p w14:paraId="56C36C6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（四）告知质疑投标人依法投诉的权利；</w:t>
      </w:r>
    </w:p>
    <w:p w14:paraId="74ED1A7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（五）质疑答复人名称；</w:t>
      </w:r>
    </w:p>
    <w:p w14:paraId="47474B9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（六）答复质疑的日期。</w:t>
      </w:r>
    </w:p>
    <w:p w14:paraId="02FC627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质疑答复的内容不得涉及商业秘密。</w:t>
      </w:r>
    </w:p>
    <w:p w14:paraId="2BEF085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采购人、采购代理机构认为投标人质疑不成立，或者成立但未对中标、成交结果构成影响的，继续开展采购活动；认为投标人质疑成立且影响或者可能影响中标、成交结果的，按照下列情况处理：</w:t>
      </w:r>
    </w:p>
    <w:p w14:paraId="2FFD587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提出的质疑，依法通过澄清或者修改可以继续开展采购活动的，澄清或者修改</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后继续开展采购活动；否则应当修改</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后重新开展采购活动。</w:t>
      </w:r>
    </w:p>
    <w:p w14:paraId="0F30AB1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中标或者成交结果提出的质疑，合格投标人符合法定数量时，可以从合格的中标或者成交候选人中另行确定中标、成交投标人的，应当依法另行确定中标、成交投标人；否则应当重新开展采购活动。</w:t>
      </w:r>
    </w:p>
    <w:p w14:paraId="4124AC6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质疑答复导致中标、成交结果改变的，采购人或者采购代理机构应当将有关情况书面报告本级财政部门。</w:t>
      </w:r>
    </w:p>
    <w:p w14:paraId="7419BCEF">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11.投诉</w:t>
      </w:r>
    </w:p>
    <w:p w14:paraId="2BB50A7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11.1质疑供应商对采购人、采购代理机构的答复不满意，或者采购人、采购代理机构未在规定时间内作出答复的，可以在答复期满后15个工作日内向本级财政部门提起投诉。</w:t>
      </w:r>
    </w:p>
    <w:p w14:paraId="531F687D">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11.2就本章11条规定事项投诉的，应当先向采购人提出质疑，质疑答复期间不计算在前款规定的期限内。</w:t>
      </w:r>
    </w:p>
    <w:p w14:paraId="7989DF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11.3投诉人投诉时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0F954C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（一）投诉人和被投诉人的姓名或者名称、通讯地址、邮编、联系人及联系电话；</w:t>
      </w:r>
    </w:p>
    <w:p w14:paraId="64F06B9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（二）质疑和质疑答复情况说明及相关证明材料；</w:t>
      </w:r>
    </w:p>
    <w:p w14:paraId="1508A4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（三）具体、明确的投诉事项和与投诉事项相关的投诉请求；</w:t>
      </w:r>
    </w:p>
    <w:p w14:paraId="67E05AA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w:t>
      </w:r>
    </w:p>
    <w:p w14:paraId="5107654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14:paraId="3377D828">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（六）提起投诉的日期。</w:t>
      </w:r>
    </w:p>
    <w:p w14:paraId="2A7868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投诉人为自然人的，应当由本人签字；投诉人为法人或者其他组织的，应当由法定代表人、主要负责人，或者其授权代表签字或者盖章，并加盖公章。</w:t>
      </w:r>
    </w:p>
    <w:p w14:paraId="74B8EDF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w:t>
      </w:r>
    </w:p>
    <w:p w14:paraId="6F0805B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投诉人提起投诉应当符合下列条件：</w:t>
      </w:r>
    </w:p>
    <w:p w14:paraId="0A34054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（一）提起投诉前已依法进行质疑；</w:t>
      </w:r>
    </w:p>
    <w:p w14:paraId="70CC994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（二）投诉书内容符合本办法的规定；</w:t>
      </w:r>
    </w:p>
    <w:p w14:paraId="0EDD9A5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（三）在投诉有效期限内提起投诉；</w:t>
      </w:r>
    </w:p>
    <w:p w14:paraId="171E558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（四）同一投诉事项未经财政部门投诉处理；</w:t>
      </w:r>
    </w:p>
    <w:p w14:paraId="7309B26E">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（五）财政部规定的其他条件。</w:t>
      </w:r>
    </w:p>
    <w:p w14:paraId="6008C0E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11.4投诉人不得以投诉为名排挤竞争对手，不得进行虚假、恶意投诉，阻碍采购投标活动的正常进行。</w:t>
      </w:r>
    </w:p>
    <w:p w14:paraId="5D60E68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11.5投诉人可以直接投诉，也可以委托代理人办理投诉事务。代理人办理投诉事务时，应将授权委托书连同投诉书一并提交给行政监督部门。授权委托书应当明确有关委托代理权限和事项。</w:t>
      </w:r>
    </w:p>
    <w:p w14:paraId="6875B472">
      <w:pPr>
        <w:pStyle w:val="7"/>
        <w:ind w:firstLine="480" w:firstLineChars="200"/>
        <w:rPr>
          <w:rFonts w:asciiTheme="minorEastAsia" w:hAnsiTheme="minorEastAsia" w:eastAsiaTheme="minorEastAsia" w:cstheme="minorEastAsia"/>
          <w:color w:val="auto"/>
          <w:sz w:val="24"/>
          <w:highlight w:val="none"/>
        </w:rPr>
      </w:pPr>
      <w:bookmarkStart w:id="162" w:name="_Toc20594"/>
      <w:r>
        <w:rPr>
          <w:rFonts w:hint="eastAsia" w:asciiTheme="minorEastAsia" w:hAnsiTheme="minorEastAsia" w:eastAsiaTheme="minorEastAsia" w:cstheme="minorEastAsia"/>
          <w:color w:val="auto"/>
          <w:sz w:val="24"/>
          <w:highlight w:val="none"/>
        </w:rPr>
        <w:t>11.6有下列情形之一的投诉，不予受理；</w:t>
      </w:r>
    </w:p>
    <w:p w14:paraId="3BBEDD94">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（一）投诉人不是所投诉采购投标活动的参与者，或者与投诉项目无任何利害关系；</w:t>
      </w:r>
    </w:p>
    <w:p w14:paraId="708EB8EC">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（二）投诉事项不具体，且未提供有效线索，难以查证的；</w:t>
      </w:r>
    </w:p>
    <w:p w14:paraId="57F2702C">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（三）投诉书未署具投诉人真实姓名、签字和有效联系方式的；以法人名义投诉的，投诉书未经法定代表人签字并加盖公章的；</w:t>
      </w:r>
    </w:p>
    <w:p w14:paraId="0977B6A6">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（四）超过投诉时效的；</w:t>
      </w:r>
    </w:p>
    <w:p w14:paraId="1465D56E">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（五）已经作出处理决定，并且投诉人没有提出新的证据；</w:t>
      </w:r>
    </w:p>
    <w:p w14:paraId="1534A352">
      <w:pPr>
        <w:pStyle w:val="32"/>
        <w:ind w:firstLine="480"/>
        <w:rPr>
          <w:rFonts w:asciiTheme="minorEastAsia" w:hAnsiTheme="minorEastAsia" w:cstheme="minorEastAsia"/>
          <w:color w:val="auto"/>
          <w:spacing w:val="0"/>
          <w:szCs w:val="24"/>
          <w:highlight w:val="none"/>
        </w:rPr>
      </w:pPr>
      <w:r>
        <w:rPr>
          <w:rFonts w:hint="eastAsia" w:asciiTheme="minorEastAsia" w:hAnsiTheme="minorEastAsia" w:cstheme="minorEastAsia"/>
          <w:color w:val="auto"/>
          <w:spacing w:val="0"/>
          <w:szCs w:val="24"/>
          <w:highlight w:val="none"/>
        </w:rPr>
        <w:t>（六）投诉事项已进入行政复议或者行政诉讼程序的。</w:t>
      </w:r>
    </w:p>
    <w:p w14:paraId="47A5DE8E">
      <w:pPr>
        <w:pStyle w:val="32"/>
        <w:ind w:firstLine="480"/>
        <w:rPr>
          <w:rFonts w:asciiTheme="minorEastAsia" w:hAnsiTheme="minorEastAsia" w:cstheme="minorEastAsia"/>
          <w:color w:val="auto"/>
          <w:szCs w:val="24"/>
          <w:highlight w:val="none"/>
        </w:rPr>
      </w:pPr>
      <w:r>
        <w:rPr>
          <w:rFonts w:hint="eastAsia" w:asciiTheme="minorEastAsia" w:hAnsiTheme="minorEastAsia" w:cstheme="minorEastAsia"/>
          <w:color w:val="auto"/>
          <w:spacing w:val="0"/>
          <w:szCs w:val="24"/>
          <w:highlight w:val="none"/>
        </w:rPr>
        <w:t>11.7未尽事宜，按国家现行有关法律法规、中华人民共和国财政部令第94号--《政府采购质疑和投诉办法》的规定执行</w:t>
      </w:r>
      <w:r>
        <w:rPr>
          <w:rFonts w:hint="eastAsia" w:asciiTheme="minorEastAsia" w:hAnsiTheme="minorEastAsia" w:cstheme="minorEastAsia"/>
          <w:color w:val="auto"/>
          <w:szCs w:val="24"/>
          <w:highlight w:val="none"/>
        </w:rPr>
        <w:t>。</w:t>
      </w:r>
    </w:p>
    <w:bookmarkEnd w:id="162"/>
    <w:p w14:paraId="3D473C39">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bookmarkStart w:id="163" w:name="_Toc11354"/>
      <w:bookmarkEnd w:id="163"/>
      <w:bookmarkStart w:id="164" w:name="_Toc11291"/>
      <w:bookmarkEnd w:id="164"/>
      <w:bookmarkStart w:id="165" w:name="_Toc19873"/>
      <w:bookmarkEnd w:id="165"/>
      <w:bookmarkStart w:id="166" w:name="_Toc18697"/>
      <w:bookmarkEnd w:id="166"/>
      <w:bookmarkStart w:id="167" w:name="_Toc3960"/>
      <w:bookmarkEnd w:id="167"/>
      <w:bookmarkStart w:id="168" w:name="_Toc14857"/>
      <w:bookmarkStart w:id="169" w:name="_Toc22793"/>
      <w:bookmarkStart w:id="170" w:name="_Toc26816"/>
      <w:r>
        <w:rPr>
          <w:rFonts w:hint="eastAsia" w:asciiTheme="minorEastAsia" w:hAnsiTheme="minorEastAsia" w:eastAsiaTheme="minorEastAsia" w:cstheme="minorEastAsia"/>
          <w:color w:val="auto"/>
          <w:szCs w:val="28"/>
          <w:highlight w:val="none"/>
        </w:rPr>
        <w:t>12.需要补充的其他内容</w:t>
      </w:r>
      <w:bookmarkEnd w:id="168"/>
      <w:bookmarkEnd w:id="169"/>
      <w:bookmarkEnd w:id="170"/>
    </w:p>
    <w:p w14:paraId="237909C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需要补充的其他内容：见投标人须知前附表；</w:t>
      </w:r>
    </w:p>
    <w:p w14:paraId="1041E3F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在领取</w:t>
      </w:r>
      <w:r>
        <w:rPr>
          <w:rFonts w:hint="eastAsia" w:asciiTheme="minorEastAsia" w:hAnsiTheme="minorEastAsia" w:eastAsiaTheme="minorEastAsia" w:cstheme="minorEastAsia"/>
          <w:color w:val="auto"/>
          <w:sz w:val="24"/>
          <w:highlight w:val="none"/>
          <w:lang w:val="en-US" w:eastAsia="zh-CN"/>
        </w:rPr>
        <w:t>中标</w:t>
      </w:r>
      <w:r>
        <w:rPr>
          <w:rFonts w:hint="eastAsia" w:asciiTheme="minorEastAsia" w:hAnsiTheme="minorEastAsia" w:eastAsiaTheme="minorEastAsia" w:cstheme="minorEastAsia"/>
          <w:color w:val="auto"/>
          <w:sz w:val="24"/>
          <w:highlight w:val="none"/>
        </w:rPr>
        <w:t>通知书的同时，由中标人向采购代理机构支付</w:t>
      </w:r>
      <w:r>
        <w:rPr>
          <w:rFonts w:hint="eastAsia" w:asciiTheme="minorEastAsia" w:hAnsiTheme="minorEastAsia" w:eastAsiaTheme="minorEastAsia" w:cstheme="minorEastAsia"/>
          <w:color w:val="auto"/>
          <w:sz w:val="24"/>
          <w:highlight w:val="none"/>
          <w:lang w:eastAsia="zh-CN"/>
        </w:rPr>
        <w:t>中标服务费</w:t>
      </w:r>
      <w:r>
        <w:rPr>
          <w:rFonts w:hint="eastAsia" w:asciiTheme="minorEastAsia" w:hAnsiTheme="minorEastAsia" w:eastAsiaTheme="minorEastAsia" w:cstheme="minorEastAsia"/>
          <w:color w:val="auto"/>
          <w:sz w:val="24"/>
          <w:highlight w:val="none"/>
        </w:rPr>
        <w:t>；</w:t>
      </w:r>
    </w:p>
    <w:p w14:paraId="18948EF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中标人与采购人签订合同后，将合同扫描件报采购代理机构备案。</w:t>
      </w:r>
    </w:p>
    <w:p w14:paraId="77A508A9">
      <w:pPr>
        <w:pStyle w:val="4"/>
        <w:numPr>
          <w:ilvl w:val="2"/>
          <w:numId w:val="0"/>
        </w:numPr>
        <w:tabs>
          <w:tab w:val="clear" w:pos="900"/>
        </w:tabs>
        <w:spacing w:before="0"/>
        <w:rPr>
          <w:rFonts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13.政府采购政策</w:t>
      </w:r>
    </w:p>
    <w:p w14:paraId="37354CC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13.1关于中小企业</w:t>
      </w:r>
    </w:p>
    <w:p w14:paraId="7F32860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13.1.1根据《关于印发&lt;政府采购促进中小企业发展管理办法&gt;的通知》（财库〔2020〕46 号）及《关于进一步加大政府采购支持中小企业力度的通知》（财库〔2022〕19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2A0757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13.1.2在政府采购活动中，投标人提供的货物、工程或者服务符合下列情形的，享受中小企业扶持政策：</w:t>
      </w:r>
    </w:p>
    <w:p w14:paraId="3BC8560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（一）在货物采购项目中，货物由中小企业制造，即货物由中小企业生产且使用该中小企业商号或者注册商标；</w:t>
      </w:r>
    </w:p>
    <w:p w14:paraId="20BAEE9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（二）在工程采购项目中，工程由中小企业承建，即工程施工单位为中小企业；</w:t>
      </w:r>
    </w:p>
    <w:p w14:paraId="49749E4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（三）在服务采购项目中，服务由中小企业承接，即提供服务的人员为中小企业依照《中华人民共和国劳动合同法》订立劳动合同的从业人员。</w:t>
      </w:r>
    </w:p>
    <w:p w14:paraId="35542EB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在货物采购项目中，投标人提供的货物既有中小企业制造货物，也有大型企业制造货物的，不享受本办法规定的中小企业扶持政策。</w:t>
      </w:r>
    </w:p>
    <w:p w14:paraId="1CBB616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以联合体形式参加政府采购活动，联合体各方均为中小企业的，联合体视同中小企业。其中，联合体各方均为小微企业的，联合体视同小微企业。</w:t>
      </w:r>
    </w:p>
    <w:p w14:paraId="1F3E5B2B">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13.1.3依据《政府采购促进中小企业发展管理办法》（财库〔2020〕46号）及《关于进一步加大政府采购支持中小企业力度的通知》（财库〔2022〕19号）规定享受扶持政策获得政府采购合同的，小微企业不得将合同分包给大中型企业，中型企业不得将合同分包给大型企业。</w:t>
      </w:r>
    </w:p>
    <w:p w14:paraId="06D4559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13.1.4中小企业参加政府采购活动，应当出具本办法规定的《中小企业声明函》（后附），否则不得享受相关中小企业扶持政策。</w:t>
      </w:r>
    </w:p>
    <w:p w14:paraId="2EA8924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13.1.5本项目针对小微企业报价给予10%的扣除，用扣除后的价格参与评审。残疾人福利性单位属于小型、微型企业、监狱企业的，不重复享受政策。</w:t>
      </w:r>
    </w:p>
    <w:p w14:paraId="4235364A">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13.2关于残疾人福利性单位：</w:t>
      </w:r>
    </w:p>
    <w:p w14:paraId="44FE44E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13.2.1根据《关于促进残疾人就业政府采购政策的通知》（财库〔2017〕141号）的规定，享受政府采购支持政策的残疾人福利性单位应当同时满足以下条件：</w:t>
      </w:r>
    </w:p>
    <w:p w14:paraId="46D810A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（一）安置的残疾人占本单位在职职工人数的比例不低于25%（含25%），并且安置的残疾人人数不少于10人（含10人）；</w:t>
      </w:r>
    </w:p>
    <w:p w14:paraId="0C092DF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（二）依法与安置的每位残疾人签订了一年以上（含一年）的劳动合同或服务协议；</w:t>
      </w:r>
    </w:p>
    <w:p w14:paraId="48B0D50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（三）为安置的每位残疾人按月足额缴纳了基本养老保险、基本医疗保险、失业保险、工伤保险和生育保险等社会保险费；</w:t>
      </w:r>
    </w:p>
    <w:p w14:paraId="2716ACF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（四）通过银行等金融机构向安置的每位残疾人，按月支付了不低于单位所在区县适用的经省级人民政府批准的月最低工资标准的工资；</w:t>
      </w:r>
    </w:p>
    <w:p w14:paraId="3ACF8077">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（五）提供本单位制造的货物、承担的工程或者服务（以下简称产品），或者提供其他残疾人福利性单位制造的货物（不包括使用非残疾人福利性单位注册商标的货物）。</w:t>
      </w:r>
    </w:p>
    <w:p w14:paraId="7619660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D7917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13.2.2符合条件的残疾人福利性单位在参加政府采购活动时，应当按《三部门联合发布关于促进残疾人就业政府采购政策的通知》（财库〔2017〕141号）提供规定的《残疾人福利性单位声明函》，并对声明的真实性负责。</w:t>
      </w:r>
    </w:p>
    <w:p w14:paraId="7DA15BC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13.2.3本项目针对残疾人福利性单位产品的价格给予10%的扣除，</w:t>
      </w:r>
      <w:bookmarkStart w:id="171" w:name="_Hlk92451014"/>
      <w:r>
        <w:rPr>
          <w:rFonts w:hint="eastAsia" w:asciiTheme="minorEastAsia" w:hAnsiTheme="minorEastAsia" w:eastAsiaTheme="minorEastAsia" w:cstheme="minorEastAsia"/>
          <w:color w:val="auto"/>
          <w:sz w:val="24"/>
          <w:highlight w:val="none"/>
        </w:rPr>
        <w:t>用扣除后的价格参与评审。残疾人福利性单位属于小型、微型企业、监狱企业的，不重复享受政策。</w:t>
      </w:r>
      <w:bookmarkEnd w:id="171"/>
    </w:p>
    <w:p w14:paraId="28100670">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13.3关于监狱企业：</w:t>
      </w:r>
    </w:p>
    <w:p w14:paraId="3132C69B">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13.3.1 依照&lt;财政部、司法部关于政府采购支持监狱企业发展有关问题的通知&gt;（财库〔2014〕68号）之规定，监狱企业应当符合以下条件：</w:t>
      </w:r>
    </w:p>
    <w:p w14:paraId="46582F74">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C2FBEF">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13.3.3 监狱企业参加政府采购活动时，视同小型、微型企业，应当提供由省级以上监狱管理局、戒毒管理局（含新疆生产建设兵团）出具的属于监狱企业的证明文件。</w:t>
      </w:r>
    </w:p>
    <w:p w14:paraId="6CCA3B7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13.3.4在政府采购活动中，监狱企业视同小型、微型企业，享受预留份额、评审中价格扣除等政府采购促进中小企业发展的政府采购政策。</w:t>
      </w:r>
    </w:p>
    <w:p w14:paraId="78E0621C">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13.4关于节能产品及环境标志产品。</w:t>
      </w:r>
    </w:p>
    <w:p w14:paraId="35D053E6">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节能产品是指列入财政部和发展改革委公布的《关于印发节能产品政府采购品目清单的通知》（财库〔2019〕19 号）《节能产品政府采购品目清单》中的产品，其中已标注的政府强制采购产品。</w:t>
      </w:r>
    </w:p>
    <w:p w14:paraId="2F904FA2">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环境标志产品是指列入财政部和生态环境部公布的《关于印发环境标志产品政府采购品目清单的通知》（财库〔2019〕18 号）《环境标志产品政府采购品目清单》中的产品。</w:t>
      </w:r>
    </w:p>
    <w:p w14:paraId="436FFCC3">
      <w:pPr>
        <w:pStyle w:val="7"/>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052BD38">
      <w:pPr>
        <w:pStyle w:val="7"/>
        <w:ind w:firstLine="480" w:firstLineChars="200"/>
        <w:rPr>
          <w:rFonts w:ascii="宋体" w:hAnsi="宋体" w:cs="宋体"/>
          <w:color w:val="auto"/>
          <w:szCs w:val="21"/>
          <w:highlight w:val="none"/>
        </w:rPr>
      </w:pPr>
      <w:r>
        <w:rPr>
          <w:rFonts w:hint="eastAsia" w:asciiTheme="minorEastAsia" w:hAnsiTheme="minorEastAsia" w:eastAsiaTheme="minorEastAsia" w:cstheme="minorEastAsia"/>
          <w:color w:val="auto"/>
          <w:sz w:val="24"/>
          <w:highlight w:val="none"/>
        </w:rPr>
        <w:t>13.4.</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投标人应在投标文件中提供所投标产品国家确定的认证机构出具的、处于有效期之内的节能产品、环境标志产品认证证书，否则不予认可。</w:t>
      </w:r>
    </w:p>
    <w:p w14:paraId="3F01AD34">
      <w:pPr>
        <w:spacing w:line="52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《节能产品政府采购品目清单》及《环境标志产品政府采购品目清单》可通过中国政府采购网（http://www.ccgp.gov.cn/ ）查阅、下载。认证机构名录以现行最新规定为准。</w:t>
      </w:r>
    </w:p>
    <w:p w14:paraId="3F4DF219">
      <w:pPr>
        <w:spacing w:line="520" w:lineRule="exact"/>
        <w:ind w:firstLine="480" w:firstLineChars="200"/>
        <w:rPr>
          <w:rFonts w:hint="default" w:asciiTheme="minorEastAsia" w:hAnsiTheme="minorEastAsia" w:eastAsiaTheme="minorEastAsia" w:cstheme="minorEastAsia"/>
          <w:color w:val="auto"/>
          <w:sz w:val="24"/>
          <w:highlight w:val="none"/>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4"/>
          <w:highlight w:val="none"/>
          <w:lang w:val="en-US" w:eastAsia="zh-CN"/>
        </w:rPr>
        <w:t>13.5对本国产品的支持政策：按《国务院办公厅关于在政府采购中实施本国产品标准及相关政策的通知》（国办发〔2025〕34号）及《财政部关于贯彻落实&lt;国务院办公厅关于在政府采购中实施本国产品标准及相关政策的通知&gt;的意见》(财库〔2025〕30号)相关规定执行。</w:t>
      </w:r>
    </w:p>
    <w:bookmarkEnd w:id="1"/>
    <w:bookmarkEnd w:id="2"/>
    <w:p w14:paraId="649EF308">
      <w:pPr>
        <w:pStyle w:val="2"/>
        <w:spacing w:before="0" w:after="0" w:line="360" w:lineRule="auto"/>
        <w:ind w:firstLine="442" w:firstLineChars="100"/>
        <w:jc w:val="center"/>
        <w:rPr>
          <w:rFonts w:ascii="宋体" w:hAnsi="宋体" w:cs="宋体"/>
          <w:color w:val="auto"/>
          <w:highlight w:val="none"/>
        </w:rPr>
      </w:pPr>
      <w:bookmarkStart w:id="172" w:name="_bookmark73"/>
      <w:bookmarkEnd w:id="172"/>
      <w:bookmarkStart w:id="173" w:name="_Toc2432"/>
      <w:bookmarkEnd w:id="173"/>
      <w:bookmarkStart w:id="174" w:name="_Toc13757"/>
      <w:bookmarkEnd w:id="174"/>
      <w:bookmarkStart w:id="175" w:name="_bookmark75"/>
      <w:bookmarkEnd w:id="175"/>
      <w:bookmarkStart w:id="176" w:name="_Toc12995"/>
      <w:bookmarkEnd w:id="176"/>
      <w:bookmarkStart w:id="177" w:name="_Toc1490"/>
      <w:bookmarkEnd w:id="177"/>
      <w:bookmarkStart w:id="178" w:name="_Toc7645"/>
      <w:r>
        <w:rPr>
          <w:rFonts w:hint="eastAsia" w:ascii="宋体" w:hAnsi="宋体" w:cs="宋体"/>
          <w:color w:val="auto"/>
          <w:highlight w:val="none"/>
        </w:rPr>
        <w:t>第三章 评标办法</w:t>
      </w:r>
      <w:bookmarkEnd w:id="178"/>
    </w:p>
    <w:p w14:paraId="01E2DAB7">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根据《中华人民共和国政府采购法》、第87号令《政府采购货物和服务招标投标管理办法》、财政部（财库</w:t>
      </w:r>
      <w:r>
        <w:rPr>
          <w:rFonts w:hint="eastAsia" w:asciiTheme="minorEastAsia" w:hAnsiTheme="minorEastAsia" w:cstheme="minorEastAsia"/>
          <w:color w:val="auto"/>
          <w:sz w:val="24"/>
          <w:szCs w:val="24"/>
          <w:highlight w:val="none"/>
          <w:lang w:eastAsia="zh-CN"/>
        </w:rPr>
        <w:t>〔2012〕69号</w:t>
      </w:r>
      <w:r>
        <w:rPr>
          <w:rFonts w:hint="eastAsia" w:asciiTheme="minorEastAsia" w:hAnsiTheme="minorEastAsia" w:cstheme="minorEastAsia"/>
          <w:color w:val="auto"/>
          <w:sz w:val="24"/>
          <w:szCs w:val="24"/>
          <w:highlight w:val="none"/>
        </w:rPr>
        <w:t>）《财政部关于进一步规范政府采购评审工作有关问题的通知》、国务院（国务院第658号）《中华人民共和国政府采购法实施条例》等</w:t>
      </w:r>
      <w:r>
        <w:rPr>
          <w:rFonts w:hint="eastAsia" w:asciiTheme="minorEastAsia" w:hAnsiTheme="minorEastAsia" w:cstheme="minorEastAsia"/>
          <w:color w:val="auto"/>
          <w:sz w:val="24"/>
          <w:szCs w:val="24"/>
          <w:highlight w:val="none"/>
          <w:lang w:eastAsia="zh-CN"/>
        </w:rPr>
        <w:t>法律法规</w:t>
      </w:r>
      <w:r>
        <w:rPr>
          <w:rFonts w:hint="eastAsia" w:asciiTheme="minorEastAsia" w:hAnsiTheme="minorEastAsia" w:cstheme="minorEastAsia"/>
          <w:color w:val="auto"/>
          <w:sz w:val="24"/>
          <w:szCs w:val="24"/>
          <w:highlight w:val="none"/>
        </w:rPr>
        <w:t>。</w:t>
      </w:r>
    </w:p>
    <w:p w14:paraId="01BCB493">
      <w:pPr>
        <w:pStyle w:val="10"/>
        <w:spacing w:after="0" w:line="360" w:lineRule="auto"/>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一、评标原则</w:t>
      </w:r>
    </w:p>
    <w:p w14:paraId="4606A5DA">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1.坚持“公平、公正、科学、择优”的原则，本着实事求是的精神，不带有任何主观意愿和偏见，认真负责地做好评标工作，公平、公正地对待每一个投标人。</w:t>
      </w:r>
    </w:p>
    <w:p w14:paraId="3CC4893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2.全面分析，综合评审。</w:t>
      </w:r>
    </w:p>
    <w:p w14:paraId="23D162D1">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3.评标只对投标人的投标文件进行评审，投标文件以外的资料、信息不作为评标的依据。</w:t>
      </w:r>
    </w:p>
    <w:p w14:paraId="57FC5D5C">
      <w:pPr>
        <w:pStyle w:val="10"/>
        <w:spacing w:after="0" w:line="360" w:lineRule="auto"/>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二、评标机构</w:t>
      </w:r>
    </w:p>
    <w:p w14:paraId="30E51832">
      <w:pPr>
        <w:pStyle w:val="10"/>
        <w:spacing w:after="0" w:line="360" w:lineRule="auto"/>
        <w:ind w:left="0" w:leftChars="0" w:firstLine="480"/>
        <w:jc w:val="left"/>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cstheme="minorEastAsia"/>
          <w:color w:val="auto"/>
          <w:sz w:val="24"/>
          <w:szCs w:val="24"/>
          <w:highlight w:val="none"/>
        </w:rPr>
        <w:t>评标机构为评标委员会，评标委员会的组成见“第二章 投标人须知</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投标人须知前附表 6.1.1”</w:t>
      </w:r>
      <w:r>
        <w:rPr>
          <w:rFonts w:hint="eastAsia" w:asciiTheme="minorEastAsia" w:hAnsiTheme="minorEastAsia" w:cstheme="minorEastAsia"/>
          <w:color w:val="auto"/>
          <w:sz w:val="24"/>
          <w:szCs w:val="24"/>
          <w:highlight w:val="none"/>
          <w:lang w:eastAsia="zh-CN"/>
        </w:rPr>
        <w:t>。</w:t>
      </w:r>
    </w:p>
    <w:p w14:paraId="7CC2B7D4">
      <w:pPr>
        <w:pStyle w:val="10"/>
        <w:spacing w:after="0" w:line="360" w:lineRule="auto"/>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 xml:space="preserve">三、评标委员会职责 </w:t>
      </w:r>
    </w:p>
    <w:p w14:paraId="319C7CC5">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评标委员会负责具体评标事务，并独立履行下列职责： </w:t>
      </w:r>
    </w:p>
    <w:p w14:paraId="56C27D99">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一</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 xml:space="preserve">审查、评价投标文件是否符合招标文件的商务、技术等实质性要求。 </w:t>
      </w:r>
    </w:p>
    <w:p w14:paraId="755D67DF">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二</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 xml:space="preserve">要求投标人对投标文件有关事项作出澄清或者说明。 </w:t>
      </w:r>
    </w:p>
    <w:p w14:paraId="4D180E9F">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对投标文件进行比较和评价。</w:t>
      </w:r>
    </w:p>
    <w:p w14:paraId="2065A675">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四</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 xml:space="preserve">确定中标候选人名单，以及根据采购人委托直接确定中标人。 </w:t>
      </w:r>
    </w:p>
    <w:p w14:paraId="0EAFB0ED">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五</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向采购人、采购代理机构或者有关部门报告评标中发现的违法行为。</w:t>
      </w:r>
    </w:p>
    <w:p w14:paraId="39555366">
      <w:pPr>
        <w:pStyle w:val="10"/>
        <w:spacing w:after="0" w:line="360" w:lineRule="auto"/>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四、评标纪律</w:t>
      </w:r>
    </w:p>
    <w:p w14:paraId="57CB256D">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1.对评标过程要严格保密，不得向投标人或与该过程无关的</w:t>
      </w:r>
      <w:r>
        <w:rPr>
          <w:rFonts w:hint="eastAsia" w:asciiTheme="minorEastAsia" w:hAnsiTheme="minorEastAsia" w:cstheme="minorEastAsia"/>
          <w:color w:val="auto"/>
          <w:sz w:val="24"/>
          <w:szCs w:val="24"/>
          <w:highlight w:val="none"/>
          <w:lang w:eastAsia="zh-CN"/>
        </w:rPr>
        <w:t>其他人员</w:t>
      </w:r>
      <w:r>
        <w:rPr>
          <w:rFonts w:hint="eastAsia" w:asciiTheme="minorEastAsia" w:hAnsiTheme="minorEastAsia" w:cstheme="minorEastAsia"/>
          <w:color w:val="auto"/>
          <w:sz w:val="24"/>
          <w:szCs w:val="24"/>
          <w:highlight w:val="none"/>
        </w:rPr>
        <w:t>泄露；</w:t>
      </w:r>
    </w:p>
    <w:p w14:paraId="14D99654">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2.任何属于投标文件审查、澄清、评价和比较的资料，不得向投标人或与该过程无关的</w:t>
      </w:r>
      <w:r>
        <w:rPr>
          <w:rFonts w:hint="eastAsia" w:asciiTheme="minorEastAsia" w:hAnsiTheme="minorEastAsia" w:cstheme="minorEastAsia"/>
          <w:color w:val="auto"/>
          <w:sz w:val="24"/>
          <w:szCs w:val="24"/>
          <w:highlight w:val="none"/>
          <w:lang w:eastAsia="zh-CN"/>
        </w:rPr>
        <w:t>其他人员</w:t>
      </w:r>
      <w:r>
        <w:rPr>
          <w:rFonts w:hint="eastAsia" w:asciiTheme="minorEastAsia" w:hAnsiTheme="minorEastAsia" w:cstheme="minorEastAsia"/>
          <w:color w:val="auto"/>
          <w:sz w:val="24"/>
          <w:szCs w:val="24"/>
          <w:highlight w:val="none"/>
        </w:rPr>
        <w:t>泄露；</w:t>
      </w:r>
    </w:p>
    <w:p w14:paraId="3C9D1DC4">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3.所有资料（包括招标文件、投标文件、评标表格及各种文字记录）在评标结束后均应分别整理、存档备查，任何人不得复制和保留，不得向外泄露；</w:t>
      </w:r>
    </w:p>
    <w:p w14:paraId="2BCB094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4.评标期间，评标人员不得外出，确需外出时应事先请假；</w:t>
      </w:r>
    </w:p>
    <w:p w14:paraId="69BE3E9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5.评标期间，所有与会人员均不得私自以任何方式和投标人进行联系，需询问、澄清的问题由评标委员会统一组织办理；</w:t>
      </w:r>
    </w:p>
    <w:p w14:paraId="25A3992C">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6.评标结束后，与会人员不得向外界透露评标人员的评标意见，如因此造成的后果由责任者承担。</w:t>
      </w:r>
    </w:p>
    <w:p w14:paraId="7830A781">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7.根据《政府采购货物和服务招标投标管理办法》</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财政部令第 87 号</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规定，评标委员会及其成员不得有下列行为，否则其评审意见无效：</w:t>
      </w:r>
    </w:p>
    <w:p w14:paraId="10A166F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（1）确定参与评标至评标结束前私自接触投标人；</w:t>
      </w:r>
    </w:p>
    <w:p w14:paraId="234CC565">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（2）接受投标人提出的与投标文件不一致的澄清或者说明，本办法第五十一条规定的情形除外；</w:t>
      </w:r>
    </w:p>
    <w:p w14:paraId="2ADC484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（3）违反评标纪律发表倾向性意见或者征询采购人的倾向性意见；</w:t>
      </w:r>
    </w:p>
    <w:p w14:paraId="75988FDC">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（4）对需要专业判断的主观评审因素协商评分；</w:t>
      </w:r>
    </w:p>
    <w:p w14:paraId="19329CB6">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（5）在评标过程中擅离职守，影响评标程序正常进行的；</w:t>
      </w:r>
    </w:p>
    <w:p w14:paraId="6552405C">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（6）记录、复制或者带走任何评标资料；</w:t>
      </w:r>
    </w:p>
    <w:p w14:paraId="33654C11">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（7）其他不遵守评标纪律的行为。</w:t>
      </w:r>
    </w:p>
    <w:p w14:paraId="04A17B65">
      <w:pPr>
        <w:pStyle w:val="10"/>
        <w:spacing w:after="0" w:line="360" w:lineRule="auto"/>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五、评标程序</w:t>
      </w:r>
    </w:p>
    <w:p w14:paraId="72CD7AB3">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本次招标所采用的评标方法为《政府采购货物和服务招标投标管理办法》</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财政部令第87号</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第五十五条规定的“综合评分法”。</w:t>
      </w:r>
    </w:p>
    <w:p w14:paraId="52F1628A">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评标按：资格审查→符合性审查→商务技术评审→</w:t>
      </w:r>
      <w:r>
        <w:rPr>
          <w:rFonts w:hint="eastAsia" w:asciiTheme="minorEastAsia" w:hAnsiTheme="minorEastAsia" w:cstheme="minorEastAsia"/>
          <w:color w:val="auto"/>
          <w:sz w:val="24"/>
          <w:szCs w:val="24"/>
          <w:highlight w:val="none"/>
          <w:lang w:val="en-US" w:eastAsia="zh-CN"/>
        </w:rPr>
        <w:t>报价评审→</w:t>
      </w:r>
      <w:r>
        <w:rPr>
          <w:rFonts w:hint="eastAsia" w:asciiTheme="minorEastAsia" w:hAnsiTheme="minorEastAsia" w:cstheme="minorEastAsia"/>
          <w:color w:val="auto"/>
          <w:sz w:val="24"/>
          <w:szCs w:val="24"/>
          <w:highlight w:val="none"/>
        </w:rPr>
        <w:t>统计评标结果→编写评标报告的程序进行。</w:t>
      </w:r>
    </w:p>
    <w:p w14:paraId="417BEE24">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（一）资格审查</w:t>
      </w:r>
    </w:p>
    <w:p w14:paraId="0EBEC48E">
      <w:pPr>
        <w:pStyle w:val="10"/>
        <w:spacing w:after="0" w:line="360" w:lineRule="auto"/>
        <w:ind w:left="0" w:leftChars="0" w:firstLine="480"/>
        <w:jc w:val="left"/>
        <w:rPr>
          <w:rFonts w:asciiTheme="minorEastAsia" w:hAnsiTheme="minorEastAsia" w:cstheme="minorEastAsia"/>
          <w:b/>
          <w:bCs/>
          <w:color w:val="auto"/>
          <w:sz w:val="24"/>
          <w:szCs w:val="24"/>
          <w:highlight w:val="none"/>
        </w:rPr>
      </w:pPr>
      <w:r>
        <w:rPr>
          <w:rFonts w:hint="eastAsia" w:asciiTheme="minorEastAsia" w:hAnsiTheme="minorEastAsia" w:cstheme="minorEastAsia"/>
          <w:color w:val="auto"/>
          <w:sz w:val="24"/>
          <w:szCs w:val="24"/>
          <w:highlight w:val="none"/>
        </w:rPr>
        <w:t>开标会结束后，采购人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和/或</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采购代理机构依据法律法规和招标文件的规定对投标人的资格进行审查，以确定投标人是否具备投标资格。只有通过资格审查的投标文件才能进入评标。</w:t>
      </w:r>
    </w:p>
    <w:p w14:paraId="4ED6E4AF">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不符合下列情形之一的投标文件不能通过资格审查： </w:t>
      </w:r>
    </w:p>
    <w:tbl>
      <w:tblPr>
        <w:tblStyle w:val="24"/>
        <w:tblW w:w="0" w:type="auto"/>
        <w:tblInd w:w="11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134"/>
        <w:gridCol w:w="5806"/>
      </w:tblGrid>
      <w:tr w14:paraId="0EDDE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4DB1C87D">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3134" w:type="dxa"/>
            <w:tcBorders>
              <w:tl2br w:val="nil"/>
              <w:tr2bl w:val="nil"/>
            </w:tcBorders>
            <w:noWrap/>
            <w:vAlign w:val="center"/>
          </w:tcPr>
          <w:p w14:paraId="7CB8A8F6">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评审因素</w:t>
            </w:r>
          </w:p>
        </w:tc>
        <w:tc>
          <w:tcPr>
            <w:tcW w:w="5806" w:type="dxa"/>
            <w:tcBorders>
              <w:tl2br w:val="nil"/>
              <w:tr2bl w:val="nil"/>
            </w:tcBorders>
            <w:noWrap/>
            <w:vAlign w:val="center"/>
          </w:tcPr>
          <w:p w14:paraId="4263CFEE">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资格评审标准</w:t>
            </w:r>
          </w:p>
        </w:tc>
      </w:tr>
      <w:tr w14:paraId="3B601B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79E68CC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134" w:type="dxa"/>
            <w:tcBorders>
              <w:tl2br w:val="nil"/>
              <w:tr2bl w:val="nil"/>
            </w:tcBorders>
            <w:noWrap/>
            <w:vAlign w:val="center"/>
          </w:tcPr>
          <w:p w14:paraId="57B4F14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具有独立承担民事责任的</w:t>
            </w:r>
          </w:p>
          <w:p w14:paraId="6129A7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能力</w:t>
            </w:r>
          </w:p>
        </w:tc>
        <w:tc>
          <w:tcPr>
            <w:tcW w:w="5806" w:type="dxa"/>
            <w:tcBorders>
              <w:tl2br w:val="nil"/>
              <w:tr2bl w:val="nil"/>
            </w:tcBorders>
            <w:noWrap/>
            <w:vAlign w:val="center"/>
          </w:tcPr>
          <w:p w14:paraId="188D040B">
            <w:pPr>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提供法人或者其他组织的营业执照等证明文件，自然人的身份证明</w:t>
            </w:r>
            <w:r>
              <w:rPr>
                <w:rFonts w:hint="eastAsia" w:ascii="宋体" w:hAnsi="宋体" w:eastAsia="宋体" w:cs="宋体"/>
                <w:color w:val="auto"/>
                <w:sz w:val="24"/>
                <w:highlight w:val="none"/>
              </w:rPr>
              <w:t>。</w:t>
            </w:r>
          </w:p>
        </w:tc>
      </w:tr>
      <w:tr w14:paraId="15789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079021C2">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3134" w:type="dxa"/>
            <w:tcBorders>
              <w:tl2br w:val="nil"/>
              <w:tr2bl w:val="nil"/>
            </w:tcBorders>
            <w:noWrap/>
            <w:vAlign w:val="center"/>
          </w:tcPr>
          <w:p w14:paraId="7E5AB207">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具有良好的商业信誉</w:t>
            </w:r>
          </w:p>
        </w:tc>
        <w:tc>
          <w:tcPr>
            <w:tcW w:w="5806" w:type="dxa"/>
            <w:tcBorders>
              <w:tl2br w:val="nil"/>
              <w:tr2bl w:val="nil"/>
            </w:tcBorders>
            <w:noWrap/>
            <w:vAlign w:val="center"/>
          </w:tcPr>
          <w:p w14:paraId="4F09DE8E">
            <w:pPr>
              <w:widowControl/>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r>
              <w:rPr>
                <w:rFonts w:hint="eastAsia" w:ascii="宋体" w:hAnsi="宋体" w:cs="宋体"/>
                <w:color w:val="auto"/>
                <w:sz w:val="24"/>
                <w:highlight w:val="none"/>
              </w:rPr>
              <w:t>。</w:t>
            </w:r>
          </w:p>
        </w:tc>
      </w:tr>
      <w:tr w14:paraId="037E8E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3716E2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3134" w:type="dxa"/>
            <w:tcBorders>
              <w:tl2br w:val="nil"/>
              <w:tr2bl w:val="nil"/>
            </w:tcBorders>
            <w:noWrap/>
            <w:vAlign w:val="center"/>
          </w:tcPr>
          <w:p w14:paraId="089ACA72">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健全的财务会计制度</w:t>
            </w:r>
          </w:p>
        </w:tc>
        <w:tc>
          <w:tcPr>
            <w:tcW w:w="5806" w:type="dxa"/>
            <w:tcBorders>
              <w:tl2br w:val="nil"/>
              <w:tr2bl w:val="nil"/>
            </w:tcBorders>
            <w:noWrap/>
            <w:vAlign w:val="center"/>
          </w:tcPr>
          <w:p w14:paraId="5838DDF9">
            <w:pPr>
              <w:widowControl/>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提供银行出具的资信证明</w:t>
            </w:r>
            <w:r>
              <w:rPr>
                <w:rFonts w:hint="eastAsia" w:ascii="宋体" w:hAnsi="宋体" w:cs="宋体"/>
                <w:color w:val="auto"/>
                <w:sz w:val="24"/>
                <w:szCs w:val="24"/>
                <w:highlight w:val="none"/>
                <w:lang w:eastAsia="zh-CN"/>
              </w:rPr>
              <w:t>。</w:t>
            </w:r>
          </w:p>
        </w:tc>
      </w:tr>
      <w:tr w14:paraId="65D5F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7BF949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3134" w:type="dxa"/>
            <w:tcBorders>
              <w:tl2br w:val="nil"/>
              <w:tr2bl w:val="nil"/>
            </w:tcBorders>
            <w:noWrap/>
            <w:vAlign w:val="center"/>
          </w:tcPr>
          <w:p w14:paraId="790AA053">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5806" w:type="dxa"/>
            <w:tcBorders>
              <w:tl2br w:val="nil"/>
              <w:tr2bl w:val="nil"/>
            </w:tcBorders>
            <w:noWrap/>
            <w:vAlign w:val="center"/>
          </w:tcPr>
          <w:p w14:paraId="5929765F">
            <w:pPr>
              <w:widowControl/>
              <w:spacing w:line="360" w:lineRule="auto"/>
              <w:rPr>
                <w:rFonts w:ascii="宋体" w:hAnsi="宋体" w:cs="宋体"/>
                <w:color w:val="auto"/>
                <w:sz w:val="24"/>
                <w:highlight w:val="none"/>
              </w:rPr>
            </w:pPr>
            <w:r>
              <w:rPr>
                <w:rFonts w:hint="eastAsia" w:ascii="宋体" w:hAnsi="宋体" w:cs="宋体"/>
                <w:color w:val="auto"/>
                <w:sz w:val="24"/>
                <w:szCs w:val="24"/>
                <w:highlight w:val="none"/>
                <w:lang w:eastAsia="zh-CN"/>
              </w:rPr>
              <w:t>提供相关证明材料</w:t>
            </w:r>
            <w:r>
              <w:rPr>
                <w:rFonts w:hint="eastAsia" w:ascii="宋体" w:hAnsi="宋体" w:cs="宋体"/>
                <w:color w:val="auto"/>
                <w:sz w:val="24"/>
                <w:highlight w:val="none"/>
              </w:rPr>
              <w:t>。</w:t>
            </w:r>
          </w:p>
        </w:tc>
      </w:tr>
      <w:tr w14:paraId="48E91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092CF9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3134" w:type="dxa"/>
            <w:tcBorders>
              <w:tl2br w:val="nil"/>
              <w:tr2bl w:val="nil"/>
            </w:tcBorders>
            <w:noWrap/>
            <w:vAlign w:val="center"/>
          </w:tcPr>
          <w:p w14:paraId="5205409A">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具有依法缴纳税收和社会保障资金的良好记录</w:t>
            </w:r>
          </w:p>
        </w:tc>
        <w:tc>
          <w:tcPr>
            <w:tcW w:w="5806" w:type="dxa"/>
            <w:tcBorders>
              <w:tl2br w:val="nil"/>
              <w:tr2bl w:val="nil"/>
            </w:tcBorders>
            <w:noWrap/>
            <w:vAlign w:val="center"/>
          </w:tcPr>
          <w:p w14:paraId="74A50B5E">
            <w:pPr>
              <w:widowControl/>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缴纳税收和缴纳社会保障资金的证明（成立未满1年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cs="宋体"/>
                <w:color w:val="auto"/>
                <w:sz w:val="24"/>
                <w:szCs w:val="24"/>
                <w:highlight w:val="none"/>
                <w:lang w:eastAsia="zh-CN"/>
              </w:rPr>
              <w:t>。</w:t>
            </w:r>
          </w:p>
        </w:tc>
      </w:tr>
      <w:tr w14:paraId="72DFC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17905D9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3134" w:type="dxa"/>
            <w:tcBorders>
              <w:tl2br w:val="nil"/>
              <w:tr2bl w:val="nil"/>
            </w:tcBorders>
            <w:noWrap/>
            <w:vAlign w:val="center"/>
          </w:tcPr>
          <w:p w14:paraId="483B173B">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无重大违法记录声明</w:t>
            </w:r>
          </w:p>
        </w:tc>
        <w:tc>
          <w:tcPr>
            <w:tcW w:w="5806" w:type="dxa"/>
            <w:tcBorders>
              <w:tl2br w:val="nil"/>
              <w:tr2bl w:val="nil"/>
            </w:tcBorders>
            <w:noWrap/>
            <w:vAlign w:val="center"/>
          </w:tcPr>
          <w:p w14:paraId="0F3C987B">
            <w:pPr>
              <w:widowControl/>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rPr>
              <w:t>提供参加本次政府采购活动前三年内在经营活动中没有重大违法记录的书面声明</w:t>
            </w:r>
            <w:r>
              <w:rPr>
                <w:rFonts w:hint="eastAsia" w:ascii="宋体" w:hAnsi="宋体" w:cs="宋体"/>
                <w:color w:val="auto"/>
                <w:sz w:val="24"/>
                <w:highlight w:val="none"/>
              </w:rPr>
              <w:t>。</w:t>
            </w:r>
          </w:p>
        </w:tc>
      </w:tr>
      <w:tr w14:paraId="3D341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6AA9F7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3134" w:type="dxa"/>
            <w:tcBorders>
              <w:tl2br w:val="nil"/>
              <w:tr2bl w:val="nil"/>
            </w:tcBorders>
            <w:noWrap/>
            <w:vAlign w:val="center"/>
          </w:tcPr>
          <w:p w14:paraId="2F94B783">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法律、行政法规规定的其他条件</w:t>
            </w:r>
          </w:p>
        </w:tc>
        <w:tc>
          <w:tcPr>
            <w:tcW w:w="5806" w:type="dxa"/>
            <w:tcBorders>
              <w:tl2br w:val="nil"/>
              <w:tr2bl w:val="nil"/>
            </w:tcBorders>
            <w:noWrap/>
            <w:vAlign w:val="center"/>
          </w:tcPr>
          <w:p w14:paraId="64050F46">
            <w:pPr>
              <w:widowControl/>
              <w:spacing w:line="360" w:lineRule="auto"/>
              <w:rPr>
                <w:rFonts w:ascii="宋体" w:hAnsi="宋体" w:cs="宋体"/>
                <w:color w:val="auto"/>
                <w:sz w:val="24"/>
                <w:highlight w:val="none"/>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r>
              <w:rPr>
                <w:rFonts w:hint="eastAsia" w:ascii="宋体" w:hAnsi="宋体" w:cs="宋体"/>
                <w:color w:val="auto"/>
                <w:sz w:val="24"/>
                <w:highlight w:val="none"/>
              </w:rPr>
              <w:t>。</w:t>
            </w:r>
          </w:p>
        </w:tc>
      </w:tr>
      <w:tr w14:paraId="42681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ign w:val="center"/>
          </w:tcPr>
          <w:p w14:paraId="5EE3B1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3134" w:type="dxa"/>
            <w:tcBorders>
              <w:tl2br w:val="nil"/>
              <w:tr2bl w:val="nil"/>
            </w:tcBorders>
            <w:noWrap/>
            <w:vAlign w:val="center"/>
          </w:tcPr>
          <w:p w14:paraId="08E4EC99">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特定资格要求</w:t>
            </w:r>
          </w:p>
        </w:tc>
        <w:tc>
          <w:tcPr>
            <w:tcW w:w="5806" w:type="dxa"/>
            <w:tcBorders>
              <w:tl2br w:val="nil"/>
              <w:tr2bl w:val="nil"/>
            </w:tcBorders>
            <w:noWrap/>
            <w:vAlign w:val="center"/>
          </w:tcPr>
          <w:p w14:paraId="03D9DBB1">
            <w:pPr>
              <w:widowControl/>
              <w:spacing w:line="360" w:lineRule="auto"/>
              <w:jc w:val="left"/>
              <w:rPr>
                <w:rFonts w:ascii="宋体" w:hAnsi="宋体" w:cs="宋体"/>
                <w:color w:val="auto"/>
                <w:sz w:val="24"/>
                <w:highlight w:val="none"/>
              </w:rPr>
            </w:pPr>
            <w:r>
              <w:rPr>
                <w:rFonts w:hint="eastAsia" w:ascii="宋体" w:hAnsi="宋体" w:cs="宋体"/>
                <w:color w:val="auto"/>
                <w:sz w:val="24"/>
                <w:szCs w:val="24"/>
                <w:highlight w:val="none"/>
                <w:lang w:val="en-US" w:eastAsia="zh-CN"/>
              </w:rPr>
              <w:t>无</w:t>
            </w:r>
            <w:r>
              <w:rPr>
                <w:rFonts w:hint="eastAsia" w:ascii="宋体" w:hAnsi="宋体" w:cs="宋体"/>
                <w:color w:val="auto"/>
                <w:sz w:val="24"/>
                <w:highlight w:val="none"/>
              </w:rPr>
              <w:t>。</w:t>
            </w:r>
          </w:p>
        </w:tc>
      </w:tr>
    </w:tbl>
    <w:p w14:paraId="53919AF7">
      <w:pPr>
        <w:pStyle w:val="10"/>
        <w:spacing w:beforeLines="100" w:afterLines="50"/>
        <w:ind w:left="0" w:leftChars="0" w:firstLine="0" w:firstLineChars="0"/>
        <w:jc w:val="left"/>
        <w:rPr>
          <w:rFonts w:hint="eastAsia" w:asciiTheme="minorEastAsia" w:hAnsiTheme="minorEastAsia" w:cstheme="minorEastAsia"/>
          <w:b/>
          <w:bCs/>
          <w:color w:val="auto"/>
          <w:sz w:val="28"/>
          <w:szCs w:val="28"/>
          <w:highlight w:val="none"/>
        </w:rPr>
        <w:sectPr>
          <w:footerReference r:id="rId8" w:type="first"/>
          <w:headerReference r:id="rId6" w:type="default"/>
          <w:footerReference r:id="rId7" w:type="default"/>
          <w:pgSz w:w="11905" w:h="16840"/>
          <w:pgMar w:top="1440" w:right="1083" w:bottom="1440" w:left="1083" w:header="851" w:footer="1191" w:gutter="0"/>
          <w:pgNumType w:fmt="decimal"/>
          <w:cols w:space="0" w:num="1"/>
          <w:titlePg/>
          <w:docGrid w:linePitch="312" w:charSpace="0"/>
        </w:sectPr>
      </w:pPr>
    </w:p>
    <w:p w14:paraId="14F15868">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（二）符合性审查</w:t>
      </w:r>
    </w:p>
    <w:p w14:paraId="6A408C6D">
      <w:pPr>
        <w:pStyle w:val="10"/>
        <w:spacing w:after="0" w:line="360" w:lineRule="auto"/>
        <w:ind w:left="0" w:leftChars="0" w:firstLine="48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评标委员会依据符合性评审标准对符合资格的投标人的投标文件进行符合性审查，有一项不符合评审标准的，评标委员会应当否决其投标。</w:t>
      </w:r>
    </w:p>
    <w:tbl>
      <w:tblPr>
        <w:tblStyle w:val="24"/>
        <w:tblW w:w="0" w:type="auto"/>
        <w:tblInd w:w="1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146"/>
        <w:gridCol w:w="5535"/>
      </w:tblGrid>
      <w:tr w14:paraId="4176C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5AFC040B">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46" w:type="dxa"/>
            <w:tcBorders>
              <w:tl2br w:val="nil"/>
              <w:tr2bl w:val="nil"/>
            </w:tcBorders>
            <w:noWrap/>
            <w:vAlign w:val="center"/>
          </w:tcPr>
          <w:p w14:paraId="4F1D7D0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5535" w:type="dxa"/>
            <w:tcBorders>
              <w:tl2br w:val="nil"/>
              <w:tr2bl w:val="nil"/>
            </w:tcBorders>
            <w:noWrap/>
            <w:vAlign w:val="center"/>
          </w:tcPr>
          <w:p w14:paraId="1D80254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符合性评审标准</w:t>
            </w:r>
          </w:p>
        </w:tc>
      </w:tr>
      <w:tr w14:paraId="2B9DB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23C683AA">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146" w:type="dxa"/>
            <w:tcBorders>
              <w:tl2br w:val="nil"/>
              <w:tr2bl w:val="nil"/>
            </w:tcBorders>
            <w:noWrap/>
            <w:vAlign w:val="center"/>
          </w:tcPr>
          <w:p w14:paraId="0DC86020">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投标人名称</w:t>
            </w:r>
          </w:p>
        </w:tc>
        <w:tc>
          <w:tcPr>
            <w:tcW w:w="5535" w:type="dxa"/>
            <w:tcBorders>
              <w:tl2br w:val="nil"/>
              <w:tr2bl w:val="nil"/>
            </w:tcBorders>
            <w:noWrap/>
            <w:vAlign w:val="center"/>
          </w:tcPr>
          <w:p w14:paraId="0F1DDA16">
            <w:pPr>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与“独立承担民事责任的能力”证明材料名称一致</w:t>
            </w:r>
          </w:p>
        </w:tc>
      </w:tr>
      <w:tr w14:paraId="02C4E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6CC2CD4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3146" w:type="dxa"/>
            <w:tcBorders>
              <w:tl2br w:val="nil"/>
              <w:tr2bl w:val="nil"/>
            </w:tcBorders>
            <w:noWrap/>
            <w:vAlign w:val="center"/>
          </w:tcPr>
          <w:p w14:paraId="31D0D0AB">
            <w:pPr>
              <w:autoSpaceDE w:val="0"/>
              <w:autoSpaceDN w:val="0"/>
              <w:adjustRightInd w:val="0"/>
              <w:spacing w:before="43" w:line="360" w:lineRule="auto"/>
              <w:ind w:right="-20"/>
              <w:jc w:val="center"/>
              <w:rPr>
                <w:rFonts w:ascii="宋体" w:hAnsi="宋体" w:cs="宋体"/>
                <w:color w:val="auto"/>
                <w:sz w:val="24"/>
                <w:highlight w:val="none"/>
              </w:rPr>
            </w:pPr>
            <w:r>
              <w:rPr>
                <w:rFonts w:hint="eastAsia" w:ascii="宋体" w:hAnsi="宋体" w:cs="宋体"/>
                <w:color w:val="auto"/>
                <w:kern w:val="0"/>
                <w:sz w:val="24"/>
                <w:highlight w:val="none"/>
              </w:rPr>
              <w:t>投标保证金</w:t>
            </w:r>
          </w:p>
        </w:tc>
        <w:tc>
          <w:tcPr>
            <w:tcW w:w="5535" w:type="dxa"/>
            <w:tcBorders>
              <w:tl2br w:val="nil"/>
              <w:tr2bl w:val="nil"/>
            </w:tcBorders>
            <w:noWrap/>
            <w:vAlign w:val="center"/>
          </w:tcPr>
          <w:p w14:paraId="5F21A5B3">
            <w:pPr>
              <w:spacing w:line="360" w:lineRule="auto"/>
              <w:jc w:val="left"/>
              <w:rPr>
                <w:rFonts w:ascii="宋体" w:hAnsi="宋体" w:cs="宋体"/>
                <w:color w:val="auto"/>
                <w:sz w:val="24"/>
                <w:highlight w:val="none"/>
              </w:rPr>
            </w:pPr>
            <w:r>
              <w:rPr>
                <w:rFonts w:hint="eastAsia" w:ascii="宋体" w:hAnsi="宋体" w:cs="宋体"/>
                <w:color w:val="auto"/>
                <w:sz w:val="24"/>
                <w:highlight w:val="none"/>
              </w:rPr>
              <w:t>按照招标文件第二章“投标人须知前附表”第3.4.1项规定提交投标保证金</w:t>
            </w:r>
          </w:p>
        </w:tc>
      </w:tr>
      <w:tr w14:paraId="60BD1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50823E7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3146" w:type="dxa"/>
            <w:tcBorders>
              <w:tl2br w:val="nil"/>
              <w:tr2bl w:val="nil"/>
            </w:tcBorders>
            <w:noWrap/>
            <w:vAlign w:val="center"/>
          </w:tcPr>
          <w:p w14:paraId="009F3ACF">
            <w:pPr>
              <w:tabs>
                <w:tab w:val="center" w:pos="4153"/>
                <w:tab w:val="right" w:pos="8306"/>
              </w:tabs>
              <w:snapToGrid w:val="0"/>
              <w:spacing w:beforeLines="20" w:line="360" w:lineRule="auto"/>
              <w:jc w:val="center"/>
              <w:rPr>
                <w:rFonts w:ascii="宋体" w:hAnsi="宋体" w:cs="宋体"/>
                <w:color w:val="auto"/>
                <w:sz w:val="24"/>
                <w:highlight w:val="none"/>
              </w:rPr>
            </w:pPr>
            <w:r>
              <w:rPr>
                <w:rFonts w:hint="eastAsia" w:ascii="宋体" w:hAnsi="宋体" w:cs="宋体"/>
                <w:color w:val="auto"/>
                <w:sz w:val="24"/>
                <w:highlight w:val="none"/>
              </w:rPr>
              <w:t>投标文件的电子签章</w:t>
            </w:r>
          </w:p>
        </w:tc>
        <w:tc>
          <w:tcPr>
            <w:tcW w:w="5535" w:type="dxa"/>
            <w:tcBorders>
              <w:tl2br w:val="nil"/>
              <w:tr2bl w:val="nil"/>
            </w:tcBorders>
            <w:noWrap/>
            <w:vAlign w:val="center"/>
          </w:tcPr>
          <w:p w14:paraId="33A4015C">
            <w:pPr>
              <w:spacing w:line="360" w:lineRule="auto"/>
              <w:jc w:val="left"/>
              <w:rPr>
                <w:rFonts w:ascii="宋体" w:hAnsi="宋体" w:cs="宋体"/>
                <w:color w:val="auto"/>
                <w:sz w:val="24"/>
                <w:highlight w:val="none"/>
              </w:rPr>
            </w:pPr>
            <w:r>
              <w:rPr>
                <w:rFonts w:hint="eastAsia" w:ascii="宋体" w:hAnsi="宋体" w:cs="宋体"/>
                <w:color w:val="auto"/>
                <w:sz w:val="24"/>
                <w:highlight w:val="none"/>
              </w:rPr>
              <w:t>按招标文件</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要求签署、盖章</w:t>
            </w:r>
          </w:p>
        </w:tc>
      </w:tr>
      <w:tr w14:paraId="3CE0A9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607F5A7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3146" w:type="dxa"/>
            <w:tcBorders>
              <w:tl2br w:val="nil"/>
              <w:tr2bl w:val="nil"/>
            </w:tcBorders>
            <w:noWrap/>
            <w:vAlign w:val="center"/>
          </w:tcPr>
          <w:p w14:paraId="21806CC6">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投标文件的完整性</w:t>
            </w:r>
          </w:p>
        </w:tc>
        <w:tc>
          <w:tcPr>
            <w:tcW w:w="5535" w:type="dxa"/>
            <w:tcBorders>
              <w:tl2br w:val="nil"/>
              <w:tr2bl w:val="nil"/>
            </w:tcBorders>
            <w:noWrap/>
            <w:vAlign w:val="center"/>
          </w:tcPr>
          <w:p w14:paraId="0F8D401D">
            <w:pPr>
              <w:spacing w:line="360" w:lineRule="auto"/>
              <w:jc w:val="left"/>
              <w:rPr>
                <w:rFonts w:ascii="宋体" w:hAnsi="宋体" w:cs="宋体"/>
                <w:color w:val="auto"/>
                <w:sz w:val="24"/>
                <w:highlight w:val="none"/>
              </w:rPr>
            </w:pPr>
            <w:r>
              <w:rPr>
                <w:rFonts w:ascii="宋体" w:hAnsi="宋体" w:cs="宋体"/>
                <w:color w:val="auto"/>
                <w:sz w:val="24"/>
                <w:highlight w:val="none"/>
              </w:rPr>
              <w:t>投标文件内容符合招标文件要求</w:t>
            </w:r>
          </w:p>
        </w:tc>
      </w:tr>
      <w:tr w14:paraId="102FFF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6696E83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3146" w:type="dxa"/>
            <w:tcBorders>
              <w:tl2br w:val="nil"/>
              <w:tr2bl w:val="nil"/>
            </w:tcBorders>
            <w:noWrap/>
            <w:vAlign w:val="center"/>
          </w:tcPr>
          <w:p w14:paraId="2F47BEA6">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报价唯一</w:t>
            </w:r>
          </w:p>
        </w:tc>
        <w:tc>
          <w:tcPr>
            <w:tcW w:w="5535" w:type="dxa"/>
            <w:tcBorders>
              <w:tl2br w:val="nil"/>
              <w:tr2bl w:val="nil"/>
            </w:tcBorders>
            <w:noWrap/>
            <w:vAlign w:val="center"/>
          </w:tcPr>
          <w:p w14:paraId="0D662ECB">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lang w:eastAsia="zh-CN"/>
              </w:rPr>
              <w:t>提交</w:t>
            </w:r>
            <w:r>
              <w:rPr>
                <w:rFonts w:hint="eastAsia" w:ascii="宋体" w:hAnsi="宋体" w:cs="宋体"/>
                <w:color w:val="auto"/>
                <w:sz w:val="24"/>
                <w:highlight w:val="none"/>
              </w:rPr>
              <w:t>两份或多份内容不同的投标文件，或在一份投标文件中对同一招标项目报有两个或多个报价，且未声明哪一个有效</w:t>
            </w:r>
          </w:p>
        </w:tc>
      </w:tr>
      <w:tr w14:paraId="596336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54ADB319">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3146" w:type="dxa"/>
            <w:tcBorders>
              <w:tl2br w:val="nil"/>
              <w:tr2bl w:val="nil"/>
            </w:tcBorders>
            <w:noWrap/>
            <w:vAlign w:val="center"/>
          </w:tcPr>
          <w:p w14:paraId="4D80EAA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5535" w:type="dxa"/>
            <w:tcBorders>
              <w:tl2br w:val="nil"/>
              <w:tr2bl w:val="nil"/>
            </w:tcBorders>
            <w:noWrap/>
            <w:vAlign w:val="center"/>
          </w:tcPr>
          <w:p w14:paraId="6987BE43">
            <w:pPr>
              <w:spacing w:line="360" w:lineRule="auto"/>
              <w:jc w:val="left"/>
              <w:rPr>
                <w:rFonts w:ascii="宋体" w:hAnsi="宋体" w:cs="宋体"/>
                <w:color w:val="auto"/>
                <w:sz w:val="24"/>
                <w:highlight w:val="none"/>
              </w:rPr>
            </w:pPr>
            <w:r>
              <w:rPr>
                <w:rFonts w:hint="eastAsia" w:ascii="宋体" w:hAnsi="宋体" w:cs="宋体"/>
                <w:color w:val="auto"/>
                <w:sz w:val="24"/>
                <w:highlight w:val="none"/>
              </w:rPr>
              <w:t>符合第二章“投标人须知前附表”第 3.2.3项</w:t>
            </w:r>
            <w:r>
              <w:rPr>
                <w:rFonts w:hint="eastAsia" w:ascii="宋体" w:hAnsi="宋体" w:cs="宋体"/>
                <w:color w:val="auto"/>
                <w:sz w:val="24"/>
                <w:highlight w:val="none"/>
                <w:lang w:eastAsia="zh-CN"/>
              </w:rPr>
              <w:t>、</w:t>
            </w:r>
            <w:r>
              <w:rPr>
                <w:rFonts w:hint="eastAsia" w:ascii="宋体" w:hAnsi="宋体" w:cs="宋体"/>
                <w:color w:val="auto"/>
                <w:sz w:val="24"/>
                <w:highlight w:val="none"/>
              </w:rPr>
              <w:t>第 3.2.4 款规定</w:t>
            </w:r>
          </w:p>
        </w:tc>
      </w:tr>
      <w:tr w14:paraId="7FCEA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23B20447">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3146" w:type="dxa"/>
            <w:tcBorders>
              <w:tl2br w:val="nil"/>
              <w:tr2bl w:val="nil"/>
            </w:tcBorders>
            <w:noWrap/>
            <w:vAlign w:val="center"/>
          </w:tcPr>
          <w:p w14:paraId="07FA1CB5">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采购内容  </w:t>
            </w:r>
          </w:p>
        </w:tc>
        <w:tc>
          <w:tcPr>
            <w:tcW w:w="5535" w:type="dxa"/>
            <w:tcBorders>
              <w:tl2br w:val="nil"/>
              <w:tr2bl w:val="nil"/>
            </w:tcBorders>
            <w:noWrap/>
            <w:vAlign w:val="center"/>
          </w:tcPr>
          <w:p w14:paraId="168CBFE6">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符合第二章“投标人须知前附表”第1.3.1项规定</w:t>
            </w:r>
          </w:p>
        </w:tc>
      </w:tr>
      <w:tr w14:paraId="1D1981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64EA5489">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3146" w:type="dxa"/>
            <w:tcBorders>
              <w:tl2br w:val="nil"/>
              <w:tr2bl w:val="nil"/>
            </w:tcBorders>
            <w:noWrap/>
            <w:vAlign w:val="center"/>
          </w:tcPr>
          <w:p w14:paraId="777032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5535" w:type="dxa"/>
            <w:tcBorders>
              <w:tl2br w:val="nil"/>
              <w:tr2bl w:val="nil"/>
            </w:tcBorders>
            <w:noWrap/>
            <w:vAlign w:val="center"/>
          </w:tcPr>
          <w:p w14:paraId="747737DB">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符合第二章“投标人须知前附表”第1.3.2项规定</w:t>
            </w:r>
          </w:p>
        </w:tc>
      </w:tr>
      <w:tr w14:paraId="75C9FD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2BFE4920">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3146" w:type="dxa"/>
            <w:tcBorders>
              <w:tl2br w:val="nil"/>
              <w:tr2bl w:val="nil"/>
            </w:tcBorders>
            <w:noWrap/>
            <w:vAlign w:val="center"/>
          </w:tcPr>
          <w:p w14:paraId="398942F2">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质量要求</w:t>
            </w:r>
          </w:p>
        </w:tc>
        <w:tc>
          <w:tcPr>
            <w:tcW w:w="5535" w:type="dxa"/>
            <w:tcBorders>
              <w:tl2br w:val="nil"/>
              <w:tr2bl w:val="nil"/>
            </w:tcBorders>
            <w:noWrap/>
            <w:vAlign w:val="center"/>
          </w:tcPr>
          <w:p w14:paraId="7912633A">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符合第二章“投标人须知前附表”第1.3.3项规定</w:t>
            </w:r>
          </w:p>
        </w:tc>
      </w:tr>
      <w:tr w14:paraId="5E52ED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21C3E74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3146" w:type="dxa"/>
            <w:tcBorders>
              <w:tl2br w:val="nil"/>
              <w:tr2bl w:val="nil"/>
            </w:tcBorders>
            <w:noWrap/>
            <w:vAlign w:val="center"/>
          </w:tcPr>
          <w:p w14:paraId="2C4D51C8">
            <w:pPr>
              <w:widowControl/>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供货地点</w:t>
            </w:r>
          </w:p>
        </w:tc>
        <w:tc>
          <w:tcPr>
            <w:tcW w:w="5535" w:type="dxa"/>
            <w:tcBorders>
              <w:tl2br w:val="nil"/>
              <w:tr2bl w:val="nil"/>
            </w:tcBorders>
            <w:noWrap/>
            <w:vAlign w:val="center"/>
          </w:tcPr>
          <w:p w14:paraId="06CDA25D">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符合第二章“投标人须知前附表”第1.3.4项规定</w:t>
            </w:r>
          </w:p>
        </w:tc>
      </w:tr>
      <w:tr w14:paraId="5ADA6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28F25EAD">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3146" w:type="dxa"/>
            <w:tcBorders>
              <w:tl2br w:val="nil"/>
              <w:tr2bl w:val="nil"/>
            </w:tcBorders>
            <w:noWrap/>
            <w:vAlign w:val="center"/>
          </w:tcPr>
          <w:p w14:paraId="0A8F59C3">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5535" w:type="dxa"/>
            <w:tcBorders>
              <w:tl2br w:val="nil"/>
              <w:tr2bl w:val="nil"/>
            </w:tcBorders>
            <w:noWrap/>
            <w:vAlign w:val="center"/>
          </w:tcPr>
          <w:p w14:paraId="53413DB8">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投标有效期应当不少于招标文件中载明的投标有效期                        </w:t>
            </w:r>
          </w:p>
        </w:tc>
      </w:tr>
      <w:tr w14:paraId="443FB2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671CF3A3">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3146" w:type="dxa"/>
            <w:tcBorders>
              <w:tl2br w:val="nil"/>
              <w:tr2bl w:val="nil"/>
            </w:tcBorders>
            <w:noWrap/>
            <w:vAlign w:val="center"/>
          </w:tcPr>
          <w:p w14:paraId="134FF229">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实质性条件</w:t>
            </w:r>
          </w:p>
        </w:tc>
        <w:tc>
          <w:tcPr>
            <w:tcW w:w="5535" w:type="dxa"/>
            <w:tcBorders>
              <w:tl2br w:val="nil"/>
              <w:tr2bl w:val="nil"/>
            </w:tcBorders>
            <w:noWrap/>
            <w:vAlign w:val="center"/>
          </w:tcPr>
          <w:p w14:paraId="07EEDB9F">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投标文件均实质性响应招标文件要求。</w:t>
            </w:r>
          </w:p>
        </w:tc>
      </w:tr>
      <w:tr w14:paraId="707063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tcBorders>
              <w:tl2br w:val="nil"/>
              <w:tr2bl w:val="nil"/>
            </w:tcBorders>
            <w:noWrap/>
            <w:vAlign w:val="center"/>
          </w:tcPr>
          <w:p w14:paraId="01F8448A">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3146" w:type="dxa"/>
            <w:tcBorders>
              <w:tl2br w:val="nil"/>
              <w:tr2bl w:val="nil"/>
            </w:tcBorders>
            <w:noWrap/>
            <w:vAlign w:val="center"/>
          </w:tcPr>
          <w:p w14:paraId="3281A3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5535" w:type="dxa"/>
            <w:tcBorders>
              <w:tl2br w:val="nil"/>
              <w:tr2bl w:val="nil"/>
            </w:tcBorders>
            <w:noWrap/>
            <w:vAlign w:val="center"/>
          </w:tcPr>
          <w:p w14:paraId="78016D00">
            <w:pPr>
              <w:spacing w:line="360" w:lineRule="auto"/>
              <w:jc w:val="left"/>
              <w:rPr>
                <w:rFonts w:ascii="宋体" w:hAnsi="宋体" w:cs="宋体"/>
                <w:color w:val="auto"/>
                <w:sz w:val="24"/>
                <w:highlight w:val="none"/>
              </w:rPr>
            </w:pPr>
            <w:r>
              <w:rPr>
                <w:rFonts w:hint="eastAsia" w:ascii="宋体" w:hAnsi="宋体" w:cs="宋体"/>
                <w:color w:val="auto"/>
                <w:sz w:val="24"/>
                <w:highlight w:val="none"/>
              </w:rPr>
              <w:t>（1）投标文件未含有采购人不能接受的附加条件；</w:t>
            </w:r>
          </w:p>
          <w:p w14:paraId="0EF08408">
            <w:pPr>
              <w:spacing w:line="360" w:lineRule="auto"/>
              <w:jc w:val="left"/>
              <w:rPr>
                <w:rFonts w:ascii="宋体" w:hAnsi="宋体" w:cs="宋体"/>
                <w:color w:val="auto"/>
                <w:sz w:val="24"/>
                <w:highlight w:val="none"/>
              </w:rPr>
            </w:pPr>
            <w:r>
              <w:rPr>
                <w:rFonts w:hint="eastAsia" w:ascii="宋体" w:hAnsi="宋体" w:cs="宋体"/>
                <w:color w:val="auto"/>
                <w:sz w:val="24"/>
                <w:highlight w:val="none"/>
              </w:rPr>
              <w:t>（2）无串通投标或弄虚作假或其他违法行为；</w:t>
            </w:r>
          </w:p>
          <w:p w14:paraId="7F798DCD">
            <w:pPr>
              <w:spacing w:line="360" w:lineRule="auto"/>
              <w:jc w:val="left"/>
              <w:rPr>
                <w:rFonts w:ascii="宋体" w:hAnsi="宋体" w:cs="宋体"/>
                <w:color w:val="auto"/>
                <w:sz w:val="24"/>
                <w:highlight w:val="none"/>
              </w:rPr>
            </w:pPr>
            <w:r>
              <w:rPr>
                <w:rFonts w:hint="eastAsia" w:ascii="宋体" w:hAnsi="宋体" w:cs="宋体"/>
                <w:color w:val="auto"/>
                <w:sz w:val="24"/>
                <w:highlight w:val="none"/>
              </w:rPr>
              <w:t>（3）按评标委员会要求澄清、说明或补正的。</w:t>
            </w:r>
            <w:r>
              <w:rPr>
                <w:rFonts w:hint="eastAsia" w:ascii="宋体" w:hAnsi="宋体" w:cs="宋体"/>
                <w:color w:val="auto"/>
                <w:sz w:val="24"/>
                <w:highlight w:val="none"/>
                <w:lang w:val="en-US" w:eastAsia="zh-CN"/>
              </w:rPr>
              <w:t>投标人的澄清、说明或者补正未超出招标文件的范围或者改变投标文件的实质性内容</w:t>
            </w:r>
            <w:r>
              <w:rPr>
                <w:rFonts w:hint="eastAsia" w:ascii="宋体" w:hAnsi="宋体" w:cs="宋体"/>
                <w:color w:val="auto"/>
                <w:sz w:val="24"/>
                <w:highlight w:val="none"/>
              </w:rPr>
              <w:t>。</w:t>
            </w:r>
          </w:p>
        </w:tc>
      </w:tr>
    </w:tbl>
    <w:p w14:paraId="4786F0FE">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（三）投标文件的澄清说明</w:t>
      </w:r>
    </w:p>
    <w:p w14:paraId="36D72065">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1.投标文件内容澄清</w:t>
      </w:r>
      <w:r>
        <w:rPr>
          <w:rFonts w:hint="eastAsia" w:ascii="宋体" w:hAnsi="宋体" w:cs="宋体"/>
          <w:b/>
          <w:bCs/>
          <w:color w:val="auto"/>
          <w:sz w:val="24"/>
          <w:szCs w:val="28"/>
          <w:highlight w:val="none"/>
        </w:rPr>
        <w:t>和补正</w:t>
      </w:r>
    </w:p>
    <w:p w14:paraId="14F7E5D3">
      <w:pPr>
        <w:pStyle w:val="10"/>
        <w:keepNext w:val="0"/>
        <w:keepLines w:val="0"/>
        <w:pageBreakBefore w:val="0"/>
        <w:widowControl w:val="0"/>
        <w:kinsoku/>
        <w:wordWrap w:val="0"/>
        <w:overflowPunct/>
        <w:topLinePunct w:val="0"/>
        <w:autoSpaceDE/>
        <w:autoSpaceDN/>
        <w:bidi w:val="0"/>
        <w:adjustRightInd/>
        <w:snapToGrid/>
        <w:spacing w:after="0" w:line="520" w:lineRule="exact"/>
        <w:ind w:left="0" w:leftChars="0" w:firstLine="480"/>
        <w:jc w:val="left"/>
        <w:textAlignment w:val="auto"/>
        <w:rPr>
          <w:rFonts w:ascii="宋体" w:hAnsi="宋体" w:cs="宋体"/>
          <w:color w:val="auto"/>
          <w:sz w:val="24"/>
          <w:szCs w:val="28"/>
          <w:highlight w:val="none"/>
        </w:rPr>
      </w:pPr>
      <w:r>
        <w:rPr>
          <w:rFonts w:ascii="宋体" w:hAnsi="宋体" w:cs="宋体"/>
          <w:color w:val="auto"/>
          <w:sz w:val="24"/>
          <w:szCs w:val="28"/>
          <w:highlight w:val="none"/>
        </w:rPr>
        <w:t>对于投标文件中含义不明确、同类问题表述不一致或者有明显文字和计算错误的内容，评标委员会</w:t>
      </w:r>
      <w:r>
        <w:rPr>
          <w:rFonts w:hint="eastAsia" w:ascii="宋体" w:hAnsi="宋体" w:cs="宋体"/>
          <w:color w:val="auto"/>
          <w:sz w:val="24"/>
          <w:szCs w:val="28"/>
          <w:highlight w:val="none"/>
          <w:lang w:eastAsia="zh-CN"/>
        </w:rPr>
        <w:t>应当</w:t>
      </w:r>
      <w:r>
        <w:rPr>
          <w:rFonts w:hint="eastAsia" w:ascii="宋体" w:hAnsi="宋体" w:cs="宋体"/>
          <w:color w:val="auto"/>
          <w:sz w:val="24"/>
          <w:szCs w:val="28"/>
          <w:highlight w:val="none"/>
        </w:rPr>
        <w:t>通过“政府采购云平台（https://www.zcygov.cn/）”</w:t>
      </w:r>
      <w:r>
        <w:rPr>
          <w:rFonts w:ascii="宋体" w:hAnsi="宋体" w:cs="宋体"/>
          <w:color w:val="auto"/>
          <w:sz w:val="24"/>
          <w:szCs w:val="28"/>
          <w:highlight w:val="none"/>
        </w:rPr>
        <w:t>要求投标人作出必要的澄清、说明或者补正。投标人的澄清、说明或者补正应当</w:t>
      </w:r>
      <w:r>
        <w:rPr>
          <w:rFonts w:hint="eastAsia" w:ascii="宋体" w:hAnsi="宋体" w:cs="宋体"/>
          <w:color w:val="auto"/>
          <w:sz w:val="24"/>
          <w:szCs w:val="28"/>
          <w:highlight w:val="none"/>
        </w:rPr>
        <w:t>提交至</w:t>
      </w:r>
      <w:r>
        <w:rPr>
          <w:rFonts w:ascii="宋体" w:hAnsi="宋体" w:cs="宋体"/>
          <w:color w:val="auto"/>
          <w:sz w:val="24"/>
          <w:szCs w:val="28"/>
          <w:highlight w:val="none"/>
        </w:rPr>
        <w:t xml:space="preserve">“政府采购云平台（https://www.zcygov.cn/）”。投标人的澄清、说明或者补正不得超出投标文件的范围或者改变投标文件的实质性内容。 </w:t>
      </w:r>
    </w:p>
    <w:p w14:paraId="58AE3DE7">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 xml:space="preserve">2.报价不一致情形澄清 </w:t>
      </w:r>
    </w:p>
    <w:p w14:paraId="69F3DB8D">
      <w:pPr>
        <w:pStyle w:val="10"/>
        <w:spacing w:after="0" w:line="520" w:lineRule="exact"/>
        <w:ind w:left="0" w:leftChars="0" w:firstLine="480"/>
        <w:jc w:val="left"/>
        <w:rPr>
          <w:rFonts w:ascii="宋体" w:hAnsi="宋体" w:cs="宋体"/>
          <w:color w:val="auto"/>
          <w:sz w:val="24"/>
          <w:szCs w:val="28"/>
          <w:highlight w:val="none"/>
        </w:rPr>
      </w:pPr>
      <w:r>
        <w:rPr>
          <w:rFonts w:ascii="宋体" w:hAnsi="宋体" w:cs="宋体"/>
          <w:color w:val="auto"/>
          <w:sz w:val="24"/>
          <w:szCs w:val="28"/>
          <w:highlight w:val="none"/>
        </w:rPr>
        <w:t xml:space="preserve">投标文件报价出现前后不一致的，除招标文件另有规定外，按照下列规定修正： </w:t>
      </w:r>
    </w:p>
    <w:p w14:paraId="53714692">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1</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投标文件中《开标一览表》内容与投标文件中相应内容不一致的，以《开标一览表》为准；</w:t>
      </w:r>
    </w:p>
    <w:p w14:paraId="3CC777C2">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2</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 xml:space="preserve">大写金额和小写金额不一致的，以大写金额为准； </w:t>
      </w:r>
    </w:p>
    <w:p w14:paraId="475165B4">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3</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 xml:space="preserve">单价金额小数点或者百分比有明显错位的，以开标一览表的总价为准，并修改单价； </w:t>
      </w:r>
    </w:p>
    <w:p w14:paraId="62F2B70E">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4</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 xml:space="preserve">总价金额与按单价汇总金额不一致的，以单价金额计算结果为准。 </w:t>
      </w:r>
    </w:p>
    <w:p w14:paraId="1F0A452E">
      <w:pPr>
        <w:pStyle w:val="10"/>
        <w:spacing w:after="0" w:line="520" w:lineRule="exact"/>
        <w:ind w:left="0" w:leftChars="0" w:firstLine="480"/>
        <w:jc w:val="left"/>
        <w:rPr>
          <w:rFonts w:ascii="宋体" w:hAnsi="宋体" w:cs="宋体"/>
          <w:color w:val="auto"/>
          <w:sz w:val="24"/>
          <w:szCs w:val="28"/>
          <w:highlight w:val="none"/>
        </w:rPr>
      </w:pPr>
      <w:r>
        <w:rPr>
          <w:rFonts w:ascii="宋体" w:hAnsi="宋体" w:cs="宋体"/>
          <w:color w:val="auto"/>
          <w:sz w:val="24"/>
          <w:szCs w:val="28"/>
          <w:highlight w:val="none"/>
        </w:rPr>
        <w:t>同时出现两种以上不一致的，按照前款规定的顺序修正。修正后的报价按照</w:t>
      </w:r>
      <w:r>
        <w:rPr>
          <w:rFonts w:hint="eastAsia" w:ascii="宋体" w:hAnsi="宋体" w:cs="宋体"/>
          <w:color w:val="auto"/>
          <w:sz w:val="24"/>
          <w:szCs w:val="28"/>
          <w:highlight w:val="none"/>
        </w:rPr>
        <w:t>“投标人的澄清、说明或者补正应当提交至政府采购云平台（https://www.zcygov.cn/）。投标人的澄清、说明或者补正不得超出投标文件的范围或者改变投标文件的实质性内容。”</w:t>
      </w:r>
      <w:r>
        <w:rPr>
          <w:rFonts w:ascii="宋体" w:hAnsi="宋体" w:cs="宋体"/>
          <w:color w:val="auto"/>
          <w:sz w:val="24"/>
          <w:szCs w:val="28"/>
          <w:highlight w:val="none"/>
        </w:rPr>
        <w:t>的规定经投标人确认后产生约束力，投标人不确认的，其投标无效。</w:t>
      </w:r>
    </w:p>
    <w:p w14:paraId="1415DBA4">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3.</w:t>
      </w:r>
      <w:r>
        <w:rPr>
          <w:rFonts w:hint="eastAsia" w:ascii="宋体" w:hAnsi="宋体" w:cs="宋体"/>
          <w:b/>
          <w:bCs/>
          <w:color w:val="auto"/>
          <w:sz w:val="24"/>
          <w:szCs w:val="28"/>
          <w:highlight w:val="none"/>
        </w:rPr>
        <w:t>政府采购异常低价审查</w:t>
      </w:r>
      <w:r>
        <w:rPr>
          <w:rFonts w:ascii="宋体" w:hAnsi="宋体" w:cs="宋体"/>
          <w:b/>
          <w:bCs/>
          <w:color w:val="auto"/>
          <w:sz w:val="24"/>
          <w:szCs w:val="28"/>
          <w:highlight w:val="none"/>
        </w:rPr>
        <w:t xml:space="preserve"> </w:t>
      </w:r>
    </w:p>
    <w:p w14:paraId="5608FB1C">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val="en-US" w:eastAsia="zh-CN"/>
        </w:rPr>
        <w:t>政府采购评审中出现下列情形之一的，评审委员会应当启动异常低价投标（响应）审查程序：</w:t>
      </w:r>
    </w:p>
    <w:p w14:paraId="56DBB71A">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（1）投标（响应）报价低于全部通过符合性审查供应商投标（响应）报价平均值50%的，即投标（响应）报价&lt;全部通过符合性审查供应商投标（响应）报价平均值×50%；</w:t>
      </w:r>
    </w:p>
    <w:p w14:paraId="202C96D5">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（2）投标（响应）报价低于通过符合性审查的次低报价供应商投标（响应）报价50%的，即投标（响应）报价&lt;通过符合性审查的次低报价供应商投标（响应）报价×50%；</w:t>
      </w:r>
    </w:p>
    <w:p w14:paraId="008393C2">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（3）投标（响应）报价低于采购项目最高限价45%的，即投标（响应）报价&lt;采购项目最高限价×45%；</w:t>
      </w:r>
    </w:p>
    <w:p w14:paraId="7EB4D88B">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（4）评审委员会基于专业判断，认为供应商报价过低，有可能影响产品质量或者不能诚信履约的其他情形。</w:t>
      </w:r>
    </w:p>
    <w:p w14:paraId="461A9CDE">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采购人可以结合具体项目实际情况，提高上述第（1）项至第（3）项中启动异常低价投标（响应）审查的数值标准，但是最高不得超过65%。</w:t>
      </w:r>
    </w:p>
    <w:p w14:paraId="16E655D4">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相关法律法规对供应商报价有规定的，从其规定。</w:t>
      </w:r>
    </w:p>
    <w:p w14:paraId="332EFC00">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964DE8">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2F7F47">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E944468">
      <w:pPr>
        <w:pStyle w:val="10"/>
        <w:spacing w:after="0" w:line="520" w:lineRule="exact"/>
        <w:ind w:left="0" w:leftChars="0" w:firstLine="480"/>
        <w:jc w:val="left"/>
        <w:rPr>
          <w:rFonts w:hint="default" w:ascii="宋体" w:hAnsi="宋体" w:cs="宋体"/>
          <w:color w:val="auto"/>
          <w:sz w:val="24"/>
          <w:szCs w:val="28"/>
          <w:highlight w:val="none"/>
        </w:rPr>
      </w:pPr>
      <w:r>
        <w:rPr>
          <w:rFonts w:hint="eastAsia" w:ascii="宋体" w:hAnsi="宋体" w:cs="宋体"/>
          <w:color w:val="auto"/>
          <w:sz w:val="24"/>
          <w:szCs w:val="28"/>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D4E6E9">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 xml:space="preserve">（四）技术评估、综合比较与评价 </w:t>
      </w:r>
    </w:p>
    <w:p w14:paraId="6547CC1D">
      <w:pPr>
        <w:pStyle w:val="10"/>
        <w:spacing w:after="0" w:line="520" w:lineRule="exact"/>
        <w:ind w:left="0" w:leftChars="0" w:firstLine="0" w:firstLineChars="0"/>
        <w:jc w:val="left"/>
        <w:rPr>
          <w:rFonts w:ascii="宋体" w:hAnsi="宋体" w:cs="宋体"/>
          <w:b/>
          <w:bCs/>
          <w:color w:val="auto"/>
          <w:sz w:val="24"/>
          <w:szCs w:val="28"/>
          <w:highlight w:val="none"/>
        </w:rPr>
      </w:pPr>
      <w:r>
        <w:rPr>
          <w:rFonts w:hint="eastAsia" w:ascii="宋体" w:hAnsi="宋体" w:cs="宋体"/>
          <w:b/>
          <w:bCs/>
          <w:color w:val="auto"/>
          <w:sz w:val="24"/>
          <w:szCs w:val="28"/>
          <w:highlight w:val="none"/>
        </w:rPr>
        <w:t xml:space="preserve">1.同品牌产品不同投标人的处理方式 </w:t>
      </w:r>
    </w:p>
    <w:p w14:paraId="76CEC008">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7562A2">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非单一产品采购项目，采购人应当根据采购项目技术构成、产品价格比重等合理确定核心产品，并在招标文件中载明。多家投标人提供的核心产品品牌相同的，按前两款规定处理。</w:t>
      </w:r>
    </w:p>
    <w:p w14:paraId="4BF68A16">
      <w:pPr>
        <w:pStyle w:val="10"/>
        <w:spacing w:after="0" w:line="520" w:lineRule="exact"/>
        <w:ind w:left="0" w:leftChars="0" w:firstLine="482"/>
        <w:jc w:val="left"/>
        <w:rPr>
          <w:rFonts w:ascii="宋体" w:hAnsi="宋体" w:cs="宋体"/>
          <w:b/>
          <w:bCs/>
          <w:color w:val="auto"/>
          <w:sz w:val="24"/>
          <w:szCs w:val="28"/>
          <w:highlight w:val="none"/>
        </w:rPr>
      </w:pPr>
      <w:r>
        <w:rPr>
          <w:rFonts w:hint="eastAsia" w:ascii="宋体" w:hAnsi="宋体" w:cs="宋体"/>
          <w:b/>
          <w:bCs/>
          <w:color w:val="auto"/>
          <w:sz w:val="24"/>
          <w:szCs w:val="28"/>
          <w:highlight w:val="none"/>
        </w:rPr>
        <w:t>本采购项目核心产品为：</w:t>
      </w:r>
      <w:r>
        <w:rPr>
          <w:rFonts w:hint="eastAsia" w:ascii="宋体" w:hAnsi="宋体" w:cs="宋体"/>
          <w:b/>
          <w:bCs/>
          <w:color w:val="auto"/>
          <w:sz w:val="24"/>
          <w:szCs w:val="28"/>
          <w:highlight w:val="none"/>
          <w:lang w:val="en-US" w:eastAsia="zh-CN"/>
        </w:rPr>
        <w:t>长龙式洗碗机</w:t>
      </w:r>
      <w:r>
        <w:rPr>
          <w:rFonts w:hint="eastAsia" w:ascii="宋体" w:hAnsi="宋体" w:cs="宋体"/>
          <w:b/>
          <w:bCs/>
          <w:color w:val="auto"/>
          <w:sz w:val="24"/>
          <w:szCs w:val="28"/>
          <w:highlight w:val="none"/>
        </w:rPr>
        <w:t>。</w:t>
      </w:r>
    </w:p>
    <w:p w14:paraId="7D9ACF33">
      <w:pPr>
        <w:pStyle w:val="10"/>
        <w:spacing w:after="0" w:line="520" w:lineRule="exact"/>
        <w:ind w:left="0" w:leftChars="0" w:firstLine="0" w:firstLineChars="0"/>
        <w:jc w:val="left"/>
        <w:rPr>
          <w:rFonts w:ascii="宋体" w:hAnsi="宋体" w:cs="宋体"/>
          <w:b/>
          <w:bCs/>
          <w:color w:val="auto"/>
          <w:sz w:val="24"/>
          <w:szCs w:val="28"/>
          <w:highlight w:val="none"/>
        </w:rPr>
      </w:pPr>
      <w:r>
        <w:rPr>
          <w:rFonts w:hint="eastAsia" w:ascii="宋体" w:hAnsi="宋体" w:cs="宋体"/>
          <w:b/>
          <w:bCs/>
          <w:color w:val="auto"/>
          <w:sz w:val="24"/>
          <w:szCs w:val="28"/>
          <w:highlight w:val="none"/>
        </w:rPr>
        <w:t>2.小型和微型企业价格评分优惠政策</w:t>
      </w:r>
    </w:p>
    <w:p w14:paraId="76F64A0F">
      <w:pPr>
        <w:pStyle w:val="10"/>
        <w:spacing w:after="0" w:line="520" w:lineRule="exact"/>
        <w:ind w:left="0" w:leftChars="0" w:firstLine="480"/>
        <w:jc w:val="left"/>
        <w:rPr>
          <w:rFonts w:ascii="宋体" w:hAnsi="宋体" w:cs="宋体"/>
          <w:color w:val="auto"/>
          <w:sz w:val="24"/>
          <w:szCs w:val="28"/>
          <w:highlight w:val="none"/>
        </w:rPr>
      </w:pPr>
      <w:r>
        <w:rPr>
          <w:rFonts w:ascii="宋体" w:hAnsi="宋体" w:cs="宋体"/>
          <w:color w:val="auto"/>
          <w:sz w:val="24"/>
          <w:szCs w:val="28"/>
          <w:highlight w:val="none"/>
        </w:rPr>
        <w:t>根据《政府采购促进中小企业发展管理办法》（财库〔2020〕46 号</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、关于进一步加大政府采购支持中小企业力度的通知（财库〔2022〕19 号）的规定，对符合国家统计局《统计上大中小微型企业划分办法（2017）》规定条件</w:t>
      </w:r>
      <w:r>
        <w:rPr>
          <w:rFonts w:hint="eastAsia" w:ascii="宋体" w:hAnsi="宋体" w:cs="宋体"/>
          <w:b/>
          <w:bCs/>
          <w:color w:val="auto"/>
          <w:sz w:val="24"/>
          <w:szCs w:val="28"/>
          <w:highlight w:val="none"/>
          <w:lang w:val="en-US" w:eastAsia="zh-CN"/>
        </w:rPr>
        <w:t>工</w:t>
      </w:r>
      <w:r>
        <w:rPr>
          <w:rFonts w:hint="eastAsia" w:ascii="宋体" w:hAnsi="宋体" w:cs="宋体"/>
          <w:b/>
          <w:bCs/>
          <w:color w:val="auto"/>
          <w:sz w:val="24"/>
          <w:szCs w:val="28"/>
          <w:highlight w:val="none"/>
        </w:rPr>
        <w:t>业</w:t>
      </w:r>
      <w:r>
        <w:rPr>
          <w:rFonts w:ascii="宋体" w:hAnsi="宋体" w:cs="宋体"/>
          <w:color w:val="auto"/>
          <w:sz w:val="24"/>
          <w:szCs w:val="28"/>
          <w:highlight w:val="none"/>
        </w:rPr>
        <w:t>行业的小微企业报价给予</w:t>
      </w:r>
      <w:r>
        <w:rPr>
          <w:rFonts w:ascii="宋体" w:hAnsi="宋体" w:cs="宋体"/>
          <w:b/>
          <w:bCs/>
          <w:color w:val="auto"/>
          <w:sz w:val="24"/>
          <w:szCs w:val="28"/>
          <w:highlight w:val="none"/>
        </w:rPr>
        <w:t>10%</w:t>
      </w:r>
      <w:r>
        <w:rPr>
          <w:rFonts w:ascii="宋体" w:hAnsi="宋体" w:cs="宋体"/>
          <w:color w:val="auto"/>
          <w:sz w:val="24"/>
          <w:szCs w:val="28"/>
          <w:highlight w:val="none"/>
        </w:rPr>
        <w:t>的扣除，用扣除后的价格参加评审。 请投标人根据《政府采购促进中小企业发展管理办法》（财库〔2020〕46 号</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的规定，提供《中小企业声明函》，未提供的小微企业不享受价格评审优惠政策。投标人对《中小企业声明函》的真实性负责，如有虚假，采购人将向监管部门反映，投标人依法承担相应责任。 其他未尽事宜，按照《政府采购促进中小企业发展管理办法》（财库〔2020〕46 号</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规定执行。</w:t>
      </w:r>
    </w:p>
    <w:p w14:paraId="3D0CE711">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 xml:space="preserve">3.监狱企业评分优惠政策 </w:t>
      </w:r>
    </w:p>
    <w:p w14:paraId="33FB4BCA">
      <w:pPr>
        <w:pStyle w:val="10"/>
        <w:spacing w:after="0" w:line="520" w:lineRule="exact"/>
        <w:ind w:left="0" w:leftChars="0" w:firstLine="480"/>
        <w:jc w:val="left"/>
        <w:rPr>
          <w:rFonts w:ascii="宋体" w:hAnsi="宋体" w:cs="宋体"/>
          <w:color w:val="auto"/>
          <w:sz w:val="24"/>
          <w:szCs w:val="28"/>
          <w:highlight w:val="none"/>
        </w:rPr>
      </w:pPr>
      <w:r>
        <w:rPr>
          <w:rFonts w:ascii="宋体" w:hAnsi="宋体" w:cs="宋体"/>
          <w:color w:val="auto"/>
          <w:sz w:val="24"/>
          <w:szCs w:val="28"/>
          <w:highlight w:val="none"/>
        </w:rPr>
        <w:t>根据《关于政府采购支持监狱企业发展有关问题的通知》</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财库</w:t>
      </w:r>
      <w:r>
        <w:rPr>
          <w:rFonts w:hint="eastAsia" w:ascii="宋体" w:hAnsi="宋体" w:cs="宋体"/>
          <w:color w:val="auto"/>
          <w:sz w:val="24"/>
          <w:szCs w:val="28"/>
          <w:highlight w:val="none"/>
          <w:lang w:eastAsia="zh-CN"/>
        </w:rPr>
        <w:t>〔2014〕68号）</w:t>
      </w:r>
      <w:r>
        <w:rPr>
          <w:rFonts w:ascii="宋体" w:hAnsi="宋体" w:cs="宋体"/>
          <w:color w:val="auto"/>
          <w:sz w:val="24"/>
          <w:szCs w:val="28"/>
          <w:highlight w:val="none"/>
        </w:rPr>
        <w:t>的规定，监狱企业优惠政策，监狱企业参与本项目投标时，提供由省级以上监狱管理局、戒毒管理局</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含新疆生产建设兵团</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出具的属于监狱企业的证明文件的，视同小型、微型企业享受价格扣除等优惠政策。</w:t>
      </w:r>
    </w:p>
    <w:p w14:paraId="4E27898F">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 xml:space="preserve">4.残疾人福利性单位优惠政策 </w:t>
      </w:r>
    </w:p>
    <w:p w14:paraId="46118DBB">
      <w:pPr>
        <w:pStyle w:val="10"/>
        <w:spacing w:after="0" w:line="520" w:lineRule="exact"/>
        <w:ind w:left="0" w:leftChars="0" w:firstLine="480"/>
        <w:jc w:val="left"/>
        <w:rPr>
          <w:rFonts w:ascii="宋体" w:hAnsi="宋体" w:cs="宋体"/>
          <w:color w:val="auto"/>
          <w:sz w:val="24"/>
          <w:szCs w:val="28"/>
          <w:highlight w:val="none"/>
        </w:rPr>
      </w:pPr>
      <w:r>
        <w:rPr>
          <w:rFonts w:ascii="宋体" w:hAnsi="宋体" w:cs="宋体"/>
          <w:color w:val="auto"/>
          <w:sz w:val="24"/>
          <w:szCs w:val="28"/>
          <w:highlight w:val="none"/>
        </w:rPr>
        <w:t>根据《关于促进残疾人就业政府采购政策的通知》</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财库</w:t>
      </w:r>
      <w:r>
        <w:rPr>
          <w:rFonts w:hint="eastAsia" w:ascii="宋体" w:hAnsi="宋体" w:cs="宋体"/>
          <w:color w:val="auto"/>
          <w:sz w:val="24"/>
          <w:szCs w:val="28"/>
          <w:highlight w:val="none"/>
          <w:lang w:eastAsia="zh-CN"/>
        </w:rPr>
        <w:t>〔2017〕</w:t>
      </w:r>
      <w:r>
        <w:rPr>
          <w:rFonts w:ascii="宋体" w:hAnsi="宋体" w:cs="宋体"/>
          <w:color w:val="auto"/>
          <w:sz w:val="24"/>
          <w:szCs w:val="28"/>
          <w:highlight w:val="none"/>
        </w:rPr>
        <w:t>141 号</w:t>
      </w:r>
      <w:r>
        <w:rPr>
          <w:rFonts w:hint="eastAsia" w:ascii="宋体" w:hAnsi="宋体" w:cs="宋体"/>
          <w:color w:val="auto"/>
          <w:sz w:val="24"/>
          <w:szCs w:val="28"/>
          <w:highlight w:val="none"/>
          <w:lang w:eastAsia="zh-CN"/>
        </w:rPr>
        <w:t>）</w:t>
      </w:r>
      <w:r>
        <w:rPr>
          <w:rFonts w:ascii="宋体" w:hAnsi="宋体" w:cs="宋体"/>
          <w:color w:val="auto"/>
          <w:sz w:val="24"/>
          <w:szCs w:val="28"/>
          <w:highlight w:val="none"/>
        </w:rPr>
        <w:t xml:space="preserve">的规定，残疾人福利性单位优惠政策，残疾人福利性单位参与本项目投标时，提供《残疾人福利性单位声明函》并对声明的真实性负责，视同小型、微型企业享受价格扣除等优惠政策。投标人对《残疾人福利性单位声明函》的真实性负责，如有虚假，自行承担相应责任。 </w:t>
      </w:r>
    </w:p>
    <w:p w14:paraId="466EE9D3">
      <w:pPr>
        <w:pStyle w:val="10"/>
        <w:spacing w:after="0" w:line="520" w:lineRule="exact"/>
        <w:ind w:left="0" w:leftChars="0" w:firstLine="0" w:firstLineChars="0"/>
        <w:jc w:val="left"/>
        <w:rPr>
          <w:rFonts w:ascii="宋体" w:hAnsi="宋体" w:cs="宋体"/>
          <w:b/>
          <w:bCs/>
          <w:color w:val="auto"/>
          <w:sz w:val="24"/>
          <w:szCs w:val="28"/>
          <w:highlight w:val="none"/>
        </w:rPr>
      </w:pPr>
      <w:r>
        <w:rPr>
          <w:rFonts w:ascii="宋体" w:hAnsi="宋体" w:cs="宋体"/>
          <w:b/>
          <w:bCs/>
          <w:color w:val="auto"/>
          <w:sz w:val="24"/>
          <w:szCs w:val="28"/>
          <w:highlight w:val="none"/>
        </w:rPr>
        <w:t xml:space="preserve">5.节能产品及环境标志产品的优惠政策 </w:t>
      </w:r>
    </w:p>
    <w:p w14:paraId="09E7B0C9">
      <w:pPr>
        <w:pStyle w:val="10"/>
        <w:spacing w:after="0" w:line="520" w:lineRule="exact"/>
        <w:ind w:left="0" w:leftChars="0" w:firstLine="480"/>
        <w:jc w:val="left"/>
        <w:rPr>
          <w:rFonts w:hint="eastAsia" w:ascii="宋体" w:hAnsi="宋体" w:eastAsia="宋体" w:cs="宋体"/>
          <w:color w:val="auto"/>
          <w:sz w:val="24"/>
          <w:szCs w:val="28"/>
          <w:highlight w:val="none"/>
          <w:lang w:eastAsia="zh-CN"/>
        </w:rPr>
      </w:pPr>
      <w:r>
        <w:rPr>
          <w:rFonts w:ascii="宋体" w:hAnsi="宋体" w:cs="宋体"/>
          <w:color w:val="auto"/>
          <w:sz w:val="24"/>
          <w:szCs w:val="28"/>
          <w:highlight w:val="none"/>
        </w:rPr>
        <w:t>按照“财政部 发展改革委 生态环境部 市场监管总局 关于调整优化节能产品、环境标志产品政府采购执行机制的通知”的规定执行。</w:t>
      </w:r>
      <w:r>
        <w:rPr>
          <w:rFonts w:hint="eastAsia" w:ascii="宋体" w:hAnsi="宋体" w:eastAsia="宋体" w:cs="宋体"/>
          <w:color w:val="auto"/>
          <w:kern w:val="0"/>
          <w:sz w:val="24"/>
          <w:szCs w:val="32"/>
          <w:highlight w:val="none"/>
        </w:rPr>
        <w:t>《节能产品政府采购品目清单》及《环境标志产品政府采购品目清单》可通过中国政府采购网（http://www.ccgp.gov.cn/ ）查阅、下载</w:t>
      </w:r>
      <w:r>
        <w:rPr>
          <w:rFonts w:hint="eastAsia" w:ascii="宋体" w:hAnsi="宋体" w:eastAsia="宋体" w:cs="宋体"/>
          <w:color w:val="auto"/>
          <w:kern w:val="0"/>
          <w:sz w:val="24"/>
          <w:szCs w:val="32"/>
          <w:highlight w:val="none"/>
          <w:lang w:eastAsia="zh-CN"/>
        </w:rPr>
        <w:t>。</w:t>
      </w:r>
    </w:p>
    <w:p w14:paraId="58DF3DEF">
      <w:pPr>
        <w:pStyle w:val="10"/>
        <w:numPr>
          <w:ilvl w:val="0"/>
          <w:numId w:val="2"/>
        </w:numPr>
        <w:spacing w:after="0" w:line="520" w:lineRule="exact"/>
        <w:ind w:left="0" w:leftChars="0" w:firstLine="0" w:firstLineChars="0"/>
        <w:jc w:val="left"/>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对本国产品的支持政策</w:t>
      </w:r>
    </w:p>
    <w:p w14:paraId="229FAF98">
      <w:pPr>
        <w:pStyle w:val="10"/>
        <w:spacing w:after="0" w:line="520" w:lineRule="exact"/>
        <w:ind w:left="0" w:leftChars="0" w:firstLine="480"/>
        <w:jc w:val="left"/>
        <w:rPr>
          <w:rFonts w:hint="default" w:ascii="宋体" w:hAnsi="宋体" w:cs="宋体"/>
          <w:color w:val="auto"/>
          <w:sz w:val="24"/>
          <w:szCs w:val="28"/>
          <w:highlight w:val="none"/>
          <w:lang w:val="en-US" w:eastAsia="zh-CN"/>
        </w:rPr>
      </w:pPr>
      <w:r>
        <w:rPr>
          <w:rFonts w:hint="eastAsia" w:ascii="宋体" w:hAnsi="宋体" w:cs="宋体"/>
          <w:color w:val="auto"/>
          <w:sz w:val="24"/>
          <w:szCs w:val="28"/>
          <w:highlight w:val="none"/>
          <w:lang w:val="en-US" w:eastAsia="zh-CN"/>
        </w:rPr>
        <w:t>依据《</w:t>
      </w:r>
      <w:r>
        <w:rPr>
          <w:rFonts w:hint="eastAsia" w:ascii="宋体" w:hAnsi="宋体" w:cs="宋体"/>
          <w:color w:val="auto"/>
          <w:sz w:val="24"/>
          <w:szCs w:val="28"/>
          <w:highlight w:val="none"/>
        </w:rPr>
        <w:t>国务院办公厅关于在政府采购中实施本国产品标准及相关政策的通知</w:t>
      </w:r>
      <w:r>
        <w:rPr>
          <w:rFonts w:hint="eastAsia" w:ascii="宋体" w:hAnsi="宋体" w:cs="宋体"/>
          <w:color w:val="auto"/>
          <w:sz w:val="24"/>
          <w:szCs w:val="28"/>
          <w:highlight w:val="none"/>
          <w:lang w:val="en-US" w:eastAsia="zh-CN"/>
        </w:rPr>
        <w:t>》</w:t>
      </w:r>
      <w:r>
        <w:rPr>
          <w:rFonts w:hint="eastAsia" w:ascii="宋体" w:hAnsi="宋体" w:cs="宋体"/>
          <w:color w:val="auto"/>
          <w:sz w:val="24"/>
          <w:szCs w:val="28"/>
          <w:highlight w:val="none"/>
          <w:lang w:eastAsia="zh-CN"/>
        </w:rPr>
        <w:t>（国办发〔2025〕34号）</w:t>
      </w:r>
      <w:r>
        <w:rPr>
          <w:rFonts w:hint="eastAsia" w:ascii="宋体" w:hAnsi="宋体" w:cs="宋体"/>
          <w:color w:val="auto"/>
          <w:sz w:val="24"/>
          <w:szCs w:val="28"/>
          <w:highlight w:val="none"/>
          <w:lang w:val="en-US" w:eastAsia="zh-CN"/>
        </w:rPr>
        <w:t>及</w:t>
      </w:r>
      <w:r>
        <w:rPr>
          <w:rFonts w:hint="eastAsia" w:ascii="宋体" w:hAnsi="宋体" w:cs="宋体"/>
          <w:color w:val="auto"/>
          <w:sz w:val="24"/>
          <w:szCs w:val="28"/>
          <w:highlight w:val="none"/>
        </w:rPr>
        <w:t>《财政部关于贯彻落实&lt;国务院办公厅关于在政府采购中实施本国产品标准及相关政策的通知&gt;的意见》(财库〔2025〕30号)相关规定，本项目政府采购活动中对本国产品实施以下支持政策：</w:t>
      </w:r>
    </w:p>
    <w:p w14:paraId="18EFF387">
      <w:pPr>
        <w:pStyle w:val="10"/>
        <w:spacing w:after="0" w:line="520" w:lineRule="exact"/>
        <w:ind w:left="0" w:leftChars="0" w:firstLine="480"/>
        <w:jc w:val="left"/>
        <w:rPr>
          <w:rFonts w:hint="eastAsia" w:ascii="宋体" w:hAnsi="宋体" w:cs="宋体" w:eastAsiaTheme="minorEastAsia"/>
          <w:color w:val="auto"/>
          <w:sz w:val="24"/>
          <w:szCs w:val="28"/>
          <w:highlight w:val="none"/>
          <w:lang w:val="en-US" w:eastAsia="zh-CN"/>
        </w:rPr>
      </w:pPr>
      <w:r>
        <w:rPr>
          <w:rFonts w:hint="eastAsia" w:ascii="宋体" w:hAnsi="宋体" w:cs="宋体"/>
          <w:color w:val="auto"/>
          <w:sz w:val="24"/>
          <w:szCs w:val="28"/>
          <w:highlight w:val="none"/>
          <w:lang w:val="en-US" w:eastAsia="zh-CN"/>
        </w:rPr>
        <w:t>6.1</w:t>
      </w:r>
      <w:r>
        <w:rPr>
          <w:rFonts w:hint="eastAsia" w:ascii="宋体" w:hAnsi="宋体" w:cs="宋体"/>
          <w:color w:val="auto"/>
          <w:sz w:val="24"/>
          <w:szCs w:val="28"/>
          <w:highlight w:val="none"/>
        </w:rPr>
        <w:t>本国产品标准</w:t>
      </w:r>
      <w:r>
        <w:rPr>
          <w:rFonts w:hint="eastAsia" w:ascii="宋体" w:hAnsi="宋体" w:cs="宋体"/>
          <w:color w:val="auto"/>
          <w:sz w:val="24"/>
          <w:szCs w:val="28"/>
          <w:highlight w:val="none"/>
          <w:lang w:eastAsia="zh-CN"/>
        </w:rPr>
        <w:t>。</w:t>
      </w:r>
    </w:p>
    <w:p w14:paraId="56CC2752">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本国产品应当符合以下条件： </w:t>
      </w:r>
    </w:p>
    <w:p w14:paraId="639F413A">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一</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在中国境内生产</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1E909150">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（1）</w:t>
      </w:r>
      <w:r>
        <w:rPr>
          <w:rFonts w:hint="eastAsia" w:ascii="宋体" w:hAnsi="宋体" w:cs="宋体"/>
          <w:color w:val="auto"/>
          <w:sz w:val="24"/>
          <w:szCs w:val="28"/>
          <w:highlight w:val="none"/>
        </w:rPr>
        <w:t>为确保产品在运输或者储存期间保持某种状态而进行的操作；</w:t>
      </w:r>
    </w:p>
    <w:p w14:paraId="2644D691">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rPr>
        <w:t xml:space="preserve">为产品运输或者销售进行的包装或者展示； </w:t>
      </w:r>
    </w:p>
    <w:p w14:paraId="43E0D159">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rPr>
        <w:t xml:space="preserve">在产品或者其包装上粘贴或者印刷品牌、标志、标识以及其他用于区别的标记； </w:t>
      </w:r>
    </w:p>
    <w:p w14:paraId="45AD6A9E">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 xml:space="preserve">简单的上漆、磨光和分装； </w:t>
      </w:r>
    </w:p>
    <w:p w14:paraId="1EC3471C">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（5）</w:t>
      </w:r>
      <w:r>
        <w:rPr>
          <w:rFonts w:hint="eastAsia" w:ascii="宋体" w:hAnsi="宋体" w:cs="宋体"/>
          <w:color w:val="auto"/>
          <w:sz w:val="24"/>
          <w:szCs w:val="28"/>
          <w:highlight w:val="none"/>
        </w:rPr>
        <w:t>其他不属于属性改变的情形。</w:t>
      </w:r>
    </w:p>
    <w:p w14:paraId="4736759A">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特别提醒：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1E7AE0F">
      <w:pPr>
        <w:pStyle w:val="10"/>
        <w:spacing w:after="0" w:line="520" w:lineRule="exact"/>
        <w:ind w:left="0" w:leftChars="0" w:firstLine="480"/>
        <w:jc w:val="left"/>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val="en-US" w:eastAsia="zh-CN"/>
        </w:rPr>
        <w:t>6.2</w:t>
      </w:r>
      <w:r>
        <w:rPr>
          <w:rFonts w:hint="eastAsia" w:ascii="宋体" w:hAnsi="宋体" w:cs="宋体"/>
          <w:color w:val="auto"/>
          <w:sz w:val="24"/>
          <w:szCs w:val="28"/>
          <w:highlight w:val="none"/>
        </w:rPr>
        <w:t>本国产品标准的适用范围</w:t>
      </w:r>
      <w:r>
        <w:rPr>
          <w:rFonts w:hint="eastAsia" w:ascii="宋体" w:hAnsi="宋体" w:cs="宋体"/>
          <w:color w:val="auto"/>
          <w:sz w:val="24"/>
          <w:szCs w:val="28"/>
          <w:highlight w:val="none"/>
          <w:lang w:eastAsia="zh-CN"/>
        </w:rPr>
        <w:t>。</w:t>
      </w:r>
    </w:p>
    <w:p w14:paraId="65FC7193">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F1280A">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6.3</w:t>
      </w:r>
      <w:r>
        <w:rPr>
          <w:rFonts w:hint="eastAsia" w:ascii="宋体" w:hAnsi="宋体" w:cs="宋体"/>
          <w:color w:val="auto"/>
          <w:sz w:val="24"/>
          <w:szCs w:val="28"/>
          <w:highlight w:val="none"/>
        </w:rPr>
        <w:t>对本国产品的支持政策</w:t>
      </w:r>
      <w:r>
        <w:rPr>
          <w:rFonts w:hint="eastAsia" w:ascii="宋体" w:hAnsi="宋体" w:cs="宋体"/>
          <w:color w:val="auto"/>
          <w:sz w:val="24"/>
          <w:szCs w:val="28"/>
          <w:highlight w:val="none"/>
          <w:lang w:eastAsia="zh-CN"/>
        </w:rPr>
        <w:t>。</w:t>
      </w:r>
    </w:p>
    <w:p w14:paraId="04C854EB">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政府采购活动中既有本国产品又有非本国产品参与竞争的，对本国产品给予价格评审优惠，对本国产品的报价给予20%的价格扣除，用扣除后的价格参与评审。</w:t>
      </w:r>
    </w:p>
    <w:p w14:paraId="203B64E9">
      <w:pPr>
        <w:pStyle w:val="10"/>
        <w:spacing w:after="0" w:line="520" w:lineRule="exact"/>
        <w:ind w:left="0" w:leftChars="0" w:firstLine="480"/>
        <w:jc w:val="left"/>
        <w:rPr>
          <w:rFonts w:hint="eastAsia" w:ascii="宋体" w:hAnsi="宋体" w:cs="宋体" w:eastAsiaTheme="minorEastAsia"/>
          <w:color w:val="auto"/>
          <w:sz w:val="24"/>
          <w:szCs w:val="28"/>
          <w:highlight w:val="none"/>
          <w:lang w:eastAsia="zh-CN"/>
        </w:rPr>
      </w:pPr>
      <w:r>
        <w:rPr>
          <w:rFonts w:hint="eastAsia" w:ascii="宋体" w:hAnsi="宋体" w:cs="宋体"/>
          <w:color w:val="auto"/>
          <w:sz w:val="24"/>
          <w:szCs w:val="28"/>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color w:val="auto"/>
          <w:sz w:val="24"/>
          <w:szCs w:val="28"/>
          <w:highlight w:val="none"/>
          <w:lang w:eastAsia="zh-CN"/>
        </w:rPr>
        <w:t>。</w:t>
      </w:r>
    </w:p>
    <w:p w14:paraId="3F5A7996">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6.4</w:t>
      </w:r>
      <w:r>
        <w:rPr>
          <w:rFonts w:hint="eastAsia" w:ascii="宋体" w:hAnsi="宋体" w:cs="宋体"/>
          <w:color w:val="auto"/>
          <w:sz w:val="24"/>
          <w:szCs w:val="28"/>
          <w:highlight w:val="none"/>
        </w:rPr>
        <w:t>有关证明文件。</w:t>
      </w:r>
    </w:p>
    <w:p w14:paraId="73DDFBF3">
      <w:pPr>
        <w:pStyle w:val="10"/>
        <w:spacing w:after="0" w:line="520" w:lineRule="exact"/>
        <w:ind w:left="0" w:leftChars="0" w:firstLine="480"/>
        <w:jc w:val="left"/>
        <w:rPr>
          <w:rFonts w:hint="eastAsia" w:ascii="宋体" w:hAnsi="宋体" w:cs="宋体"/>
          <w:color w:val="auto"/>
          <w:sz w:val="24"/>
          <w:szCs w:val="28"/>
          <w:highlight w:val="none"/>
          <w:lang w:val="en-US" w:eastAsia="zh-CN"/>
        </w:rPr>
      </w:pPr>
      <w:r>
        <w:rPr>
          <w:rFonts w:hint="eastAsia" w:ascii="宋体" w:hAnsi="宋体" w:cs="宋体"/>
          <w:color w:val="auto"/>
          <w:sz w:val="24"/>
          <w:szCs w:val="28"/>
          <w:highlight w:val="none"/>
          <w:lang w:val="en-US" w:eastAsia="zh-CN"/>
        </w:rPr>
        <w:t>6.4.1供应商应对其提供的产品出具《关于符合本国产品标准的声明函》或财政部会同有关部门规定的有关证明文件。出具符合要求的《声明函》或有关证明文件的，该产品视为本国产品。</w:t>
      </w:r>
    </w:p>
    <w:p w14:paraId="1F1FC4E0">
      <w:pPr>
        <w:pStyle w:val="10"/>
        <w:spacing w:after="0" w:line="520" w:lineRule="exact"/>
        <w:ind w:left="0" w:leftChars="0" w:firstLine="480"/>
        <w:jc w:val="left"/>
        <w:rPr>
          <w:rFonts w:hint="eastAsia" w:ascii="宋体" w:hAnsi="宋体" w:cs="宋体"/>
          <w:color w:val="auto"/>
          <w:sz w:val="24"/>
          <w:szCs w:val="28"/>
          <w:highlight w:val="none"/>
          <w:lang w:val="en-US" w:eastAsia="zh-CN"/>
        </w:rPr>
      </w:pPr>
      <w:r>
        <w:rPr>
          <w:rFonts w:hint="eastAsia" w:ascii="宋体" w:hAnsi="宋体" w:cs="宋体"/>
          <w:color w:val="auto"/>
          <w:sz w:val="24"/>
          <w:szCs w:val="28"/>
          <w:highlight w:val="none"/>
          <w:lang w:val="en-US" w:eastAsia="zh-CN"/>
        </w:rPr>
        <w:t>6.4.2对供应商所出具的《关于符合本国产品标准的声明函》（以下简称《声明函》）的完整性、准确性进行审查的要求，评审中发现《声明函》内容含义不明确、同类事项与投标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50F485EB">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6.4.3</w:t>
      </w:r>
      <w:r>
        <w:rPr>
          <w:rFonts w:hint="eastAsia" w:ascii="宋体" w:hAnsi="宋体" w:cs="宋体"/>
          <w:color w:val="auto"/>
          <w:sz w:val="24"/>
          <w:szCs w:val="28"/>
          <w:highlight w:val="none"/>
        </w:rPr>
        <w:t>供应商提供虚假《声明函》谋取中标、成交的，依照《中华人民共和国政府采购法》等法律法规规定追究相应责任。</w:t>
      </w:r>
    </w:p>
    <w:p w14:paraId="20A8306B">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lang w:val="en-US" w:eastAsia="zh-CN"/>
        </w:rPr>
        <w:t>6.4.4</w:t>
      </w:r>
      <w:r>
        <w:rPr>
          <w:rFonts w:hint="eastAsia" w:ascii="宋体" w:hAnsi="宋体" w:cs="宋体"/>
          <w:color w:val="auto"/>
          <w:sz w:val="24"/>
          <w:szCs w:val="28"/>
          <w:highlight w:val="none"/>
        </w:rPr>
        <w:t>采购人、采购代理机构应当随中标、成交结果同时公告中标、成交供应商提供的《声明函》或有关证明文件。</w:t>
      </w:r>
    </w:p>
    <w:p w14:paraId="2FA8A334">
      <w:pPr>
        <w:pStyle w:val="10"/>
        <w:spacing w:after="0" w:line="520" w:lineRule="exact"/>
        <w:ind w:left="0" w:leftChars="0" w:firstLine="480"/>
        <w:jc w:val="left"/>
        <w:rPr>
          <w:rFonts w:hint="eastAsia" w:ascii="宋体" w:hAnsi="宋体" w:cs="宋体"/>
          <w:color w:val="auto"/>
          <w:sz w:val="24"/>
          <w:szCs w:val="28"/>
          <w:highlight w:val="none"/>
          <w:lang w:val="en-US" w:eastAsia="zh-CN"/>
        </w:rPr>
      </w:pPr>
      <w:r>
        <w:rPr>
          <w:rFonts w:hint="eastAsia" w:ascii="宋体" w:hAnsi="宋体" w:cs="宋体"/>
          <w:color w:val="auto"/>
          <w:sz w:val="24"/>
          <w:szCs w:val="28"/>
          <w:highlight w:val="none"/>
          <w:lang w:val="en-US" w:eastAsia="zh-CN"/>
        </w:rPr>
        <w:t>6.5特别说明</w:t>
      </w:r>
    </w:p>
    <w:p w14:paraId="556B2408">
      <w:pPr>
        <w:pStyle w:val="10"/>
        <w:spacing w:after="0" w:line="520" w:lineRule="exact"/>
        <w:ind w:left="0" w:leftChars="0" w:firstLine="480"/>
        <w:jc w:val="left"/>
        <w:rPr>
          <w:rFonts w:hint="default" w:ascii="宋体" w:hAnsi="宋体" w:cs="宋体"/>
          <w:color w:val="auto"/>
          <w:sz w:val="24"/>
          <w:szCs w:val="28"/>
          <w:highlight w:val="none"/>
          <w:lang w:val="en-US" w:eastAsia="zh-CN"/>
        </w:rPr>
      </w:pPr>
      <w:r>
        <w:rPr>
          <w:rFonts w:hint="default" w:ascii="宋体" w:hAnsi="宋体" w:cs="宋体"/>
          <w:color w:val="auto"/>
          <w:sz w:val="24"/>
          <w:szCs w:val="28"/>
          <w:highlight w:val="none"/>
          <w:lang w:val="en-US" w:eastAsia="zh-CN"/>
        </w:rPr>
        <w:t>支持本国产品政策与支持中小企业政策</w:t>
      </w:r>
      <w:r>
        <w:rPr>
          <w:rFonts w:hint="eastAsia" w:ascii="宋体" w:hAnsi="宋体" w:cs="宋体"/>
          <w:color w:val="auto"/>
          <w:sz w:val="24"/>
          <w:szCs w:val="28"/>
          <w:highlight w:val="none"/>
          <w:lang w:val="en-US" w:eastAsia="zh-CN"/>
        </w:rPr>
        <w:t>。</w:t>
      </w:r>
    </w:p>
    <w:p w14:paraId="1256F887">
      <w:pPr>
        <w:pStyle w:val="10"/>
        <w:spacing w:after="0" w:line="520" w:lineRule="exact"/>
        <w:ind w:left="0" w:leftChars="0" w:firstLine="480"/>
        <w:jc w:val="left"/>
        <w:rPr>
          <w:rFonts w:hint="default" w:ascii="宋体" w:hAnsi="宋体" w:cs="宋体"/>
          <w:color w:val="auto"/>
          <w:sz w:val="24"/>
          <w:szCs w:val="28"/>
          <w:highlight w:val="none"/>
          <w:lang w:val="en-US" w:eastAsia="zh-CN"/>
        </w:rPr>
      </w:pPr>
      <w:r>
        <w:rPr>
          <w:rFonts w:hint="default" w:ascii="宋体" w:hAnsi="宋体" w:cs="宋体"/>
          <w:color w:val="auto"/>
          <w:sz w:val="24"/>
          <w:szCs w:val="28"/>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w:t>
      </w:r>
    </w:p>
    <w:p w14:paraId="3803CA4A">
      <w:pPr>
        <w:pStyle w:val="10"/>
        <w:spacing w:after="0" w:line="520" w:lineRule="exact"/>
        <w:ind w:left="0" w:leftChars="0" w:firstLine="480"/>
        <w:jc w:val="left"/>
        <w:rPr>
          <w:rFonts w:hint="eastAsia" w:ascii="宋体" w:hAnsi="宋体" w:cs="宋体"/>
          <w:color w:val="auto"/>
          <w:sz w:val="24"/>
          <w:szCs w:val="28"/>
          <w:highlight w:val="none"/>
          <w:lang w:val="en-US" w:eastAsia="zh-CN"/>
        </w:rPr>
      </w:pPr>
      <w:r>
        <w:rPr>
          <w:rFonts w:hint="default" w:ascii="宋体" w:hAnsi="宋体" w:cs="宋体"/>
          <w:color w:val="auto"/>
          <w:sz w:val="24"/>
          <w:szCs w:val="28"/>
          <w:highlight w:val="none"/>
          <w:lang w:val="en-US" w:eastAsia="zh-CN"/>
        </w:rPr>
        <w:t>需要说明的是，相关价格评审扣除优惠，都应该在供应商报价基础上计算。例如</w:t>
      </w:r>
      <w:r>
        <w:rPr>
          <w:rFonts w:hint="eastAsia" w:ascii="宋体" w:hAnsi="宋体" w:cs="宋体"/>
          <w:color w:val="auto"/>
          <w:sz w:val="24"/>
          <w:szCs w:val="28"/>
          <w:highlight w:val="none"/>
          <w:lang w:val="en-US" w:eastAsia="zh-CN"/>
        </w:rPr>
        <w:t>：</w:t>
      </w:r>
      <w:r>
        <w:rPr>
          <w:rFonts w:hint="default" w:ascii="宋体" w:hAnsi="宋体" w:cs="宋体"/>
          <w:color w:val="auto"/>
          <w:sz w:val="24"/>
          <w:szCs w:val="28"/>
          <w:highlight w:val="none"/>
          <w:lang w:val="en-US" w:eastAsia="zh-CN"/>
        </w:rPr>
        <w:t>某一供应商的产品报价100元，其提供的产品符合本国产品标准，同时按照采购文件规定也享受对小微企业的10%的价格扣除优惠。则对其报价按规定进行两次扣除，用扣除后的价格参与评审。其参与评审的价格为100－100×20%－100×10%=70元</w:t>
      </w:r>
      <w:r>
        <w:rPr>
          <w:rFonts w:hint="eastAsia" w:ascii="宋体" w:hAnsi="宋体" w:cs="宋体"/>
          <w:color w:val="auto"/>
          <w:sz w:val="24"/>
          <w:szCs w:val="28"/>
          <w:highlight w:val="none"/>
          <w:lang w:val="en-US" w:eastAsia="zh-CN"/>
        </w:rPr>
        <w:t>。</w:t>
      </w:r>
    </w:p>
    <w:p w14:paraId="177F24CA">
      <w:pPr>
        <w:pStyle w:val="10"/>
        <w:spacing w:after="0" w:line="520" w:lineRule="exact"/>
        <w:ind w:left="0" w:leftChars="0" w:firstLine="480"/>
        <w:jc w:val="left"/>
        <w:rPr>
          <w:rFonts w:hint="default" w:ascii="宋体" w:hAnsi="宋体" w:cs="宋体"/>
          <w:color w:val="auto"/>
          <w:sz w:val="24"/>
          <w:szCs w:val="28"/>
          <w:highlight w:val="none"/>
          <w:lang w:val="en-US" w:eastAsia="zh-CN"/>
        </w:rPr>
      </w:pPr>
      <w:r>
        <w:rPr>
          <w:rFonts w:hint="default" w:ascii="宋体" w:hAnsi="宋体" w:cs="宋体"/>
          <w:color w:val="auto"/>
          <w:sz w:val="24"/>
          <w:szCs w:val="28"/>
          <w:highlight w:val="none"/>
          <w:lang w:val="en-US" w:eastAsia="zh-CN"/>
        </w:rPr>
        <w:t>上述支持政策不改变最终中标、成交价格，政府采购合同仍按照中标、成交供应商的报价签订</w:t>
      </w:r>
      <w:r>
        <w:rPr>
          <w:rFonts w:hint="eastAsia" w:ascii="宋体" w:hAnsi="宋体" w:cs="宋体"/>
          <w:color w:val="auto"/>
          <w:sz w:val="24"/>
          <w:szCs w:val="28"/>
          <w:highlight w:val="none"/>
          <w:lang w:val="en-US" w:eastAsia="zh-CN"/>
        </w:rPr>
        <w:t>。</w:t>
      </w:r>
    </w:p>
    <w:p w14:paraId="67812F6A">
      <w:pPr>
        <w:pStyle w:val="10"/>
        <w:spacing w:after="0" w:line="520" w:lineRule="exact"/>
        <w:ind w:left="0" w:leftChars="0" w:firstLine="0" w:firstLineChars="0"/>
        <w:jc w:val="left"/>
        <w:rPr>
          <w:rFonts w:ascii="宋体" w:hAnsi="宋体" w:cs="宋体"/>
          <w:b/>
          <w:bCs/>
          <w:color w:val="auto"/>
          <w:sz w:val="24"/>
          <w:szCs w:val="28"/>
          <w:highlight w:val="none"/>
        </w:rPr>
      </w:pPr>
      <w:r>
        <w:rPr>
          <w:rFonts w:hint="eastAsia" w:ascii="宋体" w:hAnsi="宋体" w:cs="宋体"/>
          <w:b/>
          <w:bCs/>
          <w:color w:val="auto"/>
          <w:sz w:val="24"/>
          <w:szCs w:val="28"/>
          <w:highlight w:val="none"/>
          <w:lang w:val="en-US" w:eastAsia="zh-CN"/>
        </w:rPr>
        <w:t>7</w:t>
      </w:r>
      <w:r>
        <w:rPr>
          <w:rFonts w:hint="eastAsia" w:ascii="宋体" w:hAnsi="宋体" w:cs="宋体"/>
          <w:b/>
          <w:bCs/>
          <w:color w:val="auto"/>
          <w:sz w:val="24"/>
          <w:szCs w:val="28"/>
          <w:highlight w:val="none"/>
        </w:rPr>
        <w:t>.综合评分法</w:t>
      </w:r>
    </w:p>
    <w:p w14:paraId="5D7DFF58">
      <w:pPr>
        <w:autoSpaceDE w:val="0"/>
        <w:autoSpaceDN w:val="0"/>
        <w:adjustRightInd w:val="0"/>
        <w:spacing w:line="520" w:lineRule="exact"/>
        <w:ind w:firstLine="480" w:firstLineChars="200"/>
        <w:jc w:val="left"/>
        <w:rPr>
          <w:rFonts w:hint="eastAsia" w:ascii="宋体" w:hAnsi="宋体" w:eastAsia="宋体" w:cs="宋体"/>
          <w:color w:val="auto"/>
          <w:kern w:val="0"/>
          <w:sz w:val="24"/>
          <w:szCs w:val="32"/>
          <w:highlight w:val="none"/>
          <w:lang w:eastAsia="zh-CN"/>
        </w:rPr>
      </w:pPr>
      <w:r>
        <w:rPr>
          <w:rFonts w:hint="eastAsia" w:ascii="宋体" w:hAnsi="宋体" w:cs="宋体"/>
          <w:color w:val="auto"/>
          <w:kern w:val="0"/>
          <w:sz w:val="24"/>
          <w:szCs w:val="32"/>
          <w:highlight w:val="none"/>
        </w:rPr>
        <w:t>①评标委员会应当按照招标文件确定的评标标准和方法，对投标文件进行评审和比较</w:t>
      </w:r>
      <w:r>
        <w:rPr>
          <w:rFonts w:hint="eastAsia" w:ascii="宋体" w:hAnsi="宋体" w:cs="宋体"/>
          <w:color w:val="auto"/>
          <w:kern w:val="0"/>
          <w:sz w:val="24"/>
          <w:szCs w:val="32"/>
          <w:highlight w:val="none"/>
          <w:lang w:eastAsia="zh-CN"/>
        </w:rPr>
        <w:t>。</w:t>
      </w:r>
    </w:p>
    <w:p w14:paraId="077BDE2B">
      <w:pPr>
        <w:autoSpaceDE w:val="0"/>
        <w:autoSpaceDN w:val="0"/>
        <w:adjustRightInd w:val="0"/>
        <w:spacing w:line="520" w:lineRule="exact"/>
        <w:ind w:firstLine="480" w:firstLineChars="200"/>
        <w:jc w:val="left"/>
        <w:rPr>
          <w:rFonts w:ascii="宋体" w:hAnsi="宋体" w:cs="宋体"/>
          <w:color w:val="auto"/>
          <w:kern w:val="0"/>
          <w:sz w:val="24"/>
          <w:szCs w:val="32"/>
          <w:highlight w:val="none"/>
        </w:rPr>
      </w:pPr>
      <w:r>
        <w:rPr>
          <w:rFonts w:hint="eastAsia" w:ascii="宋体" w:hAnsi="宋体" w:cs="宋体"/>
          <w:color w:val="auto"/>
          <w:kern w:val="0"/>
          <w:sz w:val="24"/>
          <w:szCs w:val="32"/>
          <w:highlight w:val="none"/>
        </w:rPr>
        <w:t>②在评审期间，投标人不得干扰和阻碍评标工作，投标方不得向评委询问评审情况，任何影响和干扰评标工作的行为都可能导致被取消本次评标的资格，并承担相应的法律责任。</w:t>
      </w:r>
    </w:p>
    <w:p w14:paraId="118AE448">
      <w:pPr>
        <w:autoSpaceDE w:val="0"/>
        <w:autoSpaceDN w:val="0"/>
        <w:adjustRightInd w:val="0"/>
        <w:spacing w:line="520" w:lineRule="exact"/>
        <w:ind w:firstLine="480" w:firstLineChars="200"/>
        <w:jc w:val="left"/>
        <w:rPr>
          <w:rFonts w:ascii="宋体" w:hAnsi="宋体" w:cs="宋体"/>
          <w:color w:val="auto"/>
          <w:sz w:val="24"/>
          <w:szCs w:val="32"/>
          <w:highlight w:val="none"/>
        </w:rPr>
      </w:pPr>
      <w:r>
        <w:rPr>
          <w:rFonts w:hint="eastAsia" w:ascii="宋体" w:hAnsi="宋体" w:cs="宋体"/>
          <w:color w:val="auto"/>
          <w:kern w:val="0"/>
          <w:sz w:val="24"/>
          <w:szCs w:val="32"/>
          <w:highlight w:val="none"/>
        </w:rPr>
        <w:t>③在评审过程中</w:t>
      </w:r>
      <w:r>
        <w:rPr>
          <w:rFonts w:hint="eastAsia" w:ascii="宋体" w:hAnsi="宋体" w:cs="宋体"/>
          <w:color w:val="auto"/>
          <w:sz w:val="24"/>
          <w:szCs w:val="32"/>
          <w:highlight w:val="none"/>
        </w:rPr>
        <w:t>，评委不得与投标方私下交换意见，从招标工作开始，直到授予投标方合同止，评委不得向投标方或其他无关的人员透露任何内容。否则，评委应承担</w:t>
      </w:r>
      <w:r>
        <w:rPr>
          <w:rFonts w:hint="eastAsia" w:ascii="宋体" w:hAnsi="宋体" w:cs="宋体"/>
          <w:color w:val="auto"/>
          <w:sz w:val="24"/>
          <w:szCs w:val="32"/>
          <w:highlight w:val="none"/>
          <w:lang w:eastAsia="zh-CN"/>
        </w:rPr>
        <w:t>法律法规</w:t>
      </w:r>
      <w:r>
        <w:rPr>
          <w:rFonts w:hint="eastAsia" w:ascii="宋体" w:hAnsi="宋体" w:cs="宋体"/>
          <w:color w:val="auto"/>
          <w:sz w:val="24"/>
          <w:szCs w:val="32"/>
          <w:highlight w:val="none"/>
        </w:rPr>
        <w:t>责任。</w:t>
      </w:r>
    </w:p>
    <w:p w14:paraId="6F635E29">
      <w:pPr>
        <w:autoSpaceDE w:val="0"/>
        <w:autoSpaceDN w:val="0"/>
        <w:adjustRightInd w:val="0"/>
        <w:spacing w:afterLines="50" w:line="520" w:lineRule="exact"/>
        <w:ind w:firstLine="480" w:firstLineChars="200"/>
        <w:jc w:val="left"/>
        <w:rPr>
          <w:rFonts w:ascii="宋体" w:hAnsi="宋体" w:cs="宋体"/>
          <w:color w:val="auto"/>
          <w:kern w:val="0"/>
          <w:sz w:val="24"/>
          <w:szCs w:val="32"/>
          <w:highlight w:val="none"/>
        </w:rPr>
      </w:pPr>
      <w:r>
        <w:rPr>
          <w:rFonts w:hint="eastAsia" w:ascii="宋体" w:hAnsi="宋体" w:cs="宋体"/>
          <w:color w:val="auto"/>
          <w:sz w:val="24"/>
          <w:szCs w:val="32"/>
          <w:highlight w:val="none"/>
        </w:rPr>
        <w:t>④评标方法及评分标准：</w:t>
      </w:r>
      <w:r>
        <w:rPr>
          <w:rFonts w:hint="eastAsia" w:ascii="宋体" w:hAnsi="宋体" w:cs="宋体"/>
          <w:color w:val="auto"/>
          <w:kern w:val="0"/>
          <w:sz w:val="24"/>
          <w:szCs w:val="32"/>
          <w:highlight w:val="none"/>
        </w:rPr>
        <w:t>评标采取综合评分方法进行（百分制）。</w:t>
      </w:r>
    </w:p>
    <w:tbl>
      <w:tblPr>
        <w:tblStyle w:val="24"/>
        <w:tblW w:w="9752"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214"/>
        <w:gridCol w:w="2456"/>
        <w:gridCol w:w="3075"/>
      </w:tblGrid>
      <w:tr w14:paraId="55E321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 w:type="dxa"/>
            <w:tcBorders>
              <w:tl2br w:val="nil"/>
              <w:tr2bl w:val="nil"/>
            </w:tcBorders>
            <w:noWrap/>
            <w:vAlign w:val="center"/>
          </w:tcPr>
          <w:p w14:paraId="40963DB9">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214" w:type="dxa"/>
            <w:tcBorders>
              <w:tl2br w:val="nil"/>
              <w:tr2bl w:val="nil"/>
            </w:tcBorders>
            <w:noWrap/>
            <w:vAlign w:val="center"/>
          </w:tcPr>
          <w:p w14:paraId="4599ED8D">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评分因素</w:t>
            </w:r>
          </w:p>
        </w:tc>
        <w:tc>
          <w:tcPr>
            <w:tcW w:w="2456" w:type="dxa"/>
            <w:tcBorders>
              <w:tl2br w:val="nil"/>
              <w:tr2bl w:val="nil"/>
            </w:tcBorders>
            <w:noWrap/>
            <w:vAlign w:val="center"/>
          </w:tcPr>
          <w:p w14:paraId="5386FDD6">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权重</w:t>
            </w:r>
          </w:p>
        </w:tc>
        <w:tc>
          <w:tcPr>
            <w:tcW w:w="3075" w:type="dxa"/>
            <w:tcBorders>
              <w:tl2br w:val="nil"/>
              <w:tr2bl w:val="nil"/>
            </w:tcBorders>
            <w:noWrap/>
            <w:vAlign w:val="center"/>
          </w:tcPr>
          <w:p w14:paraId="44F29CFA">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分值分配</w:t>
            </w:r>
          </w:p>
        </w:tc>
      </w:tr>
      <w:tr w14:paraId="38EFE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 w:type="dxa"/>
            <w:tcBorders>
              <w:tl2br w:val="nil"/>
              <w:tr2bl w:val="nil"/>
            </w:tcBorders>
            <w:noWrap/>
            <w:vAlign w:val="center"/>
          </w:tcPr>
          <w:p w14:paraId="438169CF">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F1</w:t>
            </w:r>
          </w:p>
        </w:tc>
        <w:tc>
          <w:tcPr>
            <w:tcW w:w="3214" w:type="dxa"/>
            <w:tcBorders>
              <w:tl2br w:val="nil"/>
              <w:tr2bl w:val="nil"/>
            </w:tcBorders>
            <w:noWrap/>
            <w:vAlign w:val="center"/>
          </w:tcPr>
          <w:p w14:paraId="34420014">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投标报价部分</w:t>
            </w:r>
          </w:p>
        </w:tc>
        <w:tc>
          <w:tcPr>
            <w:tcW w:w="2456" w:type="dxa"/>
            <w:tcBorders>
              <w:tl2br w:val="nil"/>
              <w:tr2bl w:val="nil"/>
            </w:tcBorders>
            <w:noWrap/>
            <w:vAlign w:val="center"/>
          </w:tcPr>
          <w:p w14:paraId="06C8C9AC">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0.30</w:t>
            </w:r>
          </w:p>
        </w:tc>
        <w:tc>
          <w:tcPr>
            <w:tcW w:w="3075" w:type="dxa"/>
            <w:tcBorders>
              <w:tl2br w:val="nil"/>
              <w:tr2bl w:val="nil"/>
            </w:tcBorders>
            <w:noWrap/>
            <w:vAlign w:val="center"/>
          </w:tcPr>
          <w:p w14:paraId="4E7E9E5C">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30分</w:t>
            </w:r>
          </w:p>
        </w:tc>
      </w:tr>
      <w:tr w14:paraId="6B38D2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7" w:type="dxa"/>
            <w:tcBorders>
              <w:tl2br w:val="nil"/>
              <w:tr2bl w:val="nil"/>
            </w:tcBorders>
            <w:noWrap/>
            <w:vAlign w:val="center"/>
          </w:tcPr>
          <w:p w14:paraId="425A3621">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F2</w:t>
            </w:r>
          </w:p>
        </w:tc>
        <w:tc>
          <w:tcPr>
            <w:tcW w:w="3214" w:type="dxa"/>
            <w:tcBorders>
              <w:tl2br w:val="nil"/>
              <w:tr2bl w:val="nil"/>
            </w:tcBorders>
            <w:noWrap/>
            <w:vAlign w:val="center"/>
          </w:tcPr>
          <w:p w14:paraId="263F3A46">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商务技术部分</w:t>
            </w:r>
          </w:p>
        </w:tc>
        <w:tc>
          <w:tcPr>
            <w:tcW w:w="2456" w:type="dxa"/>
            <w:tcBorders>
              <w:tl2br w:val="nil"/>
              <w:tr2bl w:val="nil"/>
            </w:tcBorders>
            <w:noWrap/>
            <w:vAlign w:val="center"/>
          </w:tcPr>
          <w:p w14:paraId="2885608A">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0.70</w:t>
            </w:r>
          </w:p>
        </w:tc>
        <w:tc>
          <w:tcPr>
            <w:tcW w:w="3075" w:type="dxa"/>
            <w:tcBorders>
              <w:tl2br w:val="nil"/>
              <w:tr2bl w:val="nil"/>
            </w:tcBorders>
            <w:noWrap/>
            <w:vAlign w:val="center"/>
          </w:tcPr>
          <w:p w14:paraId="660CD281">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70分</w:t>
            </w:r>
          </w:p>
        </w:tc>
      </w:tr>
      <w:tr w14:paraId="3164E5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21" w:type="dxa"/>
            <w:gridSpan w:val="2"/>
            <w:tcBorders>
              <w:tl2br w:val="nil"/>
              <w:tr2bl w:val="nil"/>
            </w:tcBorders>
            <w:noWrap/>
            <w:vAlign w:val="center"/>
          </w:tcPr>
          <w:p w14:paraId="64EFD97A">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合计</w:t>
            </w:r>
          </w:p>
        </w:tc>
        <w:tc>
          <w:tcPr>
            <w:tcW w:w="2456" w:type="dxa"/>
            <w:tcBorders>
              <w:tl2br w:val="nil"/>
              <w:tr2bl w:val="nil"/>
            </w:tcBorders>
            <w:noWrap/>
            <w:vAlign w:val="center"/>
          </w:tcPr>
          <w:p w14:paraId="30BF2DBD">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3075" w:type="dxa"/>
            <w:tcBorders>
              <w:tl2br w:val="nil"/>
              <w:tr2bl w:val="nil"/>
            </w:tcBorders>
            <w:noWrap/>
            <w:vAlign w:val="center"/>
          </w:tcPr>
          <w:p w14:paraId="3C48EA04">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100分</w:t>
            </w:r>
          </w:p>
        </w:tc>
      </w:tr>
    </w:tbl>
    <w:p w14:paraId="403AAC8E">
      <w:pPr>
        <w:autoSpaceDE w:val="0"/>
        <w:autoSpaceDN w:val="0"/>
        <w:adjustRightInd w:val="0"/>
        <w:spacing w:beforeLines="50" w:afterLines="50" w:line="520" w:lineRule="exact"/>
        <w:jc w:val="left"/>
        <w:rPr>
          <w:rFonts w:hint="eastAsia"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⑤评分标准如下：</w:t>
      </w:r>
    </w:p>
    <w:tbl>
      <w:tblPr>
        <w:tblStyle w:val="24"/>
        <w:tblpPr w:leftFromText="180" w:rightFromText="180" w:vertAnchor="text" w:horzAnchor="page" w:tblpX="1187" w:tblpY="617"/>
        <w:tblOverlap w:val="never"/>
        <w:tblW w:w="971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180"/>
        <w:gridCol w:w="948"/>
        <w:gridCol w:w="818"/>
        <w:gridCol w:w="5904"/>
      </w:tblGrid>
      <w:tr w14:paraId="41DC6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66" w:type="dxa"/>
            <w:tcBorders>
              <w:tl2br w:val="nil"/>
              <w:tr2bl w:val="nil"/>
            </w:tcBorders>
            <w:noWrap/>
            <w:vAlign w:val="center"/>
          </w:tcPr>
          <w:p w14:paraId="614A520B">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180" w:type="dxa"/>
            <w:tcBorders>
              <w:tl2br w:val="nil"/>
              <w:tr2bl w:val="nil"/>
            </w:tcBorders>
            <w:noWrap/>
            <w:vAlign w:val="center"/>
          </w:tcPr>
          <w:p w14:paraId="20680326">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评分因素</w:t>
            </w:r>
          </w:p>
        </w:tc>
        <w:tc>
          <w:tcPr>
            <w:tcW w:w="1766" w:type="dxa"/>
            <w:gridSpan w:val="2"/>
            <w:tcBorders>
              <w:tl2br w:val="nil"/>
              <w:tr2bl w:val="nil"/>
            </w:tcBorders>
            <w:noWrap/>
            <w:vAlign w:val="center"/>
          </w:tcPr>
          <w:p w14:paraId="42E38536">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分值</w:t>
            </w:r>
          </w:p>
        </w:tc>
        <w:tc>
          <w:tcPr>
            <w:tcW w:w="5904" w:type="dxa"/>
            <w:tcBorders>
              <w:tl2br w:val="nil"/>
              <w:tr2bl w:val="nil"/>
            </w:tcBorders>
            <w:noWrap/>
            <w:vAlign w:val="center"/>
          </w:tcPr>
          <w:p w14:paraId="29712D3D">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评审标准</w:t>
            </w:r>
          </w:p>
        </w:tc>
      </w:tr>
      <w:tr w14:paraId="3B9A4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 w:type="dxa"/>
            <w:tcBorders>
              <w:tl2br w:val="nil"/>
              <w:tr2bl w:val="nil"/>
            </w:tcBorders>
            <w:noWrap/>
            <w:vAlign w:val="center"/>
          </w:tcPr>
          <w:p w14:paraId="600D1C28">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F1</w:t>
            </w:r>
          </w:p>
        </w:tc>
        <w:tc>
          <w:tcPr>
            <w:tcW w:w="1180" w:type="dxa"/>
            <w:tcBorders>
              <w:tl2br w:val="nil"/>
              <w:tr2bl w:val="nil"/>
            </w:tcBorders>
            <w:noWrap/>
            <w:vAlign w:val="center"/>
          </w:tcPr>
          <w:p w14:paraId="5C36F641">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投标报价部分</w:t>
            </w:r>
          </w:p>
        </w:tc>
        <w:tc>
          <w:tcPr>
            <w:tcW w:w="1766" w:type="dxa"/>
            <w:gridSpan w:val="2"/>
            <w:tcBorders>
              <w:tl2br w:val="nil"/>
              <w:tr2bl w:val="nil"/>
            </w:tcBorders>
            <w:noWrap/>
            <w:vAlign w:val="center"/>
          </w:tcPr>
          <w:p w14:paraId="337268E8">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30分</w:t>
            </w:r>
          </w:p>
        </w:tc>
        <w:tc>
          <w:tcPr>
            <w:tcW w:w="5904" w:type="dxa"/>
            <w:tcBorders>
              <w:tl2br w:val="nil"/>
              <w:tr2bl w:val="nil"/>
            </w:tcBorders>
            <w:noWrap/>
            <w:vAlign w:val="center"/>
          </w:tcPr>
          <w:p w14:paraId="190FF74E">
            <w:pPr>
              <w:autoSpaceDE w:val="0"/>
              <w:autoSpaceDN w:val="0"/>
              <w:adjustRightInd w:val="0"/>
              <w:spacing w:line="360" w:lineRule="auto"/>
              <w:rPr>
                <w:rFonts w:ascii="宋体" w:hAnsi="宋体" w:cs="宋体"/>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rFonts w:hint="eastAsia" w:ascii="宋体" w:hAnsi="宋体" w:cs="宋体"/>
                <w:b/>
                <w:bCs/>
                <w:color w:val="auto"/>
                <w:sz w:val="24"/>
                <w:highlight w:val="none"/>
              </w:rPr>
              <w:t>投标报价得分＝（评标基准价/投标报价）×投标报价分值；</w:t>
            </w:r>
          </w:p>
          <w:p w14:paraId="6E05429E">
            <w:pPr>
              <w:autoSpaceDE w:val="0"/>
              <w:autoSpaceDN w:val="0"/>
              <w:adjustRightInd w:val="0"/>
              <w:spacing w:line="360" w:lineRule="auto"/>
              <w:rPr>
                <w:rFonts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评标基准价</w:t>
            </w:r>
            <w:r>
              <w:rPr>
                <w:rFonts w:hint="eastAsia" w:ascii="宋体" w:hAnsi="宋体" w:cs="宋体"/>
                <w:color w:val="auto"/>
                <w:sz w:val="24"/>
                <w:highlight w:val="none"/>
              </w:rPr>
              <w:t>＝满足招标文件要求且投标价格最低的投标报价为评标基准价。</w:t>
            </w:r>
          </w:p>
          <w:p w14:paraId="5D788ABA">
            <w:pPr>
              <w:autoSpaceDE w:val="0"/>
              <w:autoSpaceDN w:val="0"/>
              <w:adjustRightInd w:val="0"/>
              <w:spacing w:line="360" w:lineRule="auto"/>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rFonts w:hint="eastAsia"/>
                <w:color w:val="auto"/>
                <w:sz w:val="24"/>
                <w:highlight w:val="none"/>
              </w:rPr>
              <w:t>根据国家统计局关于印发《统计上大中小微型企业划分办法（2017）》的通知（国统字〔2017〕213号）、政府采购促进中小企业发展管理办法（财库﹝2020﹞46 号）及《财政部关于进一步加大政府采购支持中小企业力度的通知》（财库﹝2022﹞19 号）的规定，对符合条件的小型和微型企业，在投标报价评分时给予10%的价格扣除，须提供中小企业声明函，用扣除后的价格参与投标报价评分。监狱企业、残疾人福利性单位视同小型、微型企业，若监狱企业、残疾人福利性单位属于小型、微型企业的，不重复享受政策。</w:t>
            </w:r>
          </w:p>
          <w:p w14:paraId="0E332104">
            <w:pPr>
              <w:spacing w:line="360" w:lineRule="auto"/>
              <w:jc w:val="both"/>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（4）本国产品支持政策：详见评标办法正文。</w:t>
            </w:r>
          </w:p>
          <w:p w14:paraId="107C5199">
            <w:pPr>
              <w:spacing w:line="360" w:lineRule="auto"/>
              <w:jc w:val="both"/>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lang w:val="en-US" w:eastAsia="zh-CN"/>
              </w:rPr>
              <w:t>节能、环保产品价格折扣：</w:t>
            </w:r>
          </w:p>
          <w:p w14:paraId="532F26EB">
            <w:pPr>
              <w:autoSpaceDE w:val="0"/>
              <w:autoSpaceDN w:val="0"/>
              <w:adjustRightInd w:val="0"/>
              <w:spacing w:line="360" w:lineRule="auto"/>
              <w:rPr>
                <w:rFonts w:ascii="宋体" w:hAnsi="宋体" w:cs="宋体"/>
                <w:color w:val="auto"/>
                <w:sz w:val="24"/>
                <w:highlight w:val="none"/>
              </w:rPr>
            </w:pPr>
            <w:r>
              <w:rPr>
                <w:rFonts w:hint="eastAsia" w:ascii="宋体" w:hAnsi="宋体" w:eastAsia="宋体" w:cs="宋体"/>
                <w:b w:val="0"/>
                <w:bCs w:val="0"/>
                <w:color w:val="auto"/>
                <w:sz w:val="24"/>
                <w:szCs w:val="24"/>
                <w:highlight w:val="none"/>
                <w:vertAlign w:val="baseline"/>
                <w:lang w:val="en-US" w:eastAsia="zh-CN"/>
              </w:rPr>
              <w:t>审查标准：若报价产品为经国家认定的节能、环保产品，且提供有效证明材料的，按该产品投标报价的0.5%的扣除幅度对投标报价进行扣除，用扣除后的价格参与评审。（若项目需求为《节能产品政府采购清单》中政府强制采购节能产品，则不再对节能产品进行最终报价的扣除。）</w:t>
            </w:r>
          </w:p>
        </w:tc>
      </w:tr>
      <w:tr w14:paraId="6C274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6" w:type="dxa"/>
            <w:vMerge w:val="restart"/>
            <w:tcBorders>
              <w:tl2br w:val="nil"/>
              <w:tr2bl w:val="nil"/>
            </w:tcBorders>
            <w:noWrap/>
            <w:vAlign w:val="center"/>
          </w:tcPr>
          <w:p w14:paraId="2155440C">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F2</w:t>
            </w:r>
          </w:p>
        </w:tc>
        <w:tc>
          <w:tcPr>
            <w:tcW w:w="1180" w:type="dxa"/>
            <w:vMerge w:val="restart"/>
            <w:tcBorders>
              <w:tl2br w:val="nil"/>
              <w:tr2bl w:val="nil"/>
            </w:tcBorders>
            <w:noWrap/>
            <w:vAlign w:val="center"/>
          </w:tcPr>
          <w:p w14:paraId="0D2DBF0B">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商务技术部分</w:t>
            </w:r>
          </w:p>
        </w:tc>
        <w:tc>
          <w:tcPr>
            <w:tcW w:w="948" w:type="dxa"/>
            <w:tcBorders>
              <w:tl2br w:val="nil"/>
              <w:tr2bl w:val="nil"/>
            </w:tcBorders>
            <w:noWrap/>
            <w:vAlign w:val="center"/>
          </w:tcPr>
          <w:p w14:paraId="3BA4DBCE">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技术参数评审</w:t>
            </w:r>
          </w:p>
        </w:tc>
        <w:tc>
          <w:tcPr>
            <w:tcW w:w="818" w:type="dxa"/>
            <w:tcBorders>
              <w:tl2br w:val="nil"/>
              <w:tr2bl w:val="nil"/>
            </w:tcBorders>
            <w:noWrap/>
            <w:vAlign w:val="center"/>
          </w:tcPr>
          <w:p w14:paraId="0193CE39">
            <w:pPr>
              <w:autoSpaceDE w:val="0"/>
              <w:autoSpaceDN w:val="0"/>
              <w:adjustRightIn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tc>
        <w:tc>
          <w:tcPr>
            <w:tcW w:w="5904" w:type="dxa"/>
            <w:tcBorders>
              <w:tl2br w:val="nil"/>
              <w:tr2bl w:val="nil"/>
            </w:tcBorders>
            <w:noWrap/>
            <w:vAlign w:val="center"/>
          </w:tcPr>
          <w:p w14:paraId="5B98E2F2">
            <w:pPr>
              <w:autoSpaceDE w:val="0"/>
              <w:autoSpaceDN w:val="0"/>
              <w:adjustRightInd w:val="0"/>
              <w:spacing w:line="360" w:lineRule="auto"/>
              <w:jc w:val="both"/>
              <w:rPr>
                <w:rFonts w:hint="eastAsia"/>
                <w:color w:val="auto"/>
                <w:sz w:val="24"/>
                <w:szCs w:val="24"/>
                <w:highlight w:val="none"/>
                <w:lang w:val="en-US" w:eastAsia="zh-CN"/>
              </w:rPr>
            </w:pPr>
            <w:r>
              <w:rPr>
                <w:rFonts w:hint="eastAsia"/>
                <w:color w:val="auto"/>
                <w:sz w:val="24"/>
                <w:szCs w:val="24"/>
                <w:highlight w:val="none"/>
                <w:lang w:val="en-US" w:eastAsia="zh-CN"/>
              </w:rPr>
              <w:t>投标人所提供的货物技术参数、规格对招标文件要求性能参数指标响应的程度（满分20分）</w:t>
            </w:r>
          </w:p>
          <w:p w14:paraId="3434E411">
            <w:pPr>
              <w:autoSpaceDE w:val="0"/>
              <w:autoSpaceDN w:val="0"/>
              <w:adjustRightInd w:val="0"/>
              <w:spacing w:line="360" w:lineRule="auto"/>
              <w:jc w:val="both"/>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①</w:t>
            </w:r>
            <w:r>
              <w:rPr>
                <w:rFonts w:hint="eastAsia" w:ascii="Times New Roman" w:hAnsi="Times New Roman" w:eastAsia="宋体" w:cs="Times New Roman"/>
                <w:b/>
                <w:bCs/>
                <w:color w:val="auto"/>
                <w:sz w:val="24"/>
                <w:szCs w:val="24"/>
                <w:highlight w:val="none"/>
                <w:lang w:val="en-US" w:eastAsia="zh-CN"/>
              </w:rPr>
              <w:t>标注（“★”）的条款为重要技术条款</w:t>
            </w:r>
            <w:r>
              <w:rPr>
                <w:rFonts w:hint="eastAsia" w:cs="Times New Roman"/>
                <w:b/>
                <w:bCs/>
                <w:color w:val="auto"/>
                <w:sz w:val="24"/>
                <w:szCs w:val="24"/>
                <w:highlight w:val="none"/>
                <w:lang w:val="en-US" w:eastAsia="zh-CN"/>
              </w:rPr>
              <w:t>：</w:t>
            </w:r>
          </w:p>
          <w:p w14:paraId="4B6785D5">
            <w:pPr>
              <w:spacing w:line="360" w:lineRule="auto"/>
              <w:jc w:val="both"/>
              <w:rPr>
                <w:rFonts w:hint="default" w:ascii="宋体" w:hAnsi="宋体" w:eastAsia="宋体" w:cs="宋体"/>
                <w:b w:val="0"/>
                <w:bCs w:val="0"/>
                <w:color w:val="auto"/>
                <w:sz w:val="24"/>
                <w:szCs w:val="24"/>
                <w:highlight w:val="none"/>
                <w:vertAlign w:val="baseline"/>
                <w:lang w:val="en-US" w:eastAsia="zh-CN"/>
              </w:rPr>
            </w:pPr>
            <w:r>
              <w:rPr>
                <w:rFonts w:hint="eastAsia" w:ascii="Times New Roman" w:hAnsi="Times New Roman" w:eastAsia="宋体" w:cs="Times New Roman"/>
                <w:b w:val="0"/>
                <w:bCs w:val="0"/>
                <w:color w:val="auto"/>
                <w:sz w:val="24"/>
                <w:szCs w:val="24"/>
                <w:highlight w:val="none"/>
                <w:lang w:val="en-US" w:eastAsia="zh-CN"/>
              </w:rPr>
              <w:t>★号</w:t>
            </w:r>
            <w:r>
              <w:rPr>
                <w:rFonts w:hint="default" w:ascii="宋体" w:hAnsi="宋体" w:eastAsia="宋体" w:cs="宋体"/>
                <w:b w:val="0"/>
                <w:bCs w:val="0"/>
                <w:color w:val="auto"/>
                <w:sz w:val="24"/>
                <w:szCs w:val="24"/>
                <w:highlight w:val="none"/>
                <w:vertAlign w:val="baseline"/>
                <w:lang w:val="en-US" w:eastAsia="zh-CN"/>
              </w:rPr>
              <w:t>技术条款得分=（投标人满足</w:t>
            </w:r>
            <w:r>
              <w:rPr>
                <w:rFonts w:hint="eastAsia" w:ascii="Times New Roman" w:hAnsi="Times New Roman" w:eastAsia="宋体" w:cs="Times New Roman"/>
                <w:b w:val="0"/>
                <w:bCs w:val="0"/>
                <w:color w:val="auto"/>
                <w:sz w:val="24"/>
                <w:szCs w:val="24"/>
                <w:highlight w:val="none"/>
                <w:lang w:val="en-US" w:eastAsia="zh-CN"/>
              </w:rPr>
              <w:t>★号</w:t>
            </w:r>
            <w:r>
              <w:rPr>
                <w:rFonts w:hint="default" w:ascii="宋体" w:hAnsi="宋体" w:eastAsia="宋体" w:cs="宋体"/>
                <w:b w:val="0"/>
                <w:bCs w:val="0"/>
                <w:color w:val="auto"/>
                <w:sz w:val="24"/>
                <w:szCs w:val="24"/>
                <w:highlight w:val="none"/>
                <w:vertAlign w:val="baseline"/>
                <w:lang w:val="en-US" w:eastAsia="zh-CN"/>
              </w:rPr>
              <w:t>技术参数条款的数量÷</w:t>
            </w:r>
            <w:r>
              <w:rPr>
                <w:rFonts w:hint="eastAsia" w:ascii="Times New Roman" w:hAnsi="Times New Roman" w:eastAsia="宋体" w:cs="Times New Roman"/>
                <w:b w:val="0"/>
                <w:bCs w:val="0"/>
                <w:color w:val="auto"/>
                <w:sz w:val="24"/>
                <w:szCs w:val="24"/>
                <w:highlight w:val="none"/>
                <w:lang w:val="en-US" w:eastAsia="zh-CN"/>
              </w:rPr>
              <w:t>★号</w:t>
            </w:r>
            <w:r>
              <w:rPr>
                <w:rFonts w:hint="default" w:ascii="宋体" w:hAnsi="宋体" w:eastAsia="宋体" w:cs="宋体"/>
                <w:b w:val="0"/>
                <w:bCs w:val="0"/>
                <w:color w:val="auto"/>
                <w:sz w:val="24"/>
                <w:szCs w:val="24"/>
                <w:highlight w:val="none"/>
                <w:vertAlign w:val="baseline"/>
                <w:lang w:val="en-US" w:eastAsia="zh-CN"/>
              </w:rPr>
              <w:t>技术参数条款的总数量）×</w:t>
            </w:r>
            <w:r>
              <w:rPr>
                <w:rFonts w:hint="eastAsia" w:ascii="宋体" w:hAnsi="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lang w:val="en-US" w:eastAsia="zh-CN"/>
              </w:rPr>
              <w:t>0</w:t>
            </w:r>
            <w:r>
              <w:rPr>
                <w:rFonts w:hint="default" w:ascii="宋体" w:hAnsi="宋体" w:eastAsia="宋体" w:cs="宋体"/>
                <w:b w:val="0"/>
                <w:bCs w:val="0"/>
                <w:color w:val="auto"/>
                <w:sz w:val="24"/>
                <w:szCs w:val="24"/>
                <w:highlight w:val="none"/>
                <w:vertAlign w:val="baseline"/>
                <w:lang w:val="en-US" w:eastAsia="zh-CN"/>
              </w:rPr>
              <w:t>分</w:t>
            </w:r>
          </w:p>
          <w:p w14:paraId="605D4259">
            <w:pPr>
              <w:spacing w:line="360" w:lineRule="auto"/>
              <w:jc w:val="both"/>
              <w:rPr>
                <w:rFonts w:hint="default" w:ascii="宋体" w:hAnsi="宋体" w:eastAsia="宋体" w:cs="宋体"/>
                <w:b w:val="0"/>
                <w:bCs w:val="0"/>
                <w:color w:val="auto"/>
                <w:sz w:val="24"/>
                <w:szCs w:val="24"/>
                <w:highlight w:val="none"/>
                <w:vertAlign w:val="baseline"/>
                <w:lang w:val="en-US" w:eastAsia="zh-CN"/>
              </w:rPr>
            </w:pPr>
            <w:r>
              <w:rPr>
                <w:rFonts w:hint="default" w:ascii="宋体" w:hAnsi="宋体" w:eastAsia="宋体" w:cs="宋体"/>
                <w:b w:val="0"/>
                <w:bCs w:val="0"/>
                <w:color w:val="auto"/>
                <w:sz w:val="24"/>
                <w:szCs w:val="24"/>
                <w:highlight w:val="none"/>
                <w:vertAlign w:val="baseline"/>
                <w:lang w:val="en-US" w:eastAsia="zh-CN"/>
              </w:rPr>
              <w:t>得分保留小数点后两位（四舍五入）</w:t>
            </w:r>
          </w:p>
          <w:p w14:paraId="1F12AEE2">
            <w:pPr>
              <w:autoSpaceDE w:val="0"/>
              <w:autoSpaceDN w:val="0"/>
              <w:adjustRightInd w:val="0"/>
              <w:spacing w:line="360" w:lineRule="auto"/>
              <w:jc w:val="both"/>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②</w:t>
            </w:r>
            <w:r>
              <w:rPr>
                <w:rFonts w:hint="eastAsia" w:ascii="Times New Roman" w:hAnsi="Times New Roman" w:eastAsia="宋体" w:cs="Times New Roman"/>
                <w:b/>
                <w:bCs/>
                <w:color w:val="auto"/>
                <w:sz w:val="24"/>
                <w:szCs w:val="24"/>
                <w:highlight w:val="none"/>
                <w:lang w:val="en-US" w:eastAsia="zh-CN"/>
              </w:rPr>
              <w:t>未标注（“★”）的条款为一般技术条款</w:t>
            </w:r>
            <w:r>
              <w:rPr>
                <w:rFonts w:hint="eastAsia" w:cs="Times New Roman"/>
                <w:b/>
                <w:bCs/>
                <w:color w:val="auto"/>
                <w:sz w:val="24"/>
                <w:szCs w:val="24"/>
                <w:highlight w:val="none"/>
                <w:lang w:val="en-US" w:eastAsia="zh-CN"/>
              </w:rPr>
              <w:t>：</w:t>
            </w:r>
          </w:p>
          <w:p w14:paraId="6C90480F">
            <w:pPr>
              <w:spacing w:line="360" w:lineRule="auto"/>
              <w:jc w:val="both"/>
              <w:rPr>
                <w:rFonts w:hint="default" w:ascii="宋体" w:hAnsi="宋体" w:eastAsia="宋体" w:cs="宋体"/>
                <w:b w:val="0"/>
                <w:bCs w:val="0"/>
                <w:color w:val="auto"/>
                <w:sz w:val="24"/>
                <w:szCs w:val="24"/>
                <w:highlight w:val="none"/>
                <w:vertAlign w:val="baseline"/>
                <w:lang w:val="en-US" w:eastAsia="zh-CN"/>
              </w:rPr>
            </w:pPr>
            <w:r>
              <w:rPr>
                <w:rFonts w:hint="eastAsia" w:ascii="Times New Roman" w:hAnsi="Times New Roman" w:eastAsia="宋体" w:cs="Times New Roman"/>
                <w:b w:val="0"/>
                <w:bCs w:val="0"/>
                <w:color w:val="auto"/>
                <w:sz w:val="24"/>
                <w:szCs w:val="24"/>
                <w:highlight w:val="none"/>
                <w:lang w:val="en-US" w:eastAsia="zh-CN"/>
              </w:rPr>
              <w:t>一般</w:t>
            </w:r>
            <w:r>
              <w:rPr>
                <w:rFonts w:hint="default" w:ascii="宋体" w:hAnsi="宋体" w:eastAsia="宋体" w:cs="宋体"/>
                <w:b w:val="0"/>
                <w:bCs w:val="0"/>
                <w:color w:val="auto"/>
                <w:sz w:val="24"/>
                <w:szCs w:val="24"/>
                <w:highlight w:val="none"/>
                <w:vertAlign w:val="baseline"/>
                <w:lang w:val="en-US" w:eastAsia="zh-CN"/>
              </w:rPr>
              <w:t>技术条款得分=（投标人满足</w:t>
            </w:r>
            <w:r>
              <w:rPr>
                <w:rFonts w:hint="eastAsia" w:ascii="Times New Roman" w:hAnsi="Times New Roman" w:eastAsia="宋体" w:cs="Times New Roman"/>
                <w:b w:val="0"/>
                <w:bCs w:val="0"/>
                <w:color w:val="auto"/>
                <w:sz w:val="24"/>
                <w:szCs w:val="24"/>
                <w:highlight w:val="none"/>
                <w:lang w:val="en-US" w:eastAsia="zh-CN"/>
              </w:rPr>
              <w:t>一般</w:t>
            </w:r>
            <w:r>
              <w:rPr>
                <w:rFonts w:hint="default" w:ascii="宋体" w:hAnsi="宋体" w:eastAsia="宋体" w:cs="宋体"/>
                <w:b w:val="0"/>
                <w:bCs w:val="0"/>
                <w:color w:val="auto"/>
                <w:sz w:val="24"/>
                <w:szCs w:val="24"/>
                <w:highlight w:val="none"/>
                <w:vertAlign w:val="baseline"/>
                <w:lang w:val="en-US" w:eastAsia="zh-CN"/>
              </w:rPr>
              <w:t>技术参数条款的数量÷</w:t>
            </w:r>
            <w:r>
              <w:rPr>
                <w:rFonts w:hint="eastAsia" w:ascii="Times New Roman" w:hAnsi="Times New Roman" w:eastAsia="宋体" w:cs="Times New Roman"/>
                <w:b w:val="0"/>
                <w:bCs w:val="0"/>
                <w:color w:val="auto"/>
                <w:sz w:val="24"/>
                <w:szCs w:val="24"/>
                <w:highlight w:val="none"/>
                <w:lang w:val="en-US" w:eastAsia="zh-CN"/>
              </w:rPr>
              <w:t>一般</w:t>
            </w:r>
            <w:r>
              <w:rPr>
                <w:rFonts w:hint="default" w:ascii="宋体" w:hAnsi="宋体" w:eastAsia="宋体" w:cs="宋体"/>
                <w:b w:val="0"/>
                <w:bCs w:val="0"/>
                <w:color w:val="auto"/>
                <w:sz w:val="24"/>
                <w:szCs w:val="24"/>
                <w:highlight w:val="none"/>
                <w:vertAlign w:val="baseline"/>
                <w:lang w:val="en-US" w:eastAsia="zh-CN"/>
              </w:rPr>
              <w:t>技术参数条款的总数量）×</w:t>
            </w:r>
            <w:r>
              <w:rPr>
                <w:rFonts w:hint="eastAsia" w:ascii="宋体" w:hAnsi="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lang w:val="en-US" w:eastAsia="zh-CN"/>
              </w:rPr>
              <w:t>0</w:t>
            </w:r>
            <w:r>
              <w:rPr>
                <w:rFonts w:hint="default" w:ascii="宋体" w:hAnsi="宋体" w:eastAsia="宋体" w:cs="宋体"/>
                <w:b w:val="0"/>
                <w:bCs w:val="0"/>
                <w:color w:val="auto"/>
                <w:sz w:val="24"/>
                <w:szCs w:val="24"/>
                <w:highlight w:val="none"/>
                <w:vertAlign w:val="baseline"/>
                <w:lang w:val="en-US" w:eastAsia="zh-CN"/>
              </w:rPr>
              <w:t>分</w:t>
            </w:r>
          </w:p>
          <w:p w14:paraId="17D55A66">
            <w:pPr>
              <w:spacing w:line="360" w:lineRule="auto"/>
              <w:jc w:val="both"/>
              <w:rPr>
                <w:rFonts w:hint="default" w:ascii="宋体" w:hAnsi="宋体" w:eastAsia="宋体" w:cs="宋体"/>
                <w:b w:val="0"/>
                <w:bCs w:val="0"/>
                <w:color w:val="auto"/>
                <w:sz w:val="24"/>
                <w:szCs w:val="24"/>
                <w:highlight w:val="none"/>
                <w:vertAlign w:val="baseline"/>
                <w:lang w:val="en-US" w:eastAsia="zh-CN"/>
              </w:rPr>
            </w:pPr>
            <w:r>
              <w:rPr>
                <w:rFonts w:hint="default" w:ascii="宋体" w:hAnsi="宋体" w:eastAsia="宋体" w:cs="宋体"/>
                <w:b w:val="0"/>
                <w:bCs w:val="0"/>
                <w:color w:val="auto"/>
                <w:sz w:val="24"/>
                <w:szCs w:val="24"/>
                <w:highlight w:val="none"/>
                <w:vertAlign w:val="baseline"/>
                <w:lang w:val="en-US" w:eastAsia="zh-CN"/>
              </w:rPr>
              <w:t>得分保留小数点后两位（四舍五入）</w:t>
            </w:r>
          </w:p>
          <w:p w14:paraId="494F44DD">
            <w:pPr>
              <w:autoSpaceDE w:val="0"/>
              <w:autoSpaceDN w:val="0"/>
              <w:adjustRightInd w:val="0"/>
              <w:spacing w:line="360" w:lineRule="auto"/>
              <w:jc w:val="both"/>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（本项目</w:t>
            </w:r>
            <w:r>
              <w:rPr>
                <w:rFonts w:hint="eastAsia" w:cs="Times New Roman"/>
                <w:b/>
                <w:bCs/>
                <w:color w:val="auto"/>
                <w:sz w:val="24"/>
                <w:szCs w:val="24"/>
                <w:highlight w:val="none"/>
                <w:lang w:val="en-US" w:eastAsia="zh-CN"/>
              </w:rPr>
              <w:t>共计15项技术参数</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其中</w:t>
            </w:r>
            <w:r>
              <w:rPr>
                <w:rFonts w:hint="eastAsia" w:ascii="Times New Roman" w:hAnsi="Times New Roman" w:eastAsia="宋体" w:cs="Times New Roman"/>
                <w:b/>
                <w:bCs/>
                <w:color w:val="auto"/>
                <w:sz w:val="24"/>
                <w:szCs w:val="24"/>
                <w:highlight w:val="none"/>
                <w:lang w:val="en-US" w:eastAsia="zh-CN"/>
              </w:rPr>
              <w:t>★号条款共</w:t>
            </w:r>
            <w:r>
              <w:rPr>
                <w:rFonts w:hint="eastAsia" w:cs="Times New Roman"/>
                <w:b/>
                <w:bCs/>
                <w:color w:val="auto"/>
                <w:sz w:val="24"/>
                <w:szCs w:val="24"/>
                <w:highlight w:val="none"/>
                <w:u w:val="single"/>
                <w:lang w:val="en-US" w:eastAsia="zh-CN"/>
              </w:rPr>
              <w:t xml:space="preserve"> 5 </w:t>
            </w:r>
            <w:r>
              <w:rPr>
                <w:rFonts w:hint="eastAsia" w:cs="Times New Roman"/>
                <w:b/>
                <w:bCs/>
                <w:color w:val="auto"/>
                <w:sz w:val="24"/>
                <w:szCs w:val="24"/>
                <w:highlight w:val="none"/>
                <w:lang w:val="en-US" w:eastAsia="zh-CN"/>
              </w:rPr>
              <w:t>项</w:t>
            </w:r>
            <w:r>
              <w:rPr>
                <w:rFonts w:hint="eastAsia" w:ascii="Times New Roman" w:hAnsi="Times New Roman" w:eastAsia="宋体" w:cs="Times New Roman"/>
                <w:b/>
                <w:bCs/>
                <w:color w:val="auto"/>
                <w:sz w:val="24"/>
                <w:szCs w:val="24"/>
                <w:highlight w:val="none"/>
                <w:lang w:val="en-US" w:eastAsia="zh-CN"/>
              </w:rPr>
              <w:t>；非★</w:t>
            </w:r>
            <w:r>
              <w:rPr>
                <w:rFonts w:hint="eastAsia" w:cs="Times New Roman"/>
                <w:b/>
                <w:bCs/>
                <w:color w:val="auto"/>
                <w:sz w:val="24"/>
                <w:szCs w:val="24"/>
                <w:highlight w:val="none"/>
                <w:lang w:val="en-US" w:eastAsia="zh-CN"/>
              </w:rPr>
              <w:t>号</w:t>
            </w:r>
            <w:r>
              <w:rPr>
                <w:rFonts w:hint="eastAsia" w:ascii="Times New Roman" w:hAnsi="Times New Roman" w:eastAsia="宋体" w:cs="Times New Roman"/>
                <w:b/>
                <w:bCs/>
                <w:color w:val="auto"/>
                <w:sz w:val="24"/>
                <w:szCs w:val="24"/>
                <w:highlight w:val="none"/>
                <w:lang w:val="en-US" w:eastAsia="zh-CN"/>
              </w:rPr>
              <w:t>条款共</w:t>
            </w:r>
            <w:r>
              <w:rPr>
                <w:rFonts w:hint="eastAsia" w:cs="Times New Roman"/>
                <w:b/>
                <w:bCs/>
                <w:color w:val="auto"/>
                <w:sz w:val="24"/>
                <w:szCs w:val="24"/>
                <w:highlight w:val="none"/>
                <w:u w:val="single"/>
                <w:lang w:val="en-US" w:eastAsia="zh-CN"/>
              </w:rPr>
              <w:t xml:space="preserve"> 10 </w:t>
            </w:r>
            <w:r>
              <w:rPr>
                <w:rFonts w:hint="eastAsia" w:cs="Times New Roman"/>
                <w:b/>
                <w:bCs/>
                <w:color w:val="auto"/>
                <w:sz w:val="24"/>
                <w:szCs w:val="24"/>
                <w:highlight w:val="none"/>
                <w:lang w:val="en-US" w:eastAsia="zh-CN"/>
              </w:rPr>
              <w:t>项</w:t>
            </w:r>
            <w:r>
              <w:rPr>
                <w:rFonts w:hint="eastAsia" w:ascii="Times New Roman" w:hAnsi="Times New Roman" w:eastAsia="宋体" w:cs="Times New Roman"/>
                <w:b/>
                <w:bCs/>
                <w:color w:val="auto"/>
                <w:sz w:val="24"/>
                <w:szCs w:val="24"/>
                <w:highlight w:val="none"/>
                <w:lang w:val="en-US" w:eastAsia="zh-CN"/>
              </w:rPr>
              <w:t>）</w:t>
            </w:r>
          </w:p>
          <w:p w14:paraId="333375C6">
            <w:pPr>
              <w:autoSpaceDE w:val="0"/>
              <w:autoSpaceDN w:val="0"/>
              <w:adjustRightInd w:val="0"/>
              <w:spacing w:line="360" w:lineRule="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注：投标人除如实填写技术规格偏离表外，技术参数注明需提供证明材料类型的需按要求提供相应类型的证明材料，未注明证明材料类型的投标人可提供技术支持资料</w:t>
            </w:r>
            <w:r>
              <w:rPr>
                <w:rFonts w:hint="eastAsia" w:ascii="Times New Roman" w:hAnsi="Times New Roman" w:eastAsia="宋体" w:cs="Times New Roman"/>
                <w:b/>
                <w:bCs/>
                <w:color w:val="auto"/>
                <w:sz w:val="24"/>
                <w:szCs w:val="24"/>
                <w:highlight w:val="none"/>
                <w:lang w:val="en-US" w:eastAsia="zh-CN"/>
              </w:rPr>
              <w:t>（技术支持资料包括但不限于：检验报告或产品彩页或白皮书或说明书或其他技术证明材料以证明其产品的技术指标参数和具体配置情况的真实性，投标人也可根据制造</w:t>
            </w:r>
            <w:r>
              <w:rPr>
                <w:rFonts w:hint="eastAsia" w:cs="Times New Roman"/>
                <w:b/>
                <w:bCs/>
                <w:color w:val="auto"/>
                <w:sz w:val="24"/>
                <w:szCs w:val="24"/>
                <w:highlight w:val="none"/>
                <w:lang w:val="en-US" w:eastAsia="zh-CN"/>
              </w:rPr>
              <w:t>生产</w:t>
            </w:r>
            <w:r>
              <w:rPr>
                <w:rFonts w:hint="eastAsia" w:ascii="Times New Roman" w:hAnsi="Times New Roman" w:eastAsia="宋体" w:cs="Times New Roman"/>
                <w:b/>
                <w:bCs/>
                <w:color w:val="auto"/>
                <w:sz w:val="24"/>
                <w:szCs w:val="24"/>
                <w:highlight w:val="none"/>
                <w:lang w:val="en-US" w:eastAsia="zh-CN"/>
              </w:rPr>
              <w:t>厂商官方网站资料以证明提供的产品的技术指标参数和具体配置情况的真实性，凡不符合上述要求的，视为无效技术支持资料）</w:t>
            </w:r>
            <w:r>
              <w:rPr>
                <w:rFonts w:hint="eastAsia" w:ascii="Times New Roman" w:hAnsi="Times New Roman" w:eastAsia="宋体" w:cs="Times New Roman"/>
                <w:color w:val="auto"/>
                <w:sz w:val="24"/>
                <w:szCs w:val="24"/>
                <w:highlight w:val="none"/>
                <w:lang w:val="en-US" w:eastAsia="zh-CN"/>
              </w:rPr>
              <w:t>。</w:t>
            </w:r>
          </w:p>
          <w:p w14:paraId="16DBF9D0">
            <w:pPr>
              <w:autoSpaceDE w:val="0"/>
              <w:autoSpaceDN w:val="0"/>
              <w:adjustRightInd w:val="0"/>
              <w:spacing w:line="360" w:lineRule="auto"/>
              <w:rPr>
                <w:color w:val="auto"/>
                <w:sz w:val="24"/>
                <w:highlight w:val="none"/>
              </w:rPr>
            </w:pPr>
            <w:r>
              <w:rPr>
                <w:rFonts w:hint="eastAsia" w:ascii="Times New Roman" w:hAnsi="Times New Roman" w:eastAsia="宋体" w:cs="Times New Roman"/>
                <w:color w:val="auto"/>
                <w:sz w:val="24"/>
                <w:szCs w:val="24"/>
                <w:highlight w:val="none"/>
                <w:lang w:val="en-US" w:eastAsia="zh-CN"/>
              </w:rPr>
              <w:t>若投标文件中技术支持资料参数与技术条款偏离表应答不符或无支持资料应答，而投标人又未在投标文件中作出说明和解释的，评标委员会在评审时可以视为不响应该条技术条款的规定。</w:t>
            </w:r>
          </w:p>
        </w:tc>
      </w:tr>
      <w:tr w14:paraId="2529D2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 w:type="dxa"/>
            <w:vMerge w:val="continue"/>
            <w:tcBorders>
              <w:tl2br w:val="nil"/>
              <w:tr2bl w:val="nil"/>
            </w:tcBorders>
            <w:noWrap/>
            <w:vAlign w:val="center"/>
          </w:tcPr>
          <w:p w14:paraId="580868FA">
            <w:pPr>
              <w:autoSpaceDE w:val="0"/>
              <w:autoSpaceDN w:val="0"/>
              <w:adjustRightInd w:val="0"/>
              <w:spacing w:line="360" w:lineRule="auto"/>
              <w:jc w:val="center"/>
              <w:rPr>
                <w:rFonts w:ascii="宋体" w:hAnsi="宋体" w:cs="宋体"/>
                <w:color w:val="auto"/>
                <w:sz w:val="24"/>
                <w:highlight w:val="none"/>
              </w:rPr>
            </w:pPr>
          </w:p>
        </w:tc>
        <w:tc>
          <w:tcPr>
            <w:tcW w:w="1180" w:type="dxa"/>
            <w:vMerge w:val="continue"/>
            <w:tcBorders>
              <w:tl2br w:val="nil"/>
              <w:tr2bl w:val="nil"/>
            </w:tcBorders>
            <w:noWrap/>
            <w:vAlign w:val="center"/>
          </w:tcPr>
          <w:p w14:paraId="3B4FA489">
            <w:pPr>
              <w:autoSpaceDE w:val="0"/>
              <w:autoSpaceDN w:val="0"/>
              <w:adjustRightInd w:val="0"/>
              <w:spacing w:line="360" w:lineRule="auto"/>
              <w:jc w:val="center"/>
              <w:rPr>
                <w:rFonts w:ascii="宋体" w:hAnsi="宋体" w:cs="宋体"/>
                <w:color w:val="auto"/>
                <w:sz w:val="24"/>
                <w:highlight w:val="none"/>
              </w:rPr>
            </w:pPr>
          </w:p>
        </w:tc>
        <w:tc>
          <w:tcPr>
            <w:tcW w:w="948" w:type="dxa"/>
            <w:tcBorders>
              <w:tl2br w:val="nil"/>
              <w:tr2bl w:val="nil"/>
            </w:tcBorders>
            <w:shd w:val="clear" w:color="auto" w:fill="auto"/>
            <w:noWrap/>
            <w:vAlign w:val="center"/>
          </w:tcPr>
          <w:p w14:paraId="13E6351D">
            <w:pPr>
              <w:autoSpaceDE w:val="0"/>
              <w:autoSpaceDN w:val="0"/>
              <w:adjustRightIn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项目</w:t>
            </w:r>
            <w:r>
              <w:rPr>
                <w:color w:val="auto"/>
                <w:sz w:val="24"/>
                <w:szCs w:val="24"/>
                <w:highlight w:val="none"/>
              </w:rPr>
              <w:t>实施方案</w:t>
            </w:r>
          </w:p>
        </w:tc>
        <w:tc>
          <w:tcPr>
            <w:tcW w:w="818" w:type="dxa"/>
            <w:tcBorders>
              <w:tl2br w:val="nil"/>
              <w:tr2bl w:val="nil"/>
            </w:tcBorders>
            <w:shd w:val="clear" w:color="auto" w:fill="auto"/>
            <w:noWrap/>
            <w:vAlign w:val="center"/>
          </w:tcPr>
          <w:p w14:paraId="3D5571A5">
            <w:pPr>
              <w:autoSpaceDE w:val="0"/>
              <w:autoSpaceDN w:val="0"/>
              <w:adjustRightIn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0</w:t>
            </w:r>
            <w:r>
              <w:rPr>
                <w:rFonts w:hint="eastAsia" w:ascii="Times New Roman" w:hAnsi="Times New Roman" w:eastAsia="宋体" w:cs="Times New Roman"/>
                <w:b w:val="0"/>
                <w:bCs w:val="0"/>
                <w:color w:val="auto"/>
                <w:sz w:val="24"/>
                <w:szCs w:val="24"/>
                <w:highlight w:val="none"/>
                <w:lang w:val="en-US" w:eastAsia="zh-CN"/>
              </w:rPr>
              <w:t>分</w:t>
            </w:r>
          </w:p>
        </w:tc>
        <w:tc>
          <w:tcPr>
            <w:tcW w:w="5904" w:type="dxa"/>
            <w:tcBorders>
              <w:tl2br w:val="nil"/>
              <w:tr2bl w:val="nil"/>
            </w:tcBorders>
            <w:shd w:val="clear" w:color="auto" w:fill="auto"/>
            <w:noWrap/>
            <w:vAlign w:val="center"/>
          </w:tcPr>
          <w:p w14:paraId="39BCD25E">
            <w:pPr>
              <w:autoSpaceDE w:val="0"/>
              <w:autoSpaceDN w:val="0"/>
              <w:adjustRightInd w:val="0"/>
              <w:spacing w:line="360" w:lineRule="auto"/>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包括但不限于：（1）货源组织及备货方案</w:t>
            </w:r>
            <w:r>
              <w:rPr>
                <w:rFonts w:hint="eastAsia" w:cs="Times New Roman"/>
                <w:b/>
                <w:bCs/>
                <w:color w:val="auto"/>
                <w:sz w:val="24"/>
                <w:szCs w:val="24"/>
                <w:highlight w:val="none"/>
                <w:lang w:val="en-US" w:eastAsia="zh-CN"/>
              </w:rPr>
              <w:t>；（2）</w:t>
            </w:r>
            <w:r>
              <w:rPr>
                <w:rFonts w:hint="eastAsia"/>
                <w:b/>
                <w:bCs/>
                <w:color w:val="auto"/>
                <w:sz w:val="24"/>
                <w:highlight w:val="none"/>
              </w:rPr>
              <w:t>安装调试</w:t>
            </w:r>
            <w:r>
              <w:rPr>
                <w:rFonts w:hint="eastAsia"/>
                <w:b/>
                <w:bCs/>
                <w:color w:val="auto"/>
                <w:sz w:val="24"/>
                <w:highlight w:val="none"/>
                <w:lang w:val="en-US" w:eastAsia="zh-CN"/>
              </w:rPr>
              <w:t>方案</w:t>
            </w:r>
            <w:r>
              <w:rPr>
                <w:rFonts w:hint="eastAsia" w:ascii="Times New Roman" w:hAnsi="Times New Roman" w:eastAsia="宋体" w:cs="Times New Roman"/>
                <w:b/>
                <w:bCs/>
                <w:color w:val="auto"/>
                <w:sz w:val="24"/>
                <w:szCs w:val="24"/>
                <w:highlight w:val="none"/>
                <w:lang w:val="en-US" w:eastAsia="zh-CN"/>
              </w:rPr>
              <w:t>及保障措施</w:t>
            </w:r>
            <w:r>
              <w:rPr>
                <w:rFonts w:hint="eastAsia"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进度计划及保障措施；（</w:t>
            </w: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）退换</w:t>
            </w:r>
            <w:r>
              <w:rPr>
                <w:rFonts w:hint="eastAsia" w:cs="Times New Roman"/>
                <w:b/>
                <w:bCs/>
                <w:color w:val="auto"/>
                <w:sz w:val="24"/>
                <w:szCs w:val="24"/>
                <w:highlight w:val="none"/>
                <w:lang w:val="en-US" w:eastAsia="zh-CN"/>
              </w:rPr>
              <w:t>货、安装</w:t>
            </w:r>
            <w:r>
              <w:rPr>
                <w:rFonts w:hint="eastAsia" w:ascii="Times New Roman" w:hAnsi="Times New Roman" w:eastAsia="宋体" w:cs="Times New Roman"/>
                <w:b/>
                <w:bCs/>
                <w:color w:val="auto"/>
                <w:sz w:val="24"/>
                <w:szCs w:val="24"/>
                <w:highlight w:val="none"/>
                <w:lang w:val="en-US" w:eastAsia="zh-CN"/>
              </w:rPr>
              <w:t>整改情形的应对</w:t>
            </w:r>
            <w:r>
              <w:rPr>
                <w:rFonts w:hint="eastAsia" w:cs="Times New Roman"/>
                <w:b/>
                <w:bCs/>
                <w:color w:val="auto"/>
                <w:sz w:val="24"/>
                <w:szCs w:val="24"/>
                <w:highlight w:val="none"/>
                <w:lang w:val="en-US" w:eastAsia="zh-CN"/>
              </w:rPr>
              <w:t>及承诺</w:t>
            </w:r>
            <w:r>
              <w:rPr>
                <w:rFonts w:hint="eastAsia" w:ascii="Times New Roman" w:hAnsi="Times New Roman" w:eastAsia="宋体" w:cs="Times New Roman"/>
                <w:b/>
                <w:bCs/>
                <w:color w:val="auto"/>
                <w:sz w:val="24"/>
                <w:szCs w:val="24"/>
                <w:highlight w:val="none"/>
                <w:lang w:val="en-US" w:eastAsia="zh-CN"/>
              </w:rPr>
              <w:t>等。</w:t>
            </w:r>
          </w:p>
          <w:p w14:paraId="2F9B65B5">
            <w:pPr>
              <w:autoSpaceDE w:val="0"/>
              <w:autoSpaceDN w:val="0"/>
              <w:adjustRightIn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以上四项，每项</w:t>
            </w:r>
            <w:r>
              <w:rPr>
                <w:rFonts w:hint="eastAsia" w:ascii="宋体" w:hAnsi="宋体" w:eastAsia="宋体" w:cs="宋体"/>
                <w:color w:val="auto"/>
                <w:kern w:val="2"/>
                <w:sz w:val="24"/>
                <w:szCs w:val="24"/>
                <w:highlight w:val="none"/>
                <w:lang w:val="en-US" w:eastAsia="zh-CN" w:bidi="ar-SA"/>
              </w:rPr>
              <w:t>5</w:t>
            </w:r>
            <w:r>
              <w:rPr>
                <w:rFonts w:hint="eastAsia"/>
                <w:color w:val="auto"/>
                <w:sz w:val="24"/>
                <w:szCs w:val="24"/>
                <w:highlight w:val="none"/>
                <w:lang w:val="en-US" w:eastAsia="zh-CN"/>
              </w:rPr>
              <w:t>分。</w:t>
            </w:r>
          </w:p>
          <w:p w14:paraId="2A1D4D3E">
            <w:pPr>
              <w:autoSpaceDE w:val="0"/>
              <w:autoSpaceDN w:val="0"/>
              <w:adjustRightInd w:val="0"/>
              <w:spacing w:line="360" w:lineRule="auto"/>
              <w:jc w:val="left"/>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项</w:t>
            </w:r>
            <w:r>
              <w:rPr>
                <w:rFonts w:hint="default" w:ascii="宋体" w:hAnsi="宋体" w:eastAsia="宋体" w:cs="宋体"/>
                <w:color w:val="auto"/>
                <w:sz w:val="24"/>
                <w:szCs w:val="24"/>
                <w:highlight w:val="no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20</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方案中每有一项内容要素存在缺失的扣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分；方案内容要素中每存在一处缺陷的扣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分，单项内容要素扣减分值不超过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分，扣完为止</w:t>
            </w:r>
            <w:r>
              <w:rPr>
                <w:rFonts w:hint="eastAsia"/>
                <w:color w:val="auto"/>
                <w:sz w:val="24"/>
                <w:szCs w:val="24"/>
                <w:highlight w:val="none"/>
                <w:lang w:val="en-US" w:eastAsia="zh-CN"/>
              </w:rPr>
              <w:t>。</w:t>
            </w:r>
          </w:p>
          <w:p w14:paraId="76969FCC">
            <w:pPr>
              <w:autoSpaceDE w:val="0"/>
              <w:autoSpaceDN w:val="0"/>
              <w:adjustRightInd w:val="0"/>
              <w:spacing w:line="360" w:lineRule="auto"/>
              <w:jc w:val="left"/>
              <w:rPr>
                <w:rFonts w:ascii="Times New Roman" w:hAnsi="Times New Roman" w:eastAsia="宋体" w:cs="Times New Roman"/>
                <w:color w:val="auto"/>
                <w:kern w:val="2"/>
                <w:sz w:val="24"/>
                <w:szCs w:val="24"/>
                <w:highlight w:val="none"/>
                <w:lang w:val="en-US" w:eastAsia="zh-CN" w:bidi="ar-SA"/>
              </w:rPr>
            </w:pPr>
            <w:r>
              <w:rPr>
                <w:rFonts w:hint="eastAsia"/>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color w:val="auto"/>
                <w:sz w:val="24"/>
                <w:szCs w:val="24"/>
                <w:highlight w:val="none"/>
                <w:lang w:val="en-US" w:eastAsia="zh-CN"/>
              </w:rPr>
              <w:t>对相关承诺及措施内容的关键要求没有详细说明、不能保障项目履约</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数据错误或名称错误或地点错误或专业术语及符号错误或文字表述错误或存在照搬其他地区及项目的内容等任意一种情形</w:t>
            </w:r>
            <w:r>
              <w:rPr>
                <w:rFonts w:hint="eastAsia"/>
                <w:b w:val="0"/>
                <w:bCs w:val="0"/>
                <w:color w:val="auto"/>
                <w:sz w:val="24"/>
                <w:szCs w:val="24"/>
                <w:highlight w:val="none"/>
              </w:rPr>
              <w:t>。</w:t>
            </w:r>
          </w:p>
        </w:tc>
      </w:tr>
      <w:tr w14:paraId="706E46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 w:type="dxa"/>
            <w:vMerge w:val="continue"/>
            <w:tcBorders>
              <w:tl2br w:val="nil"/>
              <w:tr2bl w:val="nil"/>
            </w:tcBorders>
            <w:noWrap/>
            <w:vAlign w:val="center"/>
          </w:tcPr>
          <w:p w14:paraId="622FAE3C">
            <w:pPr>
              <w:autoSpaceDE w:val="0"/>
              <w:autoSpaceDN w:val="0"/>
              <w:adjustRightInd w:val="0"/>
              <w:spacing w:line="360" w:lineRule="auto"/>
              <w:jc w:val="center"/>
              <w:rPr>
                <w:rFonts w:ascii="宋体" w:hAnsi="宋体" w:cs="宋体"/>
                <w:color w:val="auto"/>
                <w:sz w:val="24"/>
                <w:highlight w:val="none"/>
              </w:rPr>
            </w:pPr>
          </w:p>
        </w:tc>
        <w:tc>
          <w:tcPr>
            <w:tcW w:w="1180" w:type="dxa"/>
            <w:vMerge w:val="continue"/>
            <w:tcBorders>
              <w:tl2br w:val="nil"/>
              <w:tr2bl w:val="nil"/>
            </w:tcBorders>
            <w:noWrap/>
            <w:vAlign w:val="center"/>
          </w:tcPr>
          <w:p w14:paraId="748A6AC3">
            <w:pPr>
              <w:autoSpaceDE w:val="0"/>
              <w:autoSpaceDN w:val="0"/>
              <w:adjustRightInd w:val="0"/>
              <w:spacing w:line="360" w:lineRule="auto"/>
              <w:jc w:val="center"/>
              <w:rPr>
                <w:rFonts w:ascii="宋体" w:hAnsi="宋体" w:cs="宋体"/>
                <w:color w:val="auto"/>
                <w:sz w:val="24"/>
                <w:highlight w:val="none"/>
              </w:rPr>
            </w:pPr>
          </w:p>
        </w:tc>
        <w:tc>
          <w:tcPr>
            <w:tcW w:w="948" w:type="dxa"/>
            <w:tcBorders>
              <w:tl2br w:val="nil"/>
              <w:tr2bl w:val="nil"/>
            </w:tcBorders>
            <w:shd w:val="clear" w:color="auto" w:fill="auto"/>
            <w:noWrap/>
            <w:vAlign w:val="center"/>
          </w:tcPr>
          <w:p w14:paraId="3FCB545A">
            <w:pPr>
              <w:autoSpaceDE w:val="0"/>
              <w:autoSpaceDN w:val="0"/>
              <w:adjustRightInd w:val="0"/>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rPr>
              <w:t>产品质量承诺及保障措施</w:t>
            </w:r>
          </w:p>
        </w:tc>
        <w:tc>
          <w:tcPr>
            <w:tcW w:w="818" w:type="dxa"/>
            <w:tcBorders>
              <w:tl2br w:val="nil"/>
              <w:tr2bl w:val="nil"/>
            </w:tcBorders>
            <w:shd w:val="clear" w:color="auto" w:fill="auto"/>
            <w:noWrap/>
            <w:vAlign w:val="center"/>
          </w:tcPr>
          <w:p w14:paraId="57CD833D">
            <w:pPr>
              <w:autoSpaceDE w:val="0"/>
              <w:autoSpaceDN w:val="0"/>
              <w:adjustRightInd w:val="0"/>
              <w:spacing w:line="360" w:lineRule="auto"/>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8分</w:t>
            </w:r>
          </w:p>
        </w:tc>
        <w:tc>
          <w:tcPr>
            <w:tcW w:w="5904" w:type="dxa"/>
            <w:tcBorders>
              <w:tl2br w:val="nil"/>
              <w:tr2bl w:val="nil"/>
            </w:tcBorders>
            <w:shd w:val="clear" w:color="auto" w:fill="auto"/>
            <w:noWrap/>
            <w:vAlign w:val="center"/>
          </w:tcPr>
          <w:p w14:paraId="4A61C612">
            <w:pPr>
              <w:autoSpaceDE w:val="0"/>
              <w:autoSpaceDN w:val="0"/>
              <w:adjustRightInd w:val="0"/>
              <w:spacing w:line="360" w:lineRule="auto"/>
              <w:jc w:val="left"/>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包括但不限于：（1）产品质量承诺</w:t>
            </w:r>
            <w:r>
              <w:rPr>
                <w:rFonts w:hint="eastAsia" w:cs="Times New Roman"/>
                <w:b/>
                <w:bCs/>
                <w:color w:val="auto"/>
                <w:sz w:val="24"/>
                <w:szCs w:val="24"/>
                <w:highlight w:val="none"/>
                <w:lang w:val="en-US" w:eastAsia="zh-CN"/>
              </w:rPr>
              <w:t>及保障</w:t>
            </w:r>
            <w:r>
              <w:rPr>
                <w:rFonts w:hint="eastAsia" w:ascii="Times New Roman" w:hAnsi="Times New Roman" w:eastAsia="宋体" w:cs="Times New Roman"/>
                <w:b/>
                <w:bCs/>
                <w:color w:val="auto"/>
                <w:sz w:val="24"/>
                <w:szCs w:val="24"/>
                <w:highlight w:val="none"/>
                <w:lang w:val="en-US" w:eastAsia="zh-CN"/>
              </w:rPr>
              <w:t>措施；（2）各产品整体性能保障（包括关键部件质量、性能稳定性等方面）</w:t>
            </w:r>
            <w:r>
              <w:rPr>
                <w:rFonts w:hint="eastAsia" w:cs="Times New Roman"/>
                <w:b/>
                <w:bCs/>
                <w:color w:val="auto"/>
                <w:sz w:val="24"/>
                <w:szCs w:val="24"/>
                <w:highlight w:val="none"/>
                <w:lang w:val="en-US" w:eastAsia="zh-CN"/>
              </w:rPr>
              <w:t>等。</w:t>
            </w:r>
          </w:p>
          <w:p w14:paraId="51D09CDE">
            <w:pPr>
              <w:autoSpaceDE w:val="0"/>
              <w:autoSpaceDN w:val="0"/>
              <w:adjustRightIn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以上两项，每项</w:t>
            </w:r>
            <w:r>
              <w:rPr>
                <w:rFonts w:hint="eastAsia" w:ascii="宋体" w:hAnsi="宋体" w:cs="宋体"/>
                <w:color w:val="auto"/>
                <w:sz w:val="24"/>
                <w:szCs w:val="24"/>
                <w:highlight w:val="none"/>
                <w:lang w:val="en-US" w:eastAsia="zh-CN"/>
              </w:rPr>
              <w:t>4</w:t>
            </w:r>
            <w:r>
              <w:rPr>
                <w:rFonts w:hint="eastAsia"/>
                <w:color w:val="auto"/>
                <w:sz w:val="24"/>
                <w:szCs w:val="24"/>
                <w:highlight w:val="none"/>
                <w:lang w:val="en-US" w:eastAsia="zh-CN"/>
              </w:rPr>
              <w:t>分。</w:t>
            </w:r>
          </w:p>
          <w:p w14:paraId="61B9E256">
            <w:pPr>
              <w:autoSpaceDE w:val="0"/>
              <w:autoSpaceDN w:val="0"/>
              <w:adjustRightInd w:val="0"/>
              <w:spacing w:line="360" w:lineRule="auto"/>
              <w:jc w:val="left"/>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项</w:t>
            </w:r>
            <w:r>
              <w:rPr>
                <w:rFonts w:hint="default" w:ascii="宋体" w:hAnsi="宋体" w:eastAsia="宋体" w:cs="宋体"/>
                <w:color w:val="auto"/>
                <w:sz w:val="24"/>
                <w:szCs w:val="24"/>
                <w:highlight w:val="none"/>
                <w:lang w:val="en-US" w:eastAsia="zh-CN"/>
              </w:rPr>
              <w:t>内容均与项目实际情况吻合、有具体详细的阐述，内容清楚明了、表述规范、含义准确；</w:t>
            </w:r>
            <w:r>
              <w:rPr>
                <w:rFonts w:hint="eastAsia" w:ascii="宋体" w:hAnsi="宋体" w:eastAsia="宋体" w:cs="宋体"/>
                <w:color w:val="auto"/>
                <w:sz w:val="24"/>
                <w:szCs w:val="24"/>
                <w:highlight w:val="none"/>
                <w:lang w:val="en-US" w:eastAsia="zh-CN"/>
              </w:rPr>
              <w:t>内容</w:t>
            </w:r>
            <w:r>
              <w:rPr>
                <w:rFonts w:hint="default" w:ascii="宋体" w:hAnsi="宋体" w:eastAsia="宋体" w:cs="宋体"/>
                <w:color w:val="auto"/>
                <w:sz w:val="24"/>
                <w:szCs w:val="24"/>
                <w:highlight w:val="none"/>
                <w:lang w:val="en-US" w:eastAsia="zh-CN"/>
              </w:rPr>
              <w:t>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方案中每有一项内容要素存在缺失的扣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分；方案内容要素中每存在一处缺陷的扣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分，单项内容要素扣减分值不超过</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分，扣完为止</w:t>
            </w:r>
            <w:r>
              <w:rPr>
                <w:rFonts w:hint="eastAsia"/>
                <w:color w:val="auto"/>
                <w:sz w:val="24"/>
                <w:szCs w:val="24"/>
                <w:highlight w:val="none"/>
                <w:lang w:val="en-US" w:eastAsia="zh-CN"/>
              </w:rPr>
              <w:t>。</w:t>
            </w:r>
          </w:p>
          <w:p w14:paraId="3E1762EB">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color w:val="auto"/>
                <w:sz w:val="24"/>
                <w:szCs w:val="24"/>
                <w:highlight w:val="none"/>
                <w:lang w:val="en-US" w:eastAsia="zh-CN"/>
              </w:rPr>
              <w:t>对相关承诺及措施内容的关键要求没有详细说明、不能保障项目履约</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数据错误或名称错误或地点错误或专业术语及符号错误或文字表述错误或存在照搬其他地区及项目的内容等任意一种情形</w:t>
            </w:r>
            <w:r>
              <w:rPr>
                <w:rFonts w:hint="eastAsia"/>
                <w:color w:val="auto"/>
                <w:sz w:val="24"/>
                <w:szCs w:val="24"/>
                <w:highlight w:val="none"/>
              </w:rPr>
              <w:t>。</w:t>
            </w:r>
          </w:p>
        </w:tc>
      </w:tr>
      <w:tr w14:paraId="31A87B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6" w:type="dxa"/>
            <w:vMerge w:val="continue"/>
            <w:tcBorders>
              <w:tl2br w:val="nil"/>
              <w:tr2bl w:val="nil"/>
            </w:tcBorders>
            <w:noWrap/>
            <w:vAlign w:val="center"/>
          </w:tcPr>
          <w:p w14:paraId="09AEFCB2">
            <w:pPr>
              <w:autoSpaceDE w:val="0"/>
              <w:autoSpaceDN w:val="0"/>
              <w:adjustRightInd w:val="0"/>
              <w:spacing w:line="360" w:lineRule="auto"/>
              <w:jc w:val="center"/>
              <w:rPr>
                <w:rFonts w:ascii="宋体" w:hAnsi="宋体" w:cs="宋体"/>
                <w:color w:val="auto"/>
                <w:sz w:val="24"/>
                <w:highlight w:val="none"/>
              </w:rPr>
            </w:pPr>
          </w:p>
        </w:tc>
        <w:tc>
          <w:tcPr>
            <w:tcW w:w="1180" w:type="dxa"/>
            <w:vMerge w:val="continue"/>
            <w:tcBorders>
              <w:tl2br w:val="nil"/>
              <w:tr2bl w:val="nil"/>
            </w:tcBorders>
            <w:noWrap/>
            <w:vAlign w:val="center"/>
          </w:tcPr>
          <w:p w14:paraId="743FDA1E">
            <w:pPr>
              <w:autoSpaceDE w:val="0"/>
              <w:autoSpaceDN w:val="0"/>
              <w:adjustRightInd w:val="0"/>
              <w:spacing w:line="360" w:lineRule="auto"/>
              <w:jc w:val="center"/>
              <w:rPr>
                <w:rFonts w:ascii="宋体" w:hAnsi="宋体" w:cs="宋体"/>
                <w:color w:val="auto"/>
                <w:sz w:val="24"/>
                <w:highlight w:val="none"/>
              </w:rPr>
            </w:pPr>
          </w:p>
        </w:tc>
        <w:tc>
          <w:tcPr>
            <w:tcW w:w="948" w:type="dxa"/>
            <w:tcBorders>
              <w:tl2br w:val="nil"/>
              <w:tr2bl w:val="nil"/>
            </w:tcBorders>
            <w:shd w:val="clear" w:color="auto" w:fill="auto"/>
            <w:noWrap/>
            <w:vAlign w:val="center"/>
          </w:tcPr>
          <w:p w14:paraId="45870E24">
            <w:pPr>
              <w:autoSpaceDE w:val="0"/>
              <w:autoSpaceDN w:val="0"/>
              <w:adjustRightInd w:val="0"/>
              <w:spacing w:line="360" w:lineRule="auto"/>
              <w:jc w:val="center"/>
              <w:rPr>
                <w:rFonts w:ascii="Times New Roman" w:hAnsi="Times New Roman" w:eastAsia="宋体" w:cs="Times New Roman"/>
                <w:color w:val="auto"/>
                <w:kern w:val="2"/>
                <w:sz w:val="24"/>
                <w:szCs w:val="24"/>
                <w:highlight w:val="none"/>
                <w:lang w:val="en-US" w:eastAsia="zh-CN" w:bidi="ar-SA"/>
              </w:rPr>
            </w:pPr>
            <w:r>
              <w:rPr>
                <w:rFonts w:hint="eastAsia"/>
                <w:color w:val="auto"/>
                <w:kern w:val="2"/>
                <w:sz w:val="24"/>
                <w:szCs w:val="24"/>
                <w:highlight w:val="none"/>
                <w:lang w:val="en-US" w:eastAsia="zh-CN" w:bidi="ar-SA"/>
              </w:rPr>
              <w:t>培训方案及保障措施</w:t>
            </w:r>
          </w:p>
        </w:tc>
        <w:tc>
          <w:tcPr>
            <w:tcW w:w="818" w:type="dxa"/>
            <w:tcBorders>
              <w:tl2br w:val="nil"/>
              <w:tr2bl w:val="nil"/>
            </w:tcBorders>
            <w:shd w:val="clear" w:color="auto" w:fill="auto"/>
            <w:noWrap/>
            <w:vAlign w:val="center"/>
          </w:tcPr>
          <w:p w14:paraId="71D79F33">
            <w:pPr>
              <w:autoSpaceDE w:val="0"/>
              <w:autoSpaceDN w:val="0"/>
              <w:adjustRightInd w:val="0"/>
              <w:spacing w:line="360" w:lineRule="auto"/>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b w:val="0"/>
                <w:bCs w:val="0"/>
                <w:color w:val="auto"/>
                <w:kern w:val="2"/>
                <w:sz w:val="24"/>
                <w:szCs w:val="24"/>
                <w:highlight w:val="none"/>
                <w:vertAlign w:val="baseline"/>
                <w:lang w:val="en-US" w:eastAsia="zh-CN" w:bidi="ar-SA"/>
              </w:rPr>
              <w:t>6分</w:t>
            </w:r>
          </w:p>
        </w:tc>
        <w:tc>
          <w:tcPr>
            <w:tcW w:w="5904" w:type="dxa"/>
            <w:tcBorders>
              <w:tl2br w:val="nil"/>
              <w:tr2bl w:val="nil"/>
            </w:tcBorders>
            <w:shd w:val="clear" w:color="auto" w:fill="auto"/>
            <w:noWrap/>
            <w:vAlign w:val="center"/>
          </w:tcPr>
          <w:p w14:paraId="281D9DFD">
            <w:pPr>
              <w:autoSpaceDE w:val="0"/>
              <w:autoSpaceDN w:val="0"/>
              <w:adjustRightInd w:val="0"/>
              <w:spacing w:line="360" w:lineRule="auto"/>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包括但不限于：（1）培训大纲与</w:t>
            </w:r>
            <w:r>
              <w:rPr>
                <w:rFonts w:hint="eastAsia" w:cs="Times New Roman"/>
                <w:b/>
                <w:bCs/>
                <w:color w:val="auto"/>
                <w:sz w:val="24"/>
                <w:szCs w:val="24"/>
                <w:highlight w:val="none"/>
                <w:lang w:val="en-US" w:eastAsia="zh-CN"/>
              </w:rPr>
              <w:t>组织</w:t>
            </w:r>
            <w:r>
              <w:rPr>
                <w:rFonts w:hint="eastAsia" w:ascii="Times New Roman" w:hAnsi="Times New Roman" w:eastAsia="宋体" w:cs="Times New Roman"/>
                <w:b/>
                <w:bCs/>
                <w:color w:val="auto"/>
                <w:sz w:val="24"/>
                <w:szCs w:val="24"/>
                <w:highlight w:val="none"/>
                <w:lang w:val="en-US" w:eastAsia="zh-CN"/>
              </w:rPr>
              <w:t>计划；（2）培训深度、保障措施</w:t>
            </w:r>
            <w:r>
              <w:rPr>
                <w:rFonts w:hint="eastAsia" w:cs="Times New Roman"/>
                <w:b/>
                <w:bCs/>
                <w:color w:val="auto"/>
                <w:sz w:val="24"/>
                <w:szCs w:val="24"/>
                <w:highlight w:val="none"/>
                <w:lang w:val="en-US" w:eastAsia="zh-CN"/>
              </w:rPr>
              <w:t>及履约</w:t>
            </w:r>
            <w:r>
              <w:rPr>
                <w:rFonts w:hint="eastAsia" w:ascii="Times New Roman" w:hAnsi="Times New Roman" w:eastAsia="宋体" w:cs="Times New Roman"/>
                <w:b/>
                <w:bCs/>
                <w:color w:val="auto"/>
                <w:sz w:val="24"/>
                <w:szCs w:val="24"/>
                <w:highlight w:val="none"/>
                <w:lang w:val="en-US" w:eastAsia="zh-CN"/>
              </w:rPr>
              <w:t>承诺等。</w:t>
            </w:r>
          </w:p>
          <w:p w14:paraId="422E630E">
            <w:pPr>
              <w:autoSpaceDE w:val="0"/>
              <w:autoSpaceDN w:val="0"/>
              <w:adjustRightIn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以上两项，每项</w:t>
            </w:r>
            <w:r>
              <w:rPr>
                <w:rFonts w:hint="eastAsia" w:ascii="宋体" w:hAnsi="宋体" w:cs="宋体"/>
                <w:color w:val="auto"/>
                <w:sz w:val="24"/>
                <w:szCs w:val="24"/>
                <w:highlight w:val="none"/>
                <w:lang w:val="en-US" w:eastAsia="zh-CN"/>
              </w:rPr>
              <w:t>3</w:t>
            </w:r>
            <w:r>
              <w:rPr>
                <w:rFonts w:hint="eastAsia"/>
                <w:color w:val="auto"/>
                <w:sz w:val="24"/>
                <w:szCs w:val="24"/>
                <w:highlight w:val="none"/>
                <w:lang w:val="en-US" w:eastAsia="zh-CN"/>
              </w:rPr>
              <w:t>分。</w:t>
            </w:r>
          </w:p>
          <w:p w14:paraId="7C09CDFE">
            <w:pPr>
              <w:autoSpaceDE w:val="0"/>
              <w:autoSpaceDN w:val="0"/>
              <w:adjustRightInd w:val="0"/>
              <w:spacing w:line="360" w:lineRule="auto"/>
              <w:jc w:val="left"/>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项</w:t>
            </w:r>
            <w:r>
              <w:rPr>
                <w:rFonts w:hint="default" w:ascii="宋体" w:hAnsi="宋体" w:eastAsia="宋体" w:cs="宋体"/>
                <w:color w:val="auto"/>
                <w:sz w:val="24"/>
                <w:szCs w:val="24"/>
                <w:highlight w:val="no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6</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方案中每有一项内容要素存在缺失的扣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分；方案内容要素中每存在一处缺陷的扣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分，单项内容要素扣减分值不超过</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分，扣完为止</w:t>
            </w:r>
            <w:r>
              <w:rPr>
                <w:rFonts w:hint="eastAsia"/>
                <w:color w:val="auto"/>
                <w:sz w:val="24"/>
                <w:szCs w:val="24"/>
                <w:highlight w:val="none"/>
                <w:lang w:val="en-US" w:eastAsia="zh-CN"/>
              </w:rPr>
              <w:t>。</w:t>
            </w:r>
          </w:p>
          <w:p w14:paraId="389B916A">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color w:val="auto"/>
                <w:sz w:val="24"/>
                <w:szCs w:val="24"/>
                <w:highlight w:val="none"/>
                <w:lang w:val="en-US" w:eastAsia="zh-CN"/>
              </w:rPr>
              <w:t>对相关承诺及措施内容的关键要求没有详细说明、不能保障项目履约</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数据错误或名称错误或地点错误或专业术语及符号错误或文字表述错误或存在照搬其他地区及项目的内容等任意一种情形</w:t>
            </w:r>
            <w:r>
              <w:rPr>
                <w:rFonts w:hint="eastAsia"/>
                <w:color w:val="auto"/>
                <w:sz w:val="24"/>
                <w:szCs w:val="24"/>
                <w:highlight w:val="none"/>
              </w:rPr>
              <w:t>。</w:t>
            </w:r>
          </w:p>
        </w:tc>
      </w:tr>
      <w:tr w14:paraId="4980C4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6" w:type="dxa"/>
            <w:vMerge w:val="continue"/>
            <w:tcBorders>
              <w:tl2br w:val="nil"/>
              <w:tr2bl w:val="nil"/>
            </w:tcBorders>
            <w:noWrap/>
            <w:vAlign w:val="center"/>
          </w:tcPr>
          <w:p w14:paraId="05F53510">
            <w:pPr>
              <w:autoSpaceDE w:val="0"/>
              <w:autoSpaceDN w:val="0"/>
              <w:adjustRightInd w:val="0"/>
              <w:spacing w:line="360" w:lineRule="auto"/>
              <w:jc w:val="center"/>
              <w:rPr>
                <w:rFonts w:ascii="宋体" w:hAnsi="宋体" w:cs="宋体"/>
                <w:color w:val="auto"/>
                <w:sz w:val="24"/>
                <w:highlight w:val="none"/>
              </w:rPr>
            </w:pPr>
          </w:p>
        </w:tc>
        <w:tc>
          <w:tcPr>
            <w:tcW w:w="1180" w:type="dxa"/>
            <w:vMerge w:val="continue"/>
            <w:tcBorders>
              <w:tl2br w:val="nil"/>
              <w:tr2bl w:val="nil"/>
            </w:tcBorders>
            <w:noWrap/>
            <w:vAlign w:val="center"/>
          </w:tcPr>
          <w:p w14:paraId="0A6D7E29">
            <w:pPr>
              <w:autoSpaceDE w:val="0"/>
              <w:autoSpaceDN w:val="0"/>
              <w:adjustRightInd w:val="0"/>
              <w:spacing w:line="360" w:lineRule="auto"/>
              <w:jc w:val="center"/>
              <w:rPr>
                <w:rFonts w:ascii="宋体" w:hAnsi="宋体" w:cs="宋体"/>
                <w:color w:val="auto"/>
                <w:sz w:val="24"/>
                <w:highlight w:val="none"/>
              </w:rPr>
            </w:pPr>
          </w:p>
        </w:tc>
        <w:tc>
          <w:tcPr>
            <w:tcW w:w="948" w:type="dxa"/>
            <w:tcBorders>
              <w:tl2br w:val="nil"/>
              <w:tr2bl w:val="nil"/>
            </w:tcBorders>
            <w:shd w:val="clear" w:color="auto" w:fill="auto"/>
            <w:noWrap/>
            <w:vAlign w:val="center"/>
          </w:tcPr>
          <w:p w14:paraId="24692BF5">
            <w:pPr>
              <w:spacing w:line="32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售后服务方案</w:t>
            </w:r>
          </w:p>
        </w:tc>
        <w:tc>
          <w:tcPr>
            <w:tcW w:w="818" w:type="dxa"/>
            <w:tcBorders>
              <w:tl2br w:val="nil"/>
              <w:tr2bl w:val="nil"/>
            </w:tcBorders>
            <w:shd w:val="clear" w:color="auto" w:fill="auto"/>
            <w:noWrap/>
            <w:vAlign w:val="center"/>
          </w:tcPr>
          <w:p w14:paraId="49BC32CC">
            <w:pPr>
              <w:spacing w:line="320" w:lineRule="exact"/>
              <w:jc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lang w:val="en-US" w:eastAsia="zh-CN" w:bidi="ar-SA"/>
              </w:rPr>
              <w:t>16</w:t>
            </w:r>
            <w:r>
              <w:rPr>
                <w:rFonts w:hint="eastAsia" w:ascii="宋体" w:hAnsi="宋体" w:eastAsia="宋体" w:cs="宋体"/>
                <w:color w:val="auto"/>
                <w:kern w:val="2"/>
                <w:sz w:val="24"/>
                <w:szCs w:val="24"/>
                <w:highlight w:val="none"/>
                <w:lang w:val="en-US" w:eastAsia="zh-CN" w:bidi="ar-SA"/>
              </w:rPr>
              <w:t>分</w:t>
            </w:r>
          </w:p>
        </w:tc>
        <w:tc>
          <w:tcPr>
            <w:tcW w:w="5904" w:type="dxa"/>
            <w:tcBorders>
              <w:tl2br w:val="nil"/>
              <w:tr2bl w:val="nil"/>
            </w:tcBorders>
            <w:shd w:val="clear" w:color="auto" w:fill="auto"/>
            <w:noWrap/>
            <w:vAlign w:val="center"/>
          </w:tcPr>
          <w:p w14:paraId="4803ED34">
            <w:pPr>
              <w:autoSpaceDE w:val="0"/>
              <w:autoSpaceDN w:val="0"/>
              <w:adjustRightInd w:val="0"/>
              <w:spacing w:line="360" w:lineRule="auto"/>
              <w:jc w:val="left"/>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包括但不限于：（1）售后服务工作内容与保障措施；（</w:t>
            </w:r>
            <w:r>
              <w:rPr>
                <w:rFonts w:hint="eastAsia"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）售后技术支持</w:t>
            </w:r>
            <w:r>
              <w:rPr>
                <w:rFonts w:hint="eastAsia" w:cs="Times New Roman"/>
                <w:b/>
                <w:bCs/>
                <w:color w:val="auto"/>
                <w:sz w:val="24"/>
                <w:szCs w:val="24"/>
                <w:highlight w:val="none"/>
                <w:lang w:val="en-US" w:eastAsia="zh-CN"/>
              </w:rPr>
              <w:t>（包括专业技术人员售后追踪、产品售后技术支持等）</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）应急保障措施</w:t>
            </w:r>
            <w:r>
              <w:rPr>
                <w:rFonts w:hint="eastAsia" w:cs="Times New Roman"/>
                <w:b/>
                <w:bCs/>
                <w:color w:val="auto"/>
                <w:sz w:val="24"/>
                <w:szCs w:val="24"/>
                <w:highlight w:val="none"/>
                <w:lang w:val="en-US" w:eastAsia="zh-CN"/>
              </w:rPr>
              <w:t>（包括在项目实施期间产品、人员、自然灾害等突发事件的应对）</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4</w:t>
            </w:r>
            <w:r>
              <w:rPr>
                <w:rFonts w:hint="eastAsia" w:ascii="Times New Roman" w:hAnsi="Times New Roman" w:eastAsia="宋体" w:cs="Times New Roman"/>
                <w:b/>
                <w:bCs/>
                <w:color w:val="auto"/>
                <w:sz w:val="24"/>
                <w:szCs w:val="24"/>
                <w:highlight w:val="none"/>
                <w:lang w:val="en-US" w:eastAsia="zh-CN"/>
              </w:rPr>
              <w:t>）售后服务响应承诺及</w:t>
            </w:r>
            <w:r>
              <w:rPr>
                <w:rFonts w:hint="eastAsia" w:cs="Times New Roman"/>
                <w:b/>
                <w:bCs/>
                <w:color w:val="auto"/>
                <w:sz w:val="24"/>
                <w:szCs w:val="24"/>
                <w:highlight w:val="none"/>
                <w:lang w:val="en-US" w:eastAsia="zh-CN"/>
              </w:rPr>
              <w:t>履约责任</w:t>
            </w:r>
            <w:r>
              <w:rPr>
                <w:rFonts w:hint="eastAsia" w:ascii="Times New Roman" w:hAnsi="Times New Roman" w:eastAsia="宋体" w:cs="Times New Roman"/>
                <w:b/>
                <w:bCs/>
                <w:color w:val="auto"/>
                <w:sz w:val="24"/>
                <w:szCs w:val="24"/>
                <w:highlight w:val="none"/>
                <w:lang w:val="en-US" w:eastAsia="zh-CN"/>
              </w:rPr>
              <w:t>等</w:t>
            </w:r>
            <w:r>
              <w:rPr>
                <w:rFonts w:hint="eastAsia" w:cs="Times New Roman"/>
                <w:b/>
                <w:bCs/>
                <w:color w:val="auto"/>
                <w:sz w:val="24"/>
                <w:szCs w:val="24"/>
                <w:highlight w:val="none"/>
                <w:lang w:val="en-US" w:eastAsia="zh-CN"/>
              </w:rPr>
              <w:t>。</w:t>
            </w:r>
          </w:p>
          <w:p w14:paraId="5DE53691">
            <w:pPr>
              <w:autoSpaceDE w:val="0"/>
              <w:autoSpaceDN w:val="0"/>
              <w:adjustRightInd w:val="0"/>
              <w:spacing w:line="360" w:lineRule="auto"/>
              <w:jc w:val="left"/>
              <w:rPr>
                <w:rFonts w:hint="eastAsia"/>
                <w:color w:val="auto"/>
                <w:sz w:val="24"/>
                <w:szCs w:val="24"/>
                <w:highlight w:val="none"/>
                <w:lang w:val="en-US" w:eastAsia="zh-CN"/>
              </w:rPr>
            </w:pPr>
            <w:r>
              <w:rPr>
                <w:rFonts w:hint="eastAsia"/>
                <w:color w:val="auto"/>
                <w:sz w:val="24"/>
                <w:szCs w:val="24"/>
                <w:highlight w:val="none"/>
                <w:lang w:val="en-US" w:eastAsia="zh-CN"/>
              </w:rPr>
              <w:t>以上四项，每项</w:t>
            </w:r>
            <w:r>
              <w:rPr>
                <w:rFonts w:hint="eastAsia" w:ascii="宋体" w:hAnsi="宋体" w:eastAsia="宋体" w:cs="宋体"/>
                <w:color w:val="auto"/>
                <w:kern w:val="2"/>
                <w:sz w:val="24"/>
                <w:szCs w:val="24"/>
                <w:highlight w:val="none"/>
                <w:lang w:val="en-US" w:eastAsia="zh-CN" w:bidi="ar-SA"/>
              </w:rPr>
              <w:t>4</w:t>
            </w:r>
            <w:r>
              <w:rPr>
                <w:rFonts w:hint="eastAsia"/>
                <w:color w:val="auto"/>
                <w:sz w:val="24"/>
                <w:szCs w:val="24"/>
                <w:highlight w:val="none"/>
                <w:lang w:val="en-US" w:eastAsia="zh-CN"/>
              </w:rPr>
              <w:t>分。</w:t>
            </w:r>
          </w:p>
          <w:p w14:paraId="5EB1E06A">
            <w:pPr>
              <w:autoSpaceDE w:val="0"/>
              <w:autoSpaceDN w:val="0"/>
              <w:adjustRightInd w:val="0"/>
              <w:spacing w:line="360" w:lineRule="auto"/>
              <w:jc w:val="left"/>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w:t>
            </w:r>
            <w:r>
              <w:rPr>
                <w:rFonts w:hint="eastAsia"/>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项</w:t>
            </w:r>
            <w:r>
              <w:rPr>
                <w:rFonts w:hint="default" w:ascii="宋体" w:hAnsi="宋体" w:eastAsia="宋体" w:cs="宋体"/>
                <w:color w:val="auto"/>
                <w:sz w:val="24"/>
                <w:szCs w:val="24"/>
                <w:highlight w:val="none"/>
                <w:lang w:val="en-US" w:eastAsia="zh-CN"/>
              </w:rPr>
              <w:t>内容均与项目实际情况吻合、有具体详细的阐述，内容清楚明了、表述规范、含义准确；方案从实际出发，切合项目需求，符合项目特点；措施科学合理，安排得当，能有效落地执行和操作，保障项目高质量履约，实现采购目标；完全符合采购人实际需求的得</w:t>
            </w:r>
            <w:r>
              <w:rPr>
                <w:rFonts w:hint="eastAsia" w:ascii="宋体" w:hAnsi="宋体" w:eastAsia="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16</w:t>
            </w:r>
            <w:r>
              <w:rPr>
                <w:rFonts w:hint="default"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方案中每有一项内容要素存在缺失的扣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分；方案内容要素中每存在一处缺陷的扣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分，单项内容要素扣减分值不超过</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分，扣完为止</w:t>
            </w:r>
            <w:r>
              <w:rPr>
                <w:rFonts w:hint="eastAsia"/>
                <w:color w:val="auto"/>
                <w:sz w:val="24"/>
                <w:szCs w:val="24"/>
                <w:highlight w:val="none"/>
                <w:lang w:val="en-US" w:eastAsia="zh-CN"/>
              </w:rPr>
              <w:t>。</w:t>
            </w:r>
          </w:p>
          <w:p w14:paraId="443EF36D">
            <w:pPr>
              <w:autoSpaceDE w:val="0"/>
              <w:autoSpaceDN w:val="0"/>
              <w:adjustRightInd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b/>
                <w:bCs/>
                <w:color w:val="auto"/>
                <w:sz w:val="24"/>
                <w:szCs w:val="24"/>
                <w:highlight w:val="none"/>
                <w:lang w:val="en-US" w:eastAsia="zh-CN"/>
              </w:rPr>
              <w:t>注：</w:t>
            </w:r>
            <w:r>
              <w:rPr>
                <w:rFonts w:hint="eastAsia" w:ascii="宋体" w:hAnsi="宋体" w:eastAsia="宋体" w:cs="宋体"/>
                <w:color w:val="auto"/>
                <w:sz w:val="24"/>
                <w:szCs w:val="24"/>
                <w:highlight w:val="none"/>
                <w:lang w:val="en-US" w:eastAsia="zh-CN"/>
              </w:rPr>
              <w:t>以上涉及到的描述缺陷是指：内容生搬硬造、阐述存在逻辑错误、内容不合理、无针对性、内容简略不全面、不清晰、可行性操作性不高、前后矛盾、涉及内容无重点、与实际情况不匹配、不适用于本项目、与本项目无关、</w:t>
            </w:r>
            <w:r>
              <w:rPr>
                <w:rFonts w:hint="default"/>
                <w:color w:val="auto"/>
                <w:sz w:val="24"/>
                <w:szCs w:val="24"/>
                <w:highlight w:val="none"/>
                <w:lang w:val="en-US" w:eastAsia="zh-CN"/>
              </w:rPr>
              <w:t>对相关承诺及措施内容的关键要求没有详细说明、不能保障项目履约</w:t>
            </w:r>
            <w:r>
              <w:rPr>
                <w:rFonts w:hint="eastAsia"/>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数据错误或名称错误或地点错误或专业术语及符号错误或文字表述错误或存在照搬其他地区及项目的内容等任意一种情形</w:t>
            </w:r>
            <w:r>
              <w:rPr>
                <w:rFonts w:hint="eastAsia"/>
                <w:color w:val="auto"/>
                <w:sz w:val="24"/>
                <w:szCs w:val="24"/>
                <w:highlight w:val="none"/>
              </w:rPr>
              <w:t>。</w:t>
            </w:r>
          </w:p>
        </w:tc>
      </w:tr>
    </w:tbl>
    <w:p w14:paraId="39EF41D6">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（五）统计评标结果</w:t>
      </w:r>
    </w:p>
    <w:p w14:paraId="4A10538D">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1.评委应首先对各投标人投标文件进行评审，写出书面意见并按招标文件规定分值评分，各分档评分中间不得用插入法评分。 </w:t>
      </w:r>
    </w:p>
    <w:p w14:paraId="3193D8A8">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2.除投标价格得分外，其余部分由各评委自主评分并签字确认。 </w:t>
      </w:r>
    </w:p>
    <w:p w14:paraId="245EE14E">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3.统分原则：计算评委打分的算术平均值为投标人的该项评分因素的得分，投标报价得分除外</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保留小数点后两位</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 xml:space="preserve">。 </w:t>
      </w:r>
    </w:p>
    <w:p w14:paraId="2EF54A6F">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4.得分汇总：各项评分因素得分的总和即为投标人最后得分。 </w:t>
      </w:r>
    </w:p>
    <w:p w14:paraId="0F027D72">
      <w:pPr>
        <w:pStyle w:val="10"/>
        <w:spacing w:after="0" w:line="520" w:lineRule="exact"/>
        <w:ind w:left="0" w:leftChars="0" w:firstLine="48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5.经评标委员会认定评分畸高、畸低的，评标委员会应当当场修改评标结果，并在评标报告中记载。</w:t>
      </w:r>
    </w:p>
    <w:p w14:paraId="0882E7F9">
      <w:pPr>
        <w:pStyle w:val="10"/>
        <w:spacing w:after="0" w:line="520" w:lineRule="exact"/>
        <w:ind w:left="0" w:leftChars="0" w:firstLine="480"/>
        <w:jc w:val="left"/>
        <w:rPr>
          <w:rFonts w:hint="eastAsia" w:ascii="宋体" w:hAnsi="宋体" w:cs="宋体"/>
          <w:color w:val="auto"/>
          <w:sz w:val="24"/>
          <w:szCs w:val="28"/>
          <w:highlight w:val="none"/>
          <w:lang w:val="en-US" w:eastAsia="zh-CN"/>
        </w:rPr>
      </w:pPr>
      <w:r>
        <w:rPr>
          <w:rFonts w:hint="eastAsia" w:ascii="宋体" w:hAnsi="宋体" w:cs="宋体"/>
          <w:color w:val="auto"/>
          <w:sz w:val="24"/>
          <w:szCs w:val="28"/>
          <w:highlight w:val="none"/>
          <w:lang w:val="en-US" w:eastAsia="zh-CN"/>
        </w:rPr>
        <w:t>6.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848C552">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（六）编写评标报告</w:t>
      </w:r>
    </w:p>
    <w:p w14:paraId="39217B83">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val="en-US" w:eastAsia="zh-CN"/>
        </w:rPr>
        <w:t>政采云系统根据</w:t>
      </w:r>
      <w:r>
        <w:rPr>
          <w:rFonts w:hint="eastAsia" w:ascii="宋体" w:hAnsi="宋体" w:cs="宋体"/>
          <w:color w:val="auto"/>
          <w:sz w:val="24"/>
          <w:szCs w:val="28"/>
          <w:highlight w:val="none"/>
        </w:rPr>
        <w:t>评标委员会评标记录和评标结果</w:t>
      </w:r>
      <w:r>
        <w:rPr>
          <w:rFonts w:hint="eastAsia" w:ascii="宋体" w:hAnsi="宋体" w:cs="宋体"/>
          <w:color w:val="auto"/>
          <w:sz w:val="24"/>
          <w:szCs w:val="28"/>
          <w:highlight w:val="none"/>
          <w:lang w:val="en-US" w:eastAsia="zh-CN"/>
        </w:rPr>
        <w:t>自动生成</w:t>
      </w:r>
      <w:r>
        <w:rPr>
          <w:rFonts w:hint="eastAsia" w:ascii="宋体" w:hAnsi="宋体" w:cs="宋体"/>
          <w:color w:val="auto"/>
          <w:sz w:val="24"/>
          <w:szCs w:val="28"/>
          <w:highlight w:val="none"/>
        </w:rPr>
        <w:t>评标报告。评标报告应当包括以下内容：</w:t>
      </w:r>
    </w:p>
    <w:p w14:paraId="499532B6">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一</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招标公告刊登的媒体名称、开标日期和地点；</w:t>
      </w:r>
    </w:p>
    <w:p w14:paraId="0859278F">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二</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投标人名单和评标委员会成员名单；</w:t>
      </w:r>
    </w:p>
    <w:p w14:paraId="7D419D05">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三</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评标方法和标准；</w:t>
      </w:r>
    </w:p>
    <w:p w14:paraId="0028C049">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四</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开标记录和评标情况及说明，包括无效投标人名单及原因；</w:t>
      </w:r>
    </w:p>
    <w:p w14:paraId="04015230">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五</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评标结果，确定的中标候选人名单或者经采购人委托直接确定的中标人；</w:t>
      </w:r>
    </w:p>
    <w:p w14:paraId="0C11E52B">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六</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其他需要说明的情况，包括评标过程中投标人根据评标委员会要求进行的澄清、说明或者补正，评标委员会成员的更换等。</w:t>
      </w:r>
    </w:p>
    <w:p w14:paraId="7CAFF944">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　评标委员会成员对需要共同认定的事项存在争议的，应当按照少数服从多数的原则作出结论。持不同意见的评标委员会成员应当在评标报告上签署不同意见及理由，否则视为同意评标报告。</w:t>
      </w:r>
    </w:p>
    <w:p w14:paraId="484732D2">
      <w:pPr>
        <w:pStyle w:val="10"/>
        <w:spacing w:beforeLines="100" w:afterLines="50"/>
        <w:ind w:left="0" w:leftChars="0" w:firstLine="0" w:firstLineChars="0"/>
        <w:jc w:val="left"/>
        <w:rPr>
          <w:rFonts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六、下列情形之一的，视为投标人串通投标，其投标无效：</w:t>
      </w:r>
    </w:p>
    <w:p w14:paraId="40948117">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1.不同投标人的投标文件由同一单位或者个人编制；</w:t>
      </w:r>
    </w:p>
    <w:p w14:paraId="3E969BC5">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2.不同投标人委托同一单位或者个人办理投标事宜；</w:t>
      </w:r>
    </w:p>
    <w:p w14:paraId="6F2102EE">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3.不同投标人的投标文件载明的项目管理成员或者联系人员为同一人；</w:t>
      </w:r>
    </w:p>
    <w:p w14:paraId="196409BE">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4.不同投标人的投标文件异常一致或者投标报价呈规律性差异；</w:t>
      </w:r>
    </w:p>
    <w:p w14:paraId="4EEE05CC">
      <w:pPr>
        <w:pStyle w:val="10"/>
        <w:spacing w:after="0" w:line="520" w:lineRule="exact"/>
        <w:ind w:left="0" w:leftChars="0"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5.不同投标人的投标文件相互混装；</w:t>
      </w:r>
    </w:p>
    <w:p w14:paraId="459E6DEF">
      <w:pPr>
        <w:pStyle w:val="10"/>
        <w:spacing w:after="0" w:line="520" w:lineRule="exact"/>
        <w:ind w:left="0" w:leftChars="0" w:firstLine="480"/>
        <w:jc w:val="left"/>
        <w:rPr>
          <w:rFonts w:ascii="宋体" w:hAnsi="宋体" w:cs="宋体"/>
          <w:color w:val="auto"/>
          <w:sz w:val="24"/>
          <w:szCs w:val="28"/>
          <w:highlight w:val="none"/>
        </w:rPr>
        <w:sectPr>
          <w:pgSz w:w="11905" w:h="16840"/>
          <w:pgMar w:top="1440" w:right="1083" w:bottom="1440" w:left="1083" w:header="851" w:footer="1191" w:gutter="0"/>
          <w:pgNumType w:fmt="decimal"/>
          <w:cols w:space="0" w:num="1"/>
          <w:titlePg/>
          <w:docGrid w:linePitch="312" w:charSpace="0"/>
        </w:sectPr>
      </w:pPr>
      <w:r>
        <w:rPr>
          <w:rFonts w:hint="eastAsia" w:ascii="宋体" w:hAnsi="宋体" w:cs="宋体"/>
          <w:color w:val="auto"/>
          <w:sz w:val="24"/>
          <w:szCs w:val="28"/>
          <w:highlight w:val="none"/>
        </w:rPr>
        <w:t>6.不同投标人的投标保证金从同一单位或者个人的账户转出。</w:t>
      </w:r>
    </w:p>
    <w:p w14:paraId="5BA8B4AD">
      <w:pPr>
        <w:spacing w:afterLines="100"/>
        <w:jc w:val="center"/>
        <w:rPr>
          <w:rFonts w:ascii="宋体" w:cs="宋体"/>
          <w:b/>
          <w:color w:val="auto"/>
          <w:sz w:val="44"/>
          <w:szCs w:val="44"/>
          <w:highlight w:val="none"/>
        </w:rPr>
      </w:pPr>
      <w:r>
        <w:rPr>
          <w:rFonts w:hint="eastAsia" w:ascii="宋体" w:cs="宋体"/>
          <w:b/>
          <w:color w:val="auto"/>
          <w:sz w:val="44"/>
          <w:szCs w:val="44"/>
          <w:highlight w:val="none"/>
        </w:rPr>
        <w:t>第四章 合同条款及合同书样式</w:t>
      </w:r>
    </w:p>
    <w:p w14:paraId="72E82E4D">
      <w:pPr>
        <w:jc w:val="center"/>
        <w:rPr>
          <w:rStyle w:val="29"/>
          <w:rFonts w:ascii="宋体" w:hAnsi="宋体" w:cs="宋体"/>
          <w:b/>
          <w:bCs/>
          <w:color w:val="auto"/>
          <w:sz w:val="36"/>
          <w:szCs w:val="36"/>
          <w:highlight w:val="none"/>
        </w:rPr>
      </w:pPr>
      <w:r>
        <w:rPr>
          <w:rFonts w:hint="eastAsia" w:ascii="仿宋" w:hAnsi="仿宋" w:eastAsia="仿宋" w:cs="仿宋"/>
          <w:b/>
          <w:bCs/>
          <w:color w:val="auto"/>
          <w:sz w:val="24"/>
          <w:highlight w:val="none"/>
        </w:rPr>
        <w:t>（注：此合同格式仅供参考，最终以合同洽谈时签订为准）</w:t>
      </w:r>
    </w:p>
    <w:p w14:paraId="4161B2AD">
      <w:pPr>
        <w:autoSpaceDE w:val="0"/>
        <w:autoSpaceDN w:val="0"/>
        <w:adjustRightInd w:val="0"/>
        <w:spacing w:line="300" w:lineRule="auto"/>
        <w:ind w:right="-72"/>
        <w:rPr>
          <w:rFonts w:ascii="宋体" w:hAnsi="宋体" w:cs="宋体"/>
          <w:color w:val="auto"/>
          <w:kern w:val="0"/>
          <w:sz w:val="24"/>
          <w:highlight w:val="none"/>
        </w:rPr>
      </w:pPr>
    </w:p>
    <w:p w14:paraId="0606314C">
      <w:pPr>
        <w:pStyle w:val="10"/>
        <w:rPr>
          <w:color w:val="auto"/>
          <w:highlight w:val="none"/>
        </w:rPr>
      </w:pPr>
    </w:p>
    <w:p w14:paraId="6E8F25E2">
      <w:pPr>
        <w:autoSpaceDE w:val="0"/>
        <w:autoSpaceDN w:val="0"/>
        <w:adjustRightInd w:val="0"/>
        <w:spacing w:line="300" w:lineRule="auto"/>
        <w:ind w:right="-72"/>
        <w:rPr>
          <w:rFonts w:ascii="宋体" w:hAnsi="宋体" w:cs="宋体"/>
          <w:color w:val="auto"/>
          <w:kern w:val="0"/>
          <w:sz w:val="24"/>
          <w:highlight w:val="none"/>
        </w:rPr>
      </w:pPr>
    </w:p>
    <w:p w14:paraId="50A54085">
      <w:pPr>
        <w:autoSpaceDE w:val="0"/>
        <w:autoSpaceDN w:val="0"/>
        <w:adjustRightInd w:val="0"/>
        <w:spacing w:line="300" w:lineRule="auto"/>
        <w:ind w:right="-72"/>
        <w:rPr>
          <w:rFonts w:ascii="宋体" w:hAnsi="宋体" w:cs="宋体"/>
          <w:color w:val="auto"/>
          <w:kern w:val="0"/>
          <w:sz w:val="24"/>
          <w:highlight w:val="none"/>
        </w:rPr>
      </w:pPr>
      <w:r>
        <w:rPr>
          <w:rFonts w:hint="eastAsia" w:ascii="宋体" w:hAnsi="宋体" w:cs="宋体"/>
          <w:color w:val="auto"/>
          <w:kern w:val="0"/>
          <w:sz w:val="24"/>
          <w:highlight w:val="none"/>
        </w:rPr>
        <w:t>合同编号：               合同自编号：           招标编号：</w:t>
      </w:r>
    </w:p>
    <w:p w14:paraId="1C4E7D2E">
      <w:pPr>
        <w:widowControl/>
        <w:tabs>
          <w:tab w:val="left" w:pos="1155"/>
          <w:tab w:val="left" w:pos="2865"/>
          <w:tab w:val="left" w:pos="5307"/>
          <w:tab w:val="left" w:pos="5595"/>
          <w:tab w:val="left" w:pos="6620"/>
          <w:tab w:val="left" w:pos="7940"/>
        </w:tabs>
        <w:jc w:val="left"/>
        <w:rPr>
          <w:rFonts w:ascii="宋体" w:hAnsi="宋体" w:cs="Arial"/>
          <w:b/>
          <w:color w:val="auto"/>
          <w:kern w:val="0"/>
          <w:szCs w:val="21"/>
          <w:highlight w:val="none"/>
        </w:rPr>
      </w:pPr>
    </w:p>
    <w:p w14:paraId="3F0D3C0D">
      <w:pPr>
        <w:pStyle w:val="31"/>
        <w:rPr>
          <w:color w:val="auto"/>
          <w:highlight w:val="none"/>
        </w:rPr>
      </w:pPr>
      <w:r>
        <w:rPr>
          <w:rFonts w:hint="eastAsia" w:hAnsi="宋体" w:cs="Arial"/>
          <w:b/>
          <w:color w:val="auto"/>
          <w:sz w:val="21"/>
          <w:szCs w:val="21"/>
          <w:highlight w:val="none"/>
        </w:rPr>
        <w:t>本合同须加盖甲乙双方骑缝章有效</w:t>
      </w:r>
    </w:p>
    <w:p w14:paraId="11DB3E72">
      <w:pPr>
        <w:widowControl/>
        <w:tabs>
          <w:tab w:val="left" w:pos="1155"/>
          <w:tab w:val="left" w:pos="2865"/>
          <w:tab w:val="left" w:pos="5307"/>
          <w:tab w:val="left" w:pos="5595"/>
          <w:tab w:val="left" w:pos="6620"/>
          <w:tab w:val="left" w:pos="7940"/>
        </w:tabs>
        <w:jc w:val="center"/>
        <w:rPr>
          <w:rFonts w:ascii="宋体" w:hAnsi="宋体" w:cs="Arial"/>
          <w:b/>
          <w:color w:val="auto"/>
          <w:kern w:val="0"/>
          <w:sz w:val="52"/>
          <w:szCs w:val="52"/>
          <w:highlight w:val="none"/>
        </w:rPr>
      </w:pPr>
      <w:r>
        <w:rPr>
          <w:rFonts w:hint="eastAsia" w:ascii="宋体" w:hAnsi="宋体" w:cs="Arial"/>
          <w:b/>
          <w:color w:val="auto"/>
          <w:kern w:val="0"/>
          <w:sz w:val="52"/>
          <w:szCs w:val="52"/>
          <w:highlight w:val="none"/>
        </w:rPr>
        <w:t>云南省政府采购</w:t>
      </w:r>
    </w:p>
    <w:p w14:paraId="5CE08AEA">
      <w:pPr>
        <w:widowControl/>
        <w:spacing w:line="600" w:lineRule="exact"/>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lang w:eastAsia="zh-CN"/>
        </w:rPr>
        <w:t>（</w:t>
      </w:r>
      <w:r>
        <w:rPr>
          <w:rFonts w:hint="eastAsia" w:ascii="宋体" w:hAnsi="宋体" w:cs="Arial"/>
          <w:b/>
          <w:color w:val="auto"/>
          <w:kern w:val="0"/>
          <w:sz w:val="32"/>
          <w:szCs w:val="32"/>
          <w:highlight w:val="none"/>
        </w:rPr>
        <w:t>委托采购</w:t>
      </w:r>
      <w:r>
        <w:rPr>
          <w:rFonts w:hint="eastAsia" w:ascii="宋体" w:hAnsi="宋体" w:cs="Arial"/>
          <w:b/>
          <w:color w:val="auto"/>
          <w:kern w:val="0"/>
          <w:sz w:val="32"/>
          <w:szCs w:val="32"/>
          <w:highlight w:val="none"/>
          <w:lang w:eastAsia="zh-CN"/>
        </w:rPr>
        <w:t>）</w:t>
      </w:r>
    </w:p>
    <w:p w14:paraId="1F85F107">
      <w:pPr>
        <w:widowControl/>
        <w:spacing w:after="240"/>
        <w:jc w:val="center"/>
        <w:rPr>
          <w:rFonts w:ascii="宋体" w:hAnsi="宋体" w:cs="Arial"/>
          <w:color w:val="auto"/>
          <w:kern w:val="0"/>
          <w:sz w:val="24"/>
          <w:highlight w:val="none"/>
        </w:rPr>
      </w:pPr>
    </w:p>
    <w:p w14:paraId="78AA42DF">
      <w:pPr>
        <w:widowControl/>
        <w:spacing w:after="240"/>
        <w:jc w:val="center"/>
        <w:rPr>
          <w:rFonts w:ascii="宋体" w:hAnsi="宋体" w:cs="Arial"/>
          <w:color w:val="auto"/>
          <w:kern w:val="0"/>
          <w:sz w:val="84"/>
          <w:szCs w:val="84"/>
          <w:highlight w:val="none"/>
        </w:rPr>
      </w:pPr>
      <w:r>
        <w:rPr>
          <w:rFonts w:hint="eastAsia" w:ascii="宋体" w:hAnsi="宋体" w:cs="Arial"/>
          <w:color w:val="auto"/>
          <w:kern w:val="0"/>
          <w:sz w:val="24"/>
          <w:highlight w:val="none"/>
        </w:rPr>
        <w:t>（此合同模板仅供参考，具体内容</w:t>
      </w:r>
      <w:r>
        <w:rPr>
          <w:rFonts w:hint="eastAsia" w:ascii="宋体" w:hAnsi="宋体" w:cs="Arial"/>
          <w:color w:val="auto"/>
          <w:kern w:val="0"/>
          <w:sz w:val="24"/>
          <w:highlight w:val="none"/>
          <w:lang w:eastAsia="zh-CN"/>
        </w:rPr>
        <w:t>以</w:t>
      </w:r>
      <w:r>
        <w:rPr>
          <w:rFonts w:hint="eastAsia" w:ascii="宋体" w:hAnsi="宋体" w:cs="Arial"/>
          <w:color w:val="auto"/>
          <w:kern w:val="0"/>
          <w:sz w:val="24"/>
          <w:highlight w:val="none"/>
        </w:rPr>
        <w:t>实际签订合同为准）</w:t>
      </w:r>
    </w:p>
    <w:p w14:paraId="60CAD0F5">
      <w:pPr>
        <w:widowControl/>
        <w:jc w:val="center"/>
        <w:rPr>
          <w:rFonts w:ascii="宋体" w:hAnsi="宋体" w:cs="Arial"/>
          <w:b/>
          <w:color w:val="auto"/>
          <w:kern w:val="0"/>
          <w:sz w:val="84"/>
          <w:szCs w:val="84"/>
          <w:highlight w:val="none"/>
        </w:rPr>
      </w:pPr>
    </w:p>
    <w:p w14:paraId="7FE885D2">
      <w:pPr>
        <w:widowControl/>
        <w:jc w:val="center"/>
        <w:rPr>
          <w:rFonts w:ascii="宋体" w:hAnsi="宋体" w:cs="Arial"/>
          <w:b/>
          <w:color w:val="auto"/>
          <w:kern w:val="0"/>
          <w:sz w:val="84"/>
          <w:szCs w:val="84"/>
          <w:highlight w:val="none"/>
        </w:rPr>
      </w:pPr>
      <w:r>
        <w:rPr>
          <w:rFonts w:hint="eastAsia" w:ascii="宋体" w:hAnsi="宋体" w:cs="Arial"/>
          <w:b/>
          <w:color w:val="auto"/>
          <w:kern w:val="0"/>
          <w:sz w:val="84"/>
          <w:szCs w:val="84"/>
          <w:highlight w:val="none"/>
        </w:rPr>
        <w:t>合</w:t>
      </w:r>
    </w:p>
    <w:p w14:paraId="34622D4A">
      <w:pPr>
        <w:widowControl/>
        <w:jc w:val="center"/>
        <w:rPr>
          <w:rFonts w:ascii="宋体" w:hAnsi="宋体" w:cs="Arial"/>
          <w:b/>
          <w:color w:val="auto"/>
          <w:kern w:val="0"/>
          <w:sz w:val="84"/>
          <w:szCs w:val="84"/>
          <w:highlight w:val="none"/>
        </w:rPr>
      </w:pPr>
      <w:r>
        <w:rPr>
          <w:rFonts w:hint="eastAsia" w:ascii="宋体" w:hAnsi="宋体" w:cs="Arial"/>
          <w:b/>
          <w:color w:val="auto"/>
          <w:kern w:val="0"/>
          <w:sz w:val="84"/>
          <w:szCs w:val="84"/>
          <w:highlight w:val="none"/>
        </w:rPr>
        <w:t>同</w:t>
      </w:r>
    </w:p>
    <w:p w14:paraId="79288B48">
      <w:pPr>
        <w:widowControl/>
        <w:jc w:val="center"/>
        <w:rPr>
          <w:rFonts w:ascii="宋体" w:hAnsi="宋体" w:cs="Arial"/>
          <w:b/>
          <w:bCs/>
          <w:color w:val="auto"/>
          <w:kern w:val="0"/>
          <w:sz w:val="28"/>
          <w:szCs w:val="28"/>
          <w:highlight w:val="none"/>
        </w:rPr>
      </w:pPr>
      <w:r>
        <w:rPr>
          <w:rFonts w:hint="eastAsia" w:ascii="宋体" w:hAnsi="宋体" w:cs="Arial"/>
          <w:b/>
          <w:color w:val="auto"/>
          <w:kern w:val="0"/>
          <w:sz w:val="84"/>
          <w:szCs w:val="84"/>
          <w:highlight w:val="none"/>
        </w:rPr>
        <w:t>书</w:t>
      </w:r>
    </w:p>
    <w:p w14:paraId="3514368E">
      <w:pPr>
        <w:widowControl/>
        <w:spacing w:line="900" w:lineRule="exact"/>
        <w:ind w:firstLine="2530" w:firstLineChars="900"/>
        <w:rPr>
          <w:rFonts w:ascii="宋体" w:hAnsi="宋体" w:cs="Arial"/>
          <w:b/>
          <w:bCs/>
          <w:color w:val="auto"/>
          <w:kern w:val="0"/>
          <w:sz w:val="28"/>
          <w:szCs w:val="28"/>
          <w:highlight w:val="none"/>
        </w:rPr>
      </w:pPr>
    </w:p>
    <w:p w14:paraId="36EEDDE4">
      <w:pPr>
        <w:widowControl/>
        <w:spacing w:line="900" w:lineRule="exact"/>
        <w:ind w:firstLine="2530" w:firstLineChars="900"/>
        <w:rPr>
          <w:rFonts w:ascii="宋体" w:hAnsi="宋体" w:cs="Arial"/>
          <w:color w:val="auto"/>
          <w:kern w:val="0"/>
          <w:sz w:val="28"/>
          <w:szCs w:val="28"/>
          <w:highlight w:val="none"/>
        </w:rPr>
      </w:pPr>
      <w:r>
        <w:rPr>
          <w:rFonts w:hint="eastAsia" w:ascii="宋体" w:hAnsi="宋体" w:cs="Arial"/>
          <w:b/>
          <w:bCs/>
          <w:color w:val="auto"/>
          <w:kern w:val="0"/>
          <w:sz w:val="28"/>
          <w:szCs w:val="28"/>
          <w:highlight w:val="none"/>
        </w:rPr>
        <w:t>签订地点</w:t>
      </w:r>
      <w:r>
        <w:rPr>
          <w:rFonts w:hint="eastAsia" w:ascii="宋体" w:hAnsi="宋体" w:cs="Arial"/>
          <w:b/>
          <w:bCs/>
          <w:color w:val="auto"/>
          <w:kern w:val="0"/>
          <w:sz w:val="28"/>
          <w:szCs w:val="28"/>
          <w:highlight w:val="none"/>
          <w:lang w:eastAsia="zh-CN"/>
        </w:rPr>
        <w:t>：</w:t>
      </w:r>
      <w:r>
        <w:rPr>
          <w:rFonts w:hint="eastAsia" w:ascii="宋体" w:hAnsi="宋体" w:cs="Arial"/>
          <w:b/>
          <w:bCs/>
          <w:color w:val="auto"/>
          <w:kern w:val="0"/>
          <w:sz w:val="28"/>
          <w:szCs w:val="28"/>
          <w:highlight w:val="none"/>
        </w:rPr>
        <w:t xml:space="preserve">          </w:t>
      </w:r>
    </w:p>
    <w:p w14:paraId="0004E3B5">
      <w:pPr>
        <w:widowControl/>
        <w:spacing w:line="900" w:lineRule="exact"/>
        <w:ind w:firstLine="2249" w:firstLineChars="800"/>
        <w:rPr>
          <w:rFonts w:ascii="宋体" w:hAnsi="宋体" w:cs="Arial"/>
          <w:b/>
          <w:bCs/>
          <w:color w:val="auto"/>
          <w:kern w:val="0"/>
          <w:sz w:val="28"/>
          <w:szCs w:val="28"/>
          <w:highlight w:val="none"/>
        </w:rPr>
      </w:pPr>
      <w:r>
        <w:rPr>
          <w:rFonts w:hint="eastAsia" w:ascii="宋体" w:hAnsi="宋体" w:cs="Arial"/>
          <w:b/>
          <w:bCs/>
          <w:color w:val="auto"/>
          <w:kern w:val="0"/>
          <w:sz w:val="28"/>
          <w:szCs w:val="28"/>
          <w:highlight w:val="none"/>
        </w:rPr>
        <w:t>云南省财政厅　制</w:t>
      </w:r>
    </w:p>
    <w:p w14:paraId="759702D5">
      <w:pPr>
        <w:spacing w:line="500" w:lineRule="exact"/>
        <w:ind w:firstLine="480" w:firstLineChars="200"/>
        <w:rPr>
          <w:rFonts w:ascii="宋体" w:hAnsi="宋体" w:cs="宋体"/>
          <w:color w:val="auto"/>
          <w:sz w:val="24"/>
          <w:highlight w:val="none"/>
        </w:rPr>
      </w:pPr>
    </w:p>
    <w:p w14:paraId="27E77044">
      <w:pPr>
        <w:spacing w:line="500" w:lineRule="exact"/>
        <w:ind w:firstLine="241" w:firstLineChars="100"/>
        <w:rPr>
          <w:rFonts w:ascii="宋体" w:hAnsi="宋体" w:cs="宋体"/>
          <w:b/>
          <w:color w:val="auto"/>
          <w:sz w:val="24"/>
          <w:highlight w:val="none"/>
        </w:rPr>
        <w:sectPr>
          <w:pgSz w:w="11905" w:h="16840"/>
          <w:pgMar w:top="1701" w:right="1440" w:bottom="1701" w:left="1440" w:header="851" w:footer="1191" w:gutter="0"/>
          <w:pgNumType w:fmt="decimal"/>
          <w:cols w:space="0" w:num="1"/>
          <w:titlePg/>
          <w:docGrid w:linePitch="312" w:charSpace="0"/>
        </w:sectPr>
      </w:pPr>
    </w:p>
    <w:p w14:paraId="7B8052E8">
      <w:pPr>
        <w:spacing w:line="360" w:lineRule="auto"/>
        <w:ind w:firstLine="241" w:firstLineChars="100"/>
        <w:rPr>
          <w:rFonts w:ascii="宋体" w:hAnsi="宋体" w:cs="宋体"/>
          <w:b/>
          <w:color w:val="auto"/>
          <w:sz w:val="24"/>
          <w:highlight w:val="none"/>
          <w:u w:val="single"/>
        </w:rPr>
      </w:pPr>
      <w:r>
        <w:rPr>
          <w:rFonts w:hint="eastAsia" w:ascii="宋体" w:hAnsi="宋体" w:cs="宋体"/>
          <w:b/>
          <w:color w:val="auto"/>
          <w:sz w:val="24"/>
          <w:highlight w:val="none"/>
        </w:rPr>
        <w:t>甲方：</w:t>
      </w:r>
    </w:p>
    <w:p w14:paraId="5265E716">
      <w:pPr>
        <w:spacing w:line="360" w:lineRule="auto"/>
        <w:ind w:firstLine="482" w:firstLineChars="200"/>
        <w:rPr>
          <w:rFonts w:ascii="宋体" w:hAnsi="宋体" w:cs="宋体"/>
          <w:b/>
          <w:color w:val="auto"/>
          <w:sz w:val="24"/>
          <w:highlight w:val="none"/>
        </w:rPr>
      </w:pPr>
    </w:p>
    <w:p w14:paraId="01BD99A0">
      <w:pPr>
        <w:spacing w:line="360" w:lineRule="auto"/>
        <w:ind w:firstLine="241" w:firstLineChars="100"/>
        <w:rPr>
          <w:rFonts w:ascii="宋体" w:hAnsi="宋体" w:cs="宋体"/>
          <w:color w:val="auto"/>
          <w:sz w:val="24"/>
          <w:highlight w:val="none"/>
        </w:rPr>
      </w:pPr>
      <w:bookmarkStart w:id="179" w:name="_Toc19301"/>
      <w:bookmarkStart w:id="180" w:name="_Toc30665"/>
      <w:bookmarkStart w:id="181" w:name="_Toc27007"/>
      <w:r>
        <w:rPr>
          <w:rFonts w:hint="eastAsia" w:ascii="宋体" w:hAnsi="宋体" w:cs="宋体"/>
          <w:b/>
          <w:color w:val="auto"/>
          <w:sz w:val="24"/>
          <w:highlight w:val="none"/>
        </w:rPr>
        <w:t>乙方：</w:t>
      </w:r>
      <w:bookmarkEnd w:id="179"/>
      <w:bookmarkEnd w:id="180"/>
      <w:bookmarkEnd w:id="181"/>
    </w:p>
    <w:p w14:paraId="312A6656">
      <w:pPr>
        <w:pStyle w:val="31"/>
        <w:spacing w:line="360" w:lineRule="auto"/>
        <w:ind w:firstLine="480" w:firstLineChars="200"/>
        <w:rPr>
          <w:rFonts w:hAnsi="宋体"/>
          <w:color w:val="auto"/>
          <w:highlight w:val="none"/>
        </w:rPr>
      </w:pPr>
    </w:p>
    <w:p w14:paraId="2B2056A6">
      <w:pPr>
        <w:pStyle w:val="31"/>
        <w:spacing w:line="500" w:lineRule="exact"/>
        <w:ind w:firstLine="480" w:firstLineChars="200"/>
        <w:rPr>
          <w:rFonts w:hAnsi="宋体"/>
          <w:color w:val="auto"/>
          <w:highlight w:val="none"/>
        </w:rPr>
      </w:pPr>
      <w:r>
        <w:rPr>
          <w:rFonts w:hint="eastAsia" w:hAnsi="宋体"/>
          <w:color w:val="auto"/>
          <w:highlight w:val="none"/>
        </w:rPr>
        <w:t>根据招标编号：公开招标结果，甲、乙双方在平等、互利、友好的基础上，经过共同协商</w:t>
      </w:r>
      <w:r>
        <w:rPr>
          <w:rFonts w:hint="eastAsia" w:hAnsi="宋体"/>
          <w:color w:val="auto"/>
          <w:highlight w:val="none"/>
          <w:lang w:eastAsia="zh-CN"/>
        </w:rPr>
        <w:t>，</w:t>
      </w:r>
      <w:r>
        <w:rPr>
          <w:rFonts w:hint="eastAsia" w:hAnsi="宋体"/>
          <w:color w:val="auto"/>
          <w:highlight w:val="none"/>
        </w:rPr>
        <w:t>甲方和乙方签订合同如下：</w:t>
      </w:r>
    </w:p>
    <w:p w14:paraId="10DE5969">
      <w:pPr>
        <w:pStyle w:val="31"/>
        <w:spacing w:beforeLines="50" w:line="500" w:lineRule="exact"/>
        <w:ind w:firstLine="482" w:firstLineChars="200"/>
        <w:rPr>
          <w:rFonts w:hint="eastAsia" w:hAnsi="宋体" w:eastAsia="宋体"/>
          <w:b/>
          <w:color w:val="auto"/>
          <w:highlight w:val="none"/>
          <w:lang w:eastAsia="zh-CN"/>
        </w:rPr>
      </w:pPr>
      <w:r>
        <w:rPr>
          <w:rFonts w:hint="eastAsia" w:hAnsi="宋体"/>
          <w:b/>
          <w:color w:val="auto"/>
          <w:highlight w:val="none"/>
        </w:rPr>
        <w:t>1.合同文件</w:t>
      </w:r>
    </w:p>
    <w:p w14:paraId="585629AF">
      <w:pPr>
        <w:pStyle w:val="31"/>
        <w:spacing w:beforeLines="50" w:line="500" w:lineRule="exact"/>
        <w:ind w:firstLine="480" w:firstLineChars="200"/>
        <w:rPr>
          <w:rFonts w:hAnsi="宋体"/>
          <w:color w:val="auto"/>
          <w:highlight w:val="none"/>
        </w:rPr>
      </w:pPr>
      <w:r>
        <w:rPr>
          <w:rFonts w:hint="eastAsia" w:hAnsi="宋体"/>
          <w:color w:val="auto"/>
          <w:highlight w:val="none"/>
        </w:rPr>
        <w:t>本合同包含下列文件</w:t>
      </w:r>
    </w:p>
    <w:p w14:paraId="41A439FE">
      <w:pPr>
        <w:pStyle w:val="31"/>
        <w:spacing w:line="500" w:lineRule="exact"/>
        <w:ind w:firstLine="480" w:firstLineChars="200"/>
        <w:rPr>
          <w:rFonts w:hAnsi="宋体"/>
          <w:color w:val="auto"/>
          <w:highlight w:val="none"/>
        </w:rPr>
      </w:pPr>
      <w:r>
        <w:rPr>
          <w:rFonts w:hint="eastAsia" w:hAnsi="宋体"/>
          <w:color w:val="auto"/>
          <w:highlight w:val="none"/>
        </w:rPr>
        <w:t>1.1 本合同</w:t>
      </w:r>
    </w:p>
    <w:p w14:paraId="1632931E">
      <w:pPr>
        <w:pStyle w:val="31"/>
        <w:spacing w:line="500" w:lineRule="exact"/>
        <w:ind w:firstLine="480" w:firstLineChars="200"/>
        <w:rPr>
          <w:rFonts w:hAnsi="宋体"/>
          <w:color w:val="auto"/>
          <w:highlight w:val="none"/>
        </w:rPr>
      </w:pPr>
      <w:r>
        <w:rPr>
          <w:rFonts w:hint="eastAsia" w:hAnsi="宋体"/>
          <w:color w:val="auto"/>
          <w:highlight w:val="none"/>
        </w:rPr>
        <w:t>1.2 投标文件</w:t>
      </w:r>
    </w:p>
    <w:p w14:paraId="7313E718">
      <w:pPr>
        <w:pStyle w:val="31"/>
        <w:spacing w:beforeLines="50" w:line="500" w:lineRule="exact"/>
        <w:ind w:firstLine="482" w:firstLineChars="200"/>
        <w:rPr>
          <w:rFonts w:hAnsi="宋体"/>
          <w:b/>
          <w:color w:val="auto"/>
          <w:highlight w:val="none"/>
        </w:rPr>
      </w:pPr>
      <w:r>
        <w:rPr>
          <w:rFonts w:hint="eastAsia" w:hAnsi="宋体"/>
          <w:b/>
          <w:color w:val="auto"/>
          <w:highlight w:val="none"/>
        </w:rPr>
        <w:t>2.合同标的及价格</w:t>
      </w:r>
    </w:p>
    <w:p w14:paraId="09DDBB46">
      <w:pPr>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2.1采购清单</w:t>
      </w:r>
    </w:p>
    <w:tbl>
      <w:tblPr>
        <w:tblStyle w:val="2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410"/>
        <w:gridCol w:w="3195"/>
        <w:gridCol w:w="765"/>
        <w:gridCol w:w="810"/>
        <w:gridCol w:w="780"/>
        <w:gridCol w:w="787"/>
      </w:tblGrid>
      <w:tr w14:paraId="38A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20" w:type="dxa"/>
            <w:vAlign w:val="center"/>
          </w:tcPr>
          <w:p w14:paraId="17890E2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名称</w:t>
            </w:r>
          </w:p>
        </w:tc>
        <w:tc>
          <w:tcPr>
            <w:tcW w:w="1410" w:type="dxa"/>
            <w:vAlign w:val="center"/>
          </w:tcPr>
          <w:p w14:paraId="4F2797C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品牌/厂家</w:t>
            </w:r>
          </w:p>
        </w:tc>
        <w:tc>
          <w:tcPr>
            <w:tcW w:w="3195" w:type="dxa"/>
            <w:vAlign w:val="center"/>
          </w:tcPr>
          <w:p w14:paraId="0E0B02E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项目特征规格、技术参数、性能要求</w:t>
            </w:r>
          </w:p>
        </w:tc>
        <w:tc>
          <w:tcPr>
            <w:tcW w:w="765" w:type="dxa"/>
            <w:vAlign w:val="center"/>
          </w:tcPr>
          <w:p w14:paraId="264CA7E9">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810" w:type="dxa"/>
            <w:vAlign w:val="center"/>
          </w:tcPr>
          <w:p w14:paraId="606D4A6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780" w:type="dxa"/>
            <w:vAlign w:val="center"/>
          </w:tcPr>
          <w:p w14:paraId="1AE6B3C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单价</w:t>
            </w:r>
          </w:p>
        </w:tc>
        <w:tc>
          <w:tcPr>
            <w:tcW w:w="787" w:type="dxa"/>
            <w:vAlign w:val="center"/>
          </w:tcPr>
          <w:p w14:paraId="01D13A6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合价</w:t>
            </w:r>
          </w:p>
        </w:tc>
      </w:tr>
      <w:tr w14:paraId="55B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20" w:type="dxa"/>
            <w:vAlign w:val="center"/>
          </w:tcPr>
          <w:p w14:paraId="4F4F303D">
            <w:pPr>
              <w:spacing w:line="500" w:lineRule="exact"/>
              <w:jc w:val="center"/>
              <w:rPr>
                <w:rFonts w:ascii="宋体" w:hAnsi="宋体" w:cs="宋体"/>
                <w:color w:val="auto"/>
                <w:sz w:val="24"/>
                <w:highlight w:val="none"/>
              </w:rPr>
            </w:pPr>
          </w:p>
        </w:tc>
        <w:tc>
          <w:tcPr>
            <w:tcW w:w="1410" w:type="dxa"/>
            <w:vAlign w:val="center"/>
          </w:tcPr>
          <w:p w14:paraId="6AE32768">
            <w:pPr>
              <w:spacing w:line="500" w:lineRule="exact"/>
              <w:jc w:val="center"/>
              <w:rPr>
                <w:rFonts w:ascii="宋体" w:hAnsi="宋体" w:cs="宋体"/>
                <w:color w:val="auto"/>
                <w:sz w:val="24"/>
                <w:highlight w:val="none"/>
              </w:rPr>
            </w:pPr>
          </w:p>
        </w:tc>
        <w:tc>
          <w:tcPr>
            <w:tcW w:w="3195" w:type="dxa"/>
            <w:vAlign w:val="center"/>
          </w:tcPr>
          <w:p w14:paraId="3511CE20">
            <w:pPr>
              <w:spacing w:line="500" w:lineRule="exact"/>
              <w:jc w:val="center"/>
              <w:rPr>
                <w:rFonts w:ascii="宋体" w:hAnsi="宋体" w:cs="宋体"/>
                <w:color w:val="auto"/>
                <w:sz w:val="24"/>
                <w:highlight w:val="none"/>
              </w:rPr>
            </w:pPr>
          </w:p>
        </w:tc>
        <w:tc>
          <w:tcPr>
            <w:tcW w:w="765" w:type="dxa"/>
            <w:vAlign w:val="center"/>
          </w:tcPr>
          <w:p w14:paraId="5D0F1A47">
            <w:pPr>
              <w:spacing w:line="500" w:lineRule="exact"/>
              <w:jc w:val="center"/>
              <w:rPr>
                <w:rFonts w:ascii="宋体" w:hAnsi="宋体" w:cs="宋体"/>
                <w:color w:val="auto"/>
                <w:sz w:val="24"/>
                <w:highlight w:val="none"/>
              </w:rPr>
            </w:pPr>
          </w:p>
        </w:tc>
        <w:tc>
          <w:tcPr>
            <w:tcW w:w="810" w:type="dxa"/>
            <w:vAlign w:val="center"/>
          </w:tcPr>
          <w:p w14:paraId="704C1A66">
            <w:pPr>
              <w:spacing w:line="500" w:lineRule="exact"/>
              <w:jc w:val="center"/>
              <w:rPr>
                <w:rFonts w:ascii="宋体" w:hAnsi="宋体" w:cs="宋体"/>
                <w:color w:val="auto"/>
                <w:sz w:val="24"/>
                <w:highlight w:val="none"/>
              </w:rPr>
            </w:pPr>
          </w:p>
        </w:tc>
        <w:tc>
          <w:tcPr>
            <w:tcW w:w="780" w:type="dxa"/>
          </w:tcPr>
          <w:p w14:paraId="4FAF777A">
            <w:pPr>
              <w:spacing w:line="500" w:lineRule="exact"/>
              <w:rPr>
                <w:rFonts w:ascii="宋体" w:hAnsi="宋体" w:cs="宋体"/>
                <w:color w:val="auto"/>
                <w:sz w:val="24"/>
                <w:highlight w:val="none"/>
              </w:rPr>
            </w:pPr>
          </w:p>
        </w:tc>
        <w:tc>
          <w:tcPr>
            <w:tcW w:w="787" w:type="dxa"/>
          </w:tcPr>
          <w:p w14:paraId="43E00115">
            <w:pPr>
              <w:spacing w:line="500" w:lineRule="exact"/>
              <w:rPr>
                <w:rFonts w:ascii="宋体" w:hAnsi="宋体" w:cs="宋体"/>
                <w:color w:val="auto"/>
                <w:sz w:val="24"/>
                <w:highlight w:val="none"/>
              </w:rPr>
            </w:pPr>
          </w:p>
        </w:tc>
      </w:tr>
      <w:tr w14:paraId="40C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079BDCE">
            <w:pPr>
              <w:spacing w:line="500" w:lineRule="exact"/>
              <w:jc w:val="center"/>
              <w:rPr>
                <w:rFonts w:ascii="宋体" w:hAnsi="宋体" w:cs="宋体"/>
                <w:color w:val="auto"/>
                <w:sz w:val="24"/>
                <w:highlight w:val="none"/>
              </w:rPr>
            </w:pPr>
          </w:p>
        </w:tc>
        <w:tc>
          <w:tcPr>
            <w:tcW w:w="1410" w:type="dxa"/>
            <w:vAlign w:val="center"/>
          </w:tcPr>
          <w:p w14:paraId="650CB180">
            <w:pPr>
              <w:spacing w:line="500" w:lineRule="exact"/>
              <w:jc w:val="center"/>
              <w:rPr>
                <w:rFonts w:ascii="宋体" w:hAnsi="宋体" w:cs="宋体"/>
                <w:color w:val="auto"/>
                <w:sz w:val="24"/>
                <w:highlight w:val="none"/>
              </w:rPr>
            </w:pPr>
          </w:p>
        </w:tc>
        <w:tc>
          <w:tcPr>
            <w:tcW w:w="3195" w:type="dxa"/>
            <w:vAlign w:val="center"/>
          </w:tcPr>
          <w:p w14:paraId="5C5DE3E4">
            <w:pPr>
              <w:spacing w:line="500" w:lineRule="exact"/>
              <w:jc w:val="center"/>
              <w:rPr>
                <w:rFonts w:ascii="宋体" w:hAnsi="宋体" w:cs="宋体"/>
                <w:color w:val="auto"/>
                <w:sz w:val="24"/>
                <w:highlight w:val="none"/>
              </w:rPr>
            </w:pPr>
          </w:p>
        </w:tc>
        <w:tc>
          <w:tcPr>
            <w:tcW w:w="765" w:type="dxa"/>
            <w:vAlign w:val="center"/>
          </w:tcPr>
          <w:p w14:paraId="2FABA0D4">
            <w:pPr>
              <w:spacing w:line="500" w:lineRule="exact"/>
              <w:jc w:val="center"/>
              <w:rPr>
                <w:rFonts w:ascii="宋体" w:hAnsi="宋体" w:cs="宋体"/>
                <w:color w:val="auto"/>
                <w:sz w:val="24"/>
                <w:highlight w:val="none"/>
              </w:rPr>
            </w:pPr>
          </w:p>
        </w:tc>
        <w:tc>
          <w:tcPr>
            <w:tcW w:w="810" w:type="dxa"/>
            <w:vAlign w:val="center"/>
          </w:tcPr>
          <w:p w14:paraId="767C7DE6">
            <w:pPr>
              <w:spacing w:line="500" w:lineRule="exact"/>
              <w:jc w:val="center"/>
              <w:rPr>
                <w:rFonts w:ascii="宋体" w:hAnsi="宋体" w:cs="宋体"/>
                <w:color w:val="auto"/>
                <w:sz w:val="24"/>
                <w:highlight w:val="none"/>
              </w:rPr>
            </w:pPr>
          </w:p>
        </w:tc>
        <w:tc>
          <w:tcPr>
            <w:tcW w:w="780" w:type="dxa"/>
          </w:tcPr>
          <w:p w14:paraId="7AC7BE2F">
            <w:pPr>
              <w:spacing w:line="500" w:lineRule="exact"/>
              <w:rPr>
                <w:rFonts w:ascii="宋体" w:hAnsi="宋体" w:cs="宋体"/>
                <w:color w:val="auto"/>
                <w:sz w:val="24"/>
                <w:highlight w:val="none"/>
              </w:rPr>
            </w:pPr>
          </w:p>
        </w:tc>
        <w:tc>
          <w:tcPr>
            <w:tcW w:w="787" w:type="dxa"/>
          </w:tcPr>
          <w:p w14:paraId="19C7B201">
            <w:pPr>
              <w:spacing w:line="500" w:lineRule="exact"/>
              <w:rPr>
                <w:rFonts w:ascii="宋体" w:hAnsi="宋体" w:cs="宋体"/>
                <w:color w:val="auto"/>
                <w:sz w:val="24"/>
                <w:highlight w:val="none"/>
              </w:rPr>
            </w:pPr>
          </w:p>
        </w:tc>
      </w:tr>
      <w:tr w14:paraId="3C5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2624053D">
            <w:pPr>
              <w:spacing w:line="500" w:lineRule="exact"/>
              <w:jc w:val="center"/>
              <w:rPr>
                <w:rFonts w:ascii="宋体" w:hAnsi="宋体" w:cs="宋体"/>
                <w:color w:val="auto"/>
                <w:sz w:val="24"/>
                <w:highlight w:val="none"/>
              </w:rPr>
            </w:pPr>
          </w:p>
        </w:tc>
        <w:tc>
          <w:tcPr>
            <w:tcW w:w="1410" w:type="dxa"/>
            <w:vAlign w:val="center"/>
          </w:tcPr>
          <w:p w14:paraId="4D921BD9">
            <w:pPr>
              <w:spacing w:line="500" w:lineRule="exact"/>
              <w:jc w:val="center"/>
              <w:rPr>
                <w:rFonts w:ascii="宋体" w:hAnsi="宋体" w:cs="宋体"/>
                <w:color w:val="auto"/>
                <w:sz w:val="24"/>
                <w:highlight w:val="none"/>
              </w:rPr>
            </w:pPr>
          </w:p>
        </w:tc>
        <w:tc>
          <w:tcPr>
            <w:tcW w:w="3195" w:type="dxa"/>
            <w:vAlign w:val="center"/>
          </w:tcPr>
          <w:p w14:paraId="0EE03EE5">
            <w:pPr>
              <w:spacing w:line="500" w:lineRule="exact"/>
              <w:jc w:val="center"/>
              <w:rPr>
                <w:rFonts w:ascii="宋体" w:hAnsi="宋体" w:cs="宋体"/>
                <w:color w:val="auto"/>
                <w:sz w:val="24"/>
                <w:highlight w:val="none"/>
              </w:rPr>
            </w:pPr>
          </w:p>
        </w:tc>
        <w:tc>
          <w:tcPr>
            <w:tcW w:w="765" w:type="dxa"/>
            <w:vAlign w:val="center"/>
          </w:tcPr>
          <w:p w14:paraId="4AB6B5AE">
            <w:pPr>
              <w:spacing w:line="500" w:lineRule="exact"/>
              <w:jc w:val="center"/>
              <w:rPr>
                <w:rFonts w:ascii="宋体" w:hAnsi="宋体" w:cs="宋体"/>
                <w:color w:val="auto"/>
                <w:sz w:val="24"/>
                <w:highlight w:val="none"/>
              </w:rPr>
            </w:pPr>
          </w:p>
        </w:tc>
        <w:tc>
          <w:tcPr>
            <w:tcW w:w="810" w:type="dxa"/>
            <w:vAlign w:val="center"/>
          </w:tcPr>
          <w:p w14:paraId="4CE9E896">
            <w:pPr>
              <w:spacing w:line="500" w:lineRule="exact"/>
              <w:jc w:val="center"/>
              <w:rPr>
                <w:rFonts w:ascii="宋体" w:hAnsi="宋体" w:cs="宋体"/>
                <w:color w:val="auto"/>
                <w:sz w:val="24"/>
                <w:highlight w:val="none"/>
              </w:rPr>
            </w:pPr>
          </w:p>
        </w:tc>
        <w:tc>
          <w:tcPr>
            <w:tcW w:w="780" w:type="dxa"/>
          </w:tcPr>
          <w:p w14:paraId="7060FB59">
            <w:pPr>
              <w:spacing w:line="500" w:lineRule="exact"/>
              <w:rPr>
                <w:rFonts w:ascii="宋体" w:hAnsi="宋体" w:cs="宋体"/>
                <w:color w:val="auto"/>
                <w:sz w:val="24"/>
                <w:highlight w:val="none"/>
              </w:rPr>
            </w:pPr>
          </w:p>
        </w:tc>
        <w:tc>
          <w:tcPr>
            <w:tcW w:w="787" w:type="dxa"/>
          </w:tcPr>
          <w:p w14:paraId="76922884">
            <w:pPr>
              <w:spacing w:line="500" w:lineRule="exact"/>
              <w:rPr>
                <w:rFonts w:ascii="宋体" w:hAnsi="宋体" w:cs="宋体"/>
                <w:color w:val="auto"/>
                <w:sz w:val="24"/>
                <w:highlight w:val="none"/>
              </w:rPr>
            </w:pPr>
          </w:p>
        </w:tc>
      </w:tr>
    </w:tbl>
    <w:p w14:paraId="7A3A66C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bCs/>
          <w:color w:val="auto"/>
          <w:sz w:val="24"/>
          <w:highlight w:val="none"/>
        </w:rPr>
        <w:t xml:space="preserve"> 本合同</w:t>
      </w:r>
      <w:r>
        <w:rPr>
          <w:rFonts w:hint="eastAsia" w:ascii="宋体" w:hAnsi="宋体" w:cs="宋体"/>
          <w:bCs/>
          <w:color w:val="auto"/>
          <w:sz w:val="24"/>
          <w:highlight w:val="none"/>
          <w:lang w:val="en-US" w:eastAsia="zh-CN"/>
        </w:rPr>
        <w:t>货物</w:t>
      </w:r>
      <w:r>
        <w:rPr>
          <w:rFonts w:hint="eastAsia" w:ascii="宋体" w:hAnsi="宋体" w:cs="宋体"/>
          <w:bCs/>
          <w:color w:val="auto"/>
          <w:sz w:val="24"/>
          <w:highlight w:val="none"/>
        </w:rPr>
        <w:t>总价为人民币</w:t>
      </w:r>
      <w:r>
        <w:rPr>
          <w:rFonts w:hint="eastAsia" w:ascii="宋体" w:hAnsi="宋体" w:cs="宋体"/>
          <w:bCs/>
          <w:color w:val="auto"/>
          <w:sz w:val="24"/>
          <w:highlight w:val="none"/>
          <w:lang w:eastAsia="zh-CN"/>
        </w:rPr>
        <w:t>：</w:t>
      </w:r>
      <w:r>
        <w:rPr>
          <w:rFonts w:hint="eastAsia" w:ascii="宋体" w:hAnsi="宋体" w:cs="宋体"/>
          <w:color w:val="auto"/>
          <w:sz w:val="24"/>
          <w:highlight w:val="none"/>
        </w:rPr>
        <w:t>¥（大写人民币）</w:t>
      </w:r>
    </w:p>
    <w:p w14:paraId="47EE57FE">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上述合同总价包括：货物成本价格、利润、</w:t>
      </w:r>
      <w:r>
        <w:rPr>
          <w:rFonts w:hint="eastAsia" w:ascii="宋体" w:hAnsi="宋体" w:cs="宋体"/>
          <w:color w:val="auto"/>
          <w:sz w:val="24"/>
          <w:highlight w:val="none"/>
          <w:lang w:val="zh-CN"/>
        </w:rPr>
        <w:t>运输</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lang w:val="zh-CN"/>
        </w:rPr>
        <w:t>验收、质保、</w:t>
      </w:r>
      <w:r>
        <w:rPr>
          <w:rFonts w:hint="eastAsia" w:ascii="宋体" w:hAnsi="宋体" w:cs="宋体"/>
          <w:color w:val="auto"/>
          <w:sz w:val="24"/>
          <w:highlight w:val="none"/>
        </w:rPr>
        <w:t>保险、税收、</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后续服务</w:t>
      </w:r>
      <w:r>
        <w:rPr>
          <w:rFonts w:hint="eastAsia" w:ascii="宋体" w:hAnsi="宋体" w:cs="宋体"/>
          <w:color w:val="auto"/>
          <w:sz w:val="24"/>
          <w:highlight w:val="none"/>
          <w:lang w:val="zh-CN"/>
        </w:rPr>
        <w:t>等伴随的服务及各种税费等全部费用。</w:t>
      </w:r>
    </w:p>
    <w:p w14:paraId="5E99F751">
      <w:pPr>
        <w:spacing w:line="500" w:lineRule="exact"/>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 xml:space="preserve">3.付款方式   </w:t>
      </w:r>
    </w:p>
    <w:p w14:paraId="2772F46A">
      <w:pPr>
        <w:spacing w:line="50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                  </w:t>
      </w:r>
    </w:p>
    <w:p w14:paraId="329FA33E">
      <w:pPr>
        <w:spacing w:line="5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4. 交货、运输</w:t>
      </w:r>
    </w:p>
    <w:p w14:paraId="610CB36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4.1交货日期：本合同“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”的制造、运输由乙方负责，上述工作须在合同生效后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天完成。</w:t>
      </w:r>
    </w:p>
    <w:p w14:paraId="32157585">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4.2交货地点：</w:t>
      </w:r>
    </w:p>
    <w:p w14:paraId="44D4A73E">
      <w:pPr>
        <w:spacing w:line="500" w:lineRule="exact"/>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4.3乙方根据装卸及搬运不同货物特点及不同要求，每一包装上应标明惯用的标志及图示，显著标明“小心轻放</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此端向上</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防潮”等字样或图案。每箱货应当有一份详细的装箱单，装箱单中同时标明净重和毛重。乙方应对不充分或不适当包装造成的货物损坏或灭失承担责任。对于箱内和捆内的散装部件，乙方均应系加标签并注明部件名称以及该部件在装配图上的位号和零件号。对于备件和工具，除注明上述内容外，尚需注明“备件”或“工具”字样。</w:t>
      </w:r>
    </w:p>
    <w:p w14:paraId="6E45301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4.4</w:t>
      </w:r>
      <w:r>
        <w:rPr>
          <w:rFonts w:hint="eastAsia" w:ascii="宋体" w:hAnsi="宋体" w:cs="宋体"/>
          <w:color w:val="auto"/>
          <w:kern w:val="0"/>
          <w:sz w:val="24"/>
          <w:highlight w:val="none"/>
        </w:rPr>
        <w:t xml:space="preserve"> 乙方应在不迟于每批货物备妥待运前日通知甲方如下内容：</w:t>
      </w:r>
    </w:p>
    <w:p w14:paraId="3B078FF2">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4.4.1 合同号；</w:t>
      </w:r>
    </w:p>
    <w:p w14:paraId="3BFE2D59">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4.4.2 货物备妥待运日；</w:t>
      </w:r>
    </w:p>
    <w:p w14:paraId="11B35FDE">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4.4.3 货物总体积；</w:t>
      </w:r>
    </w:p>
    <w:p w14:paraId="77F632C5">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4.4.4 货物总毛重/总包数；</w:t>
      </w:r>
    </w:p>
    <w:p w14:paraId="5FACD7A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4.4.5 发运站名称；</w:t>
      </w:r>
    </w:p>
    <w:p w14:paraId="46ACCC4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4.4. 6 发运货物的详细清单，包括合同号、分项号、合同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的名称、规格、型号、数量、单价/总价、单位重量、单件体积/总体积，每件货物的外包装尺寸（长×宽×高）、总件数和发运站；</w:t>
      </w:r>
    </w:p>
    <w:p w14:paraId="69B57990">
      <w:pPr>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4.4.7 有关合同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在储存和运输中特殊注意事项的说明。</w:t>
      </w:r>
    </w:p>
    <w:p w14:paraId="6B06D5F1">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4.5</w:t>
      </w:r>
      <w:r>
        <w:rPr>
          <w:rFonts w:hint="eastAsia" w:ascii="宋体" w:hAnsi="宋体" w:cs="宋体"/>
          <w:color w:val="auto"/>
          <w:kern w:val="0"/>
          <w:sz w:val="24"/>
          <w:highlight w:val="none"/>
        </w:rPr>
        <w:t xml:space="preserve">   在每批货物的交货清单中都应附有下列单据：</w:t>
      </w:r>
    </w:p>
    <w:p w14:paraId="682270B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4.5.1 装箱明细单一式壹份；</w:t>
      </w:r>
    </w:p>
    <w:p w14:paraId="1D36116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4.5.2 质量合格证一式壹份；</w:t>
      </w:r>
    </w:p>
    <w:p w14:paraId="43D39DE9">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4.5.3 相关</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的技术资料壹份；</w:t>
      </w:r>
    </w:p>
    <w:p w14:paraId="36B8010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4.5.4 需要组装的部件及机器的系统装配图一式壹份</w:t>
      </w:r>
    </w:p>
    <w:p w14:paraId="52A07774">
      <w:pPr>
        <w:autoSpaceDE w:val="0"/>
        <w:autoSpaceDN w:val="0"/>
        <w:adjustRightIn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4.6 </w:t>
      </w:r>
      <w:r>
        <w:rPr>
          <w:rFonts w:hint="eastAsia" w:ascii="宋体" w:hAnsi="宋体" w:cs="宋体"/>
          <w:color w:val="auto"/>
          <w:kern w:val="0"/>
          <w:sz w:val="24"/>
          <w:highlight w:val="none"/>
        </w:rPr>
        <w:t>凡由于对货物包装不当或采取防护措施不充分致使货物损坏或丢失时，乙方均应按合同的规定负责修理、更换或赔偿。如果因乙方在包装和唛头标记方面发生的错误造成货物的误运，乙方应承担由此发生的额外费用。</w:t>
      </w:r>
    </w:p>
    <w:p w14:paraId="12C15F3C">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5.验收</w:t>
      </w:r>
    </w:p>
    <w:p w14:paraId="573A527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5.1甲方按照本合同约定的产品质量、规格、材料、数量及国家、行业的相关标准对乙方提供的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进行验收。乙方应将所有资料、备件备品备齐，并保证</w:t>
      </w:r>
      <w:r>
        <w:rPr>
          <w:rFonts w:hint="eastAsia" w:ascii="宋体" w:hAnsi="宋体" w:cs="宋体"/>
          <w:bCs/>
          <w:color w:val="auto"/>
          <w:sz w:val="24"/>
          <w:highlight w:val="none"/>
          <w:lang w:eastAsia="zh-CN"/>
        </w:rPr>
        <w:t>货物</w:t>
      </w:r>
      <w:r>
        <w:rPr>
          <w:rFonts w:hint="eastAsia" w:ascii="宋体" w:hAnsi="宋体" w:cs="宋体"/>
          <w:bCs/>
          <w:color w:val="auto"/>
          <w:sz w:val="24"/>
          <w:highlight w:val="none"/>
        </w:rPr>
        <w:t>性能和技术参数达到合同要求。</w:t>
      </w:r>
    </w:p>
    <w:p w14:paraId="28959CC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5.2乙方保证上述所有验收项目一次性通过验收。反之，每增加一次验收程序，乙方向甲方支付元的违约金，如果经过</w:t>
      </w:r>
      <w:r>
        <w:rPr>
          <w:rFonts w:hint="eastAsia" w:ascii="宋体" w:hAnsi="宋体" w:cs="宋体"/>
          <w:color w:val="auto"/>
          <w:sz w:val="24"/>
          <w:highlight w:val="none"/>
          <w:u w:val="single"/>
        </w:rPr>
        <w:t>3</w:t>
      </w:r>
      <w:r>
        <w:rPr>
          <w:rFonts w:hint="eastAsia" w:ascii="宋体" w:hAnsi="宋体" w:cs="宋体"/>
          <w:color w:val="auto"/>
          <w:sz w:val="24"/>
          <w:highlight w:val="none"/>
        </w:rPr>
        <w:t>次验收程序，合同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仍不能通过验收，甲方有权拒绝接收</w:t>
      </w:r>
      <w:r>
        <w:rPr>
          <w:rFonts w:hint="eastAsia" w:ascii="宋体" w:hAnsi="宋体" w:cs="宋体"/>
          <w:color w:val="auto"/>
          <w:sz w:val="24"/>
          <w:highlight w:val="none"/>
          <w:lang w:eastAsia="zh-CN"/>
        </w:rPr>
        <w:t>货物</w:t>
      </w:r>
      <w:r>
        <w:rPr>
          <w:rFonts w:hint="eastAsia" w:ascii="宋体" w:hAnsi="宋体" w:cs="宋体"/>
          <w:color w:val="auto"/>
          <w:sz w:val="24"/>
          <w:highlight w:val="none"/>
        </w:rPr>
        <w:t>并解除合同，乙方应在解除合同之日起</w:t>
      </w:r>
      <w:r>
        <w:rPr>
          <w:rFonts w:hint="eastAsia" w:ascii="宋体" w:hAnsi="宋体" w:cs="宋体"/>
          <w:color w:val="auto"/>
          <w:sz w:val="24"/>
          <w:highlight w:val="none"/>
          <w:u w:val="single"/>
        </w:rPr>
        <w:t>3</w:t>
      </w:r>
      <w:r>
        <w:rPr>
          <w:rFonts w:hint="eastAsia" w:ascii="宋体" w:hAnsi="宋体" w:cs="宋体"/>
          <w:color w:val="auto"/>
          <w:sz w:val="24"/>
          <w:highlight w:val="none"/>
        </w:rPr>
        <w:t>日内，返还甲方已付货款，并承担甲方由此造成的损失。</w:t>
      </w:r>
    </w:p>
    <w:p w14:paraId="7FA138E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双方以样品验收的，乙方应提前日将甲方订购的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样品封存，并将样品交甲方保管。</w:t>
      </w:r>
    </w:p>
    <w:p w14:paraId="1C32D93D">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5.4由乙方</w:t>
      </w:r>
      <w:r>
        <w:rPr>
          <w:rFonts w:hint="eastAsia" w:ascii="宋体" w:hAnsi="宋体" w:cs="宋体"/>
          <w:b/>
          <w:color w:val="auto"/>
          <w:sz w:val="24"/>
          <w:highlight w:val="none"/>
          <w:lang w:eastAsia="zh-CN"/>
        </w:rPr>
        <w:t>货物</w:t>
      </w:r>
      <w:r>
        <w:rPr>
          <w:rFonts w:hint="eastAsia" w:ascii="宋体" w:hAnsi="宋体" w:cs="宋体"/>
          <w:b/>
          <w:color w:val="auto"/>
          <w:sz w:val="24"/>
          <w:highlight w:val="none"/>
        </w:rPr>
        <w:t>验收不合格所产生的费用由乙方承担，且交货期不顺延。</w:t>
      </w:r>
    </w:p>
    <w:p w14:paraId="0B02BF2F">
      <w:pPr>
        <w:spacing w:line="50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6.所有权和风险的转移</w:t>
      </w:r>
    </w:p>
    <w:p w14:paraId="2F98F658">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在验收合格后，</w:t>
      </w:r>
      <w:r>
        <w:rPr>
          <w:rFonts w:hint="eastAsia" w:ascii="宋体" w:hAnsi="宋体" w:cs="宋体"/>
          <w:color w:val="auto"/>
          <w:sz w:val="24"/>
          <w:highlight w:val="none"/>
          <w:lang w:eastAsia="zh-CN"/>
        </w:rPr>
        <w:t>货物</w:t>
      </w:r>
      <w:r>
        <w:rPr>
          <w:rFonts w:hint="eastAsia" w:ascii="宋体" w:hAnsi="宋体" w:cs="宋体"/>
          <w:color w:val="auto"/>
          <w:sz w:val="24"/>
          <w:highlight w:val="none"/>
        </w:rPr>
        <w:t>交付给甲方时，该</w:t>
      </w:r>
      <w:r>
        <w:rPr>
          <w:rFonts w:hint="eastAsia" w:ascii="宋体" w:hAnsi="宋体" w:cs="宋体"/>
          <w:color w:val="auto"/>
          <w:sz w:val="24"/>
          <w:highlight w:val="none"/>
          <w:lang w:eastAsia="zh-CN"/>
        </w:rPr>
        <w:t>货物</w:t>
      </w:r>
      <w:r>
        <w:rPr>
          <w:rFonts w:hint="eastAsia" w:ascii="宋体" w:hAnsi="宋体" w:cs="宋体"/>
          <w:color w:val="auto"/>
          <w:sz w:val="24"/>
          <w:highlight w:val="none"/>
        </w:rPr>
        <w:t>硬件的所有权、风险从乙方转移到甲方，甲方获得该</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的所有权。</w:t>
      </w:r>
    </w:p>
    <w:p w14:paraId="799A7229">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w:t>
      </w:r>
      <w:r>
        <w:rPr>
          <w:rFonts w:hint="eastAsia" w:ascii="宋体" w:hAnsi="宋体" w:cs="宋体"/>
          <w:b/>
          <w:bCs/>
          <w:color w:val="auto"/>
          <w:sz w:val="24"/>
          <w:highlight w:val="none"/>
          <w:lang w:eastAsia="zh-CN"/>
        </w:rPr>
        <w:t>货物</w:t>
      </w:r>
      <w:r>
        <w:rPr>
          <w:rFonts w:hint="eastAsia" w:ascii="宋体" w:hAnsi="宋体" w:cs="宋体"/>
          <w:b/>
          <w:bCs/>
          <w:color w:val="auto"/>
          <w:sz w:val="24"/>
          <w:highlight w:val="none"/>
        </w:rPr>
        <w:t>保证、保修及售后服务</w:t>
      </w:r>
    </w:p>
    <w:p w14:paraId="76D50BB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w:t>
      </w:r>
      <w:r>
        <w:rPr>
          <w:rFonts w:hint="eastAsia" w:ascii="宋体" w:hAnsi="宋体" w:cs="宋体"/>
          <w:color w:val="auto"/>
          <w:sz w:val="24"/>
          <w:highlight w:val="none"/>
          <w:lang w:eastAsia="zh-CN"/>
        </w:rPr>
        <w:t>货物</w:t>
      </w:r>
      <w:r>
        <w:rPr>
          <w:rFonts w:hint="eastAsia" w:ascii="宋体" w:hAnsi="宋体" w:cs="宋体"/>
          <w:color w:val="auto"/>
          <w:sz w:val="24"/>
          <w:highlight w:val="none"/>
        </w:rPr>
        <w:t>保证</w:t>
      </w:r>
    </w:p>
    <w:p w14:paraId="66E39A7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7.1.1 乙方对其出售的产品享有完整的所有权，保证不被第三人追索和占有。若因乙方权利瑕疵所产生的一切后果及给甲方造成的损失，由乙方承担。乙方须自付费用为甲方取得继续使用该产品的权利。    </w:t>
      </w:r>
    </w:p>
    <w:p w14:paraId="26961B0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7.1.2 乙方保证其供应的本合同的“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”的技术水平达到国家同类</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的技术指标，提供的所有</w:t>
      </w:r>
      <w:r>
        <w:rPr>
          <w:rFonts w:hint="eastAsia" w:ascii="宋体" w:hAnsi="宋体" w:cs="宋体"/>
          <w:color w:val="auto"/>
          <w:sz w:val="24"/>
          <w:highlight w:val="none"/>
          <w:lang w:eastAsia="zh-CN"/>
        </w:rPr>
        <w:t>货物</w:t>
      </w:r>
      <w:r>
        <w:rPr>
          <w:rFonts w:hint="eastAsia" w:ascii="宋体" w:hAnsi="宋体" w:cs="宋体"/>
          <w:color w:val="auto"/>
          <w:sz w:val="24"/>
          <w:highlight w:val="none"/>
        </w:rPr>
        <w:t>及元器件是全新的并按最佳方案设计和制造。</w:t>
      </w:r>
      <w:r>
        <w:rPr>
          <w:rFonts w:hint="eastAsia" w:ascii="宋体" w:hAnsi="宋体" w:cs="宋体"/>
          <w:color w:val="auto"/>
          <w:sz w:val="24"/>
          <w:highlight w:val="none"/>
          <w:lang w:eastAsia="zh-CN"/>
        </w:rPr>
        <w:t>货物</w:t>
      </w:r>
      <w:r>
        <w:rPr>
          <w:rFonts w:hint="eastAsia" w:ascii="宋体" w:hAnsi="宋体" w:cs="宋体"/>
          <w:color w:val="auto"/>
          <w:sz w:val="24"/>
          <w:highlight w:val="none"/>
        </w:rPr>
        <w:t xml:space="preserve">和材料的选型均符合工艺、安全运行操作以及长期使用的要求，并符合本合同附件的规定的各项运行指标及国家、行业有关的技术标准。     </w:t>
      </w:r>
    </w:p>
    <w:p w14:paraId="5DDAF49F">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7.1.3 </w:t>
      </w:r>
      <w:r>
        <w:rPr>
          <w:rFonts w:hint="eastAsia" w:ascii="宋体" w:hAnsi="宋体" w:cs="宋体"/>
          <w:color w:val="auto"/>
          <w:sz w:val="24"/>
          <w:highlight w:val="none"/>
          <w:lang w:eastAsia="zh-CN"/>
        </w:rPr>
        <w:t>货物</w:t>
      </w:r>
      <w:r>
        <w:rPr>
          <w:rFonts w:hint="eastAsia" w:ascii="宋体" w:hAnsi="宋体" w:cs="宋体"/>
          <w:color w:val="auto"/>
          <w:sz w:val="24"/>
          <w:highlight w:val="none"/>
        </w:rPr>
        <w:t>在验收和保修期内运行性能和质量达不到</w:t>
      </w:r>
      <w:r>
        <w:rPr>
          <w:rFonts w:hint="eastAsia" w:ascii="宋体" w:hAnsi="宋体" w:cs="宋体"/>
          <w:color w:val="auto"/>
          <w:sz w:val="24"/>
          <w:highlight w:val="none"/>
          <w:lang w:eastAsia="zh-CN"/>
        </w:rPr>
        <w:t>货物</w:t>
      </w:r>
      <w:r>
        <w:rPr>
          <w:rFonts w:hint="eastAsia" w:ascii="宋体" w:hAnsi="宋体" w:cs="宋体"/>
          <w:color w:val="auto"/>
          <w:sz w:val="24"/>
          <w:highlight w:val="none"/>
        </w:rPr>
        <w:t>技术规范要求，乙方无条件满足甲方要求。更换</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的一切费用由乙方负责，且交货期不顺延。</w:t>
      </w:r>
    </w:p>
    <w:p w14:paraId="26D0D2D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7.1.4 乙方对本合同“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”的保修期为月，自“</w:t>
      </w:r>
      <w:r>
        <w:rPr>
          <w:rFonts w:hint="eastAsia" w:ascii="宋体" w:hAnsi="宋体" w:cs="宋体"/>
          <w:color w:val="auto"/>
          <w:sz w:val="24"/>
          <w:highlight w:val="none"/>
          <w:lang w:eastAsia="zh-CN"/>
        </w:rPr>
        <w:t>货物</w:t>
      </w:r>
      <w:r>
        <w:rPr>
          <w:rFonts w:hint="eastAsia" w:ascii="宋体" w:hAnsi="宋体" w:cs="宋体"/>
          <w:color w:val="auto"/>
          <w:sz w:val="24"/>
          <w:highlight w:val="none"/>
        </w:rPr>
        <w:t>”验收合格之日起计算。</w:t>
      </w:r>
    </w:p>
    <w:p w14:paraId="5F05F66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7.1.5  在</w:t>
      </w:r>
      <w:r>
        <w:rPr>
          <w:rFonts w:hint="eastAsia" w:ascii="宋体" w:hAnsi="宋体" w:cs="宋体"/>
          <w:color w:val="auto"/>
          <w:sz w:val="24"/>
          <w:highlight w:val="none"/>
          <w:lang w:eastAsia="zh-CN"/>
        </w:rPr>
        <w:t>货物</w:t>
      </w:r>
      <w:r>
        <w:rPr>
          <w:rFonts w:hint="eastAsia" w:ascii="宋体" w:hAnsi="宋体" w:cs="宋体"/>
          <w:color w:val="auto"/>
          <w:sz w:val="24"/>
          <w:highlight w:val="none"/>
        </w:rPr>
        <w:t>保修期内如</w:t>
      </w:r>
      <w:r>
        <w:rPr>
          <w:rFonts w:hint="eastAsia" w:ascii="宋体" w:hAnsi="宋体" w:cs="宋体"/>
          <w:color w:val="auto"/>
          <w:sz w:val="24"/>
          <w:highlight w:val="none"/>
          <w:lang w:eastAsia="zh-CN"/>
        </w:rPr>
        <w:t>货物</w:t>
      </w:r>
      <w:r>
        <w:rPr>
          <w:rFonts w:hint="eastAsia" w:ascii="宋体" w:hAnsi="宋体" w:cs="宋体"/>
          <w:color w:val="auto"/>
          <w:sz w:val="24"/>
          <w:highlight w:val="none"/>
        </w:rPr>
        <w:t>出现故障、乙方应立即对甲方的故障器件进行修理、更换，并应自收到甲方报修通知的</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天内完成更换、修理及返件工作。新更换和补充修复部件保修期经甲方验收后重新开始计算。若由于乙方的迟延造成甲方不能正常工作或致使返修的故障</w:t>
      </w:r>
      <w:r>
        <w:rPr>
          <w:rFonts w:hint="eastAsia" w:ascii="宋体" w:hAnsi="宋体" w:cs="宋体"/>
          <w:color w:val="auto"/>
          <w:sz w:val="24"/>
          <w:highlight w:val="none"/>
          <w:lang w:eastAsia="zh-CN"/>
        </w:rPr>
        <w:t>货物</w:t>
      </w:r>
      <w:r>
        <w:rPr>
          <w:rFonts w:hint="eastAsia" w:ascii="宋体" w:hAnsi="宋体" w:cs="宋体"/>
          <w:color w:val="auto"/>
          <w:sz w:val="24"/>
          <w:highlight w:val="none"/>
        </w:rPr>
        <w:t>超过保修期，则由此产生的修理费用及甲方损失由乙方负责。</w:t>
      </w:r>
    </w:p>
    <w:p w14:paraId="5334432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7.1.6 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”使用期间内，乙方应向甲方持续提供维护支持、技术支持和备件支持。乙方向甲方提供的备件价格不得高于当时同种型号的市场价格。</w:t>
      </w:r>
    </w:p>
    <w:p w14:paraId="4E655FAB">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8.</w:t>
      </w:r>
      <w:r>
        <w:rPr>
          <w:rFonts w:hint="eastAsia" w:ascii="宋体" w:hAnsi="宋体" w:cs="宋体"/>
          <w:color w:val="auto"/>
          <w:sz w:val="24"/>
          <w:highlight w:val="none"/>
        </w:rPr>
        <w:t>索赔</w:t>
      </w:r>
    </w:p>
    <w:p w14:paraId="06A461B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在制造、验收和保证期内乙方未能履行其在本合同项下所承担的义务，甲方有权寻求本条款规定的任意或全部救济方式。</w:t>
      </w:r>
    </w:p>
    <w:p w14:paraId="1ED4399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8.2在本合同“</w:t>
      </w:r>
      <w:r>
        <w:rPr>
          <w:rFonts w:hint="eastAsia" w:ascii="宋体" w:hAnsi="宋体" w:cs="宋体"/>
          <w:color w:val="auto"/>
          <w:sz w:val="24"/>
          <w:highlight w:val="none"/>
          <w:lang w:eastAsia="zh-CN"/>
        </w:rPr>
        <w:t>货物</w:t>
      </w:r>
      <w:r>
        <w:rPr>
          <w:rFonts w:hint="eastAsia" w:ascii="宋体" w:hAnsi="宋体" w:cs="宋体"/>
          <w:color w:val="auto"/>
          <w:sz w:val="24"/>
          <w:highlight w:val="none"/>
        </w:rPr>
        <w:t>”使用期内，如发现乙方提供的“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”有缺陷或不符合合同规定时，甲方有权凭有关管理部门的检验证书或验收文件向乙方提出索赔。乙方应立即无偿换货或退货，并负担由此产生的费用和损失。乙方对整体</w:t>
      </w:r>
      <w:r>
        <w:rPr>
          <w:rFonts w:hint="eastAsia" w:ascii="宋体" w:hAnsi="宋体" w:cs="宋体"/>
          <w:color w:val="auto"/>
          <w:sz w:val="24"/>
          <w:highlight w:val="none"/>
          <w:lang w:eastAsia="zh-CN"/>
        </w:rPr>
        <w:t>货物</w:t>
      </w:r>
      <w:r>
        <w:rPr>
          <w:rFonts w:hint="eastAsia" w:ascii="宋体" w:hAnsi="宋体" w:cs="宋体"/>
          <w:color w:val="auto"/>
          <w:sz w:val="24"/>
          <w:highlight w:val="none"/>
        </w:rPr>
        <w:t>及配件的更换期限或退款期限不迟于收到甲方通知后</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日。如乙方</w:t>
      </w:r>
      <w:r>
        <w:rPr>
          <w:rFonts w:hint="eastAsia" w:ascii="宋体" w:hAnsi="宋体" w:cs="宋体"/>
          <w:color w:val="auto"/>
          <w:kern w:val="0"/>
          <w:sz w:val="24"/>
          <w:highlight w:val="none"/>
        </w:rPr>
        <w:t>不能按期派遣人员到工作现场，甲方有权自行消除缺陷或不符合合同之处，由此产生的一切费用均由乙方承担。</w:t>
      </w:r>
    </w:p>
    <w:p w14:paraId="5BEC27D7">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 xml:space="preserve">8.3 </w:t>
      </w:r>
      <w:r>
        <w:rPr>
          <w:rFonts w:hint="eastAsia" w:ascii="宋体" w:hAnsi="宋体" w:cs="宋体"/>
          <w:color w:val="auto"/>
          <w:kern w:val="0"/>
          <w:sz w:val="24"/>
          <w:highlight w:val="none"/>
        </w:rPr>
        <w:t>由乙方自付费用以新</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替换有缺陷的合同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，同时乙方应在重新起算的保证期内对替换后的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作出质量保证。乙方应自负风险和费用将替换后的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或补供的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运抵工作现场。</w:t>
      </w:r>
    </w:p>
    <w:p w14:paraId="1F5DE98B">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8.4 乙方按质量低劣的程度、甲方受损害的程度及损失的数额对合同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进行降价。</w:t>
      </w:r>
    </w:p>
    <w:p w14:paraId="2AF6CC8D">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8.5 乙方赔偿由乙方违约引起的甲方所受损失。</w:t>
      </w:r>
    </w:p>
    <w:p w14:paraId="7F173E56">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8.6 乙方应在收到甲方索赔要求后日内作出回复。乙方应在甲方发出索赔通知后日内，按照甲方同意的方法解决索赔事宜。</w:t>
      </w:r>
    </w:p>
    <w:p w14:paraId="48D3FAE1">
      <w:pPr>
        <w:autoSpaceDE w:val="0"/>
        <w:autoSpaceDN w:val="0"/>
        <w:adjustRightInd w:val="0"/>
        <w:spacing w:line="500" w:lineRule="exact"/>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8.7 如果乙方在收到甲方索赔要求后日内未能作出回复，该索赔要求将被视为已被乙方接受。如乙方未能在甲方发出索赔通知后日内或甲方同意的延长期限内，按照甲方同意的上述规定的方法解决索赔事宜，甲方有权从乙方开具的履约保证金及</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保修金中扣回或要求乙方支付索赔金额。</w:t>
      </w:r>
      <w:bookmarkStart w:id="182" w:name="_Toc181673968"/>
    </w:p>
    <w:bookmarkEnd w:id="182"/>
    <w:p w14:paraId="05C1656E">
      <w:pPr>
        <w:spacing w:line="500" w:lineRule="exact"/>
        <w:ind w:firstLine="482" w:firstLineChars="200"/>
        <w:jc w:val="left"/>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9.不可抗力</w:t>
      </w:r>
    </w:p>
    <w:p w14:paraId="7D47B591">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如部分或者全部因下列人力不可控制的原因而致使合同义务没有或延迟履行</w:t>
      </w:r>
      <w:r>
        <w:rPr>
          <w:rFonts w:hint="eastAsia" w:ascii="宋体" w:hAnsi="宋体" w:cs="宋体"/>
          <w:color w:val="auto"/>
          <w:sz w:val="24"/>
          <w:highlight w:val="none"/>
          <w:lang w:eastAsia="zh-CN"/>
        </w:rPr>
        <w:t>，</w:t>
      </w:r>
      <w:r>
        <w:rPr>
          <w:rFonts w:hint="eastAsia" w:ascii="宋体" w:hAnsi="宋体" w:cs="宋体"/>
          <w:color w:val="auto"/>
          <w:sz w:val="24"/>
          <w:highlight w:val="none"/>
        </w:rPr>
        <w:t>合同各方均不承担任何违约责任，包括且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天，而且合同双方未能就本合同的进一步执行和修改达成合同的话，任何一方在向另一方提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天发出书面通知之后，可以解除本合同。</w:t>
      </w:r>
    </w:p>
    <w:p w14:paraId="13AC1EC4">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10.违约责任</w:t>
      </w:r>
    </w:p>
    <w:p w14:paraId="74411638">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 xml:space="preserve">10.1 </w:t>
      </w:r>
      <w:r>
        <w:rPr>
          <w:rFonts w:hint="eastAsia" w:ascii="宋体" w:hAnsi="宋体" w:cs="宋体"/>
          <w:color w:val="auto"/>
          <w:kern w:val="0"/>
          <w:sz w:val="24"/>
          <w:highlight w:val="none"/>
        </w:rPr>
        <w:t>如果乙方有下述违约行为，在不妨碍甲方</w:t>
      </w:r>
      <w:r>
        <w:rPr>
          <w:rFonts w:hint="eastAsia" w:ascii="宋体" w:hAnsi="宋体" w:cs="宋体"/>
          <w:color w:val="auto"/>
          <w:kern w:val="0"/>
          <w:sz w:val="24"/>
          <w:highlight w:val="none"/>
          <w:lang w:eastAsia="zh-CN"/>
        </w:rPr>
        <w:t>其他</w:t>
      </w:r>
      <w:r>
        <w:rPr>
          <w:rFonts w:hint="eastAsia" w:ascii="宋体" w:hAnsi="宋体" w:cs="宋体"/>
          <w:color w:val="auto"/>
          <w:kern w:val="0"/>
          <w:sz w:val="24"/>
          <w:highlight w:val="none"/>
        </w:rPr>
        <w:t>救济手段的情况下，甲方可以向乙方发出书面违约通知，全部或部分地终止合同，并要求乙方</w:t>
      </w:r>
      <w:r>
        <w:rPr>
          <w:rFonts w:hint="eastAsia" w:ascii="宋体" w:hAnsi="宋体" w:cs="宋体"/>
          <w:color w:val="auto"/>
          <w:sz w:val="24"/>
          <w:highlight w:val="none"/>
        </w:rPr>
        <w:t>承担合同总金额的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r>
        <w:rPr>
          <w:rFonts w:hint="eastAsia" w:ascii="宋体" w:hAnsi="宋体" w:cs="宋体"/>
          <w:color w:val="auto"/>
          <w:kern w:val="0"/>
          <w:sz w:val="24"/>
          <w:highlight w:val="none"/>
        </w:rPr>
        <w:t>。</w:t>
      </w:r>
    </w:p>
    <w:p w14:paraId="79789825">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10.1.1 乙方在合同规定的交货期后日内仍未能交付合同</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 xml:space="preserve">； </w:t>
      </w:r>
    </w:p>
    <w:p w14:paraId="2032ECC4">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10.1.2 乙方未能使</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达到规定的最低技术性能和保证指标；</w:t>
      </w:r>
    </w:p>
    <w:p w14:paraId="40EB16F0">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10.1.3 乙方未能履行合同项下任何</w:t>
      </w:r>
      <w:r>
        <w:rPr>
          <w:rFonts w:hint="eastAsia" w:ascii="宋体" w:hAnsi="宋体" w:cs="宋体"/>
          <w:color w:val="auto"/>
          <w:kern w:val="0"/>
          <w:sz w:val="24"/>
          <w:highlight w:val="none"/>
          <w:lang w:eastAsia="zh-CN"/>
        </w:rPr>
        <w:t>其他</w:t>
      </w:r>
      <w:r>
        <w:rPr>
          <w:rFonts w:hint="eastAsia" w:ascii="宋体" w:hAnsi="宋体" w:cs="宋体"/>
          <w:color w:val="auto"/>
          <w:kern w:val="0"/>
          <w:sz w:val="24"/>
          <w:highlight w:val="none"/>
        </w:rPr>
        <w:t>义务，并且在收到甲方违约通知后日内仍未能对其违约行为作出补救。</w:t>
      </w:r>
    </w:p>
    <w:p w14:paraId="3EFAF861">
      <w:pPr>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 xml:space="preserve">10.2  </w:t>
      </w:r>
      <w:r>
        <w:rPr>
          <w:rFonts w:hint="eastAsia" w:ascii="宋体" w:hAnsi="宋体" w:cs="宋体"/>
          <w:color w:val="auto"/>
          <w:sz w:val="24"/>
          <w:highlight w:val="none"/>
        </w:rPr>
        <w:t>由于乙方原因未能按期向甲方交付验收合格的“</w:t>
      </w:r>
      <w:r>
        <w:rPr>
          <w:rFonts w:hint="eastAsia" w:ascii="宋体" w:hAnsi="宋体" w:cs="宋体"/>
          <w:color w:val="auto"/>
          <w:sz w:val="24"/>
          <w:highlight w:val="none"/>
          <w:lang w:eastAsia="zh-CN"/>
        </w:rPr>
        <w:t>货物</w:t>
      </w:r>
      <w:r>
        <w:rPr>
          <w:rFonts w:hint="eastAsia" w:ascii="宋体" w:hAnsi="宋体" w:cs="宋体"/>
          <w:color w:val="auto"/>
          <w:sz w:val="24"/>
          <w:highlight w:val="none"/>
        </w:rPr>
        <w:t>”时，每逾1天，乙方向甲方支付合同金额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r>
        <w:rPr>
          <w:rFonts w:hint="eastAsia" w:ascii="宋体" w:hAnsi="宋体" w:cs="宋体"/>
          <w:color w:val="auto"/>
          <w:kern w:val="0"/>
          <w:sz w:val="24"/>
          <w:highlight w:val="none"/>
        </w:rPr>
        <w:t>如果逾期</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天，乙方仍不能交付</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的，甲方有权解除合同，并要求乙方承担相应的违约责任</w:t>
      </w:r>
      <w:r>
        <w:rPr>
          <w:rFonts w:hint="eastAsia" w:ascii="宋体" w:hAnsi="宋体" w:cs="宋体"/>
          <w:color w:val="auto"/>
          <w:sz w:val="24"/>
          <w:highlight w:val="none"/>
        </w:rPr>
        <w:t>。</w:t>
      </w:r>
    </w:p>
    <w:p w14:paraId="3A56F80E">
      <w:pPr>
        <w:autoSpaceDE w:val="0"/>
        <w:autoSpaceDN w:val="0"/>
        <w:adjustRightInd w:val="0"/>
        <w:spacing w:line="5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10.3  在甲方全部或部分终止合同的情况下，甲方可以以适当的条件取得与未按合同规定交付的</w:t>
      </w:r>
      <w:r>
        <w:rPr>
          <w:rFonts w:hint="eastAsia" w:ascii="宋体" w:hAnsi="宋体" w:cs="宋体"/>
          <w:color w:val="auto"/>
          <w:kern w:val="0"/>
          <w:sz w:val="24"/>
          <w:highlight w:val="none"/>
          <w:lang w:eastAsia="zh-CN"/>
        </w:rPr>
        <w:t>货物</w:t>
      </w:r>
      <w:r>
        <w:rPr>
          <w:rFonts w:hint="eastAsia" w:ascii="宋体" w:hAnsi="宋体" w:cs="宋体"/>
          <w:color w:val="auto"/>
          <w:kern w:val="0"/>
          <w:sz w:val="24"/>
          <w:highlight w:val="none"/>
        </w:rPr>
        <w:t>和/或服务，乙方应承担甲方由此发生的额外费用。</w:t>
      </w:r>
    </w:p>
    <w:p w14:paraId="71D97AB1">
      <w:pPr>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10.4</w:t>
      </w:r>
      <w:r>
        <w:rPr>
          <w:rFonts w:hint="eastAsia" w:ascii="宋体" w:hAnsi="宋体" w:cs="宋体"/>
          <w:color w:val="auto"/>
          <w:sz w:val="24"/>
          <w:highlight w:val="none"/>
        </w:rPr>
        <w:t>合同签订后，双方均不得无故更改或终止合同。若因一方原因而导致合同无法继续履行，违约方应赔偿因此而给守约方带来的损失，并承担合同金额的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w:t>
      </w:r>
    </w:p>
    <w:p w14:paraId="777C7968">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11.</w:t>
      </w:r>
      <w:r>
        <w:rPr>
          <w:rFonts w:hint="eastAsia" w:ascii="宋体" w:hAnsi="宋体" w:cs="宋体"/>
          <w:color w:val="auto"/>
          <w:sz w:val="24"/>
          <w:highlight w:val="none"/>
        </w:rPr>
        <w:t>公开</w:t>
      </w:r>
    </w:p>
    <w:p w14:paraId="5DA25F3C">
      <w:pPr>
        <w:spacing w:line="500" w:lineRule="exact"/>
        <w:ind w:left="1" w:firstLine="480" w:firstLineChars="200"/>
        <w:rPr>
          <w:rFonts w:ascii="宋体" w:hAnsi="宋体" w:cs="宋体"/>
          <w:color w:val="auto"/>
          <w:sz w:val="24"/>
          <w:highlight w:val="none"/>
        </w:rPr>
      </w:pPr>
      <w:r>
        <w:rPr>
          <w:rFonts w:hint="eastAsia" w:ascii="宋体" w:hAnsi="宋体" w:cs="宋体"/>
          <w:color w:val="auto"/>
          <w:sz w:val="24"/>
          <w:highlight w:val="none"/>
        </w:rPr>
        <w:t>任何一方，如果没有得到另一方的书面同意，不得对外公布任何与本合同有关的消息。</w:t>
      </w:r>
    </w:p>
    <w:p w14:paraId="5C0882F5">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12.</w:t>
      </w:r>
      <w:r>
        <w:rPr>
          <w:rFonts w:hint="eastAsia" w:ascii="宋体" w:hAnsi="宋体" w:cs="宋体"/>
          <w:color w:val="auto"/>
          <w:sz w:val="24"/>
          <w:highlight w:val="none"/>
        </w:rPr>
        <w:t>适用法律</w:t>
      </w:r>
    </w:p>
    <w:p w14:paraId="1866886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本合同的解释和执行适用中华人民共和国法律。</w:t>
      </w:r>
    </w:p>
    <w:p w14:paraId="7CECE4B6">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13.</w:t>
      </w:r>
      <w:r>
        <w:rPr>
          <w:rFonts w:hint="eastAsia" w:ascii="宋体" w:hAnsi="宋体" w:cs="宋体"/>
          <w:color w:val="auto"/>
          <w:sz w:val="24"/>
          <w:highlight w:val="none"/>
        </w:rPr>
        <w:t>转让</w:t>
      </w:r>
    </w:p>
    <w:p w14:paraId="2074C07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除非合同双方另有约定，任何一方都不得将本合同以及本合同项下的任何权利义务，直接或者间接地转让给任何第三方。</w:t>
      </w:r>
    </w:p>
    <w:p w14:paraId="13045907">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14.其他约定事项</w:t>
      </w:r>
    </w:p>
    <w:p w14:paraId="341BF6F5">
      <w:pPr>
        <w:spacing w:line="500" w:lineRule="exact"/>
        <w:ind w:left="2" w:firstLine="480" w:firstLineChars="200"/>
        <w:rPr>
          <w:rFonts w:ascii="宋体" w:hAnsi="宋体" w:cs="宋体"/>
          <w:color w:val="auto"/>
          <w:sz w:val="24"/>
          <w:highlight w:val="none"/>
        </w:rPr>
      </w:pPr>
      <w:r>
        <w:rPr>
          <w:rFonts w:hint="eastAsia" w:ascii="宋体" w:hAnsi="宋体" w:cs="宋体"/>
          <w:color w:val="auto"/>
          <w:sz w:val="24"/>
          <w:highlight w:val="none"/>
        </w:rPr>
        <w:t>14.1本合同在履行过程中如发生纠纷，双方应协商解决，协商不成，均可向人民法院起诉。</w:t>
      </w:r>
    </w:p>
    <w:p w14:paraId="34D6ECF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14.2本合同双方签字盖章后正式生效。</w:t>
      </w:r>
    </w:p>
    <w:p w14:paraId="59DE66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14.3本合同一式份，甲方执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份，均具有同等法律效力。</w:t>
      </w:r>
    </w:p>
    <w:p w14:paraId="0C92B38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14.4本合同未尽事宜，双方协商解决或另立合同，但不得与本合同抵触。</w:t>
      </w:r>
    </w:p>
    <w:p w14:paraId="5FB7E26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14.5本合同履行完后自动终止。</w:t>
      </w:r>
    </w:p>
    <w:p w14:paraId="31AEB76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合同各方授权代表签字如下：</w:t>
      </w:r>
    </w:p>
    <w:p w14:paraId="3272B132">
      <w:pPr>
        <w:spacing w:line="480" w:lineRule="exact"/>
        <w:ind w:firstLine="240" w:firstLineChars="100"/>
        <w:rPr>
          <w:rFonts w:ascii="宋体" w:hAnsi="宋体" w:cs="宋体"/>
          <w:color w:val="auto"/>
          <w:sz w:val="24"/>
          <w:highlight w:val="none"/>
        </w:rPr>
      </w:pPr>
    </w:p>
    <w:p w14:paraId="7824A246">
      <w:pPr>
        <w:spacing w:line="480" w:lineRule="exact"/>
        <w:ind w:firstLine="240" w:firstLineChars="100"/>
        <w:rPr>
          <w:rFonts w:ascii="宋体" w:hAnsi="宋体" w:cs="宋体"/>
          <w:color w:val="auto"/>
          <w:sz w:val="24"/>
          <w:highlight w:val="none"/>
        </w:rPr>
      </w:pPr>
    </w:p>
    <w:p w14:paraId="2376C9FF">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甲方：                                     乙方： </w:t>
      </w:r>
    </w:p>
    <w:p w14:paraId="67B64D1B">
      <w:pPr>
        <w:spacing w:line="480" w:lineRule="exact"/>
        <w:ind w:firstLine="240" w:firstLineChars="100"/>
        <w:rPr>
          <w:rFonts w:ascii="宋体" w:hAnsi="宋体" w:cs="宋体"/>
          <w:color w:val="auto"/>
          <w:sz w:val="24"/>
          <w:highlight w:val="none"/>
        </w:rPr>
      </w:pPr>
    </w:p>
    <w:p w14:paraId="1A024CF3">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法定代表人签字：                           法定代表人签字：</w:t>
      </w:r>
    </w:p>
    <w:p w14:paraId="24E55737">
      <w:pPr>
        <w:spacing w:line="480" w:lineRule="exact"/>
        <w:ind w:firstLine="240" w:firstLineChars="100"/>
        <w:rPr>
          <w:rFonts w:ascii="宋体" w:hAnsi="宋体" w:cs="宋体"/>
          <w:color w:val="auto"/>
          <w:sz w:val="24"/>
          <w:highlight w:val="none"/>
        </w:rPr>
      </w:pPr>
    </w:p>
    <w:p w14:paraId="5A598F5B">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地址：                                     地址：</w:t>
      </w:r>
    </w:p>
    <w:p w14:paraId="5A3E46AC">
      <w:pPr>
        <w:spacing w:line="480" w:lineRule="exact"/>
        <w:ind w:firstLine="240" w:firstLineChars="100"/>
        <w:rPr>
          <w:rFonts w:ascii="宋体" w:hAnsi="宋体" w:cs="宋体"/>
          <w:color w:val="auto"/>
          <w:sz w:val="24"/>
          <w:highlight w:val="none"/>
        </w:rPr>
      </w:pPr>
    </w:p>
    <w:p w14:paraId="148F668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电话：                                     电话： </w:t>
      </w:r>
    </w:p>
    <w:p w14:paraId="596F8D22">
      <w:pPr>
        <w:spacing w:line="480" w:lineRule="exact"/>
        <w:ind w:firstLine="240" w:firstLineChars="100"/>
        <w:rPr>
          <w:rFonts w:ascii="宋体" w:hAnsi="宋体" w:cs="宋体"/>
          <w:color w:val="auto"/>
          <w:sz w:val="24"/>
          <w:highlight w:val="none"/>
        </w:rPr>
      </w:pPr>
    </w:p>
    <w:p w14:paraId="34DFB8B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开户行：                                   开户行：</w:t>
      </w:r>
    </w:p>
    <w:p w14:paraId="3C28FCFC">
      <w:pPr>
        <w:spacing w:line="480" w:lineRule="exact"/>
        <w:ind w:firstLine="240" w:firstLineChars="100"/>
        <w:rPr>
          <w:rFonts w:ascii="宋体" w:hAnsi="宋体" w:cs="宋体"/>
          <w:color w:val="auto"/>
          <w:sz w:val="24"/>
          <w:highlight w:val="none"/>
        </w:rPr>
      </w:pPr>
    </w:p>
    <w:p w14:paraId="5DA7FC38">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账号：                                     账号：</w:t>
      </w:r>
    </w:p>
    <w:p w14:paraId="5FA3D977">
      <w:pPr>
        <w:spacing w:line="480" w:lineRule="exact"/>
        <w:ind w:firstLine="240" w:firstLineChars="100"/>
        <w:rPr>
          <w:rFonts w:ascii="宋体" w:hAnsi="宋体" w:cs="宋体"/>
          <w:color w:val="auto"/>
          <w:sz w:val="24"/>
          <w:highlight w:val="none"/>
        </w:rPr>
      </w:pPr>
    </w:p>
    <w:p w14:paraId="1F74F93A">
      <w:pPr>
        <w:spacing w:line="48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邮政编码：                                 邮政编码：</w:t>
      </w:r>
    </w:p>
    <w:p w14:paraId="15D79457">
      <w:pPr>
        <w:spacing w:line="480" w:lineRule="exact"/>
        <w:ind w:firstLine="240" w:firstLineChars="100"/>
        <w:jc w:val="left"/>
        <w:outlineLvl w:val="0"/>
        <w:rPr>
          <w:rFonts w:ascii="宋体" w:hAnsi="宋体" w:cs="宋体"/>
          <w:color w:val="auto"/>
          <w:sz w:val="24"/>
          <w:highlight w:val="none"/>
        </w:rPr>
      </w:pPr>
      <w:bookmarkStart w:id="183" w:name="_Toc9996"/>
      <w:bookmarkStart w:id="184" w:name="_Toc30039"/>
    </w:p>
    <w:p w14:paraId="6CAAB0C1">
      <w:pPr>
        <w:spacing w:line="480" w:lineRule="exact"/>
        <w:ind w:firstLine="240" w:firstLineChars="100"/>
        <w:jc w:val="left"/>
        <w:outlineLvl w:val="0"/>
        <w:rPr>
          <w:rFonts w:ascii="宋体" w:hAnsi="宋体" w:cs="宋体"/>
          <w:color w:val="auto"/>
          <w:szCs w:val="21"/>
          <w:highlight w:val="none"/>
        </w:rPr>
      </w:pPr>
      <w:r>
        <w:rPr>
          <w:rFonts w:hint="eastAsia" w:ascii="宋体" w:hAnsi="宋体" w:cs="宋体"/>
          <w:color w:val="auto"/>
          <w:sz w:val="24"/>
          <w:highlight w:val="none"/>
        </w:rPr>
        <w:t>签订时间：                                 签订时间</w:t>
      </w:r>
      <w:bookmarkEnd w:id="183"/>
      <w:bookmarkEnd w:id="184"/>
      <w:r>
        <w:rPr>
          <w:rFonts w:hint="eastAsia" w:ascii="宋体" w:hAnsi="宋体" w:cs="宋体"/>
          <w:color w:val="auto"/>
          <w:sz w:val="24"/>
          <w:highlight w:val="none"/>
        </w:rPr>
        <w:t>：</w:t>
      </w:r>
    </w:p>
    <w:p w14:paraId="7F73AFA0">
      <w:pPr>
        <w:spacing w:line="900" w:lineRule="exact"/>
        <w:jc w:val="center"/>
        <w:rPr>
          <w:rFonts w:ascii="宋体" w:cs="宋体"/>
          <w:b/>
          <w:color w:val="auto"/>
          <w:sz w:val="44"/>
          <w:szCs w:val="44"/>
          <w:highlight w:val="none"/>
        </w:rPr>
        <w:sectPr>
          <w:headerReference r:id="rId9" w:type="default"/>
          <w:footerReference r:id="rId10" w:type="default"/>
          <w:pgSz w:w="11906" w:h="16838"/>
          <w:pgMar w:top="1440" w:right="1080" w:bottom="1440" w:left="1080" w:header="851" w:footer="992" w:gutter="0"/>
          <w:pgNumType w:fmt="decimal"/>
          <w:cols w:space="425" w:num="1"/>
          <w:docGrid w:type="lines" w:linePitch="312" w:charSpace="0"/>
        </w:sectPr>
      </w:pPr>
    </w:p>
    <w:p w14:paraId="4C5E890F">
      <w:pPr>
        <w:spacing w:afterLines="100" w:line="900" w:lineRule="exact"/>
        <w:jc w:val="center"/>
        <w:rPr>
          <w:rFonts w:ascii="宋体" w:cs="宋体"/>
          <w:b/>
          <w:color w:val="auto"/>
          <w:sz w:val="44"/>
          <w:szCs w:val="44"/>
          <w:highlight w:val="none"/>
        </w:rPr>
      </w:pPr>
      <w:r>
        <w:rPr>
          <w:rFonts w:hint="eastAsia" w:ascii="宋体" w:cs="宋体"/>
          <w:b/>
          <w:color w:val="auto"/>
          <w:sz w:val="44"/>
          <w:szCs w:val="44"/>
          <w:highlight w:val="none"/>
        </w:rPr>
        <w:t>第五章</w:t>
      </w:r>
      <w:r>
        <w:rPr>
          <w:rFonts w:hint="eastAsia" w:ascii="宋体" w:cs="宋体"/>
          <w:b/>
          <w:color w:val="auto"/>
          <w:sz w:val="44"/>
          <w:szCs w:val="44"/>
          <w:highlight w:val="none"/>
          <w:lang w:val="en-US" w:eastAsia="zh-CN"/>
        </w:rPr>
        <w:t xml:space="preserve"> </w:t>
      </w:r>
      <w:r>
        <w:rPr>
          <w:rFonts w:hint="eastAsia" w:ascii="宋体" w:cs="宋体"/>
          <w:b/>
          <w:color w:val="auto"/>
          <w:sz w:val="44"/>
          <w:szCs w:val="44"/>
          <w:highlight w:val="none"/>
        </w:rPr>
        <w:t>采购需求</w:t>
      </w:r>
    </w:p>
    <w:p w14:paraId="3692F42D">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一、采购标的需实现的功能或者目标，以及为落实政府采购政策需满足的要求；</w:t>
      </w:r>
    </w:p>
    <w:p w14:paraId="680D094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1.采购标的需实现的功能或者目标：</w:t>
      </w:r>
      <w:r>
        <w:rPr>
          <w:rFonts w:hint="eastAsia" w:ascii="宋体" w:hAnsi="宋体" w:cs="宋体"/>
          <w:bCs/>
          <w:color w:val="auto"/>
          <w:sz w:val="24"/>
          <w:highlight w:val="none"/>
          <w:lang w:val="en-US" w:eastAsia="zh-CN"/>
        </w:rPr>
        <w:t>按时按质按量完成</w:t>
      </w:r>
      <w:r>
        <w:rPr>
          <w:rFonts w:hint="eastAsia" w:ascii="宋体" w:hAnsi="宋体" w:cs="宋体"/>
          <w:color w:val="auto"/>
          <w:sz w:val="24"/>
          <w:highlight w:val="none"/>
          <w:lang w:eastAsia="zh-CN"/>
        </w:rPr>
        <w:t>陇川县2026年义务教育薄弱环节改善与能力提升项目（洗碗机）</w:t>
      </w:r>
      <w:r>
        <w:rPr>
          <w:rFonts w:hint="eastAsia" w:ascii="宋体" w:hAnsi="宋体" w:cs="宋体"/>
          <w:color w:val="auto"/>
          <w:sz w:val="24"/>
          <w:highlight w:val="none"/>
          <w:lang w:val="en-US" w:eastAsia="zh-CN"/>
        </w:rPr>
        <w:t>项目。</w:t>
      </w:r>
    </w:p>
    <w:p w14:paraId="702A8B0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2.为落实政府采购政策需满足的要求</w:t>
      </w:r>
    </w:p>
    <w:p w14:paraId="7A7D5D87">
      <w:pPr>
        <w:pStyle w:val="10"/>
        <w:keepNext w:val="0"/>
        <w:keepLines w:val="0"/>
        <w:pageBreakBefore w:val="0"/>
        <w:kinsoku/>
        <w:wordWrap/>
        <w:overflowPunct/>
        <w:topLinePunct w:val="0"/>
        <w:autoSpaceDE/>
        <w:autoSpaceDN/>
        <w:bidi w:val="0"/>
        <w:adjustRightInd/>
        <w:snapToGrid/>
        <w:spacing w:after="0" w:line="480" w:lineRule="exact"/>
        <w:ind w:left="0" w:leftChars="0" w:firstLine="4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（1）本项目不属于专门面向中小企业采购的项目；</w:t>
      </w:r>
    </w:p>
    <w:p w14:paraId="4DE81AA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szCs w:val="24"/>
          <w:highlight w:val="none"/>
        </w:rPr>
        <w:t>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财库〔2014〕68号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r>
        <w:rPr>
          <w:rFonts w:hint="eastAsia" w:ascii="宋体" w:hAnsi="宋体" w:cs="宋体"/>
          <w:bCs/>
          <w:color w:val="auto"/>
          <w:sz w:val="24"/>
          <w:highlight w:val="none"/>
        </w:rPr>
        <w:t>。</w:t>
      </w:r>
    </w:p>
    <w:p w14:paraId="47E9C3AC">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二、采购标的需执行的国家相关标准、行业标准、地方标准或者其他标准、规范；</w:t>
      </w:r>
    </w:p>
    <w:p w14:paraId="1F66EFAC">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color w:val="auto"/>
          <w:highlight w:val="none"/>
        </w:rPr>
      </w:pPr>
      <w:r>
        <w:rPr>
          <w:rFonts w:hint="eastAsia" w:ascii="宋体" w:hAnsi="宋体" w:cs="宋体"/>
          <w:color w:val="auto"/>
          <w:sz w:val="24"/>
          <w:highlight w:val="none"/>
        </w:rPr>
        <w:t>依据《中华人民共和国政府采购法》、中华人民共和国财政部令第87号《政府采购货物和服务招标投标管理办法》、财库〔2019〕38号《财政部关于促进政府采购公平竞争优化营商环境的通知》等相关法律法规，根据</w:t>
      </w:r>
      <w:r>
        <w:rPr>
          <w:rFonts w:hint="eastAsia" w:ascii="宋体" w:hAnsi="宋体" w:cs="宋体"/>
          <w:color w:val="auto"/>
          <w:sz w:val="24"/>
          <w:highlight w:val="none"/>
          <w:lang w:eastAsia="zh-CN"/>
        </w:rPr>
        <w:t>陇川县教育体育局</w:t>
      </w:r>
      <w:r>
        <w:rPr>
          <w:rFonts w:hint="eastAsia" w:ascii="宋体" w:hAnsi="宋体" w:cs="宋体"/>
          <w:color w:val="auto"/>
          <w:sz w:val="24"/>
          <w:highlight w:val="none"/>
        </w:rPr>
        <w:t>实际需求，编制采购标准，满足采购人使用需求。</w:t>
      </w:r>
    </w:p>
    <w:p w14:paraId="046C57F0">
      <w:pPr>
        <w:numPr>
          <w:ilvl w:val="0"/>
          <w:numId w:val="3"/>
        </w:num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采购标的需满足的质量、安全、技术规格、物理特性等要求；</w:t>
      </w:r>
    </w:p>
    <w:p w14:paraId="0B433843">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陇川县教育体育局采购洗碗机等设施设备一批</w:t>
      </w:r>
      <w:r>
        <w:rPr>
          <w:rFonts w:hint="eastAsia" w:ascii="宋体" w:hAnsi="宋体" w:eastAsia="宋体" w:cs="宋体"/>
          <w:color w:val="auto"/>
          <w:sz w:val="24"/>
          <w:highlight w:val="none"/>
        </w:rPr>
        <w:t>。</w:t>
      </w:r>
    </w:p>
    <w:tbl>
      <w:tblPr>
        <w:tblStyle w:val="23"/>
        <w:tblW w:w="10181" w:type="dxa"/>
        <w:jc w:val="center"/>
        <w:tblLayout w:type="fixed"/>
        <w:tblCellMar>
          <w:top w:w="0" w:type="dxa"/>
          <w:left w:w="108" w:type="dxa"/>
          <w:bottom w:w="0" w:type="dxa"/>
          <w:right w:w="108" w:type="dxa"/>
        </w:tblCellMar>
      </w:tblPr>
      <w:tblGrid>
        <w:gridCol w:w="540"/>
        <w:gridCol w:w="1757"/>
        <w:gridCol w:w="3977"/>
        <w:gridCol w:w="692"/>
        <w:gridCol w:w="690"/>
        <w:gridCol w:w="1185"/>
        <w:gridCol w:w="1340"/>
      </w:tblGrid>
      <w:tr w14:paraId="49EAA5A0">
        <w:trPr>
          <w:trHeight w:val="90" w:hRule="atLeast"/>
          <w:jc w:val="center"/>
        </w:trPr>
        <w:tc>
          <w:tcPr>
            <w:tcW w:w="10181" w:type="dxa"/>
            <w:gridSpan w:val="7"/>
            <w:tcBorders>
              <w:top w:val="single" w:color="000000" w:sz="4" w:space="0"/>
              <w:left w:val="single" w:color="000000" w:sz="4" w:space="0"/>
              <w:bottom w:val="single" w:color="000000" w:sz="4" w:space="0"/>
              <w:right w:val="single" w:color="000000" w:sz="4" w:space="0"/>
            </w:tcBorders>
            <w:noWrap/>
            <w:vAlign w:val="center"/>
          </w:tcPr>
          <w:p w14:paraId="10EC361C">
            <w:pPr>
              <w:widowControl/>
              <w:jc w:val="center"/>
              <w:textAlignment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8"/>
                <w:szCs w:val="28"/>
                <w:highlight w:val="none"/>
                <w:lang w:val="en-US" w:eastAsia="zh-CN"/>
              </w:rPr>
              <w:t>陇川县2026年义务教育薄弱环节改善与能力提升项目（洗碗机）采购清单</w:t>
            </w:r>
          </w:p>
        </w:tc>
      </w:tr>
      <w:tr w14:paraId="13C420EB">
        <w:tblPrEx>
          <w:tblCellMar>
            <w:top w:w="0" w:type="dxa"/>
            <w:left w:w="108" w:type="dxa"/>
            <w:bottom w:w="0" w:type="dxa"/>
            <w:right w:w="108" w:type="dxa"/>
          </w:tblCellMar>
        </w:tblPrEx>
        <w:trPr>
          <w:trHeight w:val="737"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EAC3">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04FA">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产品名称</w:t>
            </w:r>
          </w:p>
        </w:tc>
        <w:tc>
          <w:tcPr>
            <w:tcW w:w="3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5B09">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需求参数</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F53E">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628A">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4CFD9658">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6A6A">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最高限价（元）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BD8B">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总价</w:t>
            </w:r>
            <w:r>
              <w:rPr>
                <w:rFonts w:hint="eastAsia" w:ascii="宋体" w:hAnsi="宋体" w:eastAsia="宋体" w:cs="宋体"/>
                <w:b/>
                <w:bCs/>
                <w:color w:val="auto"/>
                <w:kern w:val="0"/>
                <w:sz w:val="21"/>
                <w:szCs w:val="21"/>
                <w:highlight w:val="none"/>
              </w:rPr>
              <w:t>最高限价（元）</w:t>
            </w:r>
          </w:p>
        </w:tc>
      </w:tr>
      <w:tr w14:paraId="6B8DAC63">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3D30C">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1</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91966">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Style w:val="65"/>
                <w:rFonts w:hint="eastAsia" w:ascii="宋体" w:hAnsi="宋体" w:eastAsia="宋体" w:cs="宋体"/>
                <w:b w:val="0"/>
                <w:bCs w:val="0"/>
                <w:color w:val="auto"/>
                <w:sz w:val="21"/>
                <w:szCs w:val="21"/>
                <w:highlight w:val="none"/>
                <w:lang w:val="en-US" w:eastAsia="zh-CN" w:bidi="ar"/>
              </w:rPr>
              <w:t>不锈钢残渣操作面板</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796C6B8E">
            <w:pPr>
              <w:widowControl/>
              <w:jc w:val="left"/>
              <w:textAlignment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尺寸：≥800*800*800+150；整体采用SUS304#不锈钢磨砂板不锈钢制作，操作面厚度≥1.2mm，内衬≥4mm防水机制板并用≥1.2mm厚不锈钢板折成加强筋加固，下层板厚度≥1.2mm，脚管采用φ48*1.2mm厚不锈钢圆管，配不锈钢可调子弹脚。</w:t>
            </w:r>
          </w:p>
          <w:p w14:paraId="3EF07958">
            <w:pPr>
              <w:widowControl/>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★2.提供不锈钢板检测报告。</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B648">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59E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8D3F">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52A2">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10400.00</w:t>
            </w:r>
          </w:p>
        </w:tc>
      </w:tr>
      <w:tr w14:paraId="07415477">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AF09D">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E992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超声波预洗机</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3005524B">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尺寸：≥800*800*800；整体采用优质不锈钢制作，强力去污，加热≥3KW，清洗≥2KW，总功率≤5KW，振子排布均匀，防干烧、过流保护，适用于学校食堂的碗、碟、筷子、勺等。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7554">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90D5">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0D9D">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16600.00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CFE4">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132800.00</w:t>
            </w:r>
          </w:p>
        </w:tc>
      </w:tr>
      <w:tr w14:paraId="7AD5DDF7">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72DE">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AB319">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Style w:val="65"/>
                <w:rFonts w:hint="eastAsia" w:ascii="宋体" w:hAnsi="宋体" w:eastAsia="宋体" w:cs="宋体"/>
                <w:b w:val="0"/>
                <w:bCs w:val="0"/>
                <w:color w:val="auto"/>
                <w:sz w:val="21"/>
                <w:szCs w:val="21"/>
                <w:highlight w:val="none"/>
                <w:lang w:val="en-US" w:eastAsia="zh-CN" w:bidi="ar"/>
              </w:rPr>
              <w:t>不锈钢出机操作面板</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1C91716C">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尺寸：≥1000*800*800+150；整体采用SUS304#不锈钢磨砂板不锈钢制作，操作面厚度≥1.2mm，内衬≥4mm防水机制板并用≥1.0mm厚不锈钢板折成加强筋加固，下层板厚度≥1.2mm，脚管采用φ48*1.0mm厚不锈钢圆管，配不锈钢可调子弹脚。</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34E4">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F9B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E68D">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1300.00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D5E">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10400.00</w:t>
            </w:r>
          </w:p>
        </w:tc>
      </w:tr>
      <w:tr w14:paraId="29845E99">
        <w:tblPrEx>
          <w:tblCellMar>
            <w:top w:w="0" w:type="dxa"/>
            <w:left w:w="108" w:type="dxa"/>
            <w:bottom w:w="0" w:type="dxa"/>
            <w:right w:w="108" w:type="dxa"/>
          </w:tblCellMar>
        </w:tblPrEx>
        <w:trPr>
          <w:trHeight w:val="69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9000D">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A0A3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收碗筐</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45585F2F">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食品级PP/HDPE全新料子，壁厚2.0-4.0mm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6228">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6E8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D7AA">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90.00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A5D">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7200.00</w:t>
            </w:r>
          </w:p>
        </w:tc>
      </w:tr>
      <w:tr w14:paraId="1D256105">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FCBCB">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5</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65D7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洗碗机催干剂、洗涤剂</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69EC3405">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均匀液体，无分层无悬浮物无沉淀，无异常异味，符合产品固有气味，适配高温洗碗机。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78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3D6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1925">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600.00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75C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19200.00</w:t>
            </w:r>
          </w:p>
        </w:tc>
      </w:tr>
      <w:tr w14:paraId="7276FC4B">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8AD0">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A6A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洗碗机智能热气抽排系统</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30979F42">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材质为优质SUS304#不锈钢磨砂板不锈钢板制作，板厚1.2mm，外观平整无翘曲现象，外置平稳无晃动，外部焊缝应打磨平整并保持整纹的一致性，不宜打磨处进行除锈处理。</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85A">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981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7B1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22000.00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A13E">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176000.00</w:t>
            </w:r>
          </w:p>
        </w:tc>
      </w:tr>
      <w:tr w14:paraId="026E3213">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7693B">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3043">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洗碗机智能分配器</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57B5FA39">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功率：30-60W，AC100-240V\50-60Hz</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外置双水泵，数字调控，适配大型商用洗碗机。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9B35">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12F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4B2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6000.00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087B">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48000.00</w:t>
            </w:r>
          </w:p>
        </w:tc>
      </w:tr>
      <w:tr w14:paraId="61C805DA">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988F8">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8</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2541">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洗碗机房排水、智能电控系统</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100BB51C">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采用国标铜芯电缆，优质水管，根据现场</w:t>
            </w:r>
            <w:r>
              <w:rPr>
                <w:rFonts w:hint="eastAsia" w:ascii="宋体" w:hAnsi="宋体" w:cs="宋体"/>
                <w:b w:val="0"/>
                <w:bCs w:val="0"/>
                <w:color w:val="auto"/>
                <w:sz w:val="21"/>
                <w:szCs w:val="21"/>
                <w:highlight w:val="none"/>
                <w:lang w:val="en-US" w:eastAsia="zh-CN"/>
              </w:rPr>
              <w:t>实际需求安装</w:t>
            </w:r>
            <w:r>
              <w:rPr>
                <w:rFonts w:hint="eastAsia" w:ascii="宋体" w:hAnsi="宋体" w:eastAsia="宋体" w:cs="宋体"/>
                <w:b w:val="0"/>
                <w:bCs w:val="0"/>
                <w:color w:val="auto"/>
                <w:sz w:val="21"/>
                <w:szCs w:val="21"/>
                <w:highlight w:val="none"/>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4A46">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C6B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308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w:t>
            </w:r>
            <w:r>
              <w:rPr>
                <w:rFonts w:hint="eastAsia" w:ascii="宋体" w:hAnsi="宋体" w:cs="宋体"/>
                <w:b w:val="0"/>
                <w:bCs w:val="0"/>
                <w:i w:val="0"/>
                <w:iCs w:val="0"/>
                <w:color w:val="auto"/>
                <w:kern w:val="0"/>
                <w:sz w:val="21"/>
                <w:szCs w:val="21"/>
                <w:highlight w:val="none"/>
                <w:u w:val="none"/>
                <w:lang w:val="en-US" w:eastAsia="zh-CN" w:bidi="ar"/>
              </w:rPr>
              <w:t>1375</w:t>
            </w:r>
            <w:r>
              <w:rPr>
                <w:rFonts w:hint="eastAsia" w:ascii="宋体" w:hAnsi="宋体" w:eastAsia="宋体" w:cs="宋体"/>
                <w:b w:val="0"/>
                <w:bCs w:val="0"/>
                <w:i w:val="0"/>
                <w:iCs w:val="0"/>
                <w:color w:val="auto"/>
                <w:kern w:val="0"/>
                <w:sz w:val="21"/>
                <w:szCs w:val="21"/>
                <w:highlight w:val="none"/>
                <w:u w:val="none"/>
                <w:lang w:val="en-US" w:eastAsia="zh-CN" w:bidi="ar"/>
              </w:rPr>
              <w:t>.00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39E">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i w:val="0"/>
                <w:iCs w:val="0"/>
                <w:color w:val="auto"/>
                <w:kern w:val="0"/>
                <w:sz w:val="21"/>
                <w:szCs w:val="21"/>
                <w:highlight w:val="none"/>
                <w:u w:val="none"/>
                <w:lang w:val="en-US" w:eastAsia="zh-CN" w:bidi="ar"/>
              </w:rPr>
              <w:t>91000</w:t>
            </w:r>
            <w:r>
              <w:rPr>
                <w:rFonts w:hint="eastAsia" w:ascii="宋体" w:hAnsi="宋体" w:eastAsia="宋体" w:cs="宋体"/>
                <w:b w:val="0"/>
                <w:bCs w:val="0"/>
                <w:i w:val="0"/>
                <w:iCs w:val="0"/>
                <w:color w:val="auto"/>
                <w:kern w:val="0"/>
                <w:sz w:val="21"/>
                <w:szCs w:val="21"/>
                <w:highlight w:val="none"/>
                <w:u w:val="none"/>
                <w:lang w:val="en-US" w:eastAsia="zh-CN" w:bidi="ar"/>
              </w:rPr>
              <w:t>.00</w:t>
            </w:r>
          </w:p>
        </w:tc>
      </w:tr>
      <w:tr w14:paraId="6E818A2C">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A792">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9</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698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长龙式洗碗机</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0E82389E">
            <w:pPr>
              <w:widowControl/>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尺寸≤3600*1018*2050，布局紧凑合理，前盖板由不锈钢厚板，盖板内具有隔热和防燃烧夹层，夹层内置隔热防燃烧材料，节能降噪；入口区长度≤1000mm，主洗1区长度≥800mm，主洗2区长度≥800mm</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漂洗区长度≥600mm，烘干1区长度≥800mm，出口区长度≤1300mm，传送履带净宽≥510mm，标准洗涤能力：3000碟-5000碟/小时，可根据餐具情况自由切换选洗涤速度，最大耗水量≤310升/小时；机器采用增强型加热系统，标配低耗能管理系统，初始启动满额功率：≤57KW，要求洗碗机热交换系统能维持错峰节能同时还能保证大批量洗涤时主洗水温的稳定，材质要求：整机板材应使用优质多镍不锈钢板，耐腐蚀性；履带结构接触餐具的R齿、网爪连板、食品级的pp导向轮能满足抗菌率≥99.99%的安全要求以阻隔残留水渍在其表面滋生细菌并繁殖，易清洁：水箱整体无卫生死角，易于清洁；洗涤臂应采用内凹8字形喷嘴，避免残渣堵住喷嘴，喷淋管须采用插接连接，非螺纹连接可直接拆卸便于日常清洗维护，组件要求：整机配置的控制元器件、水泵、发热管等核心配件确保设备可靠耐用，品控稳定，抗电磁干扰能力强，功能完善，后期备件应充足，耗材节约：配有催干剂节约系统，配合独立药剂分散装置，可以使用较少的催干剂量获得更好碗碟催干效果</w:t>
            </w:r>
            <w:r>
              <w:rPr>
                <w:rFonts w:hint="eastAsia" w:ascii="宋体" w:hAnsi="宋体" w:cs="宋体"/>
                <w:b w:val="0"/>
                <w:bCs w:val="0"/>
                <w:color w:val="auto"/>
                <w:sz w:val="21"/>
                <w:szCs w:val="21"/>
                <w:highlight w:val="none"/>
                <w:lang w:eastAsia="zh-CN"/>
              </w:rPr>
              <w:t>。</w:t>
            </w:r>
          </w:p>
          <w:p w14:paraId="2F0F6858">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安全要求：提供对碗、碟、盘、筷、勺、杯等6类餐具的洗后感官要求：2项理化指标，2项微生物限量均能满足GB14934-2016的安全要求的检测报告；</w:t>
            </w:r>
          </w:p>
          <w:p w14:paraId="38EB81CA">
            <w:pPr>
              <w:widowControl/>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环保要求：提供包括且不限于对控制集成器、调速器、变流器、水温感测器、涡轮风机、电磁换向阀、背压阀、电磁接触器能依据GB/T 26572-2011、GB/T 39560.1-2020、GB/T 39560.2-2024、GB/T 39560.8-2021标准的检测报告</w:t>
            </w:r>
            <w:r>
              <w:rPr>
                <w:rFonts w:hint="eastAsia" w:ascii="宋体" w:hAnsi="宋体" w:cs="宋体"/>
                <w:b w:val="0"/>
                <w:bCs w:val="0"/>
                <w:color w:val="auto"/>
                <w:sz w:val="21"/>
                <w:szCs w:val="21"/>
                <w:highlight w:val="none"/>
                <w:lang w:eastAsia="zh-CN"/>
              </w:rPr>
              <w:t>。</w:t>
            </w:r>
          </w:p>
          <w:p w14:paraId="3FC6960F">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稳定性要求：承载控制集成系统的控制箱依据GB/T2423.2-2008可通过耐受温度65°以上且不低于20天(480h)无故障连续工作的高温工况，测试中通电连续工作正常；测试后，目视检查无损坏、变化、开裂、软化、变色等现象，产品性能及结构正常，通电运行正常；防长霉要求：提供洗碗机内包括且不限于内壁、格栅网、传送链排、网爪扣件等和餐具直接接触的配件依据GB/T2423.16-2022也均经权威微生物检测机构实测证明上述部件满足严酷等级2级，长霉等级为0级，确保从设备源头杜绝有害菌体生物对人体的伤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F93">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8EC6">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E292">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100000.00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0D6B">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500000.00</w:t>
            </w:r>
          </w:p>
        </w:tc>
      </w:tr>
      <w:tr w14:paraId="4EB87115">
        <w:tblPrEx>
          <w:tblCellMar>
            <w:top w:w="0" w:type="dxa"/>
            <w:left w:w="108" w:type="dxa"/>
            <w:bottom w:w="0" w:type="dxa"/>
            <w:right w:w="108" w:type="dxa"/>
          </w:tblCellMar>
        </w:tblPrEx>
        <w:trPr>
          <w:trHeight w:val="2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1738A">
            <w:pPr>
              <w:pStyle w:val="10"/>
              <w:ind w:left="0" w:leftChars="0"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A9394">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 xml:space="preserve">带传式平铺洗碗机 </w:t>
            </w:r>
          </w:p>
        </w:tc>
        <w:tc>
          <w:tcPr>
            <w:tcW w:w="3977" w:type="dxa"/>
            <w:tcBorders>
              <w:top w:val="single" w:color="000000" w:sz="4" w:space="0"/>
              <w:left w:val="single" w:color="000000" w:sz="4" w:space="0"/>
              <w:bottom w:val="single" w:color="000000" w:sz="4" w:space="0"/>
              <w:right w:val="single" w:color="000000" w:sz="4" w:space="0"/>
            </w:tcBorders>
            <w:noWrap/>
            <w:vAlign w:val="center"/>
          </w:tcPr>
          <w:p w14:paraId="68C4CE37">
            <w:pPr>
              <w:widowControl/>
              <w:jc w:val="left"/>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尺寸≤2800*850*1820，布局紧凑合理，前盖板由不锈钢厚板，盖板内具有隔热和防燃烧夹层，夹层内置隔热防燃烧材料，节能降噪；入口区长度≤400mm，主洗区长度≥1000mm</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烘干区长度≥1000mm，出口区长度≤400mm；传送履带净宽≥510mm，标准洗涤能力：1500碟-2000碟/小时，可根据餐具情况自由切换选洗涤速度，可根据餐具情况自由切换选洗涤速度；最大耗水量≤280升/小时，机器采用增强型加热系统，标配低耗能管理系统，初始启动满额功率：≤49KW，要求洗碗机热交换系统能维持错峰节能同时还能保证大批量洗涤时主洗水温的稳定，材质要求：整机板材应使用优质多镍不锈钢板，耐腐蚀性；履带结构接触餐具的输送软压带、R齿、网爪连板、食品级的pp导向轮能满足抗菌率≥99.99%的安全要求以阻隔残留水渍在其表面滋生细菌并繁殖，易清洁：水箱整体无卫生死角，易于清洁；洗涤臂应采用内凹8字形喷嘴，避免残渣堵住喷嘴，喷淋管须采用插接连接，非螺纹连接可直接拆卸便于日常清洗维护，组件要求：整机配置的控制元器件、水泵、发热管等核心配件确保设备可靠耐用，品控稳定，抗电磁干扰能力强，功能完善，后期备件应充足，耗材节约：配有催干剂节约系统，配合独立药剂分散装置，可以使用较少的催干剂量获得更好碗碟催干效果</w:t>
            </w:r>
            <w:r>
              <w:rPr>
                <w:rFonts w:hint="eastAsia" w:ascii="宋体" w:hAnsi="宋体" w:cs="宋体"/>
                <w:b w:val="0"/>
                <w:bCs w:val="0"/>
                <w:color w:val="auto"/>
                <w:sz w:val="21"/>
                <w:szCs w:val="21"/>
                <w:highlight w:val="none"/>
                <w:lang w:eastAsia="zh-CN"/>
              </w:rPr>
              <w:t>。</w:t>
            </w:r>
          </w:p>
          <w:p w14:paraId="58CECE61">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安全要求：提供对碗、碟、盘、筷、勺、杯等6类餐具的洗后感官要求、2项理化指标、2项微生物限量均能满足GB14934-2016的安全要求的检测报告；</w:t>
            </w:r>
          </w:p>
          <w:p w14:paraId="6DD32003">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环保要求：提供包括且不限于对控制集成器、调速器、变流器、水温感测器、涡轮风机、电磁换向阀、背压阀、电磁接触器能依据GB/T 26572-2011、GB/T 39560.1-2020、GB/T 39560.2-2024、GB/T 39560.8-2021标准的检测报告。</w:t>
            </w:r>
          </w:p>
          <w:p w14:paraId="25605BFD">
            <w:pPr>
              <w:widowControl/>
              <w:jc w:val="left"/>
              <w:textAlignment w:val="center"/>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稳定性要求：承载控制集成系统的控制箱依据GB/T2423.2-2008可通过耐受温度65°以上且不低于20天(480h)无故障连续工作的高温工况，测试中通电连续工作正常；测试后，目视检查无损坏、变化、开裂、软化、变色等现象，产品性能及结构正常，通电运行正常；防长霉要求：提供洗碗机内包括且不限于内壁、格栅网、传送链排、网爪扣件等和餐具直接接触的配件依据GB/T2423.16-2022也均经权威微生物检测机构实测证明上述部件满足严酷等级2级，长霉等级为0级，确保从设备源头杜绝有害菌体生物对人体的伤害。</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BF61">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70A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6654">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95000.00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54D2">
            <w:pPr>
              <w:keepNext w:val="0"/>
              <w:keepLines w:val="0"/>
              <w:widowControl/>
              <w:suppressLineNumbers w:val="0"/>
              <w:jc w:val="center"/>
              <w:textAlignment w:val="center"/>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285000.00</w:t>
            </w:r>
          </w:p>
        </w:tc>
      </w:tr>
      <w:tr w14:paraId="5371ABB4">
        <w:tblPrEx>
          <w:tblCellMar>
            <w:top w:w="0" w:type="dxa"/>
            <w:left w:w="108" w:type="dxa"/>
            <w:bottom w:w="0" w:type="dxa"/>
            <w:right w:w="108" w:type="dxa"/>
          </w:tblCellMar>
        </w:tblPrEx>
        <w:trPr>
          <w:trHeight w:val="585" w:hRule="atLeast"/>
          <w:jc w:val="center"/>
        </w:trPr>
        <w:tc>
          <w:tcPr>
            <w:tcW w:w="8841" w:type="dxa"/>
            <w:gridSpan w:val="6"/>
            <w:tcBorders>
              <w:top w:val="single" w:color="000000" w:sz="4" w:space="0"/>
              <w:left w:val="single" w:color="000000" w:sz="4" w:space="0"/>
              <w:bottom w:val="single" w:color="000000" w:sz="4" w:space="0"/>
              <w:right w:val="single" w:color="000000" w:sz="4" w:space="0"/>
            </w:tcBorders>
            <w:noWrap/>
            <w:vAlign w:val="center"/>
          </w:tcPr>
          <w:p w14:paraId="02FF4942">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合计</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7DF4425">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color w:val="auto"/>
                <w:sz w:val="21"/>
                <w:szCs w:val="21"/>
                <w:highlight w:val="none"/>
                <w:lang w:eastAsia="zh-CN"/>
              </w:rPr>
              <w:t>12</w:t>
            </w:r>
            <w:r>
              <w:rPr>
                <w:rFonts w:hint="eastAsia" w:ascii="宋体" w:hAnsi="宋体" w:cs="宋体"/>
                <w:b/>
                <w:bCs/>
                <w:color w:val="auto"/>
                <w:sz w:val="21"/>
                <w:szCs w:val="21"/>
                <w:highlight w:val="none"/>
                <w:lang w:val="en-US" w:eastAsia="zh-CN"/>
              </w:rPr>
              <w:t>80</w:t>
            </w:r>
            <w:r>
              <w:rPr>
                <w:rFonts w:hint="eastAsia" w:ascii="宋体" w:hAnsi="宋体" w:cs="宋体"/>
                <w:b/>
                <w:bCs/>
                <w:color w:val="auto"/>
                <w:sz w:val="21"/>
                <w:szCs w:val="21"/>
                <w:highlight w:val="none"/>
                <w:lang w:eastAsia="zh-CN"/>
              </w:rPr>
              <w:t>000.00</w:t>
            </w:r>
          </w:p>
        </w:tc>
      </w:tr>
      <w:tr w14:paraId="66F30563">
        <w:tblPrEx>
          <w:tblCellMar>
            <w:top w:w="0" w:type="dxa"/>
            <w:left w:w="108" w:type="dxa"/>
            <w:bottom w:w="0" w:type="dxa"/>
            <w:right w:w="108" w:type="dxa"/>
          </w:tblCellMar>
        </w:tblPrEx>
        <w:trPr>
          <w:trHeight w:val="834" w:hRule="atLeast"/>
          <w:jc w:val="center"/>
        </w:trPr>
        <w:tc>
          <w:tcPr>
            <w:tcW w:w="10181" w:type="dxa"/>
            <w:gridSpan w:val="7"/>
            <w:tcBorders>
              <w:top w:val="single" w:color="000000" w:sz="4" w:space="0"/>
              <w:left w:val="single" w:color="000000" w:sz="4" w:space="0"/>
              <w:bottom w:val="single" w:color="000000" w:sz="4" w:space="0"/>
              <w:right w:val="single" w:color="000000" w:sz="4" w:space="0"/>
            </w:tcBorders>
            <w:noWrap/>
            <w:vAlign w:val="center"/>
          </w:tcPr>
          <w:p w14:paraId="15E1F934">
            <w:pPr>
              <w:keepNext w:val="0"/>
              <w:keepLines w:val="0"/>
              <w:widowControl/>
              <w:suppressLineNumbers w:val="0"/>
              <w:jc w:val="left"/>
              <w:textAlignment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注：本项目共计15项技术参数，其中标★号参数共计5项，非★号技术参数共计10项。</w:t>
            </w:r>
          </w:p>
        </w:tc>
      </w:tr>
    </w:tbl>
    <w:p w14:paraId="7506B10C">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四、采购标的的数量、采购项目交付或者实施的时间和地点；</w:t>
      </w:r>
    </w:p>
    <w:p w14:paraId="3DDFFF87">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color w:val="auto"/>
          <w:highlight w:val="none"/>
          <w:shd w:val="clear" w:color="auto" w:fill="FFFFFF"/>
          <w:lang w:val="zh-CN"/>
        </w:rPr>
      </w:pPr>
      <w:r>
        <w:rPr>
          <w:rFonts w:hint="eastAsia"/>
          <w:color w:val="auto"/>
          <w:highlight w:val="none"/>
          <w:shd w:val="clear" w:color="auto" w:fill="FFFFFF"/>
          <w:lang w:val="en-US" w:eastAsia="zh-CN"/>
        </w:rPr>
        <w:t>1.</w:t>
      </w:r>
      <w:r>
        <w:rPr>
          <w:rFonts w:hint="eastAsia"/>
          <w:color w:val="auto"/>
          <w:highlight w:val="none"/>
          <w:shd w:val="clear" w:color="auto" w:fill="FFFFFF"/>
          <w:lang w:val="zh-CN"/>
        </w:rPr>
        <w:t>采购标的的数量：</w:t>
      </w:r>
      <w:r>
        <w:rPr>
          <w:rFonts w:hint="eastAsia"/>
          <w:color w:val="auto"/>
          <w:highlight w:val="none"/>
          <w:shd w:val="clear" w:color="auto" w:fill="FFFFFF"/>
          <w:lang w:val="en-US" w:eastAsia="zh-CN"/>
        </w:rPr>
        <w:t>详见采购清单数量</w:t>
      </w:r>
      <w:r>
        <w:rPr>
          <w:rFonts w:hint="eastAsia"/>
          <w:color w:val="auto"/>
          <w:highlight w:val="none"/>
          <w:shd w:val="clear" w:color="auto" w:fill="FFFFFF"/>
          <w:lang w:val="zh-CN"/>
        </w:rPr>
        <w:t>。</w:t>
      </w:r>
    </w:p>
    <w:p w14:paraId="3EF220ED">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宋体"/>
          <w:color w:val="auto"/>
          <w:highlight w:val="none"/>
          <w:shd w:val="clear" w:color="auto" w:fill="FFFFFF"/>
          <w:lang w:val="en-US" w:eastAsia="zh-CN"/>
        </w:rPr>
      </w:pPr>
      <w:r>
        <w:rPr>
          <w:rFonts w:hint="eastAsia"/>
          <w:color w:val="auto"/>
          <w:highlight w:val="none"/>
          <w:shd w:val="clear" w:color="auto" w:fill="FFFFFF"/>
          <w:lang w:val="en-US" w:eastAsia="zh-CN"/>
        </w:rPr>
        <w:t>2.实施时间：合同签订后。</w:t>
      </w:r>
    </w:p>
    <w:p w14:paraId="6D7DF4B2">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color w:val="auto"/>
          <w:highlight w:val="none"/>
        </w:rPr>
      </w:pPr>
      <w:r>
        <w:rPr>
          <w:rFonts w:hint="eastAsia"/>
          <w:color w:val="auto"/>
          <w:highlight w:val="none"/>
          <w:shd w:val="clear" w:color="auto" w:fill="FFFFFF"/>
          <w:lang w:val="en-US" w:eastAsia="zh-CN"/>
        </w:rPr>
        <w:t>3.供货</w:t>
      </w:r>
      <w:r>
        <w:rPr>
          <w:rFonts w:hint="eastAsia"/>
          <w:color w:val="auto"/>
          <w:highlight w:val="none"/>
          <w:shd w:val="clear" w:color="auto" w:fill="FFFFFF"/>
          <w:lang w:val="zh-CN"/>
        </w:rPr>
        <w:t>地点：</w:t>
      </w:r>
      <w:r>
        <w:rPr>
          <w:rFonts w:hint="eastAsia"/>
          <w:color w:val="auto"/>
          <w:highlight w:val="none"/>
          <w:shd w:val="clear" w:color="auto" w:fill="FFFFFF"/>
          <w:lang w:val="en-US" w:eastAsia="zh-CN"/>
        </w:rPr>
        <w:t>云南省德宏州</w:t>
      </w:r>
      <w:r>
        <w:rPr>
          <w:rFonts w:hint="eastAsia" w:cs="宋体"/>
          <w:color w:val="auto"/>
          <w:sz w:val="24"/>
          <w:highlight w:val="none"/>
          <w:lang w:eastAsia="zh-CN"/>
        </w:rPr>
        <w:t>陇川县</w:t>
      </w:r>
      <w:r>
        <w:rPr>
          <w:rFonts w:hint="eastAsia"/>
          <w:color w:val="auto"/>
          <w:highlight w:val="none"/>
          <w:shd w:val="clear" w:color="auto" w:fill="FFFFFF"/>
          <w:lang w:val="zh-CN"/>
        </w:rPr>
        <w:t>。</w:t>
      </w:r>
    </w:p>
    <w:p w14:paraId="42870214">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五、采购标的需满足的服务标准、期限、效率等要求；</w:t>
      </w:r>
    </w:p>
    <w:p w14:paraId="255C85B9">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宋体" w:hAnsi="宋体" w:cs="宋体"/>
          <w:color w:val="auto"/>
          <w:sz w:val="24"/>
          <w:highlight w:val="none"/>
        </w:rPr>
      </w:pPr>
      <w:r>
        <w:rPr>
          <w:rFonts w:hint="eastAsia" w:cs="宋体"/>
          <w:color w:val="auto"/>
          <w:sz w:val="24"/>
          <w:highlight w:val="none"/>
          <w:lang w:val="en-US" w:eastAsia="zh-CN"/>
        </w:rPr>
        <w:t>1.</w:t>
      </w:r>
      <w:r>
        <w:rPr>
          <w:rFonts w:hint="eastAsia" w:ascii="宋体" w:hAnsi="宋体" w:cs="宋体"/>
          <w:color w:val="auto"/>
          <w:sz w:val="24"/>
          <w:highlight w:val="none"/>
        </w:rPr>
        <w:t>质量要求：</w:t>
      </w:r>
      <w:r>
        <w:rPr>
          <w:rFonts w:hint="eastAsia" w:ascii="宋体" w:hAnsi="宋体" w:cs="宋体"/>
          <w:color w:val="auto"/>
          <w:sz w:val="24"/>
          <w:highlight w:val="none"/>
          <w:lang w:eastAsia="zh-CN"/>
        </w:rPr>
        <w:t>产品及安装符合现行国家相关规定及行业标准，符合采购人需求并一次性验收合格</w:t>
      </w:r>
      <w:r>
        <w:rPr>
          <w:rFonts w:hint="eastAsia" w:ascii="宋体" w:hAnsi="宋体" w:cs="宋体"/>
          <w:color w:val="auto"/>
          <w:sz w:val="24"/>
          <w:highlight w:val="none"/>
        </w:rPr>
        <w:t>。</w:t>
      </w:r>
    </w:p>
    <w:p w14:paraId="0B98DCDD">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color w:val="auto"/>
          <w:highlight w:val="none"/>
          <w:shd w:val="clear" w:color="auto" w:fill="FFFFFF"/>
        </w:rPr>
      </w:pPr>
      <w:r>
        <w:rPr>
          <w:rFonts w:hint="eastAsia"/>
          <w:color w:val="auto"/>
          <w:highlight w:val="none"/>
          <w:shd w:val="clear" w:color="auto" w:fill="FFFFFF"/>
          <w:lang w:val="en-US" w:eastAsia="zh-CN"/>
        </w:rPr>
        <w:t>2.</w:t>
      </w:r>
      <w:r>
        <w:rPr>
          <w:rFonts w:hint="eastAsia"/>
          <w:color w:val="auto"/>
          <w:highlight w:val="none"/>
          <w:shd w:val="clear" w:color="auto" w:fill="FFFFFF"/>
          <w:lang w:val="zh-CN"/>
        </w:rPr>
        <w:t>合同履行期限：</w:t>
      </w:r>
      <w:r>
        <w:rPr>
          <w:rFonts w:hint="eastAsia" w:cs="宋体"/>
          <w:color w:val="auto"/>
          <w:sz w:val="24"/>
          <w:highlight w:val="none"/>
          <w:lang w:eastAsia="zh-CN"/>
        </w:rPr>
        <w:t>合同签订后60日历天内完成供货及安装调试</w:t>
      </w:r>
      <w:r>
        <w:rPr>
          <w:rFonts w:hint="eastAsia"/>
          <w:color w:val="auto"/>
          <w:highlight w:val="none"/>
          <w:shd w:val="clear" w:color="auto" w:fill="FFFFFF"/>
          <w:lang w:val="zh-CN"/>
        </w:rPr>
        <w:t>。</w:t>
      </w:r>
    </w:p>
    <w:p w14:paraId="67439658">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六、采购标的的验收标准；</w:t>
      </w:r>
    </w:p>
    <w:p w14:paraId="3F13D1C8">
      <w:pPr>
        <w:pStyle w:val="7"/>
        <w:keepNext w:val="0"/>
        <w:keepLines w:val="0"/>
        <w:pageBreakBefore w:val="0"/>
        <w:kinsoku/>
        <w:wordWrap/>
        <w:overflowPunct/>
        <w:topLinePunct w:val="0"/>
        <w:autoSpaceDE/>
        <w:autoSpaceDN/>
        <w:bidi w:val="0"/>
        <w:snapToGrid/>
        <w:spacing w:line="48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验收标准：按国家有关规定以及采购人招标文件的质量要求和技术指标、中标人的投标文件及承诺与本合同约定标准进行验收；双方如对质量要求和技术指标的约定标准有相互抵触或异议的事项，由采购人在招标文件与投标文件中按质量要求和技术指标比较优胜的原则确定该项的约定标准进行验收； </w:t>
      </w:r>
    </w:p>
    <w:p w14:paraId="0B4C89D9">
      <w:pPr>
        <w:pStyle w:val="68"/>
        <w:keepNext w:val="0"/>
        <w:keepLines w:val="0"/>
        <w:pageBreakBefore w:val="0"/>
        <w:kinsoku/>
        <w:wordWrap/>
        <w:overflowPunct/>
        <w:topLinePunct w:val="0"/>
        <w:autoSpaceDE/>
        <w:autoSpaceDN/>
        <w:bidi w:val="0"/>
        <w:snapToGrid/>
        <w:spacing w:line="480" w:lineRule="exact"/>
        <w:ind w:firstLine="480" w:firstLineChars="200"/>
        <w:textAlignment w:val="auto"/>
        <w:rPr>
          <w:color w:val="auto"/>
          <w:highlight w:val="none"/>
          <w:shd w:val="clear" w:color="auto" w:fill="FFFFFF"/>
          <w:lang w:val="zh-CN"/>
        </w:rPr>
      </w:pPr>
      <w:r>
        <w:rPr>
          <w:rFonts w:hint="eastAsia" w:cs="宋体"/>
          <w:bCs w:val="0"/>
          <w:color w:val="auto"/>
          <w:szCs w:val="24"/>
          <w:highlight w:val="none"/>
          <w:lang w:val="en-US" w:eastAsia="zh-CN"/>
        </w:rPr>
        <w:t>2</w:t>
      </w:r>
      <w:r>
        <w:rPr>
          <w:rFonts w:hint="eastAsia" w:cs="宋体"/>
          <w:bCs w:val="0"/>
          <w:color w:val="auto"/>
          <w:szCs w:val="24"/>
          <w:highlight w:val="none"/>
        </w:rPr>
        <w:t>.验收时如发现所交付的货物有短装、次品、损坏或</w:t>
      </w:r>
      <w:r>
        <w:rPr>
          <w:rFonts w:hint="eastAsia" w:cs="宋体"/>
          <w:bCs w:val="0"/>
          <w:color w:val="auto"/>
          <w:szCs w:val="24"/>
          <w:highlight w:val="none"/>
          <w:lang w:eastAsia="zh-CN"/>
        </w:rPr>
        <w:t>其他不</w:t>
      </w:r>
      <w:r>
        <w:rPr>
          <w:rFonts w:hint="eastAsia" w:cs="宋体"/>
          <w:bCs w:val="0"/>
          <w:color w:val="auto"/>
          <w:szCs w:val="24"/>
          <w:highlight w:val="none"/>
        </w:rPr>
        <w:t>符合标准及本合同规定之情形者，采购人将做出详尽的现场记录，或由双方签署备忘录，此现场记录或备忘录可用作补充、缺失和更换损坏部件的有效证据，由此产生的时间延误与有关费用由中标人承担</w:t>
      </w:r>
      <w:r>
        <w:rPr>
          <w:rFonts w:hint="eastAsia"/>
          <w:color w:val="auto"/>
          <w:highlight w:val="none"/>
          <w:shd w:val="clear" w:color="auto" w:fill="FFFFFF"/>
          <w:lang w:val="zh-CN"/>
        </w:rPr>
        <w:t>。</w:t>
      </w:r>
    </w:p>
    <w:p w14:paraId="42E5E013">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七、采购标的的其他技术、服务等要求。</w:t>
      </w:r>
    </w:p>
    <w:p w14:paraId="4047741C">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1.质保期要求：</w:t>
      </w:r>
      <w:r>
        <w:rPr>
          <w:rFonts w:hint="eastAsia" w:ascii="宋体" w:hAnsi="宋体" w:cs="宋体"/>
          <w:color w:val="auto"/>
          <w:sz w:val="24"/>
          <w:highlight w:val="none"/>
          <w:lang w:val="en-US" w:eastAsia="zh-CN"/>
        </w:rPr>
        <w:t>验收合格之日起算≥5年</w:t>
      </w:r>
      <w:r>
        <w:rPr>
          <w:rFonts w:hint="eastAsia" w:ascii="宋体" w:hAnsi="宋体" w:cs="宋体"/>
          <w:color w:val="auto"/>
          <w:sz w:val="24"/>
          <w:highlight w:val="none"/>
        </w:rPr>
        <w:t xml:space="preserve">。 </w:t>
      </w:r>
    </w:p>
    <w:p w14:paraId="352964B5">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ascii="宋体" w:hAnsi="宋体" w:cs="宋体"/>
          <w:color w:val="auto"/>
          <w:sz w:val="24"/>
          <w:highlight w:val="none"/>
        </w:rPr>
        <w:t>电话咨询</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ascii="宋体" w:hAnsi="宋体" w:cs="宋体"/>
          <w:color w:val="auto"/>
          <w:sz w:val="24"/>
          <w:highlight w:val="none"/>
        </w:rPr>
        <w:t>应当为用户提供技术援助电话，解答用户在使用中遇到的问题，及时为用户提出解决问题的建议。</w:t>
      </w:r>
    </w:p>
    <w:p w14:paraId="7223BC30">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s="宋体"/>
          <w:color w:val="auto"/>
          <w:sz w:val="24"/>
          <w:highlight w:val="none"/>
        </w:rPr>
        <w:t>现场响应</w:t>
      </w:r>
      <w:r>
        <w:rPr>
          <w:rFonts w:hint="eastAsia" w:ascii="宋体" w:hAnsi="宋体" w:cs="宋体"/>
          <w:color w:val="auto"/>
          <w:sz w:val="24"/>
          <w:highlight w:val="none"/>
        </w:rPr>
        <w:t>：</w:t>
      </w:r>
      <w:r>
        <w:rPr>
          <w:rFonts w:ascii="宋体" w:hAnsi="宋体" w:cs="宋体"/>
          <w:color w:val="auto"/>
          <w:sz w:val="24"/>
          <w:highlight w:val="none"/>
        </w:rPr>
        <w:t>用户遇到使用及技术问题，电话咨询不能解决的，</w:t>
      </w:r>
      <w:r>
        <w:rPr>
          <w:rFonts w:hint="eastAsia" w:ascii="宋体" w:hAnsi="宋体" w:cs="宋体"/>
          <w:color w:val="auto"/>
          <w:sz w:val="24"/>
          <w:highlight w:val="none"/>
          <w:lang w:eastAsia="zh-CN"/>
        </w:rPr>
        <w:t>投标人</w:t>
      </w:r>
      <w:r>
        <w:rPr>
          <w:rFonts w:ascii="宋体" w:hAnsi="宋体" w:cs="宋体"/>
          <w:color w:val="auto"/>
          <w:sz w:val="24"/>
          <w:highlight w:val="none"/>
        </w:rPr>
        <w:t>应采取相应措施</w:t>
      </w:r>
      <w:r>
        <w:rPr>
          <w:rFonts w:hint="eastAsia" w:ascii="宋体" w:hAnsi="宋体" w:cs="宋体"/>
          <w:color w:val="auto"/>
          <w:sz w:val="24"/>
          <w:highlight w:val="none"/>
        </w:rPr>
        <w:t>，2小时内给予响应，并在24小时内解决问题。</w:t>
      </w:r>
    </w:p>
    <w:p w14:paraId="3EECAA59">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rPr>
        <w:t>售后服务：</w:t>
      </w:r>
      <w:r>
        <w:rPr>
          <w:rFonts w:hint="eastAsia" w:ascii="宋体" w:hAnsi="宋体" w:cs="宋体"/>
          <w:bCs/>
          <w:color w:val="auto"/>
          <w:sz w:val="24"/>
          <w:highlight w:val="none"/>
          <w:lang w:val="en-US" w:eastAsia="zh-CN"/>
        </w:rPr>
        <w:t>在产品使用过程中，因产品自身出现质量问题，</w:t>
      </w:r>
      <w:r>
        <w:rPr>
          <w:rFonts w:hint="eastAsia" w:ascii="宋体" w:hAnsi="宋体" w:cs="宋体"/>
          <w:bCs/>
          <w:color w:val="auto"/>
          <w:sz w:val="24"/>
          <w:highlight w:val="none"/>
          <w:lang w:val="en-US" w:eastAsia="zh-CN"/>
        </w:rPr>
        <w:t>质保期内供应商应免费维修、更换或退货，并承担由此产生的全部费用；因质量问题给采购人造成损失的，供应商应依法承担赔偿责任</w:t>
      </w:r>
      <w:r>
        <w:rPr>
          <w:rFonts w:hint="eastAsia" w:ascii="宋体" w:hAnsi="宋体" w:eastAsia="宋体" w:cs="宋体"/>
          <w:bCs/>
          <w:color w:val="auto"/>
          <w:sz w:val="24"/>
          <w:highlight w:val="none"/>
          <w:lang w:val="en-US" w:eastAsia="zh-CN"/>
        </w:rPr>
        <w:t>。</w:t>
      </w:r>
    </w:p>
    <w:p w14:paraId="1A9F8981">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ascii="宋体" w:hAnsi="宋体" w:eastAsia="宋体" w:cs="宋体"/>
          <w:b/>
          <w:bCs/>
          <w:color w:val="auto"/>
          <w:sz w:val="24"/>
          <w:highlight w:val="none"/>
          <w:lang w:val="en-US" w:eastAsia="zh-CN"/>
        </w:rPr>
        <w:sectPr>
          <w:pgSz w:w="11906" w:h="16838"/>
          <w:pgMar w:top="1440" w:right="1083" w:bottom="1440" w:left="1083" w:header="851" w:footer="992" w:gutter="0"/>
          <w:pgNumType w:fmt="decimal"/>
          <w:cols w:space="425" w:num="1"/>
          <w:docGrid w:type="lines" w:linePitch="312" w:charSpace="0"/>
        </w:sect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.付款方式：</w:t>
      </w:r>
      <w:r>
        <w:rPr>
          <w:rFonts w:hint="eastAsia" w:ascii="宋体" w:hAnsi="宋体" w:cs="宋体"/>
          <w:color w:val="auto"/>
          <w:sz w:val="24"/>
          <w:highlight w:val="none"/>
          <w:lang w:val="en-US" w:eastAsia="zh-CN"/>
        </w:rPr>
        <w:t>合同签订后支付合同价30%的预付款，本合同项下货物全部交付并经采购人验收合格后支付剩余合同价的70%款项。（供应商应在甲方付款前向甲方开具税务机关认可的增值税普通发票）</w:t>
      </w:r>
    </w:p>
    <w:p w14:paraId="7286D95F">
      <w:pPr>
        <w:keepNext/>
        <w:keepLines/>
        <w:spacing w:afterLines="100" w:line="360" w:lineRule="auto"/>
        <w:jc w:val="center"/>
        <w:outlineLvl w:val="0"/>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t>第六章</w:t>
      </w:r>
      <w:r>
        <w:rPr>
          <w:rFonts w:hint="eastAsia" w:ascii="宋体" w:hAnsi="宋体" w:cs="宋体"/>
          <w:b/>
          <w:bCs/>
          <w:color w:val="auto"/>
          <w:kern w:val="44"/>
          <w:sz w:val="44"/>
          <w:szCs w:val="44"/>
          <w:highlight w:val="none"/>
          <w:lang w:val="en-US" w:eastAsia="zh-CN"/>
        </w:rPr>
        <w:t xml:space="preserve"> </w:t>
      </w:r>
      <w:r>
        <w:rPr>
          <w:rFonts w:hint="eastAsia" w:ascii="宋体" w:hAnsi="宋体" w:cs="宋体"/>
          <w:b/>
          <w:bCs/>
          <w:color w:val="auto"/>
          <w:kern w:val="44"/>
          <w:sz w:val="44"/>
          <w:szCs w:val="44"/>
          <w:highlight w:val="none"/>
        </w:rPr>
        <w:t>投标文件格式</w:t>
      </w:r>
    </w:p>
    <w:p w14:paraId="5B847FEF">
      <w:pPr>
        <w:rPr>
          <w:rFonts w:ascii="宋体" w:hAnsi="宋体"/>
          <w:color w:val="auto"/>
          <w:highlight w:val="none"/>
        </w:rPr>
      </w:pPr>
    </w:p>
    <w:p w14:paraId="6419BB80">
      <w:pPr>
        <w:spacing w:line="360" w:lineRule="auto"/>
        <w:jc w:val="center"/>
        <w:rPr>
          <w:b/>
          <w:bCs/>
          <w:color w:val="auto"/>
          <w:sz w:val="44"/>
          <w:szCs w:val="44"/>
          <w:highlight w:val="none"/>
          <w:u w:val="single"/>
        </w:rPr>
      </w:pPr>
    </w:p>
    <w:p w14:paraId="7E9878FA">
      <w:pPr>
        <w:spacing w:line="360" w:lineRule="auto"/>
        <w:jc w:val="center"/>
        <w:rPr>
          <w:rFonts w:ascii="宋体" w:hAnsi="宋体" w:cs="宋体"/>
          <w:b/>
          <w:bCs/>
          <w:color w:val="auto"/>
          <w:sz w:val="32"/>
          <w:szCs w:val="32"/>
          <w:highlight w:val="none"/>
          <w:u w:val="single"/>
        </w:rPr>
      </w:pPr>
      <w:r>
        <w:rPr>
          <w:rFonts w:hint="eastAsia"/>
          <w:b/>
          <w:bCs/>
          <w:color w:val="auto"/>
          <w:sz w:val="44"/>
          <w:szCs w:val="44"/>
          <w:highlight w:val="none"/>
          <w:u w:val="single"/>
        </w:rPr>
        <w:t>（项目名称）</w:t>
      </w:r>
    </w:p>
    <w:p w14:paraId="4B42B1E4">
      <w:pPr>
        <w:spacing w:line="480" w:lineRule="auto"/>
        <w:jc w:val="center"/>
        <w:rPr>
          <w:rFonts w:ascii="宋体" w:hAnsi="宋体"/>
          <w:b/>
          <w:bCs/>
          <w:color w:val="auto"/>
          <w:sz w:val="48"/>
          <w:szCs w:val="48"/>
          <w:highlight w:val="none"/>
        </w:rPr>
      </w:pPr>
    </w:p>
    <w:p w14:paraId="6A55C151">
      <w:pPr>
        <w:spacing w:line="480" w:lineRule="auto"/>
        <w:rPr>
          <w:rFonts w:ascii="宋体" w:hAnsi="宋体"/>
          <w:b/>
          <w:bCs/>
          <w:color w:val="auto"/>
          <w:sz w:val="44"/>
          <w:szCs w:val="44"/>
          <w:highlight w:val="none"/>
        </w:rPr>
      </w:pPr>
    </w:p>
    <w:p w14:paraId="2DF64EC4">
      <w:pPr>
        <w:spacing w:line="480" w:lineRule="auto"/>
        <w:rPr>
          <w:rFonts w:ascii="宋体" w:hAnsi="宋体"/>
          <w:b/>
          <w:bCs/>
          <w:color w:val="auto"/>
          <w:sz w:val="44"/>
          <w:szCs w:val="44"/>
          <w:highlight w:val="none"/>
        </w:rPr>
      </w:pPr>
    </w:p>
    <w:p w14:paraId="3B227B8A">
      <w:pPr>
        <w:spacing w:line="480" w:lineRule="auto"/>
        <w:rPr>
          <w:rFonts w:ascii="宋体" w:hAnsi="宋体"/>
          <w:b/>
          <w:bCs/>
          <w:color w:val="auto"/>
          <w:sz w:val="44"/>
          <w:szCs w:val="44"/>
          <w:highlight w:val="none"/>
        </w:rPr>
      </w:pPr>
    </w:p>
    <w:p w14:paraId="7F6813EF">
      <w:pPr>
        <w:spacing w:line="480" w:lineRule="auto"/>
        <w:jc w:val="center"/>
        <w:rPr>
          <w:rFonts w:ascii="宋体" w:hAnsi="宋体"/>
          <w:color w:val="auto"/>
          <w:sz w:val="28"/>
          <w:szCs w:val="28"/>
          <w:highlight w:val="none"/>
        </w:rPr>
      </w:pPr>
      <w:r>
        <w:rPr>
          <w:rFonts w:hint="eastAsia" w:ascii="宋体" w:hAnsi="宋体"/>
          <w:b/>
          <w:bCs/>
          <w:color w:val="auto"/>
          <w:sz w:val="52"/>
          <w:szCs w:val="52"/>
          <w:highlight w:val="none"/>
        </w:rPr>
        <w:t>投标文件</w:t>
      </w:r>
      <w:bookmarkStart w:id="185" w:name="_Toc3896297"/>
      <w:bookmarkEnd w:id="185"/>
    </w:p>
    <w:p w14:paraId="691A7EE5">
      <w:pPr>
        <w:pStyle w:val="10"/>
        <w:spacing w:beforeLines="50"/>
        <w:ind w:left="0" w:leftChars="0" w:firstLine="0" w:firstLineChars="0"/>
        <w:jc w:val="center"/>
        <w:rPr>
          <w:rFonts w:hint="eastAsia" w:ascii="宋体" w:hAnsi="宋体" w:eastAsia="宋体" w:cs="宋体"/>
          <w:color w:val="auto"/>
          <w:sz w:val="32"/>
          <w:highlight w:val="none"/>
          <w:lang w:eastAsia="zh-CN"/>
        </w:rPr>
      </w:pPr>
      <w:r>
        <w:rPr>
          <w:rFonts w:hint="eastAsia" w:ascii="宋体" w:hAnsi="宋体" w:eastAsia="宋体" w:cs="宋体"/>
          <w:color w:val="auto"/>
          <w:sz w:val="28"/>
          <w:szCs w:val="28"/>
          <w:highlight w:val="none"/>
        </w:rPr>
        <w:t>招标编号：</w:t>
      </w:r>
      <w:r>
        <w:rPr>
          <w:rFonts w:hint="eastAsia" w:ascii="宋体" w:hAnsi="宋体" w:eastAsia="宋体" w:cs="宋体"/>
          <w:color w:val="auto"/>
          <w:sz w:val="28"/>
          <w:szCs w:val="28"/>
          <w:highlight w:val="none"/>
          <w:lang w:eastAsia="zh-CN"/>
        </w:rPr>
        <w:t>YNLYZB-2026-73</w:t>
      </w:r>
    </w:p>
    <w:p w14:paraId="45227495">
      <w:pPr>
        <w:pStyle w:val="32"/>
        <w:ind w:firstLine="528"/>
        <w:rPr>
          <w:color w:val="auto"/>
          <w:highlight w:val="none"/>
        </w:rPr>
      </w:pPr>
    </w:p>
    <w:p w14:paraId="2974291C">
      <w:pPr>
        <w:pStyle w:val="32"/>
        <w:ind w:firstLine="528"/>
        <w:rPr>
          <w:color w:val="auto"/>
          <w:highlight w:val="none"/>
        </w:rPr>
      </w:pPr>
    </w:p>
    <w:p w14:paraId="542C42EB">
      <w:pPr>
        <w:pStyle w:val="32"/>
        <w:ind w:firstLine="528"/>
        <w:rPr>
          <w:color w:val="auto"/>
          <w:highlight w:val="none"/>
        </w:rPr>
      </w:pPr>
    </w:p>
    <w:p w14:paraId="28E6A84D">
      <w:pPr>
        <w:pStyle w:val="32"/>
        <w:ind w:firstLine="528"/>
        <w:rPr>
          <w:color w:val="auto"/>
          <w:highlight w:val="none"/>
        </w:rPr>
      </w:pPr>
    </w:p>
    <w:p w14:paraId="7DCA9AB7">
      <w:pPr>
        <w:spacing w:line="480" w:lineRule="auto"/>
        <w:ind w:firstLine="1205" w:firstLineChars="500"/>
        <w:rPr>
          <w:rFonts w:ascii="宋体" w:hAnsi="宋体"/>
          <w:b/>
          <w:bCs/>
          <w:color w:val="auto"/>
          <w:sz w:val="24"/>
          <w:highlight w:val="none"/>
        </w:rPr>
      </w:pPr>
    </w:p>
    <w:p w14:paraId="5F40DB16">
      <w:pPr>
        <w:pStyle w:val="11"/>
        <w:rPr>
          <w:rFonts w:hAnsi="宋体"/>
          <w:b/>
          <w:bCs/>
          <w:color w:val="auto"/>
          <w:sz w:val="24"/>
          <w:szCs w:val="24"/>
          <w:highlight w:val="none"/>
        </w:rPr>
      </w:pPr>
    </w:p>
    <w:p w14:paraId="44113838">
      <w:pPr>
        <w:rPr>
          <w:color w:val="auto"/>
          <w:highlight w:val="none"/>
        </w:rPr>
      </w:pPr>
    </w:p>
    <w:p w14:paraId="4235FE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投标人：（加盖电子公章）</w:t>
      </w:r>
    </w:p>
    <w:p w14:paraId="24EE51AF">
      <w:pPr>
        <w:spacing w:line="360" w:lineRule="auto"/>
        <w:rPr>
          <w:rFonts w:ascii="宋体" w:hAnsi="宋体" w:cs="宋体"/>
          <w:b/>
          <w:bCs/>
          <w:color w:val="auto"/>
          <w:sz w:val="24"/>
          <w:highlight w:val="none"/>
        </w:rPr>
      </w:pPr>
    </w:p>
    <w:p w14:paraId="42BBBD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法定代表人或其委托代理人：（签字或电子签名或电子签章）</w:t>
      </w:r>
    </w:p>
    <w:p w14:paraId="66F7938D">
      <w:pPr>
        <w:spacing w:line="360" w:lineRule="auto"/>
        <w:rPr>
          <w:rFonts w:ascii="宋体" w:hAnsi="宋体" w:cs="宋体"/>
          <w:b/>
          <w:bCs/>
          <w:color w:val="auto"/>
          <w:sz w:val="24"/>
          <w:highlight w:val="none"/>
        </w:rPr>
      </w:pPr>
    </w:p>
    <w:p w14:paraId="3167218E">
      <w:pPr>
        <w:pStyle w:val="10"/>
        <w:ind w:left="0" w:leftChars="0" w:firstLine="0" w:firstLineChars="0"/>
        <w:jc w:val="center"/>
        <w:rPr>
          <w:color w:val="auto"/>
          <w:sz w:val="24"/>
          <w:szCs w:val="28"/>
          <w:highlight w:val="none"/>
        </w:rPr>
      </w:pPr>
      <w:r>
        <w:rPr>
          <w:rFonts w:hint="eastAsia" w:ascii="宋体" w:hAnsi="宋体" w:cs="宋体"/>
          <w:b/>
          <w:bCs/>
          <w:color w:val="auto"/>
          <w:sz w:val="24"/>
          <w:highlight w:val="none"/>
        </w:rPr>
        <w:t>日期：</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 xml:space="preserve"> 日</w:t>
      </w:r>
    </w:p>
    <w:p w14:paraId="79CFB600">
      <w:pPr>
        <w:spacing w:line="360" w:lineRule="auto"/>
        <w:rPr>
          <w:rFonts w:ascii="宋体" w:hAnsi="宋体" w:cs="宋体"/>
          <w:color w:val="auto"/>
          <w:highlight w:val="none"/>
        </w:rPr>
        <w:sectPr>
          <w:pgSz w:w="11906" w:h="16838"/>
          <w:pgMar w:top="1440" w:right="1080" w:bottom="1440" w:left="1080" w:header="851" w:footer="992" w:gutter="0"/>
          <w:pgNumType w:fmt="decimal"/>
          <w:cols w:space="425" w:num="1"/>
          <w:docGrid w:type="lines" w:linePitch="312" w:charSpace="0"/>
        </w:sectPr>
      </w:pPr>
    </w:p>
    <w:p w14:paraId="2CF25983">
      <w:pPr>
        <w:jc w:val="center"/>
        <w:rPr>
          <w:rFonts w:ascii="宋体" w:hAnsi="宋体" w:cs="宋体"/>
          <w:b/>
          <w:color w:val="auto"/>
          <w:sz w:val="44"/>
          <w:szCs w:val="44"/>
          <w:highlight w:val="none"/>
        </w:rPr>
      </w:pPr>
    </w:p>
    <w:p w14:paraId="0560A125">
      <w:pPr>
        <w:jc w:val="center"/>
        <w:rPr>
          <w:rFonts w:ascii="宋体" w:hAnsi="宋体" w:cs="宋体"/>
          <w:b/>
          <w:color w:val="auto"/>
          <w:sz w:val="44"/>
          <w:szCs w:val="44"/>
          <w:highlight w:val="none"/>
        </w:rPr>
      </w:pPr>
    </w:p>
    <w:p w14:paraId="6B376F3B">
      <w:pPr>
        <w:jc w:val="center"/>
        <w:rPr>
          <w:rFonts w:ascii="宋体" w:hAnsi="宋体" w:cs="宋体"/>
          <w:b/>
          <w:color w:val="auto"/>
          <w:sz w:val="44"/>
          <w:szCs w:val="44"/>
          <w:highlight w:val="none"/>
        </w:rPr>
      </w:pPr>
    </w:p>
    <w:p w14:paraId="59596222">
      <w:pPr>
        <w:jc w:val="center"/>
        <w:rPr>
          <w:rFonts w:ascii="宋体" w:hAnsi="宋体" w:cs="宋体"/>
          <w:b/>
          <w:color w:val="auto"/>
          <w:sz w:val="44"/>
          <w:szCs w:val="44"/>
          <w:highlight w:val="none"/>
        </w:rPr>
      </w:pPr>
    </w:p>
    <w:p w14:paraId="2C2BD20B">
      <w:pPr>
        <w:jc w:val="center"/>
        <w:rPr>
          <w:rFonts w:ascii="宋体" w:hAnsi="宋体" w:cs="宋体"/>
          <w:b/>
          <w:color w:val="auto"/>
          <w:sz w:val="44"/>
          <w:szCs w:val="44"/>
          <w:highlight w:val="none"/>
        </w:rPr>
      </w:pPr>
    </w:p>
    <w:p w14:paraId="4579DBB0">
      <w:pPr>
        <w:jc w:val="center"/>
        <w:rPr>
          <w:rFonts w:ascii="宋体" w:hAnsi="宋体" w:cs="宋体"/>
          <w:b/>
          <w:color w:val="auto"/>
          <w:sz w:val="44"/>
          <w:szCs w:val="44"/>
          <w:highlight w:val="none"/>
        </w:rPr>
      </w:pPr>
    </w:p>
    <w:p w14:paraId="44F394AC">
      <w:pPr>
        <w:pStyle w:val="32"/>
        <w:ind w:firstLine="528"/>
        <w:rPr>
          <w:color w:val="auto"/>
          <w:highlight w:val="none"/>
        </w:rPr>
      </w:pPr>
    </w:p>
    <w:p w14:paraId="2EE43472">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p>
    <w:p w14:paraId="191B603E">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r>
        <w:rPr>
          <w:rFonts w:hint="eastAsia" w:ascii="宋体" w:hAnsi="宋体" w:cs="宋体"/>
          <w:b/>
          <w:color w:val="auto"/>
          <w:sz w:val="44"/>
          <w:szCs w:val="44"/>
          <w:highlight w:val="none"/>
        </w:rPr>
        <w:t xml:space="preserve">第一部分  </w:t>
      </w:r>
      <w:bookmarkStart w:id="186" w:name="_Toc26907"/>
      <w:r>
        <w:rPr>
          <w:rFonts w:hint="eastAsia" w:ascii="宋体" w:hAnsi="宋体" w:cs="宋体"/>
          <w:b/>
          <w:color w:val="auto"/>
          <w:sz w:val="44"/>
          <w:szCs w:val="44"/>
          <w:highlight w:val="none"/>
        </w:rPr>
        <w:t>资格</w:t>
      </w:r>
      <w:bookmarkEnd w:id="186"/>
      <w:r>
        <w:rPr>
          <w:rFonts w:hint="eastAsia" w:ascii="宋体" w:hAnsi="宋体" w:cs="宋体"/>
          <w:b/>
          <w:color w:val="auto"/>
          <w:sz w:val="44"/>
          <w:szCs w:val="44"/>
          <w:highlight w:val="none"/>
        </w:rPr>
        <w:t>文件格式</w:t>
      </w:r>
    </w:p>
    <w:p w14:paraId="511AC3B8">
      <w:pPr>
        <w:keepNext/>
        <w:keepLines/>
        <w:autoSpaceDE w:val="0"/>
        <w:autoSpaceDN w:val="0"/>
        <w:adjustRightInd w:val="0"/>
        <w:snapToGrid w:val="0"/>
        <w:spacing w:line="360" w:lineRule="auto"/>
        <w:jc w:val="center"/>
        <w:outlineLvl w:val="3"/>
        <w:rPr>
          <w:rFonts w:ascii="宋体" w:hAnsi="宋体" w:cs="宋体"/>
          <w:b/>
          <w:color w:val="auto"/>
          <w:sz w:val="36"/>
          <w:szCs w:val="36"/>
          <w:highlight w:val="none"/>
        </w:rPr>
        <w:sectPr>
          <w:pgSz w:w="11906" w:h="16838"/>
          <w:pgMar w:top="1440" w:right="1080" w:bottom="1440" w:left="1080" w:header="851" w:footer="992" w:gutter="0"/>
          <w:pgNumType w:fmt="decimal"/>
          <w:cols w:space="720" w:num="1"/>
          <w:docGrid w:type="lines" w:linePitch="312" w:charSpace="0"/>
        </w:sectPr>
      </w:pPr>
    </w:p>
    <w:p w14:paraId="73845D1D">
      <w:pPr>
        <w:jc w:val="center"/>
        <w:rPr>
          <w:rFonts w:ascii="宋体" w:hAnsi="宋体"/>
          <w:b/>
          <w:bCs/>
          <w:color w:val="auto"/>
          <w:sz w:val="30"/>
          <w:szCs w:val="30"/>
          <w:highlight w:val="none"/>
        </w:rPr>
      </w:pPr>
      <w:r>
        <w:rPr>
          <w:rFonts w:hint="eastAsia" w:ascii="宋体" w:hAnsi="宋体"/>
          <w:b/>
          <w:bCs/>
          <w:color w:val="auto"/>
          <w:sz w:val="30"/>
          <w:szCs w:val="30"/>
          <w:highlight w:val="none"/>
        </w:rPr>
        <w:t>一、具有独立承担民事责任的能力</w:t>
      </w:r>
    </w:p>
    <w:p w14:paraId="3D7FDA10">
      <w:pPr>
        <w:jc w:val="center"/>
        <w:rPr>
          <w:rFonts w:ascii="宋体" w:hAnsi="宋体"/>
          <w:b/>
          <w:bCs/>
          <w:color w:val="auto"/>
          <w:sz w:val="28"/>
          <w:szCs w:val="28"/>
          <w:highlight w:val="none"/>
        </w:rPr>
      </w:pPr>
      <w:r>
        <w:rPr>
          <w:rFonts w:hint="eastAsia" w:ascii="宋体" w:hAnsi="宋体"/>
          <w:b/>
          <w:bCs/>
          <w:color w:val="auto"/>
          <w:sz w:val="28"/>
          <w:szCs w:val="28"/>
          <w:highlight w:val="none"/>
        </w:rPr>
        <w:t>投标人基本情况表</w:t>
      </w:r>
    </w:p>
    <w:tbl>
      <w:tblPr>
        <w:tblStyle w:val="23"/>
        <w:tblW w:w="95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2"/>
        <w:gridCol w:w="1164"/>
        <w:gridCol w:w="2182"/>
        <w:gridCol w:w="1507"/>
        <w:gridCol w:w="2205"/>
      </w:tblGrid>
      <w:tr w14:paraId="189032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18" w:space="0"/>
              <w:left w:val="single" w:color="auto" w:sz="18" w:space="0"/>
              <w:bottom w:val="single" w:color="auto" w:sz="6" w:space="0"/>
              <w:right w:val="single" w:color="auto" w:sz="6" w:space="0"/>
            </w:tcBorders>
            <w:noWrap/>
            <w:vAlign w:val="center"/>
          </w:tcPr>
          <w:p w14:paraId="3F6BFEF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058" w:type="dxa"/>
            <w:gridSpan w:val="4"/>
            <w:tcBorders>
              <w:top w:val="single" w:color="auto" w:sz="18" w:space="0"/>
              <w:left w:val="single" w:color="auto" w:sz="6" w:space="0"/>
              <w:bottom w:val="single" w:color="auto" w:sz="6" w:space="0"/>
              <w:right w:val="single" w:color="auto" w:sz="18" w:space="0"/>
            </w:tcBorders>
            <w:noWrap/>
            <w:vAlign w:val="center"/>
          </w:tcPr>
          <w:p w14:paraId="4C11EF1C">
            <w:pPr>
              <w:spacing w:line="500" w:lineRule="exact"/>
              <w:jc w:val="center"/>
              <w:rPr>
                <w:rFonts w:ascii="宋体" w:hAnsi="宋体" w:cs="宋体"/>
                <w:color w:val="auto"/>
                <w:sz w:val="24"/>
                <w:highlight w:val="none"/>
              </w:rPr>
            </w:pPr>
          </w:p>
        </w:tc>
      </w:tr>
      <w:tr w14:paraId="3DBC4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4B6095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257CE399">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500957DE">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05" w:type="dxa"/>
            <w:tcBorders>
              <w:top w:val="single" w:color="auto" w:sz="6" w:space="0"/>
              <w:left w:val="single" w:color="auto" w:sz="6" w:space="0"/>
              <w:bottom w:val="single" w:color="auto" w:sz="6" w:space="0"/>
              <w:right w:val="single" w:color="auto" w:sz="18" w:space="0"/>
            </w:tcBorders>
            <w:noWrap/>
            <w:vAlign w:val="center"/>
          </w:tcPr>
          <w:p w14:paraId="033AE2D4">
            <w:pPr>
              <w:spacing w:line="500" w:lineRule="exact"/>
              <w:jc w:val="center"/>
              <w:rPr>
                <w:rFonts w:ascii="宋体" w:hAnsi="宋体" w:cs="宋体"/>
                <w:color w:val="auto"/>
                <w:sz w:val="24"/>
                <w:highlight w:val="none"/>
              </w:rPr>
            </w:pPr>
          </w:p>
        </w:tc>
      </w:tr>
      <w:tr w14:paraId="74A042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2462" w:type="dxa"/>
            <w:vMerge w:val="restart"/>
            <w:tcBorders>
              <w:top w:val="single" w:color="auto" w:sz="6" w:space="0"/>
              <w:left w:val="single" w:color="auto" w:sz="18" w:space="0"/>
              <w:bottom w:val="single" w:color="auto" w:sz="6" w:space="0"/>
              <w:right w:val="single" w:color="auto" w:sz="6" w:space="0"/>
            </w:tcBorders>
            <w:noWrap/>
            <w:vAlign w:val="center"/>
          </w:tcPr>
          <w:p w14:paraId="611ED19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64" w:type="dxa"/>
            <w:tcBorders>
              <w:top w:val="single" w:color="auto" w:sz="6" w:space="0"/>
              <w:left w:val="single" w:color="auto" w:sz="6" w:space="0"/>
              <w:bottom w:val="single" w:color="auto" w:sz="6" w:space="0"/>
              <w:right w:val="single" w:color="auto" w:sz="6" w:space="0"/>
            </w:tcBorders>
            <w:noWrap/>
            <w:vAlign w:val="center"/>
          </w:tcPr>
          <w:p w14:paraId="1DAD92D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182" w:type="dxa"/>
            <w:tcBorders>
              <w:top w:val="single" w:color="auto" w:sz="6" w:space="0"/>
              <w:left w:val="single" w:color="auto" w:sz="6" w:space="0"/>
              <w:bottom w:val="single" w:color="auto" w:sz="6" w:space="0"/>
              <w:right w:val="single" w:color="auto" w:sz="6" w:space="0"/>
            </w:tcBorders>
            <w:noWrap/>
            <w:vAlign w:val="center"/>
          </w:tcPr>
          <w:p w14:paraId="6121D6B7">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1B211CB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ign w:val="center"/>
          </w:tcPr>
          <w:p w14:paraId="1F83CC6F">
            <w:pPr>
              <w:spacing w:line="500" w:lineRule="exact"/>
              <w:jc w:val="center"/>
              <w:rPr>
                <w:rFonts w:ascii="宋体" w:hAnsi="宋体" w:cs="宋体"/>
                <w:color w:val="auto"/>
                <w:sz w:val="24"/>
                <w:highlight w:val="none"/>
              </w:rPr>
            </w:pPr>
          </w:p>
        </w:tc>
      </w:tr>
      <w:tr w14:paraId="28B14D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 w:hRule="atLeast"/>
          <w:jc w:val="center"/>
        </w:trPr>
        <w:tc>
          <w:tcPr>
            <w:tcW w:w="2462" w:type="dxa"/>
            <w:vMerge w:val="continue"/>
            <w:tcBorders>
              <w:top w:val="single" w:color="auto" w:sz="6" w:space="0"/>
              <w:left w:val="single" w:color="auto" w:sz="18" w:space="0"/>
              <w:bottom w:val="single" w:color="auto" w:sz="6" w:space="0"/>
              <w:right w:val="single" w:color="auto" w:sz="6" w:space="0"/>
            </w:tcBorders>
            <w:noWrap/>
            <w:vAlign w:val="center"/>
          </w:tcPr>
          <w:p w14:paraId="459CDAA3">
            <w:pPr>
              <w:widowControl/>
              <w:jc w:val="center"/>
              <w:rPr>
                <w:rFonts w:ascii="宋体" w:hAnsi="宋体" w:cs="宋体"/>
                <w:color w:val="auto"/>
                <w:sz w:val="24"/>
                <w:highlight w:val="none"/>
              </w:rPr>
            </w:pPr>
          </w:p>
        </w:tc>
        <w:tc>
          <w:tcPr>
            <w:tcW w:w="1164" w:type="dxa"/>
            <w:tcBorders>
              <w:top w:val="single" w:color="auto" w:sz="6" w:space="0"/>
              <w:left w:val="single" w:color="auto" w:sz="6" w:space="0"/>
              <w:bottom w:val="single" w:color="auto" w:sz="6" w:space="0"/>
              <w:right w:val="single" w:color="auto" w:sz="6" w:space="0"/>
            </w:tcBorders>
            <w:noWrap/>
            <w:vAlign w:val="center"/>
          </w:tcPr>
          <w:p w14:paraId="2C2FB3F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182" w:type="dxa"/>
            <w:tcBorders>
              <w:top w:val="single" w:color="auto" w:sz="6" w:space="0"/>
              <w:left w:val="single" w:color="auto" w:sz="6" w:space="0"/>
              <w:bottom w:val="single" w:color="auto" w:sz="6" w:space="0"/>
              <w:right w:val="single" w:color="auto" w:sz="6" w:space="0"/>
            </w:tcBorders>
            <w:noWrap/>
            <w:vAlign w:val="center"/>
          </w:tcPr>
          <w:p w14:paraId="7FAE1F21">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839B9E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205" w:type="dxa"/>
            <w:tcBorders>
              <w:top w:val="single" w:color="auto" w:sz="6" w:space="0"/>
              <w:left w:val="single" w:color="auto" w:sz="6" w:space="0"/>
              <w:bottom w:val="single" w:color="auto" w:sz="6" w:space="0"/>
              <w:right w:val="single" w:color="auto" w:sz="18" w:space="0"/>
            </w:tcBorders>
            <w:noWrap/>
            <w:vAlign w:val="center"/>
          </w:tcPr>
          <w:p w14:paraId="5928240E">
            <w:pPr>
              <w:spacing w:line="500" w:lineRule="exact"/>
              <w:jc w:val="center"/>
              <w:rPr>
                <w:rFonts w:ascii="宋体" w:hAnsi="宋体" w:cs="宋体"/>
                <w:color w:val="auto"/>
                <w:sz w:val="24"/>
                <w:highlight w:val="none"/>
              </w:rPr>
            </w:pPr>
          </w:p>
        </w:tc>
      </w:tr>
      <w:tr w14:paraId="33B4B5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59C9BE1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64" w:type="dxa"/>
            <w:tcBorders>
              <w:top w:val="single" w:color="auto" w:sz="6" w:space="0"/>
              <w:left w:val="single" w:color="auto" w:sz="6" w:space="0"/>
              <w:bottom w:val="single" w:color="auto" w:sz="6" w:space="0"/>
              <w:right w:val="single" w:color="auto" w:sz="6" w:space="0"/>
            </w:tcBorders>
            <w:noWrap/>
            <w:vAlign w:val="center"/>
          </w:tcPr>
          <w:p w14:paraId="44299C9A">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2182" w:type="dxa"/>
            <w:tcBorders>
              <w:top w:val="single" w:color="auto" w:sz="6" w:space="0"/>
              <w:left w:val="single" w:color="auto" w:sz="6" w:space="0"/>
              <w:bottom w:val="single" w:color="auto" w:sz="6" w:space="0"/>
              <w:right w:val="single" w:color="auto" w:sz="6" w:space="0"/>
            </w:tcBorders>
            <w:noWrap/>
            <w:vAlign w:val="center"/>
          </w:tcPr>
          <w:p w14:paraId="502C235A">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2799A4C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ign w:val="center"/>
          </w:tcPr>
          <w:p w14:paraId="633D00D7">
            <w:pPr>
              <w:spacing w:line="500" w:lineRule="exact"/>
              <w:jc w:val="center"/>
              <w:rPr>
                <w:rFonts w:ascii="宋体" w:hAnsi="宋体" w:cs="宋体"/>
                <w:color w:val="auto"/>
                <w:sz w:val="24"/>
                <w:highlight w:val="none"/>
              </w:rPr>
            </w:pPr>
          </w:p>
        </w:tc>
      </w:tr>
      <w:tr w14:paraId="7E3C56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065388FF">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5A2552A2">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2EE72A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205" w:type="dxa"/>
            <w:tcBorders>
              <w:top w:val="single" w:color="auto" w:sz="6" w:space="0"/>
              <w:left w:val="single" w:color="auto" w:sz="6" w:space="0"/>
              <w:bottom w:val="single" w:color="auto" w:sz="6" w:space="0"/>
              <w:right w:val="single" w:color="auto" w:sz="18" w:space="0"/>
            </w:tcBorders>
            <w:noWrap/>
            <w:vAlign w:val="center"/>
          </w:tcPr>
          <w:p w14:paraId="3B3C78A7">
            <w:pPr>
              <w:spacing w:line="500" w:lineRule="exact"/>
              <w:jc w:val="center"/>
              <w:rPr>
                <w:rFonts w:ascii="宋体" w:hAnsi="宋体" w:cs="宋体"/>
                <w:color w:val="auto"/>
                <w:sz w:val="24"/>
                <w:highlight w:val="none"/>
              </w:rPr>
            </w:pPr>
          </w:p>
        </w:tc>
      </w:tr>
      <w:tr w14:paraId="0EBC2F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13DE1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140521DC">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67B6260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205" w:type="dxa"/>
            <w:tcBorders>
              <w:top w:val="single" w:color="auto" w:sz="6" w:space="0"/>
              <w:left w:val="single" w:color="auto" w:sz="6" w:space="0"/>
              <w:bottom w:val="single" w:color="auto" w:sz="6" w:space="0"/>
              <w:right w:val="single" w:color="auto" w:sz="18" w:space="0"/>
            </w:tcBorders>
            <w:noWrap/>
            <w:vAlign w:val="center"/>
          </w:tcPr>
          <w:p w14:paraId="3C86CCBB">
            <w:pPr>
              <w:spacing w:line="500" w:lineRule="exact"/>
              <w:jc w:val="center"/>
              <w:rPr>
                <w:rFonts w:ascii="宋体" w:hAnsi="宋体" w:cs="宋体"/>
                <w:color w:val="auto"/>
                <w:sz w:val="24"/>
                <w:highlight w:val="none"/>
              </w:rPr>
            </w:pPr>
          </w:p>
        </w:tc>
      </w:tr>
      <w:tr w14:paraId="6229A0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9D9BB7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3346" w:type="dxa"/>
            <w:gridSpan w:val="2"/>
            <w:tcBorders>
              <w:top w:val="single" w:color="auto" w:sz="6" w:space="0"/>
              <w:left w:val="single" w:color="auto" w:sz="6" w:space="0"/>
              <w:bottom w:val="single" w:color="auto" w:sz="6" w:space="0"/>
              <w:right w:val="single" w:color="auto" w:sz="6" w:space="0"/>
            </w:tcBorders>
            <w:noWrap/>
            <w:vAlign w:val="center"/>
          </w:tcPr>
          <w:p w14:paraId="27CBD859">
            <w:pPr>
              <w:spacing w:line="500" w:lineRule="exact"/>
              <w:jc w:val="center"/>
              <w:rPr>
                <w:rFonts w:ascii="宋体" w:hAnsi="宋体" w:cs="宋体"/>
                <w:color w:val="auto"/>
                <w:sz w:val="24"/>
                <w:highlight w:val="none"/>
              </w:rPr>
            </w:pPr>
          </w:p>
        </w:tc>
        <w:tc>
          <w:tcPr>
            <w:tcW w:w="1507" w:type="dxa"/>
            <w:tcBorders>
              <w:top w:val="single" w:color="auto" w:sz="6" w:space="0"/>
              <w:left w:val="single" w:color="auto" w:sz="6" w:space="0"/>
              <w:bottom w:val="single" w:color="auto" w:sz="6" w:space="0"/>
              <w:right w:val="single" w:color="auto" w:sz="6" w:space="0"/>
            </w:tcBorders>
            <w:noWrap/>
            <w:vAlign w:val="center"/>
          </w:tcPr>
          <w:p w14:paraId="70CF8294">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员工总数</w:t>
            </w:r>
          </w:p>
        </w:tc>
        <w:tc>
          <w:tcPr>
            <w:tcW w:w="2205" w:type="dxa"/>
            <w:tcBorders>
              <w:top w:val="single" w:color="auto" w:sz="6" w:space="0"/>
              <w:left w:val="single" w:color="auto" w:sz="6" w:space="0"/>
              <w:bottom w:val="single" w:color="auto" w:sz="6" w:space="0"/>
              <w:right w:val="single" w:color="auto" w:sz="18" w:space="0"/>
            </w:tcBorders>
            <w:noWrap/>
            <w:vAlign w:val="center"/>
          </w:tcPr>
          <w:p w14:paraId="137C66FC">
            <w:pPr>
              <w:spacing w:line="500" w:lineRule="exact"/>
              <w:jc w:val="center"/>
              <w:rPr>
                <w:rFonts w:ascii="宋体" w:hAnsi="宋体" w:cs="宋体"/>
                <w:color w:val="auto"/>
                <w:sz w:val="24"/>
                <w:highlight w:val="none"/>
              </w:rPr>
            </w:pPr>
          </w:p>
        </w:tc>
      </w:tr>
      <w:tr w14:paraId="14EC5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0C2C5F75">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企业资质</w:t>
            </w:r>
            <w:r>
              <w:rPr>
                <w:rFonts w:hint="eastAsia" w:ascii="宋体" w:hAnsi="宋体" w:cs="宋体"/>
                <w:color w:val="auto"/>
                <w:sz w:val="24"/>
                <w:highlight w:val="none"/>
                <w:lang w:val="en-US" w:eastAsia="zh-CN"/>
              </w:rPr>
              <w:t>（若有）</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1CCABEFE">
            <w:pPr>
              <w:spacing w:line="500" w:lineRule="exact"/>
              <w:jc w:val="center"/>
              <w:rPr>
                <w:rFonts w:ascii="宋体" w:hAnsi="宋体" w:cs="宋体"/>
                <w:color w:val="auto"/>
                <w:sz w:val="24"/>
                <w:highlight w:val="none"/>
              </w:rPr>
            </w:pPr>
          </w:p>
        </w:tc>
      </w:tr>
      <w:tr w14:paraId="17E3C7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78F18DC6">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7DD413CE">
            <w:pPr>
              <w:spacing w:line="500" w:lineRule="exact"/>
              <w:jc w:val="center"/>
              <w:rPr>
                <w:rFonts w:ascii="宋体" w:hAnsi="宋体" w:cs="宋体"/>
                <w:color w:val="auto"/>
                <w:sz w:val="24"/>
                <w:highlight w:val="none"/>
              </w:rPr>
            </w:pPr>
          </w:p>
        </w:tc>
      </w:tr>
      <w:tr w14:paraId="3F14A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ign w:val="center"/>
          </w:tcPr>
          <w:p w14:paraId="1C7CDA0B">
            <w:pPr>
              <w:spacing w:line="500" w:lineRule="exact"/>
              <w:jc w:val="left"/>
              <w:rPr>
                <w:rFonts w:ascii="宋体" w:hAnsi="宋体" w:cs="宋体"/>
                <w:color w:val="auto"/>
                <w:sz w:val="24"/>
                <w:highlight w:val="none"/>
              </w:rPr>
            </w:pPr>
            <w:r>
              <w:rPr>
                <w:rFonts w:hint="eastAsia" w:ascii="宋体" w:hAnsi="宋体" w:cs="宋体"/>
                <w:color w:val="auto"/>
                <w:sz w:val="24"/>
                <w:highlight w:val="none"/>
              </w:rPr>
              <w:t>资产构成情况及关联企业情况【包括但不限于与投标人法定代表人（单位负责人）为同一个人或存在控股、管理关系的不同单位】</w:t>
            </w:r>
          </w:p>
        </w:tc>
        <w:tc>
          <w:tcPr>
            <w:tcW w:w="7058" w:type="dxa"/>
            <w:gridSpan w:val="4"/>
            <w:tcBorders>
              <w:top w:val="single" w:color="auto" w:sz="6" w:space="0"/>
              <w:left w:val="single" w:color="auto" w:sz="6" w:space="0"/>
              <w:bottom w:val="single" w:color="auto" w:sz="6" w:space="0"/>
              <w:right w:val="single" w:color="auto" w:sz="18" w:space="0"/>
            </w:tcBorders>
            <w:noWrap/>
            <w:vAlign w:val="center"/>
          </w:tcPr>
          <w:p w14:paraId="79481BB6">
            <w:pPr>
              <w:spacing w:line="500" w:lineRule="exact"/>
              <w:jc w:val="center"/>
              <w:rPr>
                <w:rFonts w:ascii="宋体" w:hAnsi="宋体" w:cs="宋体"/>
                <w:color w:val="auto"/>
                <w:sz w:val="24"/>
                <w:highlight w:val="none"/>
              </w:rPr>
            </w:pPr>
          </w:p>
        </w:tc>
      </w:tr>
      <w:tr w14:paraId="413E89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0" w:hRule="atLeast"/>
          <w:jc w:val="center"/>
        </w:trPr>
        <w:tc>
          <w:tcPr>
            <w:tcW w:w="2462" w:type="dxa"/>
            <w:tcBorders>
              <w:top w:val="single" w:color="auto" w:sz="6" w:space="0"/>
              <w:left w:val="single" w:color="auto" w:sz="18" w:space="0"/>
              <w:bottom w:val="single" w:color="auto" w:sz="18" w:space="0"/>
              <w:right w:val="single" w:color="auto" w:sz="6" w:space="0"/>
            </w:tcBorders>
            <w:noWrap/>
          </w:tcPr>
          <w:p w14:paraId="6A2C0FEB">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58" w:type="dxa"/>
            <w:gridSpan w:val="4"/>
            <w:tcBorders>
              <w:top w:val="single" w:color="auto" w:sz="6" w:space="0"/>
              <w:left w:val="single" w:color="auto" w:sz="6" w:space="0"/>
              <w:bottom w:val="single" w:color="auto" w:sz="18" w:space="0"/>
              <w:right w:val="single" w:color="auto" w:sz="18" w:space="0"/>
            </w:tcBorders>
            <w:noWrap/>
          </w:tcPr>
          <w:p w14:paraId="767571F1">
            <w:pPr>
              <w:spacing w:line="500" w:lineRule="exact"/>
              <w:jc w:val="center"/>
              <w:rPr>
                <w:rFonts w:ascii="宋体" w:hAnsi="宋体" w:cs="宋体"/>
                <w:color w:val="auto"/>
                <w:sz w:val="24"/>
                <w:highlight w:val="none"/>
              </w:rPr>
            </w:pPr>
          </w:p>
        </w:tc>
      </w:tr>
    </w:tbl>
    <w:p w14:paraId="5A9DBC9F">
      <w:pPr>
        <w:spacing w:line="200" w:lineRule="exact"/>
        <w:jc w:val="center"/>
        <w:rPr>
          <w:rFonts w:ascii="宋体" w:hAnsi="宋体" w:cs="宋体"/>
          <w:color w:val="auto"/>
          <w:szCs w:val="21"/>
          <w:highlight w:val="none"/>
        </w:rPr>
      </w:pPr>
    </w:p>
    <w:p w14:paraId="1B1462E2">
      <w:pPr>
        <w:pStyle w:val="10"/>
        <w:ind w:left="0" w:leftChars="0" w:firstLine="0" w:firstLineChars="0"/>
        <w:jc w:val="left"/>
        <w:rPr>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eastAsia="宋体" w:cs="宋体"/>
          <w:b/>
          <w:bCs/>
          <w:color w:val="auto"/>
          <w:sz w:val="24"/>
          <w:szCs w:val="24"/>
          <w:highlight w:val="none"/>
        </w:rPr>
        <w:t>附法人或者其他组织的营业执照等证明文件，自然人的身份证明的扫描件。</w:t>
      </w:r>
    </w:p>
    <w:p w14:paraId="74973430">
      <w:pPr>
        <w:spacing w:line="360" w:lineRule="auto"/>
        <w:jc w:val="center"/>
        <w:rPr>
          <w:rFonts w:ascii="宋体" w:hAnsi="宋体" w:cs="宋体"/>
          <w:b/>
          <w:color w:val="auto"/>
          <w:kern w:val="0"/>
          <w:sz w:val="28"/>
          <w:szCs w:val="28"/>
          <w:highlight w:val="none"/>
          <w:lang w:val="zh-CN"/>
        </w:rPr>
        <w:sectPr>
          <w:pgSz w:w="11906" w:h="16838"/>
          <w:pgMar w:top="1440" w:right="1080" w:bottom="1440" w:left="1080" w:header="851" w:footer="992" w:gutter="0"/>
          <w:pgNumType w:fmt="decimal"/>
          <w:cols w:space="720" w:num="1"/>
          <w:docGrid w:type="lines" w:linePitch="312" w:charSpace="0"/>
        </w:sectPr>
      </w:pPr>
    </w:p>
    <w:p w14:paraId="1454FE07">
      <w:pPr>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rPr>
        <w:t>二、</w:t>
      </w:r>
      <w:r>
        <w:rPr>
          <w:rFonts w:hint="eastAsia" w:ascii="宋体" w:hAnsi="宋体" w:cs="宋体"/>
          <w:b/>
          <w:color w:val="auto"/>
          <w:kern w:val="0"/>
          <w:sz w:val="30"/>
          <w:szCs w:val="30"/>
          <w:highlight w:val="none"/>
          <w:lang w:val="zh-CN"/>
        </w:rPr>
        <w:t>具有良好的商业信誉和健全的财务会计制度</w:t>
      </w:r>
    </w:p>
    <w:p w14:paraId="7B787AFA">
      <w:pPr>
        <w:pStyle w:val="20"/>
        <w:widowControl/>
        <w:wordWrap w:val="0"/>
        <w:spacing w:line="460" w:lineRule="exact"/>
        <w:ind w:right="-181" w:firstLine="480" w:firstLineChars="200"/>
        <w:rPr>
          <w:rFonts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cs="宋体"/>
          <w:color w:val="auto"/>
          <w:highlight w:val="none"/>
        </w:rPr>
        <w:t>①</w:t>
      </w:r>
      <w:r>
        <w:rPr>
          <w:rFonts w:hint="eastAsia" w:ascii="宋体" w:hAnsi="宋体" w:cs="宋体"/>
          <w:color w:val="auto"/>
          <w:highlight w:val="none"/>
          <w:lang w:eastAsia="zh-CN"/>
        </w:rPr>
        <w:t>投标人</w:t>
      </w:r>
      <w:r>
        <w:rPr>
          <w:rFonts w:hint="eastAsia" w:ascii="宋体" w:hAnsi="宋体" w:cs="宋体"/>
          <w:color w:val="auto"/>
          <w:highlight w:val="none"/>
        </w:rPr>
        <w:t>应在信用中国（www.creditchina.gov.cn）中未被列入失信被执行人；②</w:t>
      </w:r>
      <w:r>
        <w:rPr>
          <w:rFonts w:hint="eastAsia" w:ascii="宋体" w:hAnsi="宋体" w:cs="宋体"/>
          <w:color w:val="auto"/>
          <w:highlight w:val="none"/>
          <w:lang w:eastAsia="zh-CN"/>
        </w:rPr>
        <w:t>投标人</w:t>
      </w:r>
      <w:r>
        <w:rPr>
          <w:rFonts w:hint="eastAsia" w:ascii="宋体" w:hAnsi="宋体" w:cs="宋体"/>
          <w:color w:val="auto"/>
          <w:highlight w:val="none"/>
        </w:rPr>
        <w:t>应在信用中国（www.creditchina.gov.cn）中未被列入重大税收违法失信主体；③</w:t>
      </w:r>
      <w:r>
        <w:rPr>
          <w:rFonts w:hint="eastAsia" w:ascii="宋体" w:hAnsi="宋体" w:cs="宋体"/>
          <w:color w:val="auto"/>
          <w:highlight w:val="none"/>
          <w:lang w:eastAsia="zh-CN"/>
        </w:rPr>
        <w:t>投标人</w:t>
      </w:r>
      <w:r>
        <w:rPr>
          <w:rFonts w:hint="eastAsia" w:ascii="宋体" w:hAnsi="宋体" w:cs="宋体"/>
          <w:color w:val="auto"/>
          <w:highlight w:val="none"/>
        </w:rPr>
        <w:t>应在中国政府采购网</w:t>
      </w:r>
      <w:r>
        <w:rPr>
          <w:rFonts w:hint="eastAsia" w:ascii="宋体" w:hAnsi="宋体" w:cs="宋体"/>
          <w:color w:val="auto"/>
          <w:highlight w:val="none"/>
          <w:lang w:eastAsia="zh-CN"/>
        </w:rPr>
        <w:t>（</w:t>
      </w:r>
      <w:r>
        <w:rPr>
          <w:rFonts w:hint="eastAsia" w:ascii="宋体" w:hAnsi="宋体" w:cs="宋体"/>
          <w:color w:val="auto"/>
          <w:highlight w:val="none"/>
        </w:rPr>
        <w:t>www.ccgp.gov.cn</w:t>
      </w:r>
      <w:r>
        <w:rPr>
          <w:rFonts w:hint="eastAsia" w:ascii="宋体" w:hAnsi="宋体" w:cs="宋体"/>
          <w:color w:val="auto"/>
          <w:highlight w:val="none"/>
          <w:lang w:eastAsia="zh-CN"/>
        </w:rPr>
        <w:t>）</w:t>
      </w:r>
      <w:r>
        <w:rPr>
          <w:rFonts w:hint="eastAsia" w:ascii="宋体" w:hAnsi="宋体" w:cs="宋体"/>
          <w:color w:val="auto"/>
          <w:highlight w:val="none"/>
        </w:rPr>
        <w:t>中未被列入政府采购严重违法失信行为记录名单</w:t>
      </w:r>
      <w:r>
        <w:rPr>
          <w:rFonts w:hint="eastAsia" w:ascii="宋体" w:hAnsi="宋体" w:cs="宋体"/>
          <w:color w:val="auto"/>
          <w:kern w:val="2"/>
          <w:highlight w:val="none"/>
        </w:rPr>
        <w:t>。</w:t>
      </w:r>
    </w:p>
    <w:p w14:paraId="4CCD37CE">
      <w:pPr>
        <w:pStyle w:val="20"/>
        <w:widowControl/>
        <w:wordWrap w:val="0"/>
        <w:spacing w:line="460" w:lineRule="exact"/>
        <w:ind w:right="-181" w:firstLine="480" w:firstLineChars="200"/>
        <w:rPr>
          <w:rFonts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highlight w:val="none"/>
          <w:lang w:eastAsia="zh-CN"/>
        </w:rPr>
        <w:t>以上网站均由采购人或采购代理机构在资格审查时查询</w:t>
      </w:r>
      <w:r>
        <w:rPr>
          <w:rFonts w:hint="eastAsia" w:ascii="宋体" w:hAnsi="宋体" w:cs="宋体"/>
          <w:color w:val="auto"/>
          <w:highlight w:val="none"/>
        </w:rPr>
        <w:t>，若</w:t>
      </w:r>
      <w:r>
        <w:rPr>
          <w:rFonts w:hint="eastAsia" w:ascii="宋体" w:hAnsi="宋体" w:cs="宋体"/>
          <w:color w:val="auto"/>
          <w:highlight w:val="none"/>
          <w:lang w:eastAsia="zh-CN"/>
        </w:rPr>
        <w:t>投标人</w:t>
      </w:r>
      <w:r>
        <w:rPr>
          <w:rFonts w:hint="eastAsia" w:ascii="宋体" w:hAnsi="宋体" w:cs="宋体"/>
          <w:color w:val="auto"/>
          <w:highlight w:val="none"/>
        </w:rPr>
        <w:t>有失信行为，视为不满足资格要求）；</w:t>
      </w:r>
    </w:p>
    <w:p w14:paraId="47B78E20">
      <w:pPr>
        <w:pStyle w:val="20"/>
        <w:widowControl/>
        <w:wordWrap w:val="0"/>
        <w:spacing w:line="460" w:lineRule="exact"/>
        <w:ind w:right="-181" w:firstLine="480" w:firstLineChars="200"/>
        <w:rPr>
          <w:rFonts w:hint="eastAsia" w:ascii="宋体" w:hAnsi="宋体" w:cs="宋体"/>
          <w:color w:val="auto"/>
          <w:kern w:val="2"/>
          <w:highlight w:val="none"/>
        </w:rPr>
      </w:pPr>
      <w:r>
        <w:rPr>
          <w:rFonts w:hint="eastAsia" w:ascii="宋体" w:hAnsi="宋体" w:cs="宋体"/>
          <w:color w:val="auto"/>
          <w:kern w:val="2"/>
          <w:highlight w:val="none"/>
        </w:rPr>
        <w:t>2.</w:t>
      </w:r>
      <w:r>
        <w:rPr>
          <w:rFonts w:hint="eastAsia" w:ascii="宋体" w:hAnsi="宋体" w:eastAsia="宋体" w:cs="宋体"/>
          <w:color w:val="auto"/>
          <w:sz w:val="24"/>
          <w:szCs w:val="24"/>
          <w:highlight w:val="none"/>
        </w:rPr>
        <w:t>健全的财务会计制度</w:t>
      </w:r>
      <w:r>
        <w:rPr>
          <w:rFonts w:hint="eastAsia" w:ascii="宋体" w:hAnsi="宋体" w:eastAsia="宋体" w:cs="宋体"/>
          <w:b/>
          <w:bCs/>
          <w:color w:val="auto"/>
          <w:sz w:val="24"/>
          <w:szCs w:val="24"/>
          <w:highlight w:val="none"/>
        </w:rPr>
        <w:t>（内容可为以下</w:t>
      </w:r>
      <w:r>
        <w:rPr>
          <w:rFonts w:hint="eastAsia" w:ascii="宋体" w:hAnsi="宋体" w:eastAsia="宋体" w:cs="宋体"/>
          <w:b/>
          <w:bCs/>
          <w:color w:val="auto"/>
          <w:sz w:val="24"/>
          <w:szCs w:val="24"/>
          <w:highlight w:val="none"/>
          <w:lang w:eastAsia="zh-CN"/>
        </w:rPr>
        <w:t>二者之一</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lang w:eastAsia="zh-CN"/>
        </w:rPr>
        <w:t>提供2024年至今任意年度经第三方</w:t>
      </w:r>
      <w:r>
        <w:rPr>
          <w:rFonts w:hint="eastAsia" w:ascii="宋体" w:hAnsi="宋体" w:eastAsia="宋体" w:cs="宋体"/>
          <w:color w:val="auto"/>
          <w:sz w:val="24"/>
          <w:szCs w:val="24"/>
          <w:highlight w:val="none"/>
        </w:rPr>
        <w:t>审计机构审计的财务状况报告（包括资产负债表、利润表、现金流量表），成立不满1年的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提供自成立至今的财务报表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包括资产负债表、利润表、现金流量表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eastAsia="zh-CN"/>
        </w:rPr>
        <w:t>提供银行出具的资信证明</w:t>
      </w:r>
      <w:r>
        <w:rPr>
          <w:rFonts w:hint="eastAsia" w:ascii="宋体" w:hAnsi="宋体" w:cs="宋体"/>
          <w:color w:val="auto"/>
          <w:kern w:val="2"/>
          <w:highlight w:val="none"/>
        </w:rPr>
        <w:t>。</w:t>
      </w:r>
    </w:p>
    <w:p w14:paraId="2B9EB887">
      <w:pPr>
        <w:pStyle w:val="20"/>
        <w:widowControl/>
        <w:wordWrap w:val="0"/>
        <w:spacing w:line="460" w:lineRule="exact"/>
        <w:ind w:right="-181" w:firstLine="482" w:firstLineChars="200"/>
        <w:rPr>
          <w:color w:val="auto"/>
          <w:highlight w:val="none"/>
          <w:lang w:val="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bCs/>
          <w:color w:val="auto"/>
          <w:kern w:val="2"/>
          <w:highlight w:val="none"/>
          <w:lang w:val="en-US" w:eastAsia="zh-CN"/>
        </w:rPr>
        <w:t>注：附相关证明材料扫描件。</w:t>
      </w:r>
    </w:p>
    <w:p w14:paraId="46F897EF">
      <w:pPr>
        <w:pStyle w:val="10"/>
        <w:ind w:left="0" w:leftChars="0" w:firstLine="0" w:firstLineChars="0"/>
        <w:jc w:val="center"/>
        <w:rPr>
          <w:rFonts w:ascii="宋体" w:hAnsi="宋体" w:eastAsia="宋体" w:cs="宋体"/>
          <w:color w:val="auto"/>
          <w:sz w:val="30"/>
          <w:szCs w:val="30"/>
          <w:highlight w:val="none"/>
        </w:rPr>
      </w:pPr>
      <w:r>
        <w:rPr>
          <w:rFonts w:hint="eastAsia" w:ascii="宋体" w:hAnsi="宋体" w:eastAsia="宋体" w:cs="宋体"/>
          <w:b/>
          <w:color w:val="auto"/>
          <w:kern w:val="0"/>
          <w:sz w:val="30"/>
          <w:szCs w:val="30"/>
          <w:highlight w:val="none"/>
        </w:rPr>
        <w:t>三、</w:t>
      </w:r>
      <w:r>
        <w:rPr>
          <w:rFonts w:hint="eastAsia" w:ascii="宋体" w:hAnsi="宋体" w:eastAsia="宋体" w:cs="宋体"/>
          <w:b/>
          <w:bCs/>
          <w:color w:val="auto"/>
          <w:sz w:val="30"/>
          <w:szCs w:val="30"/>
          <w:highlight w:val="none"/>
        </w:rPr>
        <w:t>具有履行合同所必需的设备和专业技术能力</w:t>
      </w:r>
    </w:p>
    <w:p w14:paraId="33A22A95">
      <w:pPr>
        <w:pStyle w:val="10"/>
        <w:ind w:left="0" w:leftChars="0" w:firstLine="0" w:firstLineChars="0"/>
        <w:jc w:val="center"/>
        <w:rPr>
          <w:rFonts w:cs="宋体"/>
          <w:color w:val="auto"/>
          <w:sz w:val="24"/>
          <w:szCs w:val="24"/>
          <w:highlight w:val="none"/>
        </w:rPr>
      </w:pPr>
      <w:r>
        <w:rPr>
          <w:rFonts w:hint="eastAsia" w:ascii="宋体" w:hAnsi="宋体" w:eastAsia="宋体" w:cs="宋体"/>
          <w:color w:val="auto"/>
          <w:sz w:val="24"/>
          <w:szCs w:val="24"/>
          <w:highlight w:val="none"/>
          <w:lang w:eastAsia="zh-CN"/>
        </w:rPr>
        <w:t>提供相关证明材料</w:t>
      </w:r>
    </w:p>
    <w:p w14:paraId="35623B10">
      <w:pPr>
        <w:pStyle w:val="10"/>
        <w:ind w:left="0" w:leftChars="0" w:firstLine="0" w:firstLineChars="0"/>
        <w:rPr>
          <w:rFonts w:eastAsia="宋体" w:cs="宋体"/>
          <w:color w:val="auto"/>
          <w:szCs w:val="21"/>
          <w:highlight w:val="none"/>
        </w:rPr>
      </w:pPr>
    </w:p>
    <w:p w14:paraId="2AF9D55B">
      <w:pPr>
        <w:ind w:firstLine="466" w:firstLineChars="200"/>
        <w:jc w:val="center"/>
        <w:rPr>
          <w:rFonts w:ascii="宋体" w:hAnsi="宋体" w:eastAsia="宋体" w:cs="宋体"/>
          <w:b/>
          <w:color w:val="auto"/>
          <w:kern w:val="0"/>
          <w:sz w:val="28"/>
          <w:szCs w:val="28"/>
          <w:highlight w:val="none"/>
          <w:lang w:val="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b/>
          <w:bCs/>
          <w:color w:val="auto"/>
          <w:spacing w:val="-4"/>
          <w:kern w:val="0"/>
          <w:sz w:val="24"/>
          <w:highlight w:val="none"/>
          <w:lang w:eastAsia="zh-CN"/>
        </w:rPr>
        <w:t>（</w:t>
      </w:r>
      <w:r>
        <w:rPr>
          <w:rFonts w:hint="eastAsia" w:ascii="宋体" w:hAnsi="宋体"/>
          <w:b/>
          <w:bCs/>
          <w:color w:val="auto"/>
          <w:spacing w:val="-4"/>
          <w:kern w:val="0"/>
          <w:sz w:val="24"/>
          <w:highlight w:val="none"/>
        </w:rPr>
        <w:t>格式自拟</w:t>
      </w:r>
      <w:r>
        <w:rPr>
          <w:rFonts w:hint="eastAsia" w:ascii="宋体" w:hAnsi="宋体"/>
          <w:b/>
          <w:bCs/>
          <w:color w:val="auto"/>
          <w:spacing w:val="-4"/>
          <w:kern w:val="0"/>
          <w:sz w:val="24"/>
          <w:highlight w:val="none"/>
          <w:lang w:eastAsia="zh-CN"/>
        </w:rPr>
        <w:t>）</w:t>
      </w:r>
    </w:p>
    <w:p w14:paraId="137AD55C">
      <w:pPr>
        <w:pStyle w:val="10"/>
        <w:ind w:left="0" w:leftChars="0" w:firstLine="0" w:firstLineChars="0"/>
        <w:jc w:val="center"/>
        <w:rPr>
          <w:rFonts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rPr>
        <w:t>四、</w:t>
      </w:r>
      <w:r>
        <w:rPr>
          <w:rFonts w:hint="eastAsia" w:ascii="宋体" w:hAnsi="宋体" w:eastAsia="宋体" w:cs="宋体"/>
          <w:b/>
          <w:bCs/>
          <w:color w:val="auto"/>
          <w:sz w:val="30"/>
          <w:szCs w:val="30"/>
          <w:highlight w:val="none"/>
        </w:rPr>
        <w:t>具有依法缴纳税收和缴纳社会保障资金的良好记录</w:t>
      </w:r>
    </w:p>
    <w:p w14:paraId="54DB7B1C">
      <w:pPr>
        <w:pStyle w:val="10"/>
        <w:spacing w:line="460" w:lineRule="exact"/>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提供2025年1月至今任意1个月</w:t>
      </w:r>
      <w:r>
        <w:rPr>
          <w:rFonts w:hint="eastAsia" w:ascii="宋体" w:hAnsi="宋体" w:eastAsia="宋体" w:cs="宋体"/>
          <w:color w:val="auto"/>
          <w:sz w:val="24"/>
          <w:szCs w:val="24"/>
          <w:highlight w:val="none"/>
        </w:rPr>
        <w:t>依法</w:t>
      </w:r>
      <w:r>
        <w:rPr>
          <w:rFonts w:hint="eastAsia" w:ascii="宋体" w:hAnsi="宋体" w:eastAsia="宋体" w:cs="宋体"/>
          <w:b/>
          <w:bCs/>
          <w:color w:val="auto"/>
          <w:sz w:val="24"/>
          <w:szCs w:val="24"/>
          <w:highlight w:val="none"/>
        </w:rPr>
        <w:t>缴纳税收</w:t>
      </w:r>
      <w:r>
        <w:rPr>
          <w:rFonts w:hint="eastAsia" w:ascii="宋体" w:hAnsi="宋体" w:eastAsia="宋体" w:cs="宋体"/>
          <w:color w:val="auto"/>
          <w:sz w:val="24"/>
          <w:szCs w:val="24"/>
          <w:highlight w:val="none"/>
        </w:rPr>
        <w:t>和</w:t>
      </w:r>
      <w:r>
        <w:rPr>
          <w:rFonts w:hint="eastAsia" w:ascii="宋体" w:hAnsi="宋体" w:eastAsia="宋体" w:cs="宋体"/>
          <w:b/>
          <w:bCs/>
          <w:color w:val="auto"/>
          <w:sz w:val="24"/>
          <w:szCs w:val="24"/>
          <w:highlight w:val="none"/>
        </w:rPr>
        <w:t>缴纳社会保障资金</w:t>
      </w:r>
      <w:r>
        <w:rPr>
          <w:rFonts w:hint="eastAsia" w:ascii="宋体" w:hAnsi="宋体" w:eastAsia="宋体" w:cs="宋体"/>
          <w:color w:val="auto"/>
          <w:sz w:val="24"/>
          <w:szCs w:val="24"/>
          <w:highlight w:val="none"/>
        </w:rPr>
        <w:t>的证明（成立未满1年的提供成立以来的税收和社会保障资金缴纳凭证或相关情况说明；依法免税或不需要缴纳社会保障资金的投标人，应提供相应文件证明其依法免税或不需要缴纳社会保障资金）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cs="宋体"/>
          <w:color w:val="auto"/>
          <w:sz w:val="24"/>
          <w:szCs w:val="24"/>
          <w:highlight w:val="none"/>
        </w:rPr>
        <w:t>。</w:t>
      </w:r>
    </w:p>
    <w:p w14:paraId="0F83861E">
      <w:pPr>
        <w:pStyle w:val="10"/>
        <w:ind w:left="0" w:leftChars="0" w:firstLine="0" w:firstLineChars="0"/>
        <w:jc w:val="center"/>
        <w:rPr>
          <w:rFonts w:ascii="宋体" w:hAnsi="宋体" w:eastAsia="宋体" w:cs="宋体"/>
          <w:b/>
          <w:color w:val="auto"/>
          <w:kern w:val="0"/>
          <w:sz w:val="28"/>
          <w:szCs w:val="28"/>
          <w:highlight w:val="none"/>
          <w:lang w:val="zh-CN"/>
        </w:rPr>
      </w:pPr>
    </w:p>
    <w:p w14:paraId="48A5ECDC">
      <w:pPr>
        <w:pStyle w:val="10"/>
        <w:ind w:left="0" w:leftChars="0" w:firstLine="0" w:firstLineChars="0"/>
        <w:jc w:val="center"/>
        <w:rPr>
          <w:rFonts w:ascii="宋体" w:hAnsi="宋体" w:eastAsia="宋体" w:cs="宋体"/>
          <w:b/>
          <w:color w:val="auto"/>
          <w:kern w:val="0"/>
          <w:sz w:val="28"/>
          <w:szCs w:val="28"/>
          <w:highlight w:val="none"/>
          <w:lang w:val="zh-CN"/>
        </w:rPr>
      </w:pPr>
    </w:p>
    <w:p w14:paraId="58E93393">
      <w:pPr>
        <w:pStyle w:val="10"/>
        <w:ind w:left="0" w:leftChars="0" w:firstLine="0" w:firstLineChars="0"/>
        <w:jc w:val="center"/>
        <w:rPr>
          <w:rFonts w:ascii="宋体" w:hAnsi="宋体" w:eastAsia="宋体" w:cs="宋体"/>
          <w:b/>
          <w:color w:val="auto"/>
          <w:kern w:val="0"/>
          <w:sz w:val="28"/>
          <w:szCs w:val="28"/>
          <w:highlight w:val="none"/>
          <w:lang w:val="zh-CN"/>
        </w:rPr>
      </w:pPr>
    </w:p>
    <w:p w14:paraId="16B9EC1B">
      <w:pPr>
        <w:pStyle w:val="10"/>
        <w:ind w:left="0" w:leftChars="0" w:firstLine="0" w:firstLineChars="0"/>
        <w:jc w:val="center"/>
        <w:rPr>
          <w:rFonts w:ascii="宋体" w:hAnsi="宋体" w:eastAsia="宋体" w:cs="宋体"/>
          <w:b/>
          <w:color w:val="auto"/>
          <w:kern w:val="0"/>
          <w:sz w:val="28"/>
          <w:szCs w:val="28"/>
          <w:highlight w:val="none"/>
          <w:lang w:val="zh-CN"/>
        </w:rPr>
      </w:pPr>
    </w:p>
    <w:p w14:paraId="57FFD5EC">
      <w:pPr>
        <w:pStyle w:val="10"/>
        <w:ind w:left="0" w:leftChars="0" w:firstLine="0" w:firstLineChars="0"/>
        <w:jc w:val="center"/>
        <w:rPr>
          <w:rFonts w:ascii="宋体" w:hAnsi="宋体" w:eastAsia="宋体" w:cs="宋体"/>
          <w:b/>
          <w:color w:val="auto"/>
          <w:kern w:val="0"/>
          <w:sz w:val="28"/>
          <w:szCs w:val="28"/>
          <w:highlight w:val="none"/>
          <w:lang w:val="zh-CN"/>
        </w:rPr>
      </w:pPr>
    </w:p>
    <w:p w14:paraId="21429780">
      <w:pPr>
        <w:pStyle w:val="10"/>
        <w:ind w:left="0" w:leftChars="0" w:firstLine="0" w:firstLineChars="0"/>
        <w:jc w:val="center"/>
        <w:rPr>
          <w:rFonts w:ascii="宋体" w:hAnsi="宋体" w:eastAsia="宋体" w:cs="宋体"/>
          <w:b/>
          <w:color w:val="auto"/>
          <w:kern w:val="0"/>
          <w:sz w:val="28"/>
          <w:szCs w:val="28"/>
          <w:highlight w:val="none"/>
          <w:lang w:val="zh-CN"/>
        </w:rPr>
      </w:pPr>
    </w:p>
    <w:p w14:paraId="7ED3727D">
      <w:pPr>
        <w:pStyle w:val="10"/>
        <w:ind w:left="0" w:leftChars="0" w:firstLine="0" w:firstLineChars="0"/>
        <w:jc w:val="center"/>
        <w:rPr>
          <w:rFonts w:ascii="宋体" w:hAnsi="宋体" w:eastAsia="宋体" w:cs="宋体"/>
          <w:b/>
          <w:color w:val="auto"/>
          <w:kern w:val="0"/>
          <w:sz w:val="28"/>
          <w:szCs w:val="28"/>
          <w:highlight w:val="none"/>
          <w:lang w:val="zh-CN"/>
        </w:rPr>
      </w:pPr>
    </w:p>
    <w:p w14:paraId="65D761CA">
      <w:pPr>
        <w:pStyle w:val="10"/>
        <w:ind w:left="0" w:leftChars="0" w:firstLine="0" w:firstLineChars="0"/>
        <w:jc w:val="center"/>
        <w:rPr>
          <w:rFonts w:ascii="宋体" w:hAnsi="宋体" w:eastAsia="宋体" w:cs="宋体"/>
          <w:b/>
          <w:color w:val="auto"/>
          <w:kern w:val="0"/>
          <w:sz w:val="28"/>
          <w:szCs w:val="28"/>
          <w:highlight w:val="none"/>
          <w:lang w:val="zh-CN"/>
        </w:rPr>
      </w:pPr>
    </w:p>
    <w:p w14:paraId="65C80801">
      <w:pPr>
        <w:pStyle w:val="10"/>
        <w:ind w:left="0" w:leftChars="0" w:firstLine="0" w:firstLineChars="0"/>
        <w:jc w:val="center"/>
        <w:rPr>
          <w:rFonts w:ascii="宋体" w:hAnsi="宋体" w:eastAsia="宋体" w:cs="宋体"/>
          <w:b/>
          <w:color w:val="auto"/>
          <w:kern w:val="0"/>
          <w:sz w:val="28"/>
          <w:szCs w:val="28"/>
          <w:highlight w:val="none"/>
          <w:lang w:val="zh-CN"/>
        </w:rPr>
      </w:pPr>
    </w:p>
    <w:p w14:paraId="13998100">
      <w:pPr>
        <w:pStyle w:val="10"/>
        <w:ind w:left="0" w:leftChars="0" w:firstLine="0" w:firstLineChars="0"/>
        <w:jc w:val="center"/>
        <w:rPr>
          <w:rFonts w:ascii="宋体" w:hAnsi="宋体" w:eastAsia="宋体" w:cs="宋体"/>
          <w:b/>
          <w:color w:val="auto"/>
          <w:kern w:val="0"/>
          <w:sz w:val="28"/>
          <w:szCs w:val="28"/>
          <w:highlight w:val="none"/>
          <w:lang w:val="zh-CN"/>
        </w:rPr>
      </w:pPr>
    </w:p>
    <w:p w14:paraId="1AADA6C6">
      <w:pPr>
        <w:pStyle w:val="10"/>
        <w:ind w:left="0" w:leftChars="0" w:firstLine="0" w:firstLineChars="0"/>
        <w:jc w:val="center"/>
        <w:rPr>
          <w:rFonts w:ascii="宋体" w:hAnsi="宋体" w:eastAsia="宋体" w:cs="宋体"/>
          <w:b/>
          <w:color w:val="auto"/>
          <w:kern w:val="0"/>
          <w:sz w:val="28"/>
          <w:szCs w:val="28"/>
          <w:highlight w:val="none"/>
          <w:lang w:val="zh-CN"/>
        </w:rPr>
      </w:pPr>
    </w:p>
    <w:p w14:paraId="16CAECAF">
      <w:pPr>
        <w:pStyle w:val="10"/>
        <w:ind w:left="0" w:leftChars="0" w:firstLine="0" w:firstLineChars="0"/>
        <w:jc w:val="center"/>
        <w:rPr>
          <w:rFonts w:ascii="宋体" w:hAnsi="宋体" w:eastAsia="宋体" w:cs="宋体"/>
          <w:b/>
          <w:color w:val="auto"/>
          <w:kern w:val="0"/>
          <w:sz w:val="28"/>
          <w:szCs w:val="28"/>
          <w:highlight w:val="none"/>
          <w:lang w:val="zh-CN"/>
        </w:rPr>
      </w:pPr>
    </w:p>
    <w:p w14:paraId="6FE2022D">
      <w:pPr>
        <w:pStyle w:val="10"/>
        <w:ind w:left="0" w:leftChars="0" w:firstLine="0" w:firstLineChars="0"/>
        <w:jc w:val="center"/>
        <w:rPr>
          <w:rFonts w:ascii="宋体" w:hAnsi="宋体" w:eastAsia="宋体" w:cs="宋体"/>
          <w:b/>
          <w:color w:val="auto"/>
          <w:kern w:val="0"/>
          <w:sz w:val="28"/>
          <w:szCs w:val="28"/>
          <w:highlight w:val="none"/>
          <w:lang w:val="zh-CN"/>
        </w:rPr>
      </w:pPr>
    </w:p>
    <w:p w14:paraId="32D2B009">
      <w:pPr>
        <w:pStyle w:val="10"/>
        <w:ind w:left="0" w:leftChars="0" w:firstLine="0" w:firstLineChars="0"/>
        <w:jc w:val="center"/>
        <w:rPr>
          <w:rFonts w:ascii="宋体" w:hAnsi="宋体" w:eastAsia="宋体" w:cs="宋体"/>
          <w:b/>
          <w:color w:val="auto"/>
          <w:kern w:val="0"/>
          <w:sz w:val="28"/>
          <w:szCs w:val="28"/>
          <w:highlight w:val="none"/>
          <w:lang w:val="zh-CN"/>
        </w:rPr>
      </w:pPr>
    </w:p>
    <w:p w14:paraId="7EFB0003">
      <w:pPr>
        <w:pStyle w:val="10"/>
        <w:ind w:left="0" w:leftChars="0" w:firstLine="0" w:firstLineChars="0"/>
        <w:jc w:val="center"/>
        <w:rPr>
          <w:rFonts w:ascii="宋体" w:hAnsi="宋体" w:eastAsia="宋体" w:cs="宋体"/>
          <w:b/>
          <w:color w:val="auto"/>
          <w:kern w:val="0"/>
          <w:sz w:val="28"/>
          <w:szCs w:val="28"/>
          <w:highlight w:val="none"/>
          <w:lang w:val="zh-CN"/>
        </w:rPr>
      </w:pPr>
    </w:p>
    <w:p w14:paraId="13D2E089">
      <w:pPr>
        <w:pStyle w:val="10"/>
        <w:ind w:left="0" w:leftChars="0" w:firstLine="0" w:firstLineChars="0"/>
        <w:jc w:val="center"/>
        <w:rPr>
          <w:rFonts w:ascii="宋体" w:hAnsi="宋体" w:eastAsia="宋体" w:cs="宋体"/>
          <w:b/>
          <w:bCs/>
          <w:color w:val="auto"/>
          <w:sz w:val="30"/>
          <w:szCs w:val="30"/>
          <w:highlight w:val="none"/>
        </w:rPr>
      </w:pPr>
      <w:r>
        <w:rPr>
          <w:rFonts w:hint="eastAsia" w:ascii="宋体" w:hAnsi="宋体" w:eastAsia="宋体" w:cs="宋体"/>
          <w:b/>
          <w:color w:val="auto"/>
          <w:kern w:val="0"/>
          <w:sz w:val="30"/>
          <w:szCs w:val="30"/>
          <w:highlight w:val="none"/>
        </w:rPr>
        <w:t>五、</w:t>
      </w:r>
      <w:r>
        <w:rPr>
          <w:rFonts w:hint="eastAsia" w:ascii="宋体" w:hAnsi="宋体" w:eastAsia="宋体" w:cs="宋体"/>
          <w:b/>
          <w:bCs/>
          <w:color w:val="auto"/>
          <w:sz w:val="30"/>
          <w:szCs w:val="30"/>
          <w:highlight w:val="none"/>
        </w:rPr>
        <w:t>无重大违法记录声明</w:t>
      </w:r>
    </w:p>
    <w:p w14:paraId="7A95E193">
      <w:pPr>
        <w:tabs>
          <w:tab w:val="left" w:pos="5580"/>
        </w:tabs>
        <w:spacing w:before="120"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（采购人名称）  </w:t>
      </w:r>
    </w:p>
    <w:p w14:paraId="3C51140A">
      <w:pPr>
        <w:tabs>
          <w:tab w:val="left" w:pos="5580"/>
        </w:tabs>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14:paraId="58BA03DE">
      <w:pPr>
        <w:tabs>
          <w:tab w:val="left" w:pos="5580"/>
        </w:tabs>
        <w:spacing w:before="12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特此声明。</w:t>
      </w:r>
    </w:p>
    <w:p w14:paraId="2B6798F0">
      <w:pPr>
        <w:spacing w:line="360" w:lineRule="auto"/>
        <w:ind w:firstLine="1050" w:firstLineChars="500"/>
        <w:rPr>
          <w:rFonts w:ascii="宋体" w:hAnsi="宋体" w:cs="宋体"/>
          <w:color w:val="auto"/>
          <w:szCs w:val="21"/>
          <w:highlight w:val="none"/>
        </w:rPr>
      </w:pPr>
    </w:p>
    <w:p w14:paraId="219BADBC">
      <w:pPr>
        <w:spacing w:line="360" w:lineRule="auto"/>
        <w:ind w:firstLine="1054" w:firstLineChars="500"/>
        <w:rPr>
          <w:rFonts w:ascii="宋体" w:hAnsi="宋体" w:cs="宋体"/>
          <w:b/>
          <w:bCs/>
          <w:color w:val="auto"/>
          <w:szCs w:val="21"/>
          <w:highlight w:val="none"/>
        </w:rPr>
      </w:pPr>
    </w:p>
    <w:p w14:paraId="2DBBF978">
      <w:pPr>
        <w:spacing w:line="360" w:lineRule="auto"/>
        <w:rPr>
          <w:rFonts w:ascii="宋体" w:hAnsi="宋体" w:cs="宋体"/>
          <w:b/>
          <w:bCs/>
          <w:color w:val="auto"/>
          <w:szCs w:val="21"/>
          <w:highlight w:val="none"/>
        </w:rPr>
      </w:pPr>
    </w:p>
    <w:p w14:paraId="167EBDE4">
      <w:pPr>
        <w:spacing w:line="360" w:lineRule="auto"/>
        <w:ind w:firstLine="1050" w:firstLineChars="500"/>
        <w:rPr>
          <w:rFonts w:ascii="宋体" w:hAnsi="宋体" w:cs="宋体"/>
          <w:color w:val="auto"/>
          <w:szCs w:val="21"/>
          <w:highlight w:val="none"/>
        </w:rPr>
      </w:pPr>
    </w:p>
    <w:p w14:paraId="65EEAA7D">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66068FAE">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613AD4E">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1D2FA372">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C73CC16">
      <w:pPr>
        <w:spacing w:line="360" w:lineRule="auto"/>
        <w:ind w:firstLine="3840" w:firstLineChars="1600"/>
        <w:rPr>
          <w:rFonts w:hint="eastAsia" w:ascii="宋体" w:hAnsi="宋体" w:cs="宋体"/>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77CA440E">
      <w:pPr>
        <w:pStyle w:val="10"/>
        <w:ind w:left="0" w:leftChars="0" w:firstLine="0" w:firstLineChars="0"/>
        <w:jc w:val="center"/>
        <w:rPr>
          <w:rFonts w:ascii="宋体" w:hAnsi="宋体" w:eastAsia="宋体" w:cs="宋体"/>
          <w:b/>
          <w:bCs/>
          <w:color w:val="auto"/>
          <w:sz w:val="28"/>
          <w:szCs w:val="28"/>
          <w:highlight w:val="none"/>
        </w:rPr>
      </w:pPr>
      <w:r>
        <w:rPr>
          <w:rFonts w:hint="eastAsia" w:ascii="宋体" w:hAnsi="宋体" w:eastAsia="宋体" w:cs="宋体"/>
          <w:b/>
          <w:color w:val="auto"/>
          <w:kern w:val="0"/>
          <w:sz w:val="28"/>
          <w:szCs w:val="28"/>
          <w:highlight w:val="none"/>
        </w:rPr>
        <w:t>六、</w:t>
      </w:r>
      <w:r>
        <w:rPr>
          <w:rFonts w:hint="eastAsia" w:ascii="宋体" w:hAnsi="宋体" w:eastAsia="宋体" w:cs="宋体"/>
          <w:b/>
          <w:bCs/>
          <w:color w:val="auto"/>
          <w:sz w:val="28"/>
          <w:szCs w:val="28"/>
          <w:highlight w:val="none"/>
        </w:rPr>
        <w:t>法律、行政法规规定的其他条件</w:t>
      </w:r>
    </w:p>
    <w:p w14:paraId="6CC9E388">
      <w:pPr>
        <w:pStyle w:val="33"/>
        <w:rPr>
          <w:color w:val="auto"/>
          <w:highlight w:val="none"/>
        </w:rPr>
      </w:pPr>
    </w:p>
    <w:p w14:paraId="5707DCEC">
      <w:pPr>
        <w:spacing w:line="360" w:lineRule="auto"/>
        <w:ind w:firstLine="480" w:firstLineChars="200"/>
        <w:jc w:val="left"/>
        <w:rPr>
          <w:rFonts w:hint="eastAsia" w:ascii="宋体" w:hAnsi="宋体" w:cs="宋体"/>
          <w:b/>
          <w:bCs/>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w:t>
      </w:r>
      <w:r>
        <w:rPr>
          <w:rFonts w:hint="eastAsia" w:ascii="宋体" w:hAnsi="宋体" w:cs="宋体"/>
          <w:b/>
          <w:bCs/>
          <w:color w:val="auto"/>
          <w:sz w:val="24"/>
          <w:highlight w:val="none"/>
        </w:rPr>
        <w:t>（自行承诺，内容自拟）</w:t>
      </w:r>
    </w:p>
    <w:p w14:paraId="617867ED">
      <w:pPr>
        <w:jc w:val="center"/>
        <w:rPr>
          <w:rFonts w:ascii="宋体" w:hAnsi="宋体" w:cs="宋体"/>
          <w:b/>
          <w:color w:val="auto"/>
          <w:sz w:val="44"/>
          <w:szCs w:val="44"/>
          <w:highlight w:val="none"/>
        </w:rPr>
      </w:pPr>
    </w:p>
    <w:p w14:paraId="31B99D8A">
      <w:pPr>
        <w:jc w:val="center"/>
        <w:rPr>
          <w:rFonts w:ascii="宋体" w:hAnsi="宋体" w:cs="宋体"/>
          <w:b/>
          <w:color w:val="auto"/>
          <w:sz w:val="44"/>
          <w:szCs w:val="44"/>
          <w:highlight w:val="none"/>
        </w:rPr>
      </w:pPr>
    </w:p>
    <w:p w14:paraId="23EDA35E">
      <w:pPr>
        <w:jc w:val="center"/>
        <w:rPr>
          <w:rFonts w:ascii="宋体" w:hAnsi="宋体" w:cs="宋体"/>
          <w:b/>
          <w:color w:val="auto"/>
          <w:sz w:val="44"/>
          <w:szCs w:val="44"/>
          <w:highlight w:val="none"/>
        </w:rPr>
      </w:pPr>
    </w:p>
    <w:p w14:paraId="5F422560">
      <w:pPr>
        <w:jc w:val="center"/>
        <w:rPr>
          <w:rFonts w:ascii="宋体" w:hAnsi="宋体" w:cs="宋体"/>
          <w:b/>
          <w:color w:val="auto"/>
          <w:sz w:val="44"/>
          <w:szCs w:val="44"/>
          <w:highlight w:val="none"/>
        </w:rPr>
      </w:pPr>
    </w:p>
    <w:p w14:paraId="69E7F9DC">
      <w:pPr>
        <w:pStyle w:val="32"/>
        <w:ind w:firstLine="528"/>
        <w:rPr>
          <w:color w:val="auto"/>
          <w:highlight w:val="none"/>
        </w:rPr>
      </w:pPr>
    </w:p>
    <w:p w14:paraId="120D01D6">
      <w:pPr>
        <w:jc w:val="center"/>
        <w:rPr>
          <w:rFonts w:ascii="宋体" w:hAnsi="宋体" w:cs="宋体"/>
          <w:b/>
          <w:color w:val="auto"/>
          <w:sz w:val="44"/>
          <w:szCs w:val="44"/>
          <w:highlight w:val="none"/>
        </w:rPr>
      </w:pPr>
    </w:p>
    <w:p w14:paraId="2406FFA8">
      <w:pPr>
        <w:jc w:val="center"/>
        <w:rPr>
          <w:rFonts w:ascii="宋体" w:hAnsi="宋体" w:cs="宋体"/>
          <w:b/>
          <w:color w:val="auto"/>
          <w:sz w:val="44"/>
          <w:szCs w:val="44"/>
          <w:highlight w:val="none"/>
        </w:rPr>
      </w:pPr>
    </w:p>
    <w:p w14:paraId="2955CE6A">
      <w:pPr>
        <w:keepNext/>
        <w:keepLines/>
        <w:autoSpaceDE w:val="0"/>
        <w:autoSpaceDN w:val="0"/>
        <w:adjustRightInd w:val="0"/>
        <w:snapToGrid w:val="0"/>
        <w:spacing w:line="360" w:lineRule="auto"/>
        <w:jc w:val="center"/>
        <w:outlineLvl w:val="3"/>
        <w:rPr>
          <w:rFonts w:ascii="宋体" w:hAnsi="宋体" w:cs="宋体"/>
          <w:b/>
          <w:color w:val="auto"/>
          <w:sz w:val="44"/>
          <w:szCs w:val="44"/>
          <w:highlight w:val="none"/>
        </w:rPr>
      </w:pPr>
    </w:p>
    <w:p w14:paraId="2EB8165D">
      <w:pPr>
        <w:jc w:val="center"/>
        <w:rPr>
          <w:rFonts w:ascii="宋体" w:hAnsi="宋体" w:cs="宋体"/>
          <w:b/>
          <w:bCs/>
          <w:color w:val="auto"/>
          <w:kern w:val="0"/>
          <w:sz w:val="28"/>
          <w:szCs w:val="28"/>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44"/>
          <w:szCs w:val="44"/>
          <w:highlight w:val="none"/>
        </w:rPr>
        <w:t>第二部分  报价文件格式</w:t>
      </w:r>
    </w:p>
    <w:p w14:paraId="603191BC">
      <w:pPr>
        <w:pStyle w:val="49"/>
        <w:spacing w:before="0" w:afterLines="50" w:line="360" w:lineRule="auto"/>
        <w:ind w:left="0" w:right="23"/>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一、投标报价一览表</w:t>
      </w:r>
    </w:p>
    <w:p w14:paraId="3633249A">
      <w:pPr>
        <w:spacing w:after="78"/>
        <w:rPr>
          <w:rFonts w:ascii="宋体" w:hAnsi="宋体" w:cs="宋体"/>
          <w:color w:val="auto"/>
          <w:sz w:val="24"/>
          <w:highlight w:val="none"/>
          <w:u w:val="single"/>
        </w:rPr>
      </w:pPr>
      <w:r>
        <w:rPr>
          <w:rFonts w:hint="eastAsia" w:ascii="宋体" w:hAnsi="宋体" w:cs="宋体"/>
          <w:color w:val="auto"/>
          <w:sz w:val="24"/>
          <w:highlight w:val="none"/>
        </w:rPr>
        <w:t>项目名称：</w:t>
      </w:r>
    </w:p>
    <w:p w14:paraId="04B143D7">
      <w:pPr>
        <w:spacing w:after="78"/>
        <w:rPr>
          <w:rFonts w:ascii="宋体" w:hAnsi="宋体" w:cs="宋体"/>
          <w:color w:val="auto"/>
          <w:sz w:val="24"/>
          <w:highlight w:val="none"/>
        </w:rPr>
      </w:pPr>
      <w:r>
        <w:rPr>
          <w:rFonts w:hint="eastAsia" w:ascii="宋体" w:hAnsi="宋体" w:cs="宋体"/>
          <w:color w:val="auto"/>
          <w:sz w:val="24"/>
          <w:highlight w:val="none"/>
        </w:rPr>
        <w:t xml:space="preserve">招标编号：                                   </w:t>
      </w:r>
    </w:p>
    <w:tbl>
      <w:tblPr>
        <w:tblStyle w:val="23"/>
        <w:tblW w:w="8916"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5604"/>
      </w:tblGrid>
      <w:tr w14:paraId="4CCD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312" w:type="dxa"/>
            <w:noWrap/>
            <w:vAlign w:val="center"/>
          </w:tcPr>
          <w:p w14:paraId="6576EADC">
            <w:pPr>
              <w:spacing w:after="78"/>
              <w:jc w:val="center"/>
              <w:rPr>
                <w:rFonts w:ascii="宋体" w:hAnsi="宋体" w:cs="宋体"/>
                <w:color w:val="auto"/>
                <w:sz w:val="24"/>
                <w:highlight w:val="none"/>
              </w:rPr>
            </w:pPr>
            <w:r>
              <w:rPr>
                <w:rFonts w:hint="eastAsia" w:ascii="宋体" w:hAnsi="宋体" w:cs="宋体"/>
                <w:color w:val="auto"/>
                <w:sz w:val="24"/>
                <w:highlight w:val="none"/>
              </w:rPr>
              <w:t>投标报价（总价）</w:t>
            </w:r>
          </w:p>
        </w:tc>
        <w:tc>
          <w:tcPr>
            <w:tcW w:w="5604" w:type="dxa"/>
            <w:noWrap/>
            <w:vAlign w:val="center"/>
          </w:tcPr>
          <w:p w14:paraId="5132D354">
            <w:pPr>
              <w:spacing w:after="78"/>
              <w:rPr>
                <w:rFonts w:ascii="宋体" w:hAnsi="宋体" w:cs="宋体"/>
                <w:color w:val="auto"/>
                <w:sz w:val="24"/>
                <w:highlight w:val="none"/>
              </w:rPr>
            </w:pPr>
            <w:r>
              <w:rPr>
                <w:rFonts w:hint="eastAsia" w:ascii="宋体" w:hAnsi="宋体" w:cs="宋体"/>
                <w:color w:val="auto"/>
                <w:sz w:val="24"/>
                <w:highlight w:val="none"/>
              </w:rPr>
              <w:t>大写：            .</w:t>
            </w:r>
          </w:p>
          <w:p w14:paraId="69C56BDE">
            <w:pPr>
              <w:spacing w:after="78"/>
              <w:rPr>
                <w:rFonts w:ascii="宋体" w:hAnsi="宋体" w:cs="宋体"/>
                <w:color w:val="auto"/>
                <w:sz w:val="24"/>
                <w:highlight w:val="none"/>
              </w:rPr>
            </w:pPr>
            <w:r>
              <w:rPr>
                <w:rFonts w:hint="eastAsia" w:ascii="宋体" w:hAnsi="宋体" w:cs="宋体"/>
                <w:color w:val="auto"/>
                <w:sz w:val="24"/>
                <w:highlight w:val="none"/>
              </w:rPr>
              <w:t>小写：            .</w:t>
            </w:r>
          </w:p>
        </w:tc>
      </w:tr>
      <w:tr w14:paraId="165F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699B4D97">
            <w:pPr>
              <w:spacing w:after="78"/>
              <w:jc w:val="center"/>
              <w:rPr>
                <w:rFonts w:ascii="宋体" w:hAnsi="宋体" w:cs="宋体"/>
                <w:color w:val="auto"/>
                <w:sz w:val="24"/>
                <w:highlight w:val="none"/>
              </w:rPr>
            </w:pPr>
            <w:r>
              <w:rPr>
                <w:rFonts w:hint="eastAsia" w:ascii="宋体" w:hAnsi="宋体" w:cs="宋体"/>
                <w:color w:val="auto"/>
                <w:sz w:val="24"/>
                <w:highlight w:val="none"/>
              </w:rPr>
              <w:t>合同履行期限</w:t>
            </w:r>
          </w:p>
        </w:tc>
        <w:tc>
          <w:tcPr>
            <w:tcW w:w="5604" w:type="dxa"/>
            <w:noWrap/>
            <w:vAlign w:val="center"/>
          </w:tcPr>
          <w:p w14:paraId="6971D856">
            <w:pPr>
              <w:spacing w:after="78"/>
              <w:rPr>
                <w:rFonts w:ascii="宋体" w:hAnsi="宋体" w:cs="宋体"/>
                <w:color w:val="auto"/>
                <w:sz w:val="24"/>
                <w:highlight w:val="none"/>
              </w:rPr>
            </w:pPr>
          </w:p>
        </w:tc>
      </w:tr>
      <w:tr w14:paraId="1F76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5F590852">
            <w:pPr>
              <w:spacing w:after="78"/>
              <w:jc w:val="center"/>
              <w:rPr>
                <w:rFonts w:ascii="宋体" w:hAnsi="宋体" w:cs="宋体"/>
                <w:color w:val="auto"/>
                <w:sz w:val="24"/>
                <w:highlight w:val="none"/>
              </w:rPr>
            </w:pPr>
            <w:r>
              <w:rPr>
                <w:rFonts w:hint="eastAsia" w:cs="宋体"/>
                <w:color w:val="auto"/>
                <w:sz w:val="24"/>
                <w:highlight w:val="none"/>
              </w:rPr>
              <w:t>质量要求</w:t>
            </w:r>
          </w:p>
        </w:tc>
        <w:tc>
          <w:tcPr>
            <w:tcW w:w="5604" w:type="dxa"/>
            <w:noWrap/>
            <w:vAlign w:val="center"/>
          </w:tcPr>
          <w:p w14:paraId="107ADBE8">
            <w:pPr>
              <w:spacing w:after="78"/>
              <w:rPr>
                <w:rFonts w:ascii="宋体" w:hAnsi="宋体" w:cs="宋体"/>
                <w:color w:val="auto"/>
                <w:sz w:val="24"/>
                <w:highlight w:val="none"/>
              </w:rPr>
            </w:pPr>
          </w:p>
        </w:tc>
      </w:tr>
      <w:tr w14:paraId="240B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3C4B2E7F">
            <w:pPr>
              <w:spacing w:after="78"/>
              <w:jc w:val="center"/>
              <w:rPr>
                <w:rFonts w:hint="default" w:eastAsia="宋体" w:cs="宋体"/>
                <w:color w:val="auto"/>
                <w:sz w:val="24"/>
                <w:highlight w:val="none"/>
                <w:lang w:val="en-US" w:eastAsia="zh-CN"/>
              </w:rPr>
            </w:pPr>
            <w:r>
              <w:rPr>
                <w:rFonts w:hint="eastAsia" w:cs="宋体"/>
                <w:color w:val="auto"/>
                <w:sz w:val="24"/>
                <w:highlight w:val="none"/>
                <w:lang w:val="en-US" w:eastAsia="zh-CN"/>
              </w:rPr>
              <w:t>供货地点</w:t>
            </w:r>
          </w:p>
        </w:tc>
        <w:tc>
          <w:tcPr>
            <w:tcW w:w="5604" w:type="dxa"/>
            <w:noWrap/>
            <w:vAlign w:val="center"/>
          </w:tcPr>
          <w:p w14:paraId="02F49B1C">
            <w:pPr>
              <w:spacing w:after="78"/>
              <w:rPr>
                <w:rFonts w:ascii="宋体" w:hAnsi="宋体" w:cs="宋体"/>
                <w:color w:val="auto"/>
                <w:sz w:val="24"/>
                <w:highlight w:val="none"/>
              </w:rPr>
            </w:pPr>
          </w:p>
        </w:tc>
      </w:tr>
      <w:tr w14:paraId="4B4B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358F2688">
            <w:pPr>
              <w:spacing w:after="78"/>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5604" w:type="dxa"/>
            <w:noWrap/>
            <w:vAlign w:val="center"/>
          </w:tcPr>
          <w:p w14:paraId="10B78B1E">
            <w:pPr>
              <w:spacing w:after="78"/>
              <w:rPr>
                <w:rFonts w:ascii="宋体" w:hAnsi="宋体" w:cs="宋体"/>
                <w:color w:val="auto"/>
                <w:sz w:val="24"/>
                <w:highlight w:val="none"/>
              </w:rPr>
            </w:pPr>
          </w:p>
        </w:tc>
      </w:tr>
      <w:tr w14:paraId="511A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312" w:type="dxa"/>
            <w:noWrap/>
            <w:vAlign w:val="center"/>
          </w:tcPr>
          <w:p w14:paraId="72C2328B">
            <w:pPr>
              <w:spacing w:after="78"/>
              <w:jc w:val="center"/>
              <w:rPr>
                <w:rFonts w:ascii="宋体" w:hAnsi="宋体" w:cs="宋体"/>
                <w:color w:val="auto"/>
                <w:sz w:val="24"/>
                <w:highlight w:val="none"/>
              </w:rPr>
            </w:pPr>
            <w:r>
              <w:rPr>
                <w:rFonts w:hint="eastAsia" w:ascii="宋体" w:hAnsi="宋体" w:cs="宋体"/>
                <w:color w:val="auto"/>
                <w:sz w:val="24"/>
                <w:highlight w:val="none"/>
              </w:rPr>
              <w:t>备注</w:t>
            </w:r>
          </w:p>
        </w:tc>
        <w:tc>
          <w:tcPr>
            <w:tcW w:w="5604" w:type="dxa"/>
            <w:noWrap/>
            <w:vAlign w:val="center"/>
          </w:tcPr>
          <w:p w14:paraId="635E51F7">
            <w:pPr>
              <w:spacing w:after="78"/>
              <w:rPr>
                <w:rFonts w:ascii="宋体" w:hAnsi="宋体" w:cs="宋体"/>
                <w:color w:val="auto"/>
                <w:sz w:val="24"/>
                <w:highlight w:val="none"/>
              </w:rPr>
            </w:pPr>
          </w:p>
        </w:tc>
      </w:tr>
    </w:tbl>
    <w:p w14:paraId="7D771A28">
      <w:pPr>
        <w:spacing w:line="44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1.投标报价为全包价，以人民币为结算单位，包括本项目所有产品、货物成本价格（含利润）、</w:t>
      </w:r>
      <w:r>
        <w:rPr>
          <w:rFonts w:hint="eastAsia" w:ascii="宋体" w:hAnsi="宋体" w:cs="宋体"/>
          <w:color w:val="auto"/>
          <w:sz w:val="24"/>
          <w:highlight w:val="none"/>
          <w:lang w:val="zh-CN"/>
        </w:rPr>
        <w:t>运输</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安装调试、</w:t>
      </w:r>
      <w:r>
        <w:rPr>
          <w:rFonts w:hint="eastAsia" w:ascii="宋体" w:hAnsi="宋体" w:cs="宋体"/>
          <w:color w:val="auto"/>
          <w:sz w:val="24"/>
          <w:highlight w:val="none"/>
          <w:lang w:val="zh-CN"/>
        </w:rPr>
        <w:t>验收、质保、</w:t>
      </w:r>
      <w:r>
        <w:rPr>
          <w:rFonts w:hint="eastAsia" w:ascii="宋体" w:hAnsi="宋体" w:cs="宋体"/>
          <w:color w:val="auto"/>
          <w:sz w:val="24"/>
          <w:highlight w:val="none"/>
        </w:rPr>
        <w:t>保险、税收、</w:t>
      </w:r>
      <w:r>
        <w:rPr>
          <w:rFonts w:hint="eastAsia" w:ascii="宋体" w:hAnsi="宋体" w:cs="宋体"/>
          <w:color w:val="auto"/>
          <w:sz w:val="24"/>
          <w:highlight w:val="none"/>
          <w:lang w:val="en-US" w:eastAsia="zh-CN"/>
        </w:rPr>
        <w:t>培训、</w:t>
      </w:r>
      <w:r>
        <w:rPr>
          <w:rFonts w:hint="eastAsia" w:ascii="宋体" w:hAnsi="宋体" w:cs="宋体"/>
          <w:color w:val="auto"/>
          <w:sz w:val="24"/>
          <w:highlight w:val="none"/>
        </w:rPr>
        <w:t>后续服务、</w:t>
      </w:r>
      <w:r>
        <w:rPr>
          <w:rFonts w:hint="eastAsia" w:ascii="宋体" w:hAnsi="宋体" w:cs="宋体"/>
          <w:color w:val="auto"/>
          <w:sz w:val="24"/>
          <w:highlight w:val="none"/>
          <w:lang w:eastAsia="zh-CN"/>
        </w:rPr>
        <w:t>中标服务费</w:t>
      </w:r>
      <w:r>
        <w:rPr>
          <w:rFonts w:hint="eastAsia" w:ascii="宋体" w:hAnsi="宋体" w:cs="宋体"/>
          <w:color w:val="auto"/>
          <w:sz w:val="24"/>
          <w:highlight w:val="none"/>
        </w:rPr>
        <w:t>等本项目所涉及的一切费用。（报价包含投标人须知前附表3.2.3和3.2.4条所含内容）</w:t>
      </w:r>
    </w:p>
    <w:p w14:paraId="35D569A5">
      <w:pPr>
        <w:spacing w:line="44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2.投标报价超过最高限价作无效标书处理。</w:t>
      </w:r>
    </w:p>
    <w:p w14:paraId="5BCB4FD2">
      <w:pPr>
        <w:pStyle w:val="49"/>
        <w:spacing w:before="0" w:after="0" w:line="460" w:lineRule="exact"/>
        <w:ind w:left="0" w:right="23"/>
        <w:jc w:val="both"/>
        <w:rPr>
          <w:rFonts w:ascii="宋体" w:hAnsi="宋体" w:cs="宋体"/>
          <w:color w:val="auto"/>
          <w:highlight w:val="none"/>
        </w:rPr>
      </w:pPr>
    </w:p>
    <w:p w14:paraId="0AAF293E">
      <w:pPr>
        <w:pStyle w:val="49"/>
        <w:spacing w:before="0" w:after="0" w:line="460" w:lineRule="exact"/>
        <w:ind w:left="0" w:right="23"/>
        <w:jc w:val="both"/>
        <w:rPr>
          <w:rFonts w:ascii="宋体" w:hAnsi="宋体" w:cs="宋体"/>
          <w:color w:val="auto"/>
          <w:highlight w:val="none"/>
        </w:rPr>
      </w:pPr>
    </w:p>
    <w:p w14:paraId="5FCFB1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4099A6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法定代表人或授权代理人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13FCA1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53513CA1">
      <w:pPr>
        <w:pStyle w:val="49"/>
        <w:spacing w:before="0" w:after="0" w:line="460" w:lineRule="exact"/>
        <w:ind w:left="0" w:right="23"/>
        <w:jc w:val="both"/>
        <w:rPr>
          <w:rFonts w:ascii="宋体" w:hAnsi="宋体" w:cs="宋体"/>
          <w:color w:val="auto"/>
          <w:highlight w:val="none"/>
        </w:rPr>
      </w:pPr>
    </w:p>
    <w:p w14:paraId="01256D87">
      <w:pPr>
        <w:spacing w:line="500" w:lineRule="exact"/>
        <w:jc w:val="center"/>
        <w:rPr>
          <w:rFonts w:ascii="宋体" w:hAnsi="宋体" w:cs="宋体"/>
          <w:b/>
          <w:bCs/>
          <w:color w:val="auto"/>
          <w:kern w:val="0"/>
          <w:sz w:val="28"/>
          <w:szCs w:val="28"/>
          <w:highlight w:val="none"/>
        </w:rPr>
        <w:sectPr>
          <w:pgSz w:w="11906" w:h="16838"/>
          <w:pgMar w:top="1440" w:right="1080" w:bottom="1440" w:left="1080" w:header="851" w:footer="992" w:gutter="0"/>
          <w:pgNumType w:fmt="decimal"/>
          <w:cols w:space="720" w:num="1"/>
          <w:docGrid w:type="lines" w:linePitch="312" w:charSpace="0"/>
        </w:sectPr>
      </w:pPr>
    </w:p>
    <w:p w14:paraId="0BE00C74">
      <w:pPr>
        <w:spacing w:line="500" w:lineRule="exact"/>
        <w:jc w:val="center"/>
        <w:rPr>
          <w:b/>
          <w:bCs/>
          <w:color w:val="auto"/>
          <w:sz w:val="30"/>
          <w:szCs w:val="30"/>
          <w:highlight w:val="none"/>
        </w:rPr>
      </w:pPr>
      <w:r>
        <w:rPr>
          <w:rFonts w:hint="eastAsia" w:ascii="宋体" w:hAnsi="宋体" w:cs="宋体"/>
          <w:b/>
          <w:bCs/>
          <w:color w:val="auto"/>
          <w:kern w:val="0"/>
          <w:sz w:val="30"/>
          <w:szCs w:val="30"/>
          <w:highlight w:val="none"/>
        </w:rPr>
        <w:t>二、报价明细表</w:t>
      </w:r>
    </w:p>
    <w:tbl>
      <w:tblPr>
        <w:tblStyle w:val="23"/>
        <w:tblpPr w:leftFromText="180" w:rightFromText="180" w:vertAnchor="text" w:horzAnchor="margin" w:tblpXSpec="center" w:tblpY="15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64"/>
        <w:gridCol w:w="955"/>
        <w:gridCol w:w="815"/>
        <w:gridCol w:w="1369"/>
        <w:gridCol w:w="775"/>
        <w:gridCol w:w="959"/>
        <w:gridCol w:w="772"/>
        <w:gridCol w:w="799"/>
        <w:gridCol w:w="786"/>
      </w:tblGrid>
      <w:tr w14:paraId="7749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02" w:type="dxa"/>
            <w:noWrap/>
            <w:vAlign w:val="center"/>
          </w:tcPr>
          <w:p w14:paraId="4884532C">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序号</w:t>
            </w:r>
          </w:p>
        </w:tc>
        <w:tc>
          <w:tcPr>
            <w:tcW w:w="1264" w:type="dxa"/>
            <w:noWrap/>
            <w:vAlign w:val="center"/>
          </w:tcPr>
          <w:p w14:paraId="4CE71977">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lang w:val="en-US" w:eastAsia="zh-CN"/>
              </w:rPr>
              <w:t>货物</w:t>
            </w:r>
            <w:r>
              <w:rPr>
                <w:rFonts w:hint="eastAsia" w:ascii="宋体" w:hAnsi="宋体"/>
                <w:b/>
                <w:bCs/>
                <w:color w:val="auto"/>
                <w:spacing w:val="-4"/>
                <w:kern w:val="24"/>
                <w:sz w:val="24"/>
                <w:highlight w:val="none"/>
              </w:rPr>
              <w:t>名称</w:t>
            </w:r>
          </w:p>
        </w:tc>
        <w:tc>
          <w:tcPr>
            <w:tcW w:w="955" w:type="dxa"/>
            <w:noWrap/>
            <w:vAlign w:val="center"/>
          </w:tcPr>
          <w:p w14:paraId="1FF7019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厂家</w:t>
            </w:r>
          </w:p>
        </w:tc>
        <w:tc>
          <w:tcPr>
            <w:tcW w:w="815" w:type="dxa"/>
            <w:noWrap/>
            <w:vAlign w:val="center"/>
          </w:tcPr>
          <w:p w14:paraId="4BF3023A">
            <w:pPr>
              <w:spacing w:line="3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品牌</w:t>
            </w:r>
          </w:p>
        </w:tc>
        <w:tc>
          <w:tcPr>
            <w:tcW w:w="1369" w:type="dxa"/>
            <w:noWrap/>
            <w:vAlign w:val="center"/>
          </w:tcPr>
          <w:p w14:paraId="213894DF">
            <w:pPr>
              <w:spacing w:line="3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型号/规格</w:t>
            </w:r>
          </w:p>
        </w:tc>
        <w:tc>
          <w:tcPr>
            <w:tcW w:w="775" w:type="dxa"/>
            <w:noWrap/>
            <w:vAlign w:val="center"/>
          </w:tcPr>
          <w:p w14:paraId="673A07C5">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数量</w:t>
            </w:r>
          </w:p>
        </w:tc>
        <w:tc>
          <w:tcPr>
            <w:tcW w:w="959" w:type="dxa"/>
            <w:noWrap/>
            <w:vAlign w:val="center"/>
          </w:tcPr>
          <w:p w14:paraId="03652CA3">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单位</w:t>
            </w:r>
          </w:p>
        </w:tc>
        <w:tc>
          <w:tcPr>
            <w:tcW w:w="772" w:type="dxa"/>
            <w:noWrap/>
            <w:vAlign w:val="center"/>
          </w:tcPr>
          <w:p w14:paraId="1293E0CE">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单价</w:t>
            </w:r>
          </w:p>
        </w:tc>
        <w:tc>
          <w:tcPr>
            <w:tcW w:w="799" w:type="dxa"/>
            <w:noWrap/>
            <w:vAlign w:val="center"/>
          </w:tcPr>
          <w:p w14:paraId="42D5467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合价</w:t>
            </w:r>
          </w:p>
        </w:tc>
        <w:tc>
          <w:tcPr>
            <w:tcW w:w="786" w:type="dxa"/>
            <w:noWrap/>
            <w:vAlign w:val="center"/>
          </w:tcPr>
          <w:p w14:paraId="200BDF40">
            <w:pPr>
              <w:spacing w:line="380" w:lineRule="exact"/>
              <w:jc w:val="center"/>
              <w:rPr>
                <w:rFonts w:ascii="宋体" w:hAnsi="宋体"/>
                <w:b/>
                <w:bCs/>
                <w:color w:val="auto"/>
                <w:spacing w:val="-4"/>
                <w:kern w:val="24"/>
                <w:sz w:val="24"/>
                <w:highlight w:val="none"/>
              </w:rPr>
            </w:pPr>
            <w:r>
              <w:rPr>
                <w:rFonts w:hint="eastAsia" w:ascii="宋体" w:hAnsi="宋体"/>
                <w:b/>
                <w:bCs/>
                <w:color w:val="auto"/>
                <w:spacing w:val="-4"/>
                <w:kern w:val="24"/>
                <w:sz w:val="24"/>
                <w:highlight w:val="none"/>
              </w:rPr>
              <w:t>备注</w:t>
            </w:r>
          </w:p>
        </w:tc>
      </w:tr>
      <w:tr w14:paraId="114C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557AFB0D">
            <w:pPr>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264" w:type="dxa"/>
            <w:noWrap/>
            <w:vAlign w:val="center"/>
          </w:tcPr>
          <w:p w14:paraId="621D7CF7">
            <w:pPr>
              <w:spacing w:line="380" w:lineRule="exact"/>
              <w:jc w:val="center"/>
              <w:rPr>
                <w:rFonts w:ascii="宋体" w:hAnsi="宋体" w:cs="宋体"/>
                <w:color w:val="auto"/>
                <w:kern w:val="0"/>
                <w:sz w:val="24"/>
                <w:highlight w:val="none"/>
              </w:rPr>
            </w:pPr>
          </w:p>
        </w:tc>
        <w:tc>
          <w:tcPr>
            <w:tcW w:w="955" w:type="dxa"/>
            <w:noWrap/>
            <w:vAlign w:val="center"/>
          </w:tcPr>
          <w:p w14:paraId="23F032E5">
            <w:pPr>
              <w:spacing w:line="380" w:lineRule="exact"/>
              <w:jc w:val="center"/>
              <w:rPr>
                <w:rFonts w:ascii="宋体" w:hAnsi="宋体"/>
                <w:color w:val="auto"/>
                <w:spacing w:val="-4"/>
                <w:kern w:val="24"/>
                <w:sz w:val="24"/>
                <w:highlight w:val="none"/>
              </w:rPr>
            </w:pPr>
          </w:p>
        </w:tc>
        <w:tc>
          <w:tcPr>
            <w:tcW w:w="815" w:type="dxa"/>
            <w:noWrap/>
            <w:vAlign w:val="center"/>
          </w:tcPr>
          <w:p w14:paraId="1C89C950">
            <w:pPr>
              <w:spacing w:line="380" w:lineRule="exact"/>
              <w:jc w:val="center"/>
              <w:rPr>
                <w:rFonts w:ascii="宋体" w:hAnsi="宋体"/>
                <w:color w:val="auto"/>
                <w:spacing w:val="-4"/>
                <w:kern w:val="24"/>
                <w:sz w:val="24"/>
                <w:highlight w:val="none"/>
              </w:rPr>
            </w:pPr>
          </w:p>
        </w:tc>
        <w:tc>
          <w:tcPr>
            <w:tcW w:w="1369" w:type="dxa"/>
            <w:noWrap/>
            <w:vAlign w:val="center"/>
          </w:tcPr>
          <w:p w14:paraId="45AF1FFA">
            <w:pPr>
              <w:spacing w:line="380" w:lineRule="exact"/>
              <w:jc w:val="center"/>
              <w:rPr>
                <w:rFonts w:ascii="宋体" w:hAnsi="宋体"/>
                <w:color w:val="auto"/>
                <w:spacing w:val="-4"/>
                <w:kern w:val="24"/>
                <w:sz w:val="24"/>
                <w:highlight w:val="none"/>
              </w:rPr>
            </w:pPr>
          </w:p>
        </w:tc>
        <w:tc>
          <w:tcPr>
            <w:tcW w:w="775" w:type="dxa"/>
            <w:noWrap/>
            <w:vAlign w:val="center"/>
          </w:tcPr>
          <w:p w14:paraId="14624FEC">
            <w:pPr>
              <w:spacing w:line="380" w:lineRule="exact"/>
              <w:jc w:val="center"/>
              <w:rPr>
                <w:rFonts w:ascii="宋体" w:hAnsi="宋体"/>
                <w:color w:val="auto"/>
                <w:spacing w:val="-4"/>
                <w:kern w:val="24"/>
                <w:sz w:val="24"/>
                <w:highlight w:val="none"/>
              </w:rPr>
            </w:pPr>
          </w:p>
        </w:tc>
        <w:tc>
          <w:tcPr>
            <w:tcW w:w="959" w:type="dxa"/>
            <w:noWrap/>
            <w:vAlign w:val="center"/>
          </w:tcPr>
          <w:p w14:paraId="7603B58B">
            <w:pPr>
              <w:spacing w:line="380" w:lineRule="exact"/>
              <w:jc w:val="center"/>
              <w:rPr>
                <w:rFonts w:ascii="宋体" w:hAnsi="宋体"/>
                <w:color w:val="auto"/>
                <w:spacing w:val="-4"/>
                <w:kern w:val="24"/>
                <w:sz w:val="24"/>
                <w:highlight w:val="none"/>
              </w:rPr>
            </w:pPr>
          </w:p>
        </w:tc>
        <w:tc>
          <w:tcPr>
            <w:tcW w:w="772" w:type="dxa"/>
            <w:noWrap/>
            <w:vAlign w:val="center"/>
          </w:tcPr>
          <w:p w14:paraId="5107BBF5">
            <w:pPr>
              <w:spacing w:line="380" w:lineRule="exact"/>
              <w:jc w:val="center"/>
              <w:rPr>
                <w:rFonts w:ascii="宋体" w:hAnsi="宋体"/>
                <w:color w:val="auto"/>
                <w:spacing w:val="-4"/>
                <w:kern w:val="24"/>
                <w:sz w:val="24"/>
                <w:highlight w:val="none"/>
              </w:rPr>
            </w:pPr>
          </w:p>
        </w:tc>
        <w:tc>
          <w:tcPr>
            <w:tcW w:w="799" w:type="dxa"/>
            <w:noWrap/>
            <w:vAlign w:val="center"/>
          </w:tcPr>
          <w:p w14:paraId="71C6E9DC">
            <w:pPr>
              <w:spacing w:line="380" w:lineRule="exact"/>
              <w:jc w:val="center"/>
              <w:rPr>
                <w:rFonts w:ascii="宋体" w:hAnsi="宋体"/>
                <w:color w:val="auto"/>
                <w:spacing w:val="-4"/>
                <w:kern w:val="24"/>
                <w:sz w:val="24"/>
                <w:highlight w:val="none"/>
              </w:rPr>
            </w:pPr>
          </w:p>
        </w:tc>
        <w:tc>
          <w:tcPr>
            <w:tcW w:w="786" w:type="dxa"/>
            <w:noWrap/>
            <w:vAlign w:val="center"/>
          </w:tcPr>
          <w:p w14:paraId="24C9DB84">
            <w:pPr>
              <w:spacing w:line="380" w:lineRule="exact"/>
              <w:jc w:val="center"/>
              <w:rPr>
                <w:rFonts w:ascii="宋体" w:hAnsi="宋体"/>
                <w:color w:val="auto"/>
                <w:spacing w:val="-4"/>
                <w:kern w:val="24"/>
                <w:sz w:val="24"/>
                <w:highlight w:val="none"/>
              </w:rPr>
            </w:pPr>
          </w:p>
        </w:tc>
      </w:tr>
      <w:tr w14:paraId="3BB0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9055841">
            <w:pPr>
              <w:spacing w:line="38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264" w:type="dxa"/>
            <w:noWrap/>
            <w:vAlign w:val="center"/>
          </w:tcPr>
          <w:p w14:paraId="35B0083B">
            <w:pPr>
              <w:spacing w:line="380" w:lineRule="exact"/>
              <w:jc w:val="center"/>
              <w:rPr>
                <w:rFonts w:ascii="宋体" w:hAnsi="宋体" w:cs="宋体"/>
                <w:color w:val="auto"/>
                <w:kern w:val="0"/>
                <w:sz w:val="24"/>
                <w:highlight w:val="none"/>
              </w:rPr>
            </w:pPr>
          </w:p>
        </w:tc>
        <w:tc>
          <w:tcPr>
            <w:tcW w:w="955" w:type="dxa"/>
            <w:noWrap/>
            <w:vAlign w:val="center"/>
          </w:tcPr>
          <w:p w14:paraId="3D56967D">
            <w:pPr>
              <w:spacing w:line="380" w:lineRule="exact"/>
              <w:jc w:val="center"/>
              <w:rPr>
                <w:rFonts w:ascii="宋体" w:hAnsi="宋体"/>
                <w:color w:val="auto"/>
                <w:spacing w:val="-4"/>
                <w:kern w:val="24"/>
                <w:sz w:val="24"/>
                <w:highlight w:val="none"/>
              </w:rPr>
            </w:pPr>
          </w:p>
        </w:tc>
        <w:tc>
          <w:tcPr>
            <w:tcW w:w="815" w:type="dxa"/>
            <w:noWrap/>
            <w:vAlign w:val="center"/>
          </w:tcPr>
          <w:p w14:paraId="17155146">
            <w:pPr>
              <w:spacing w:line="380" w:lineRule="exact"/>
              <w:jc w:val="center"/>
              <w:rPr>
                <w:rFonts w:ascii="宋体" w:hAnsi="宋体"/>
                <w:color w:val="auto"/>
                <w:spacing w:val="-4"/>
                <w:kern w:val="24"/>
                <w:sz w:val="24"/>
                <w:highlight w:val="none"/>
              </w:rPr>
            </w:pPr>
          </w:p>
        </w:tc>
        <w:tc>
          <w:tcPr>
            <w:tcW w:w="1369" w:type="dxa"/>
            <w:noWrap/>
            <w:vAlign w:val="center"/>
          </w:tcPr>
          <w:p w14:paraId="5250ADC1">
            <w:pPr>
              <w:spacing w:line="380" w:lineRule="exact"/>
              <w:jc w:val="center"/>
              <w:rPr>
                <w:rFonts w:ascii="宋体" w:hAnsi="宋体"/>
                <w:color w:val="auto"/>
                <w:spacing w:val="-4"/>
                <w:kern w:val="24"/>
                <w:sz w:val="24"/>
                <w:highlight w:val="none"/>
              </w:rPr>
            </w:pPr>
          </w:p>
        </w:tc>
        <w:tc>
          <w:tcPr>
            <w:tcW w:w="775" w:type="dxa"/>
            <w:noWrap/>
            <w:vAlign w:val="center"/>
          </w:tcPr>
          <w:p w14:paraId="47BEE638">
            <w:pPr>
              <w:spacing w:line="380" w:lineRule="exact"/>
              <w:jc w:val="center"/>
              <w:rPr>
                <w:rFonts w:ascii="宋体" w:hAnsi="宋体"/>
                <w:color w:val="auto"/>
                <w:spacing w:val="-4"/>
                <w:kern w:val="24"/>
                <w:sz w:val="24"/>
                <w:highlight w:val="none"/>
              </w:rPr>
            </w:pPr>
          </w:p>
        </w:tc>
        <w:tc>
          <w:tcPr>
            <w:tcW w:w="959" w:type="dxa"/>
            <w:noWrap/>
            <w:vAlign w:val="center"/>
          </w:tcPr>
          <w:p w14:paraId="59FA89EA">
            <w:pPr>
              <w:spacing w:line="380" w:lineRule="exact"/>
              <w:jc w:val="center"/>
              <w:rPr>
                <w:rFonts w:ascii="宋体" w:hAnsi="宋体"/>
                <w:color w:val="auto"/>
                <w:spacing w:val="-4"/>
                <w:kern w:val="24"/>
                <w:sz w:val="24"/>
                <w:highlight w:val="none"/>
              </w:rPr>
            </w:pPr>
          </w:p>
        </w:tc>
        <w:tc>
          <w:tcPr>
            <w:tcW w:w="772" w:type="dxa"/>
            <w:noWrap/>
            <w:vAlign w:val="center"/>
          </w:tcPr>
          <w:p w14:paraId="1D6E5D99">
            <w:pPr>
              <w:spacing w:line="380" w:lineRule="exact"/>
              <w:jc w:val="center"/>
              <w:rPr>
                <w:rFonts w:ascii="宋体" w:hAnsi="宋体"/>
                <w:color w:val="auto"/>
                <w:spacing w:val="-4"/>
                <w:kern w:val="24"/>
                <w:sz w:val="24"/>
                <w:highlight w:val="none"/>
              </w:rPr>
            </w:pPr>
          </w:p>
        </w:tc>
        <w:tc>
          <w:tcPr>
            <w:tcW w:w="799" w:type="dxa"/>
            <w:noWrap/>
            <w:vAlign w:val="center"/>
          </w:tcPr>
          <w:p w14:paraId="640DCF05">
            <w:pPr>
              <w:spacing w:line="380" w:lineRule="exact"/>
              <w:jc w:val="center"/>
              <w:rPr>
                <w:rFonts w:ascii="宋体" w:hAnsi="宋体"/>
                <w:color w:val="auto"/>
                <w:spacing w:val="-4"/>
                <w:kern w:val="24"/>
                <w:sz w:val="24"/>
                <w:highlight w:val="none"/>
              </w:rPr>
            </w:pPr>
          </w:p>
        </w:tc>
        <w:tc>
          <w:tcPr>
            <w:tcW w:w="786" w:type="dxa"/>
            <w:noWrap/>
            <w:vAlign w:val="center"/>
          </w:tcPr>
          <w:p w14:paraId="0AEBC777">
            <w:pPr>
              <w:spacing w:line="380" w:lineRule="exact"/>
              <w:jc w:val="center"/>
              <w:rPr>
                <w:rFonts w:ascii="宋体" w:hAnsi="宋体"/>
                <w:color w:val="auto"/>
                <w:spacing w:val="-4"/>
                <w:kern w:val="24"/>
                <w:sz w:val="24"/>
                <w:highlight w:val="none"/>
              </w:rPr>
            </w:pPr>
          </w:p>
        </w:tc>
      </w:tr>
      <w:tr w14:paraId="5436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DAAEC5F">
            <w:pPr>
              <w:spacing w:line="38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1264" w:type="dxa"/>
            <w:noWrap/>
            <w:vAlign w:val="center"/>
          </w:tcPr>
          <w:p w14:paraId="3455CD07">
            <w:pPr>
              <w:spacing w:line="380" w:lineRule="exact"/>
              <w:jc w:val="center"/>
              <w:rPr>
                <w:rFonts w:ascii="宋体" w:hAnsi="宋体" w:cs="宋体"/>
                <w:color w:val="auto"/>
                <w:kern w:val="0"/>
                <w:sz w:val="24"/>
                <w:highlight w:val="none"/>
              </w:rPr>
            </w:pPr>
          </w:p>
        </w:tc>
        <w:tc>
          <w:tcPr>
            <w:tcW w:w="955" w:type="dxa"/>
            <w:noWrap/>
            <w:vAlign w:val="center"/>
          </w:tcPr>
          <w:p w14:paraId="270DA09F">
            <w:pPr>
              <w:spacing w:line="380" w:lineRule="exact"/>
              <w:jc w:val="center"/>
              <w:rPr>
                <w:rFonts w:ascii="宋体" w:hAnsi="宋体"/>
                <w:color w:val="auto"/>
                <w:spacing w:val="-4"/>
                <w:kern w:val="24"/>
                <w:sz w:val="24"/>
                <w:highlight w:val="none"/>
              </w:rPr>
            </w:pPr>
          </w:p>
        </w:tc>
        <w:tc>
          <w:tcPr>
            <w:tcW w:w="815" w:type="dxa"/>
            <w:noWrap/>
            <w:vAlign w:val="center"/>
          </w:tcPr>
          <w:p w14:paraId="7076805D">
            <w:pPr>
              <w:spacing w:line="380" w:lineRule="exact"/>
              <w:jc w:val="center"/>
              <w:rPr>
                <w:rFonts w:ascii="宋体" w:hAnsi="宋体"/>
                <w:color w:val="auto"/>
                <w:spacing w:val="-4"/>
                <w:kern w:val="24"/>
                <w:sz w:val="24"/>
                <w:highlight w:val="none"/>
              </w:rPr>
            </w:pPr>
          </w:p>
        </w:tc>
        <w:tc>
          <w:tcPr>
            <w:tcW w:w="1369" w:type="dxa"/>
            <w:noWrap/>
            <w:vAlign w:val="center"/>
          </w:tcPr>
          <w:p w14:paraId="0675E1A3">
            <w:pPr>
              <w:spacing w:line="380" w:lineRule="exact"/>
              <w:jc w:val="center"/>
              <w:rPr>
                <w:rFonts w:ascii="宋体" w:hAnsi="宋体"/>
                <w:color w:val="auto"/>
                <w:spacing w:val="-4"/>
                <w:kern w:val="24"/>
                <w:sz w:val="24"/>
                <w:highlight w:val="none"/>
              </w:rPr>
            </w:pPr>
          </w:p>
        </w:tc>
        <w:tc>
          <w:tcPr>
            <w:tcW w:w="775" w:type="dxa"/>
            <w:noWrap/>
            <w:vAlign w:val="center"/>
          </w:tcPr>
          <w:p w14:paraId="5D02E129">
            <w:pPr>
              <w:spacing w:line="380" w:lineRule="exact"/>
              <w:jc w:val="center"/>
              <w:rPr>
                <w:rFonts w:ascii="宋体" w:hAnsi="宋体"/>
                <w:color w:val="auto"/>
                <w:spacing w:val="-4"/>
                <w:kern w:val="24"/>
                <w:sz w:val="24"/>
                <w:highlight w:val="none"/>
              </w:rPr>
            </w:pPr>
          </w:p>
        </w:tc>
        <w:tc>
          <w:tcPr>
            <w:tcW w:w="959" w:type="dxa"/>
            <w:noWrap/>
            <w:vAlign w:val="center"/>
          </w:tcPr>
          <w:p w14:paraId="14A3CDBF">
            <w:pPr>
              <w:spacing w:line="380" w:lineRule="exact"/>
              <w:jc w:val="center"/>
              <w:rPr>
                <w:rFonts w:ascii="宋体" w:hAnsi="宋体"/>
                <w:color w:val="auto"/>
                <w:spacing w:val="-4"/>
                <w:kern w:val="24"/>
                <w:sz w:val="24"/>
                <w:highlight w:val="none"/>
              </w:rPr>
            </w:pPr>
          </w:p>
        </w:tc>
        <w:tc>
          <w:tcPr>
            <w:tcW w:w="772" w:type="dxa"/>
            <w:noWrap/>
            <w:vAlign w:val="center"/>
          </w:tcPr>
          <w:p w14:paraId="46753CC5">
            <w:pPr>
              <w:spacing w:line="380" w:lineRule="exact"/>
              <w:jc w:val="center"/>
              <w:rPr>
                <w:rFonts w:ascii="宋体" w:hAnsi="宋体"/>
                <w:color w:val="auto"/>
                <w:spacing w:val="-4"/>
                <w:kern w:val="24"/>
                <w:sz w:val="24"/>
                <w:highlight w:val="none"/>
              </w:rPr>
            </w:pPr>
          </w:p>
        </w:tc>
        <w:tc>
          <w:tcPr>
            <w:tcW w:w="799" w:type="dxa"/>
            <w:noWrap/>
            <w:vAlign w:val="center"/>
          </w:tcPr>
          <w:p w14:paraId="51E9A697">
            <w:pPr>
              <w:spacing w:line="380" w:lineRule="exact"/>
              <w:jc w:val="center"/>
              <w:rPr>
                <w:rFonts w:ascii="宋体" w:hAnsi="宋体"/>
                <w:color w:val="auto"/>
                <w:spacing w:val="-4"/>
                <w:kern w:val="24"/>
                <w:sz w:val="24"/>
                <w:highlight w:val="none"/>
              </w:rPr>
            </w:pPr>
          </w:p>
        </w:tc>
        <w:tc>
          <w:tcPr>
            <w:tcW w:w="786" w:type="dxa"/>
            <w:noWrap/>
            <w:vAlign w:val="center"/>
          </w:tcPr>
          <w:p w14:paraId="70B65029">
            <w:pPr>
              <w:spacing w:line="380" w:lineRule="exact"/>
              <w:jc w:val="center"/>
              <w:rPr>
                <w:rFonts w:ascii="宋体" w:hAnsi="宋体"/>
                <w:color w:val="auto"/>
                <w:spacing w:val="-4"/>
                <w:kern w:val="24"/>
                <w:sz w:val="24"/>
                <w:highlight w:val="none"/>
              </w:rPr>
            </w:pPr>
          </w:p>
        </w:tc>
      </w:tr>
      <w:tr w14:paraId="3BC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392A7F3">
            <w:pPr>
              <w:spacing w:line="38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1264" w:type="dxa"/>
            <w:noWrap/>
            <w:vAlign w:val="center"/>
          </w:tcPr>
          <w:p w14:paraId="1A92291D">
            <w:pPr>
              <w:spacing w:line="380" w:lineRule="exact"/>
              <w:jc w:val="center"/>
              <w:rPr>
                <w:rFonts w:ascii="宋体" w:hAnsi="宋体" w:cs="宋体"/>
                <w:color w:val="auto"/>
                <w:kern w:val="0"/>
                <w:sz w:val="24"/>
                <w:highlight w:val="none"/>
              </w:rPr>
            </w:pPr>
          </w:p>
        </w:tc>
        <w:tc>
          <w:tcPr>
            <w:tcW w:w="955" w:type="dxa"/>
            <w:noWrap/>
            <w:vAlign w:val="center"/>
          </w:tcPr>
          <w:p w14:paraId="45FB363E">
            <w:pPr>
              <w:spacing w:line="380" w:lineRule="exact"/>
              <w:jc w:val="center"/>
              <w:rPr>
                <w:rFonts w:ascii="宋体" w:hAnsi="宋体"/>
                <w:color w:val="auto"/>
                <w:spacing w:val="-4"/>
                <w:kern w:val="24"/>
                <w:sz w:val="24"/>
                <w:highlight w:val="none"/>
              </w:rPr>
            </w:pPr>
          </w:p>
        </w:tc>
        <w:tc>
          <w:tcPr>
            <w:tcW w:w="815" w:type="dxa"/>
            <w:noWrap/>
            <w:vAlign w:val="center"/>
          </w:tcPr>
          <w:p w14:paraId="7FC6A3E3">
            <w:pPr>
              <w:spacing w:line="380" w:lineRule="exact"/>
              <w:jc w:val="center"/>
              <w:rPr>
                <w:rFonts w:ascii="宋体" w:hAnsi="宋体"/>
                <w:color w:val="auto"/>
                <w:spacing w:val="-4"/>
                <w:kern w:val="24"/>
                <w:sz w:val="24"/>
                <w:highlight w:val="none"/>
              </w:rPr>
            </w:pPr>
          </w:p>
        </w:tc>
        <w:tc>
          <w:tcPr>
            <w:tcW w:w="1369" w:type="dxa"/>
            <w:noWrap/>
            <w:vAlign w:val="center"/>
          </w:tcPr>
          <w:p w14:paraId="23553F1A">
            <w:pPr>
              <w:spacing w:line="380" w:lineRule="exact"/>
              <w:jc w:val="center"/>
              <w:rPr>
                <w:rFonts w:ascii="宋体" w:hAnsi="宋体"/>
                <w:color w:val="auto"/>
                <w:spacing w:val="-4"/>
                <w:kern w:val="24"/>
                <w:sz w:val="24"/>
                <w:highlight w:val="none"/>
              </w:rPr>
            </w:pPr>
          </w:p>
        </w:tc>
        <w:tc>
          <w:tcPr>
            <w:tcW w:w="775" w:type="dxa"/>
            <w:noWrap/>
            <w:vAlign w:val="center"/>
          </w:tcPr>
          <w:p w14:paraId="502404FC">
            <w:pPr>
              <w:spacing w:line="380" w:lineRule="exact"/>
              <w:jc w:val="center"/>
              <w:rPr>
                <w:rFonts w:ascii="宋体" w:hAnsi="宋体"/>
                <w:color w:val="auto"/>
                <w:spacing w:val="-4"/>
                <w:kern w:val="24"/>
                <w:sz w:val="24"/>
                <w:highlight w:val="none"/>
              </w:rPr>
            </w:pPr>
          </w:p>
        </w:tc>
        <w:tc>
          <w:tcPr>
            <w:tcW w:w="959" w:type="dxa"/>
            <w:noWrap/>
            <w:vAlign w:val="center"/>
          </w:tcPr>
          <w:p w14:paraId="2D0E52C4">
            <w:pPr>
              <w:spacing w:line="380" w:lineRule="exact"/>
              <w:jc w:val="center"/>
              <w:rPr>
                <w:rFonts w:ascii="宋体" w:hAnsi="宋体"/>
                <w:color w:val="auto"/>
                <w:spacing w:val="-4"/>
                <w:kern w:val="24"/>
                <w:sz w:val="24"/>
                <w:highlight w:val="none"/>
              </w:rPr>
            </w:pPr>
          </w:p>
        </w:tc>
        <w:tc>
          <w:tcPr>
            <w:tcW w:w="772" w:type="dxa"/>
            <w:noWrap/>
            <w:vAlign w:val="center"/>
          </w:tcPr>
          <w:p w14:paraId="2B9A814E">
            <w:pPr>
              <w:spacing w:line="380" w:lineRule="exact"/>
              <w:jc w:val="center"/>
              <w:rPr>
                <w:rFonts w:ascii="宋体" w:hAnsi="宋体"/>
                <w:color w:val="auto"/>
                <w:spacing w:val="-4"/>
                <w:kern w:val="24"/>
                <w:sz w:val="24"/>
                <w:highlight w:val="none"/>
              </w:rPr>
            </w:pPr>
          </w:p>
        </w:tc>
        <w:tc>
          <w:tcPr>
            <w:tcW w:w="799" w:type="dxa"/>
            <w:noWrap/>
            <w:vAlign w:val="center"/>
          </w:tcPr>
          <w:p w14:paraId="4CCC20F7">
            <w:pPr>
              <w:spacing w:line="380" w:lineRule="exact"/>
              <w:jc w:val="center"/>
              <w:rPr>
                <w:rFonts w:ascii="宋体" w:hAnsi="宋体"/>
                <w:color w:val="auto"/>
                <w:spacing w:val="-4"/>
                <w:kern w:val="24"/>
                <w:sz w:val="24"/>
                <w:highlight w:val="none"/>
              </w:rPr>
            </w:pPr>
          </w:p>
        </w:tc>
        <w:tc>
          <w:tcPr>
            <w:tcW w:w="786" w:type="dxa"/>
            <w:noWrap/>
            <w:vAlign w:val="center"/>
          </w:tcPr>
          <w:p w14:paraId="4C42F6A8">
            <w:pPr>
              <w:spacing w:line="380" w:lineRule="exact"/>
              <w:jc w:val="center"/>
              <w:rPr>
                <w:rFonts w:ascii="宋体" w:hAnsi="宋体"/>
                <w:color w:val="auto"/>
                <w:spacing w:val="-4"/>
                <w:kern w:val="24"/>
                <w:sz w:val="24"/>
                <w:highlight w:val="none"/>
              </w:rPr>
            </w:pPr>
          </w:p>
        </w:tc>
      </w:tr>
      <w:tr w14:paraId="0A0E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66" w:type="dxa"/>
            <w:gridSpan w:val="2"/>
            <w:noWrap/>
            <w:vAlign w:val="center"/>
          </w:tcPr>
          <w:p w14:paraId="4E925ACA">
            <w:pPr>
              <w:spacing w:line="3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7230" w:type="dxa"/>
            <w:gridSpan w:val="8"/>
            <w:noWrap/>
            <w:vAlign w:val="center"/>
          </w:tcPr>
          <w:p w14:paraId="77F5A69D">
            <w:pPr>
              <w:spacing w:line="380" w:lineRule="exact"/>
              <w:jc w:val="left"/>
              <w:rPr>
                <w:rFonts w:ascii="宋体" w:hAnsi="宋体"/>
                <w:color w:val="auto"/>
                <w:spacing w:val="-4"/>
                <w:kern w:val="24"/>
                <w:sz w:val="24"/>
                <w:highlight w:val="none"/>
              </w:rPr>
            </w:pPr>
            <w:r>
              <w:rPr>
                <w:rFonts w:hint="eastAsia" w:ascii="宋体" w:hAnsi="宋体"/>
                <w:color w:val="auto"/>
                <w:spacing w:val="-4"/>
                <w:kern w:val="24"/>
                <w:sz w:val="24"/>
                <w:highlight w:val="none"/>
              </w:rPr>
              <w:t>小写：                    大写：</w:t>
            </w:r>
          </w:p>
        </w:tc>
      </w:tr>
    </w:tbl>
    <w:p w14:paraId="43A98C22">
      <w:pPr>
        <w:spacing w:line="500" w:lineRule="exact"/>
        <w:rPr>
          <w:color w:val="auto"/>
          <w:sz w:val="24"/>
          <w:highlight w:val="none"/>
        </w:rPr>
      </w:pPr>
    </w:p>
    <w:p w14:paraId="266C6821">
      <w:pPr>
        <w:pStyle w:val="30"/>
        <w:rPr>
          <w:color w:val="auto"/>
          <w:highlight w:val="none"/>
        </w:rPr>
      </w:pPr>
    </w:p>
    <w:p w14:paraId="57D6CE50">
      <w:pPr>
        <w:tabs>
          <w:tab w:val="left" w:pos="13000"/>
        </w:tabs>
        <w:autoSpaceDE w:val="0"/>
        <w:autoSpaceDN w:val="0"/>
        <w:adjustRightInd w:val="0"/>
        <w:spacing w:line="460" w:lineRule="exact"/>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注：</w:t>
      </w:r>
      <w:r>
        <w:rPr>
          <w:rFonts w:hint="eastAsia" w:ascii="宋体" w:hAnsi="宋体" w:eastAsia="宋体" w:cs="宋体"/>
          <w:color w:val="auto"/>
          <w:sz w:val="24"/>
          <w:highlight w:val="none"/>
          <w:lang w:val="zh-CN"/>
        </w:rPr>
        <w:t>1.本表可根据实际需要增加行栏；若有无需填写项，则在空格内填写“/”。</w:t>
      </w:r>
    </w:p>
    <w:p w14:paraId="5DB8F83C">
      <w:pPr>
        <w:tabs>
          <w:tab w:val="left" w:pos="13000"/>
        </w:tabs>
        <w:autoSpaceDE w:val="0"/>
        <w:autoSpaceDN w:val="0"/>
        <w:adjustRightInd w:val="0"/>
        <w:spacing w:line="4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2.本项目设有单价最高限价，单价最高限价详见第一章招标公告。</w:t>
      </w:r>
    </w:p>
    <w:p w14:paraId="7C1DD822">
      <w:pPr>
        <w:pStyle w:val="10"/>
        <w:rPr>
          <w:color w:val="auto"/>
          <w:highlight w:val="none"/>
        </w:rPr>
      </w:pPr>
    </w:p>
    <w:p w14:paraId="54EF4D53">
      <w:pPr>
        <w:pStyle w:val="10"/>
        <w:rPr>
          <w:color w:val="auto"/>
          <w:highlight w:val="none"/>
        </w:rPr>
      </w:pPr>
    </w:p>
    <w:p w14:paraId="4B0733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68CFA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法定代表人或授权代理人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（签字或电子签名或电子签章）</w:t>
      </w:r>
    </w:p>
    <w:p w14:paraId="59E3CA2D">
      <w:pPr>
        <w:pStyle w:val="4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firstLine="480" w:firstLineChars="200"/>
        <w:jc w:val="both"/>
        <w:textAlignment w:val="auto"/>
        <w:outlineLvl w:val="9"/>
        <w:rPr>
          <w:rFonts w:hint="eastAsia" w:ascii="宋体" w:hAnsi="宋体" w:cs="宋体"/>
          <w:color w:val="auto"/>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rPr>
        <w:t>日期：</w:t>
      </w:r>
      <w:r>
        <w:rPr>
          <w:rFonts w:ascii="宋体" w:hAnsi="宋体" w:eastAsia="宋体"/>
          <w:color w:val="auto"/>
          <w:sz w:val="24"/>
          <w:szCs w:val="32"/>
          <w:highlight w:val="none"/>
          <w:u w:val="single"/>
        </w:rPr>
        <w:t xml:space="preserve">  </w:t>
      </w:r>
      <w:r>
        <w:rPr>
          <w:rFonts w:hint="eastAsia" w:ascii="宋体" w:hAnsi="宋体"/>
          <w:color w:val="auto"/>
          <w:sz w:val="24"/>
          <w:szCs w:val="32"/>
          <w:highlight w:val="none"/>
          <w:u w:val="single"/>
          <w:lang w:val="en-US" w:eastAsia="zh-CN"/>
        </w:rPr>
        <w:t xml:space="preserve"> </w:t>
      </w:r>
      <w:r>
        <w:rPr>
          <w:rFonts w:ascii="宋体" w:hAnsi="宋体" w:eastAsia="宋体"/>
          <w:color w:val="auto"/>
          <w:sz w:val="24"/>
          <w:szCs w:val="32"/>
          <w:highlight w:val="none"/>
          <w:u w:val="single"/>
        </w:rPr>
        <w:t xml:space="preserve">     </w:t>
      </w:r>
      <w:r>
        <w:rPr>
          <w:rFonts w:hint="eastAsia" w:ascii="宋体" w:hAnsi="宋体" w:cs="宋体"/>
          <w:color w:val="auto"/>
          <w:sz w:val="24"/>
          <w:szCs w:val="24"/>
          <w:highlight w:val="none"/>
        </w:rPr>
        <w:t>年</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月</w:t>
      </w:r>
      <w:r>
        <w:rPr>
          <w:rFonts w:ascii="宋体" w:hAnsi="宋体" w:eastAsia="宋体"/>
          <w:b/>
          <w:color w:val="auto"/>
          <w:sz w:val="24"/>
          <w:szCs w:val="32"/>
          <w:highlight w:val="none"/>
          <w:u w:val="single"/>
        </w:rPr>
        <w:t xml:space="preserve">     </w:t>
      </w:r>
      <w:r>
        <w:rPr>
          <w:rFonts w:hint="eastAsia" w:ascii="宋体" w:hAnsi="宋体" w:cs="宋体"/>
          <w:color w:val="auto"/>
          <w:sz w:val="24"/>
          <w:szCs w:val="24"/>
          <w:highlight w:val="none"/>
        </w:rPr>
        <w:t>日</w:t>
      </w:r>
    </w:p>
    <w:p w14:paraId="1BE852C5">
      <w:pPr>
        <w:pStyle w:val="49"/>
        <w:spacing w:before="0" w:after="0" w:line="460" w:lineRule="exact"/>
        <w:ind w:left="0" w:right="23"/>
        <w:jc w:val="center"/>
        <w:rPr>
          <w:rFonts w:hint="eastAsia" w:ascii="宋体" w:hAnsi="宋体" w:cs="宋体"/>
          <w:b/>
          <w:color w:val="auto"/>
          <w:sz w:val="44"/>
          <w:szCs w:val="44"/>
          <w:highlight w:val="none"/>
        </w:rPr>
      </w:pPr>
    </w:p>
    <w:p w14:paraId="44F89F80">
      <w:pPr>
        <w:pStyle w:val="49"/>
        <w:spacing w:before="0" w:after="0" w:line="460" w:lineRule="exact"/>
        <w:ind w:left="0" w:right="23"/>
        <w:jc w:val="center"/>
        <w:rPr>
          <w:rFonts w:hint="eastAsia" w:ascii="宋体" w:hAnsi="宋体" w:cs="宋体"/>
          <w:b/>
          <w:color w:val="auto"/>
          <w:sz w:val="44"/>
          <w:szCs w:val="44"/>
          <w:highlight w:val="none"/>
        </w:rPr>
      </w:pPr>
    </w:p>
    <w:p w14:paraId="1A2BBF63">
      <w:pPr>
        <w:pStyle w:val="49"/>
        <w:spacing w:before="0" w:after="0" w:line="460" w:lineRule="exact"/>
        <w:ind w:left="0" w:right="23"/>
        <w:jc w:val="center"/>
        <w:rPr>
          <w:rFonts w:hint="eastAsia" w:ascii="宋体" w:hAnsi="宋体" w:cs="宋体"/>
          <w:b/>
          <w:color w:val="auto"/>
          <w:sz w:val="44"/>
          <w:szCs w:val="44"/>
          <w:highlight w:val="none"/>
        </w:rPr>
      </w:pPr>
    </w:p>
    <w:p w14:paraId="2FDDDE22">
      <w:pPr>
        <w:pStyle w:val="49"/>
        <w:spacing w:before="0" w:after="0" w:line="460" w:lineRule="exact"/>
        <w:ind w:left="0" w:right="23"/>
        <w:jc w:val="center"/>
        <w:rPr>
          <w:rFonts w:hint="eastAsia" w:ascii="宋体" w:hAnsi="宋体" w:cs="宋体"/>
          <w:b/>
          <w:color w:val="auto"/>
          <w:sz w:val="44"/>
          <w:szCs w:val="44"/>
          <w:highlight w:val="none"/>
        </w:rPr>
      </w:pPr>
    </w:p>
    <w:p w14:paraId="4F8F4A16">
      <w:pPr>
        <w:pStyle w:val="49"/>
        <w:spacing w:before="0" w:after="0" w:line="460" w:lineRule="exact"/>
        <w:ind w:left="0" w:right="23"/>
        <w:jc w:val="center"/>
        <w:rPr>
          <w:rFonts w:hint="eastAsia" w:ascii="宋体" w:hAnsi="宋体" w:cs="宋体"/>
          <w:b/>
          <w:color w:val="auto"/>
          <w:sz w:val="44"/>
          <w:szCs w:val="44"/>
          <w:highlight w:val="none"/>
        </w:rPr>
      </w:pPr>
    </w:p>
    <w:p w14:paraId="3BE8488D">
      <w:pPr>
        <w:pStyle w:val="49"/>
        <w:spacing w:before="0" w:after="0" w:line="460" w:lineRule="exact"/>
        <w:ind w:left="0" w:right="23"/>
        <w:jc w:val="center"/>
        <w:rPr>
          <w:rFonts w:hint="eastAsia" w:ascii="宋体" w:hAnsi="宋体" w:cs="宋体"/>
          <w:b/>
          <w:color w:val="auto"/>
          <w:sz w:val="44"/>
          <w:szCs w:val="44"/>
          <w:highlight w:val="none"/>
        </w:rPr>
      </w:pPr>
    </w:p>
    <w:p w14:paraId="59A499FC">
      <w:pPr>
        <w:pStyle w:val="49"/>
        <w:spacing w:before="0" w:after="0" w:line="460" w:lineRule="exact"/>
        <w:ind w:left="0" w:right="23"/>
        <w:jc w:val="center"/>
        <w:rPr>
          <w:rFonts w:hint="eastAsia" w:ascii="宋体" w:hAnsi="宋体" w:cs="宋体"/>
          <w:b/>
          <w:color w:val="auto"/>
          <w:sz w:val="44"/>
          <w:szCs w:val="44"/>
          <w:highlight w:val="none"/>
        </w:rPr>
      </w:pPr>
    </w:p>
    <w:p w14:paraId="3654AD2D">
      <w:pPr>
        <w:pStyle w:val="49"/>
        <w:spacing w:before="0" w:after="0" w:line="460" w:lineRule="exact"/>
        <w:ind w:left="0" w:right="23"/>
        <w:jc w:val="center"/>
        <w:rPr>
          <w:rFonts w:hint="eastAsia" w:ascii="宋体" w:hAnsi="宋体" w:cs="宋体"/>
          <w:b/>
          <w:color w:val="auto"/>
          <w:sz w:val="44"/>
          <w:szCs w:val="44"/>
          <w:highlight w:val="none"/>
        </w:rPr>
      </w:pPr>
    </w:p>
    <w:p w14:paraId="3C97B2D9">
      <w:pPr>
        <w:pStyle w:val="49"/>
        <w:spacing w:before="0" w:after="0" w:line="460" w:lineRule="exact"/>
        <w:ind w:left="0" w:right="23"/>
        <w:jc w:val="center"/>
        <w:rPr>
          <w:rFonts w:hint="eastAsia" w:ascii="宋体" w:hAnsi="宋体" w:cs="宋体"/>
          <w:b/>
          <w:color w:val="auto"/>
          <w:sz w:val="44"/>
          <w:szCs w:val="44"/>
          <w:highlight w:val="none"/>
        </w:rPr>
      </w:pPr>
    </w:p>
    <w:p w14:paraId="567F6701">
      <w:pPr>
        <w:pStyle w:val="49"/>
        <w:spacing w:before="0" w:after="0" w:line="460" w:lineRule="exact"/>
        <w:ind w:left="0" w:right="23"/>
        <w:jc w:val="center"/>
        <w:rPr>
          <w:rFonts w:hint="eastAsia" w:ascii="宋体" w:hAnsi="宋体" w:cs="宋体"/>
          <w:b/>
          <w:color w:val="auto"/>
          <w:sz w:val="44"/>
          <w:szCs w:val="44"/>
          <w:highlight w:val="none"/>
        </w:rPr>
      </w:pPr>
    </w:p>
    <w:p w14:paraId="23460253">
      <w:pPr>
        <w:pStyle w:val="49"/>
        <w:spacing w:before="0" w:after="0" w:line="460" w:lineRule="exact"/>
        <w:ind w:left="0" w:right="23"/>
        <w:jc w:val="center"/>
        <w:rPr>
          <w:rFonts w:hint="eastAsia" w:ascii="宋体" w:hAnsi="宋体" w:cs="宋体"/>
          <w:b/>
          <w:color w:val="auto"/>
          <w:sz w:val="44"/>
          <w:szCs w:val="44"/>
          <w:highlight w:val="none"/>
        </w:rPr>
      </w:pPr>
    </w:p>
    <w:p w14:paraId="71FBC267">
      <w:pPr>
        <w:pStyle w:val="49"/>
        <w:spacing w:before="0" w:after="0" w:line="460" w:lineRule="exact"/>
        <w:ind w:left="0" w:right="23"/>
        <w:jc w:val="center"/>
        <w:rPr>
          <w:rFonts w:hint="eastAsia" w:ascii="宋体" w:hAnsi="宋体" w:cs="宋体"/>
          <w:b/>
          <w:color w:val="auto"/>
          <w:sz w:val="44"/>
          <w:szCs w:val="44"/>
          <w:highlight w:val="none"/>
        </w:rPr>
      </w:pPr>
    </w:p>
    <w:p w14:paraId="271BD725">
      <w:pPr>
        <w:pStyle w:val="49"/>
        <w:spacing w:before="0" w:after="0" w:line="460" w:lineRule="exact"/>
        <w:ind w:left="0" w:right="23"/>
        <w:jc w:val="center"/>
        <w:rPr>
          <w:rFonts w:ascii="宋体" w:hAnsi="宋体" w:cs="宋体"/>
          <w:color w:val="auto"/>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44"/>
          <w:szCs w:val="44"/>
          <w:highlight w:val="none"/>
        </w:rPr>
        <w:t>第三部分  商务技术文件格式</w:t>
      </w:r>
    </w:p>
    <w:p w14:paraId="520161D5">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一</w:t>
      </w:r>
      <w:r>
        <w:rPr>
          <w:rFonts w:hint="eastAsia" w:ascii="宋体" w:hAnsi="宋体" w:cs="宋体"/>
          <w:b/>
          <w:bCs/>
          <w:color w:val="auto"/>
          <w:kern w:val="0"/>
          <w:sz w:val="30"/>
          <w:szCs w:val="30"/>
          <w:highlight w:val="none"/>
        </w:rPr>
        <w:t>、投标函</w:t>
      </w:r>
    </w:p>
    <w:p w14:paraId="360A1F06">
      <w:pPr>
        <w:spacing w:line="460" w:lineRule="exact"/>
        <w:ind w:firstLine="480" w:firstLineChars="200"/>
        <w:rPr>
          <w:rFonts w:ascii="宋体" w:hAnsi="宋体" w:cs="宋体"/>
          <w:color w:val="auto"/>
          <w:sz w:val="24"/>
          <w:highlight w:val="none"/>
        </w:rPr>
      </w:pPr>
    </w:p>
    <w:p w14:paraId="216833A7">
      <w:pPr>
        <w:spacing w:line="46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8E24CD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根据贵方的招标项目</w:t>
      </w:r>
      <w:r>
        <w:rPr>
          <w:rFonts w:hint="eastAsia" w:ascii="宋体" w:hAnsi="宋体" w:cs="宋体"/>
          <w:color w:val="auto"/>
          <w:sz w:val="24"/>
          <w:highlight w:val="none"/>
          <w:u w:val="single"/>
        </w:rPr>
        <w:t>（项目名称）（招标编号）</w:t>
      </w:r>
      <w:r>
        <w:rPr>
          <w:rFonts w:hint="eastAsia" w:ascii="宋体" w:hAnsi="宋体" w:cs="宋体"/>
          <w:color w:val="auto"/>
          <w:sz w:val="24"/>
          <w:highlight w:val="none"/>
        </w:rPr>
        <w:t>的招标文件，经详细研究，决定参加该招标项目的投标，并提交相应投标文件。</w:t>
      </w:r>
    </w:p>
    <w:p w14:paraId="4281E40A">
      <w:pPr>
        <w:autoSpaceDE w:val="0"/>
        <w:autoSpaceDN w:val="0"/>
        <w:adjustRightInd w:val="0"/>
        <w:spacing w:line="460" w:lineRule="exact"/>
        <w:ind w:right="246" w:firstLine="480" w:firstLineChars="200"/>
        <w:rPr>
          <w:rFonts w:ascii="宋体" w:hAnsi="宋体" w:cs="宋体"/>
          <w:color w:val="auto"/>
          <w:kern w:val="0"/>
          <w:sz w:val="24"/>
          <w:highlight w:val="none"/>
        </w:rPr>
      </w:pPr>
      <w:r>
        <w:rPr>
          <w:rFonts w:hint="eastAsia" w:ascii="宋体" w:hAnsi="宋体" w:cs="宋体"/>
          <w:color w:val="auto"/>
          <w:sz w:val="24"/>
          <w:highlight w:val="none"/>
        </w:rPr>
        <w:t>据此函，我方愿意缴纳投标会议保证金人民币</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rPr>
        <w:t>元</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，作为本次投标的保证，并承诺如下</w:t>
      </w:r>
      <w:r>
        <w:rPr>
          <w:rFonts w:hint="eastAsia" w:ascii="宋体" w:hAnsi="宋体" w:cs="宋体"/>
          <w:color w:val="auto"/>
          <w:kern w:val="0"/>
          <w:sz w:val="24"/>
          <w:highlight w:val="none"/>
        </w:rPr>
        <w:t>：</w:t>
      </w:r>
    </w:p>
    <w:p w14:paraId="27179CA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1.按招标文件的要求，我方愿意按招标文件的要求提供报价，并以最优惠的价格参加本次招标项目的投标（详见投标报价一览表）。   </w:t>
      </w:r>
    </w:p>
    <w:p w14:paraId="13CA137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2.投标有效期为</w:t>
      </w:r>
      <w:r>
        <w:rPr>
          <w:rFonts w:hint="eastAsia" w:ascii="宋体" w:hAnsi="宋体" w:cs="宋体"/>
          <w:color w:val="auto"/>
          <w:sz w:val="24"/>
          <w:highlight w:val="none"/>
          <w:lang w:eastAsia="zh-CN"/>
        </w:rPr>
        <w:t>提交</w:t>
      </w:r>
      <w:r>
        <w:rPr>
          <w:rFonts w:hint="eastAsia" w:ascii="宋体" w:hAnsi="宋体" w:cs="宋体"/>
          <w:color w:val="auto"/>
          <w:sz w:val="24"/>
          <w:highlight w:val="none"/>
        </w:rPr>
        <w:t>投标文件</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日历</w:t>
      </w:r>
      <w:r>
        <w:rPr>
          <w:rFonts w:hint="eastAsia" w:ascii="宋体" w:hAnsi="宋体" w:cs="宋体"/>
          <w:color w:val="auto"/>
          <w:sz w:val="24"/>
          <w:highlight w:val="none"/>
        </w:rPr>
        <w:t>天，中标人投标有效期延至合同验收之日。</w:t>
      </w:r>
    </w:p>
    <w:p w14:paraId="3975BB4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3.我方已经详细地阅读了全部招标文件及其附件，包括澄清及参考文件</w:t>
      </w:r>
      <w:r>
        <w:rPr>
          <w:rFonts w:hint="eastAsia" w:ascii="宋体" w:hAnsi="宋体" w:cs="宋体"/>
          <w:color w:val="auto"/>
          <w:sz w:val="24"/>
          <w:highlight w:val="none"/>
          <w:lang w:eastAsia="zh-CN"/>
        </w:rPr>
        <w:t>（</w:t>
      </w:r>
      <w:r>
        <w:rPr>
          <w:rFonts w:hint="eastAsia" w:ascii="宋体" w:hAnsi="宋体" w:cs="宋体"/>
          <w:color w:val="auto"/>
          <w:sz w:val="24"/>
          <w:highlight w:val="none"/>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。我方已完全清晰理解招标文件的要求，不存在任何含糊不清和误解之处，同意放弃对这些文件所提出的异议和质疑的权利。</w:t>
      </w:r>
    </w:p>
    <w:p w14:paraId="18FF9E8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4.如果在开标后规定的投标有效期内撤回投标，我们的投标保证金可不予退还。</w:t>
      </w:r>
    </w:p>
    <w:p w14:paraId="0E09134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5.我方已毫无保留地向贵方提供一切所需的证明材料。</w:t>
      </w:r>
    </w:p>
    <w:p w14:paraId="00AD08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6.我方承诺在本次投标文件中提供的一切文件，无论是复印件还是扫描件均为真实和准确的，绝无任何虚假、伪造和夸大的成分，否则，愿承担相应的后果和法律责任。</w:t>
      </w:r>
    </w:p>
    <w:p w14:paraId="0453B32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7.我方完全服从和尊重评委会所作的评定结果，同时清楚理解到报价最低并非意味着必定获得中标资格。</w:t>
      </w:r>
    </w:p>
    <w:p w14:paraId="16EA80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8.一旦我方中标，我们将根据招标文件及其有效补充文件的规定，严格按照相关法律法规履行自己的责任和义务。 </w:t>
      </w:r>
    </w:p>
    <w:p w14:paraId="41CC9321">
      <w:pPr>
        <w:spacing w:line="460" w:lineRule="exact"/>
        <w:rPr>
          <w:rFonts w:ascii="宋体" w:hAnsi="宋体" w:cs="宋体"/>
          <w:color w:val="auto"/>
          <w:sz w:val="24"/>
          <w:highlight w:val="none"/>
        </w:rPr>
      </w:pPr>
    </w:p>
    <w:p w14:paraId="711EAE4A">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6EE7EE">
      <w:pPr>
        <w:pStyle w:val="7"/>
        <w:ind w:firstLine="480" w:firstLineChars="200"/>
        <w:rPr>
          <w:rFonts w:hint="eastAsia"/>
          <w:color w:val="auto"/>
          <w:highlight w:val="none"/>
        </w:rPr>
      </w:pPr>
      <w:r>
        <w:rPr>
          <w:rFonts w:hint="eastAsia" w:ascii="宋体" w:hAnsi="宋体" w:eastAsia="宋体" w:cs="宋体"/>
          <w:color w:val="auto"/>
          <w:sz w:val="24"/>
          <w:szCs w:val="24"/>
          <w:highlight w:val="none"/>
        </w:rPr>
        <w:t>法定代表人或授权代理人（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2C1B027">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CA8511A">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85A6C3">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37C19C99">
      <w:pPr>
        <w:spacing w:line="500" w:lineRule="exact"/>
        <w:ind w:firstLine="420" w:firstLineChars="200"/>
        <w:jc w:val="center"/>
        <w:rPr>
          <w:rFonts w:ascii="宋体" w:hAnsi="宋体" w:cs="宋体"/>
          <w:color w:val="auto"/>
          <w:szCs w:val="21"/>
          <w:highlight w:val="none"/>
          <w:u w:val="single"/>
        </w:rPr>
        <w:sectPr>
          <w:pgSz w:w="11906" w:h="16838"/>
          <w:pgMar w:top="1440" w:right="1080" w:bottom="1440" w:left="1080" w:header="851" w:footer="992" w:gutter="0"/>
          <w:pgNumType w:fmt="decimal"/>
          <w:cols w:space="720" w:num="1"/>
          <w:docGrid w:type="lines" w:linePitch="312" w:charSpace="0"/>
        </w:sectPr>
      </w:pPr>
    </w:p>
    <w:p w14:paraId="1595D875">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二</w:t>
      </w:r>
      <w:r>
        <w:rPr>
          <w:rFonts w:hint="eastAsia" w:ascii="宋体" w:hAnsi="宋体" w:cs="宋体"/>
          <w:b/>
          <w:bCs/>
          <w:color w:val="auto"/>
          <w:kern w:val="0"/>
          <w:sz w:val="30"/>
          <w:szCs w:val="30"/>
          <w:highlight w:val="none"/>
        </w:rPr>
        <w:t>、法定代表人资格证明书及授权委托书</w:t>
      </w:r>
    </w:p>
    <w:p w14:paraId="24C245E4">
      <w:pPr>
        <w:spacing w:line="460" w:lineRule="exact"/>
        <w:ind w:firstLine="482" w:firstLineChars="200"/>
        <w:jc w:val="center"/>
        <w:rPr>
          <w:rFonts w:ascii="宋体" w:hAnsi="宋体"/>
          <w:b/>
          <w:color w:val="auto"/>
          <w:sz w:val="24"/>
          <w:highlight w:val="none"/>
        </w:rPr>
      </w:pPr>
    </w:p>
    <w:p w14:paraId="6195D54C">
      <w:pPr>
        <w:spacing w:line="460" w:lineRule="exact"/>
        <w:ind w:firstLine="562" w:firstLineChars="200"/>
        <w:jc w:val="center"/>
        <w:rPr>
          <w:rFonts w:ascii="宋体" w:hAnsi="宋体"/>
          <w:b/>
          <w:color w:val="auto"/>
          <w:sz w:val="28"/>
          <w:szCs w:val="28"/>
          <w:highlight w:val="none"/>
        </w:rPr>
      </w:pPr>
      <w:r>
        <w:rPr>
          <w:rFonts w:hint="eastAsia" w:ascii="宋体" w:hAnsi="宋体"/>
          <w:b/>
          <w:color w:val="auto"/>
          <w:sz w:val="28"/>
          <w:szCs w:val="28"/>
          <w:highlight w:val="none"/>
        </w:rPr>
        <w:t>（一）法定代表人资格证明书</w:t>
      </w:r>
    </w:p>
    <w:p w14:paraId="64067991">
      <w:pPr>
        <w:spacing w:line="460" w:lineRule="exact"/>
        <w:rPr>
          <w:rFonts w:ascii="宋体" w:hAnsi="宋体"/>
          <w:color w:val="auto"/>
          <w:sz w:val="24"/>
          <w:highlight w:val="none"/>
        </w:rPr>
      </w:pPr>
    </w:p>
    <w:p w14:paraId="771DE2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p>
    <w:p w14:paraId="6374CC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0CF5D40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softHyphen/>
      </w:r>
      <w:r>
        <w:rPr>
          <w:rFonts w:hint="eastAsia" w:ascii="宋体" w:hAnsi="宋体"/>
          <w:color w:val="auto"/>
          <w:sz w:val="24"/>
          <w:szCs w:val="24"/>
          <w:highlight w:val="none"/>
          <w:u w:val="single"/>
        </w:rPr>
        <w:t xml:space="preserve">                                                              </w:t>
      </w:r>
    </w:p>
    <w:p w14:paraId="0D72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56CDEF1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5B929B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2914E9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（投标人）的法定代表人。</w:t>
      </w:r>
    </w:p>
    <w:p w14:paraId="26F5B8F3">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宋体" w:hAnsi="宋体"/>
          <w:color w:val="auto"/>
          <w:sz w:val="24"/>
          <w:szCs w:val="24"/>
          <w:highlight w:val="none"/>
        </w:rPr>
      </w:pPr>
    </w:p>
    <w:p w14:paraId="54ADAAED">
      <w:pPr>
        <w:keepNext w:val="0"/>
        <w:keepLines w:val="0"/>
        <w:pageBreakBefore w:val="0"/>
        <w:widowControl w:val="0"/>
        <w:kinsoku/>
        <w:wordWrap/>
        <w:overflowPunct/>
        <w:topLinePunct w:val="0"/>
        <w:autoSpaceDE/>
        <w:autoSpaceDN/>
        <w:bidi w:val="0"/>
        <w:adjustRightInd/>
        <w:snapToGrid/>
        <w:spacing w:line="460" w:lineRule="exact"/>
        <w:ind w:firstLine="1440" w:firstLineChars="600"/>
        <w:textAlignment w:val="auto"/>
        <w:outlineLvl w:val="9"/>
        <w:rPr>
          <w:rFonts w:ascii="宋体" w:hAnsi="宋体"/>
          <w:color w:val="auto"/>
          <w:sz w:val="24"/>
          <w:szCs w:val="24"/>
          <w:highlight w:val="none"/>
        </w:rPr>
      </w:pPr>
      <w:r>
        <w:rPr>
          <w:rFonts w:hint="eastAsia" w:ascii="宋体" w:hAnsi="宋体"/>
          <w:color w:val="auto"/>
          <w:sz w:val="24"/>
          <w:szCs w:val="24"/>
          <w:highlight w:val="none"/>
        </w:rPr>
        <w:t>特此证明</w:t>
      </w:r>
    </w:p>
    <w:p w14:paraId="6D6B636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ascii="宋体" w:hAnsi="宋体"/>
          <w:color w:val="auto"/>
          <w:sz w:val="24"/>
          <w:szCs w:val="24"/>
          <w:highlight w:val="none"/>
        </w:rPr>
      </w:pPr>
    </w:p>
    <w:p w14:paraId="2B8FCDB9">
      <w:pPr>
        <w:keepNext w:val="0"/>
        <w:keepLines w:val="0"/>
        <w:pageBreakBefore w:val="0"/>
        <w:widowControl w:val="0"/>
        <w:kinsoku/>
        <w:wordWrap/>
        <w:overflowPunct/>
        <w:topLinePunct w:val="0"/>
        <w:autoSpaceDE/>
        <w:autoSpaceDN/>
        <w:bidi w:val="0"/>
        <w:adjustRightInd/>
        <w:snapToGrid/>
        <w:spacing w:line="460" w:lineRule="exact"/>
        <w:ind w:firstLine="4320" w:firstLineChars="1800"/>
        <w:textAlignment w:val="auto"/>
        <w:outlineLvl w:val="9"/>
        <w:rPr>
          <w:rFonts w:ascii="宋体" w:hAnsi="宋体"/>
          <w:color w:val="auto"/>
          <w:sz w:val="24"/>
          <w:szCs w:val="24"/>
          <w:highlight w:val="none"/>
        </w:rPr>
      </w:pPr>
      <w:r>
        <w:rPr>
          <w:rFonts w:hint="eastAsia" w:ascii="宋体" w:hAnsi="宋体"/>
          <w:color w:val="auto"/>
          <w:sz w:val="24"/>
          <w:szCs w:val="24"/>
          <w:highlight w:val="none"/>
        </w:rPr>
        <w:t>投标人（加盖电子公章）：</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14:paraId="350C3A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ascii="宋体" w:hAnsi="宋体"/>
          <w:color w:val="auto"/>
          <w:sz w:val="24"/>
          <w:szCs w:val="24"/>
          <w:highlight w:val="none"/>
        </w:rPr>
      </w:pPr>
    </w:p>
    <w:p w14:paraId="1DD0BF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color w:val="auto"/>
          <w:sz w:val="24"/>
          <w:szCs w:val="24"/>
          <w:highlight w:val="none"/>
        </w:rPr>
        <w:t>日</w:t>
      </w:r>
    </w:p>
    <w:p w14:paraId="30403AB8">
      <w:pPr>
        <w:pStyle w:val="10"/>
        <w:ind w:firstLine="480"/>
        <w:rPr>
          <w:color w:val="auto"/>
          <w:sz w:val="24"/>
          <w:szCs w:val="24"/>
          <w:highlight w:val="none"/>
        </w:rPr>
      </w:pPr>
    </w:p>
    <w:p w14:paraId="1E455550">
      <w:pPr>
        <w:spacing w:line="480" w:lineRule="auto"/>
        <w:rPr>
          <w:rFonts w:ascii="宋体" w:hAnsi="宋体"/>
          <w:b/>
          <w:color w:val="auto"/>
          <w:sz w:val="24"/>
          <w:highlight w:val="none"/>
        </w:rPr>
      </w:pPr>
      <w:r>
        <w:rPr>
          <w:rFonts w:hint="eastAsia" w:ascii="宋体" w:hAnsi="宋体"/>
          <w:b/>
          <w:color w:val="auto"/>
          <w:sz w:val="24"/>
          <w:highlight w:val="none"/>
        </w:rPr>
        <w:t>附：法定代表人身份证扫描件或复印件</w:t>
      </w:r>
    </w:p>
    <w:tbl>
      <w:tblPr>
        <w:tblStyle w:val="23"/>
        <w:tblW w:w="9720" w:type="dxa"/>
        <w:tblInd w:w="-20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720"/>
      </w:tblGrid>
      <w:tr w14:paraId="0CFB93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701" w:hRule="atLeast"/>
        </w:trPr>
        <w:tc>
          <w:tcPr>
            <w:tcW w:w="9720" w:type="dxa"/>
            <w:noWrap/>
            <w:vAlign w:val="center"/>
          </w:tcPr>
          <w:p w14:paraId="4BE1DA44">
            <w:pPr>
              <w:pStyle w:val="20"/>
              <w:spacing w:line="480" w:lineRule="auto"/>
              <w:jc w:val="center"/>
              <w:rPr>
                <w:rFonts w:ascii="宋体" w:hAnsi="宋体"/>
                <w:color w:val="auto"/>
                <w:highlight w:val="none"/>
              </w:rPr>
            </w:pPr>
            <w:r>
              <w:rPr>
                <w:rFonts w:hint="eastAsia" w:ascii="宋体" w:hAnsi="宋体"/>
                <w:color w:val="auto"/>
                <w:highlight w:val="none"/>
              </w:rPr>
              <w:t>法定代表人身份证扫描件（正、反面）</w:t>
            </w:r>
          </w:p>
        </w:tc>
      </w:tr>
    </w:tbl>
    <w:p w14:paraId="433572AA">
      <w:pPr>
        <w:spacing w:line="500" w:lineRule="exact"/>
        <w:ind w:firstLine="422" w:firstLineChars="200"/>
        <w:jc w:val="center"/>
        <w:rPr>
          <w:rFonts w:ascii="宋体" w:hAnsi="宋体"/>
          <w:b/>
          <w:color w:val="auto"/>
          <w:szCs w:val="21"/>
          <w:highlight w:val="none"/>
        </w:rPr>
        <w:sectPr>
          <w:pgSz w:w="11906" w:h="16838"/>
          <w:pgMar w:top="1440" w:right="1080" w:bottom="1440" w:left="1080" w:header="851" w:footer="992" w:gutter="0"/>
          <w:pgNumType w:fmt="decimal"/>
          <w:cols w:space="720" w:num="1"/>
          <w:docGrid w:type="lines" w:linePitch="312" w:charSpace="0"/>
        </w:sectPr>
      </w:pPr>
    </w:p>
    <w:p w14:paraId="5685BB06">
      <w:pPr>
        <w:spacing w:afterLines="100" w:line="500" w:lineRule="exact"/>
        <w:jc w:val="center"/>
        <w:rPr>
          <w:rFonts w:ascii="宋体" w:hAnsi="宋体" w:cs="宋体"/>
          <w:b/>
          <w:color w:val="auto"/>
          <w:sz w:val="28"/>
          <w:szCs w:val="28"/>
          <w:highlight w:val="none"/>
        </w:rPr>
      </w:pPr>
      <w:r>
        <w:rPr>
          <w:rFonts w:hint="eastAsia" w:ascii="宋体" w:hAnsi="宋体" w:cs="宋体"/>
          <w:b/>
          <w:bCs/>
          <w:color w:val="auto"/>
          <w:kern w:val="0"/>
          <w:sz w:val="28"/>
          <w:szCs w:val="28"/>
          <w:highlight w:val="none"/>
        </w:rPr>
        <w:t>（二）授权委托书</w:t>
      </w:r>
    </w:p>
    <w:p w14:paraId="5717E7C6">
      <w:pPr>
        <w:spacing w:line="460" w:lineRule="exact"/>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本授权委托书声明我</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(投标人名称)</w:t>
      </w:r>
      <w:r>
        <w:rPr>
          <w:rFonts w:hint="eastAsia" w:ascii="宋体" w:hAnsi="宋体" w:cs="宋体"/>
          <w:color w:val="auto"/>
          <w:sz w:val="24"/>
          <w:highlight w:val="none"/>
        </w:rPr>
        <w:t>的法定代表人，现授权委托我单位</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为我公司代理人。代理人</w:t>
      </w:r>
      <w:r>
        <w:rPr>
          <w:rFonts w:hint="eastAsia" w:ascii="宋体" w:hAnsi="宋体" w:cs="宋体"/>
          <w:color w:val="auto"/>
          <w:sz w:val="24"/>
          <w:highlight w:val="none"/>
          <w:lang w:val="en-US" w:eastAsia="zh-CN"/>
        </w:rPr>
        <w:t>根据授权，以我方名义签署、澄清、说明、补正、提交、撤回、修改</w:t>
      </w:r>
      <w:r>
        <w:rPr>
          <w:rFonts w:hint="eastAsia" w:ascii="宋体" w:hAnsi="宋体" w:cs="宋体"/>
          <w:color w:val="auto"/>
          <w:sz w:val="24"/>
          <w:highlight w:val="none"/>
          <w:u w:val="single"/>
        </w:rPr>
        <w:t>（项目名称）（招标编号）</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投标文件，以及</w:t>
      </w:r>
      <w:r>
        <w:rPr>
          <w:rFonts w:hint="eastAsia" w:ascii="宋体" w:hAnsi="宋体" w:cs="宋体"/>
          <w:color w:val="auto"/>
          <w:sz w:val="24"/>
          <w:highlight w:val="none"/>
        </w:rPr>
        <w:t>在开标、评标过程中所签署的一切文件和处理与之有关的一切事务，我均予以承认。</w:t>
      </w:r>
    </w:p>
    <w:p w14:paraId="643E40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p>
    <w:p w14:paraId="7DF1F0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部  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415D63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zh-CN"/>
        </w:rPr>
        <w:t>委托期限</w:t>
      </w:r>
      <w:r>
        <w:rPr>
          <w:rFonts w:hint="eastAsia" w:ascii="宋体" w:hAnsi="宋体" w:cs="宋体"/>
          <w:color w:val="auto"/>
          <w:sz w:val="24"/>
          <w:szCs w:val="24"/>
          <w:highlight w:val="none"/>
        </w:rPr>
        <w:t>：自</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zh-CN"/>
        </w:rPr>
        <w:t>。</w:t>
      </w:r>
    </w:p>
    <w:p w14:paraId="04F1EF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代理人无转委权。特此委托。</w:t>
      </w:r>
    </w:p>
    <w:p w14:paraId="6E5090A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p>
    <w:p w14:paraId="51BB41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2C285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6866EC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授权代理人（</w:t>
      </w:r>
      <w:r>
        <w:rPr>
          <w:rFonts w:hint="eastAsia" w:ascii="宋体" w:hAnsi="宋体" w:cs="宋体"/>
          <w:color w:val="auto"/>
          <w:sz w:val="24"/>
          <w:szCs w:val="24"/>
          <w:highlight w:val="none"/>
          <w:lang w:val="en-US" w:eastAsia="zh-CN"/>
        </w:rPr>
        <w:t>签字</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p>
    <w:p w14:paraId="1AED8BE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1C21B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4EC5D6">
      <w:pPr>
        <w:spacing w:line="460" w:lineRule="exact"/>
        <w:ind w:firstLine="3840" w:firstLineChars="1600"/>
        <w:rPr>
          <w:rFonts w:ascii="宋体" w:hAnsi="宋体" w:cs="宋体"/>
          <w:color w:val="auto"/>
          <w:sz w:val="24"/>
          <w:highlight w:val="none"/>
        </w:rPr>
      </w:pPr>
    </w:p>
    <w:p w14:paraId="023179FA">
      <w:pPr>
        <w:pStyle w:val="10"/>
        <w:ind w:firstLine="480"/>
        <w:rPr>
          <w:color w:val="auto"/>
          <w:sz w:val="24"/>
          <w:szCs w:val="24"/>
          <w:highlight w:val="none"/>
        </w:rPr>
      </w:pPr>
    </w:p>
    <w:p w14:paraId="7F998766">
      <w:pPr>
        <w:rPr>
          <w:rFonts w:ascii="宋体" w:hAnsi="宋体"/>
          <w:b/>
          <w:bCs/>
          <w:color w:val="auto"/>
          <w:sz w:val="24"/>
          <w:highlight w:val="none"/>
        </w:rPr>
      </w:pPr>
      <w:r>
        <w:rPr>
          <w:rFonts w:hint="eastAsia" w:ascii="宋体" w:hAnsi="宋体"/>
          <w:b/>
          <w:bCs/>
          <w:color w:val="auto"/>
          <w:sz w:val="24"/>
          <w:highlight w:val="none"/>
        </w:rPr>
        <w:t>附：授权代理人身份证扫描件或复印件</w:t>
      </w:r>
    </w:p>
    <w:tbl>
      <w:tblPr>
        <w:tblStyle w:val="23"/>
        <w:tblW w:w="9936"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936"/>
      </w:tblGrid>
      <w:tr w14:paraId="3FAC081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805" w:hRule="atLeast"/>
          <w:jc w:val="center"/>
        </w:trPr>
        <w:tc>
          <w:tcPr>
            <w:tcW w:w="9936" w:type="dxa"/>
            <w:noWrap/>
            <w:vAlign w:val="center"/>
          </w:tcPr>
          <w:p w14:paraId="07A5E1D7">
            <w:pPr>
              <w:pStyle w:val="20"/>
              <w:spacing w:line="360" w:lineRule="exact"/>
              <w:jc w:val="center"/>
              <w:rPr>
                <w:rFonts w:ascii="宋体" w:hAnsi="宋体"/>
                <w:color w:val="auto"/>
                <w:highlight w:val="none"/>
              </w:rPr>
            </w:pPr>
            <w:r>
              <w:rPr>
                <w:rFonts w:hint="eastAsia" w:ascii="宋体" w:hAnsi="宋体"/>
                <w:color w:val="auto"/>
                <w:highlight w:val="none"/>
              </w:rPr>
              <w:t>授权代理人身份证扫描件（正、反面）</w:t>
            </w:r>
          </w:p>
        </w:tc>
      </w:tr>
    </w:tbl>
    <w:p w14:paraId="54DCE8F2">
      <w:pPr>
        <w:spacing w:line="460" w:lineRule="exact"/>
        <w:ind w:firstLine="540" w:firstLineChars="224"/>
        <w:jc w:val="left"/>
        <w:rPr>
          <w:rFonts w:ascii="宋体" w:hAnsi="宋体" w:cs="宋体"/>
          <w:b/>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b/>
          <w:color w:val="auto"/>
          <w:sz w:val="24"/>
          <w:highlight w:val="none"/>
        </w:rPr>
        <w:t>注：如投标人由法定代表人亲自签署投标文件并参与相关活动，则不需要办理授权。如由被授权的代理人签署上述文件，则必须按本格式规定填报并提交授权书，否则被授权的代理人将不被认可。</w:t>
      </w:r>
    </w:p>
    <w:p w14:paraId="1A176EB1">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三</w:t>
      </w:r>
      <w:r>
        <w:rPr>
          <w:rFonts w:hint="eastAsia" w:ascii="宋体" w:hAnsi="宋体" w:cs="宋体"/>
          <w:b/>
          <w:bCs/>
          <w:color w:val="auto"/>
          <w:kern w:val="0"/>
          <w:sz w:val="30"/>
          <w:szCs w:val="30"/>
          <w:highlight w:val="none"/>
        </w:rPr>
        <w:t>、投标保证金缴纳凭证</w:t>
      </w:r>
    </w:p>
    <w:p w14:paraId="7ACBC932">
      <w:pPr>
        <w:pStyle w:val="11"/>
        <w:rPr>
          <w:color w:val="auto"/>
          <w:highlight w:val="none"/>
        </w:rPr>
      </w:pPr>
    </w:p>
    <w:p w14:paraId="40C0E135">
      <w:pPr>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749B63AA">
      <w:pPr>
        <w:spacing w:line="460" w:lineRule="exact"/>
        <w:rPr>
          <w:rFonts w:ascii="宋体" w:hAnsi="宋体" w:cs="宋体"/>
          <w:color w:val="auto"/>
          <w:sz w:val="24"/>
          <w:highlight w:val="none"/>
        </w:rPr>
      </w:pPr>
      <w:r>
        <w:rPr>
          <w:rFonts w:hint="eastAsia" w:ascii="宋体" w:hAnsi="宋体" w:cs="宋体"/>
          <w:color w:val="auto"/>
          <w:sz w:val="24"/>
          <w:highlight w:val="none"/>
          <w:u w:val="single"/>
        </w:rPr>
        <w:t>（投标人全称</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参加贵方组织的</w:t>
      </w:r>
      <w:r>
        <w:rPr>
          <w:rFonts w:hint="eastAsia" w:ascii="宋体" w:hAnsi="宋体" w:cs="宋体"/>
          <w:color w:val="auto"/>
          <w:sz w:val="24"/>
          <w:highlight w:val="none"/>
          <w:u w:val="single"/>
        </w:rPr>
        <w:t xml:space="preserve"> （项目名称）（招标编号） </w:t>
      </w:r>
      <w:r>
        <w:rPr>
          <w:rFonts w:hint="eastAsia" w:ascii="宋体" w:hAnsi="宋体" w:cs="宋体"/>
          <w:color w:val="auto"/>
          <w:sz w:val="24"/>
          <w:highlight w:val="none"/>
        </w:rPr>
        <w:t>项目的采购活动。按招标文件的规定，已通过</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形式</w:t>
      </w:r>
      <w:r>
        <w:rPr>
          <w:rFonts w:hint="eastAsia" w:ascii="宋体" w:hAnsi="宋体" w:cs="宋体"/>
          <w:color w:val="auto"/>
          <w:sz w:val="24"/>
          <w:highlight w:val="none"/>
          <w:lang w:eastAsia="zh-CN"/>
        </w:rPr>
        <w:t>缴纳</w:t>
      </w:r>
      <w:r>
        <w:rPr>
          <w:rFonts w:hint="eastAsia" w:ascii="宋体" w:hAnsi="宋体" w:cs="宋体"/>
          <w:color w:val="auto"/>
          <w:sz w:val="24"/>
          <w:highlight w:val="none"/>
        </w:rPr>
        <w:t>人民币</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rPr>
        <w:t>元</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r>
        <w:rPr>
          <w:rFonts w:hint="eastAsia" w:ascii="宋体" w:hAnsi="宋体" w:cs="宋体"/>
          <w:color w:val="auto"/>
          <w:sz w:val="24"/>
          <w:highlight w:val="none"/>
        </w:rPr>
        <w:t>的投标保证金。</w:t>
      </w:r>
    </w:p>
    <w:p w14:paraId="25D46EA0">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6F770AD9">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投标人开户银行：</w:t>
      </w:r>
      <w:r>
        <w:rPr>
          <w:rFonts w:hint="eastAsia" w:ascii="宋体" w:hAnsi="宋体" w:eastAsia="宋体" w:cs="宋体"/>
          <w:color w:val="auto"/>
          <w:sz w:val="24"/>
          <w:szCs w:val="24"/>
          <w:highlight w:val="none"/>
          <w:u w:val="single"/>
        </w:rPr>
        <w:t xml:space="preserve">                          </w:t>
      </w:r>
    </w:p>
    <w:p w14:paraId="075C4137">
      <w:pPr>
        <w:keepNext w:val="0"/>
        <w:keepLines w:val="0"/>
        <w:pageBreakBefore w:val="0"/>
        <w:widowControl w:val="0"/>
        <w:kinsoku/>
        <w:wordWrap/>
        <w:overflowPunct/>
        <w:topLinePunct w:val="0"/>
        <w:bidi w:val="0"/>
        <w:snapToGrid/>
        <w:spacing w:line="46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投标人银行账号：</w:t>
      </w:r>
      <w:r>
        <w:rPr>
          <w:rFonts w:hint="eastAsia" w:ascii="宋体" w:hAnsi="宋体" w:eastAsia="宋体" w:cs="宋体"/>
          <w:color w:val="auto"/>
          <w:sz w:val="24"/>
          <w:szCs w:val="24"/>
          <w:highlight w:val="none"/>
          <w:u w:val="single"/>
        </w:rPr>
        <w:t xml:space="preserve">                          </w:t>
      </w:r>
    </w:p>
    <w:p w14:paraId="18F8E6BC">
      <w:pPr>
        <w:keepNext w:val="0"/>
        <w:keepLines w:val="0"/>
        <w:pageBreakBefore w:val="0"/>
        <w:widowControl w:val="0"/>
        <w:kinsoku/>
        <w:wordWrap/>
        <w:overflowPunct/>
        <w:topLinePunct w:val="0"/>
        <w:bidi w:val="0"/>
        <w:snapToGrid/>
        <w:spacing w:line="460" w:lineRule="exact"/>
        <w:textAlignment w:val="auto"/>
        <w:outlineLvl w:val="9"/>
        <w:rPr>
          <w:rFonts w:hint="eastAsia" w:ascii="宋体" w:hAnsi="宋体" w:eastAsia="宋体" w:cs="宋体"/>
          <w:color w:val="auto"/>
          <w:sz w:val="24"/>
          <w:szCs w:val="24"/>
          <w:highlight w:val="none"/>
        </w:rPr>
      </w:pPr>
    </w:p>
    <w:p w14:paraId="32DBF2B6">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投标人（加盖电子公章）：</w:t>
      </w:r>
      <w:r>
        <w:rPr>
          <w:rFonts w:hint="eastAsia" w:ascii="宋体" w:hAnsi="宋体" w:eastAsia="宋体" w:cs="宋体"/>
          <w:color w:val="auto"/>
          <w:sz w:val="24"/>
          <w:szCs w:val="24"/>
          <w:highlight w:val="none"/>
          <w:u w:val="single"/>
        </w:rPr>
        <w:t xml:space="preserve">                   </w:t>
      </w:r>
    </w:p>
    <w:p w14:paraId="06ABA056">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法定代表人或授权代理人（</w:t>
      </w:r>
      <w:r>
        <w:rPr>
          <w:rFonts w:hint="eastAsia" w:ascii="宋体" w:hAnsi="宋体" w:cs="宋体"/>
          <w:color w:val="auto"/>
          <w:sz w:val="24"/>
          <w:szCs w:val="24"/>
          <w:highlight w:val="none"/>
        </w:rPr>
        <w:t>签字或电子签名或电子签章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77766A3">
      <w:pPr>
        <w:keepNext w:val="0"/>
        <w:keepLines w:val="0"/>
        <w:pageBreakBefore w:val="0"/>
        <w:widowControl w:val="0"/>
        <w:kinsoku/>
        <w:wordWrap/>
        <w:overflowPunct/>
        <w:topLinePunct w:val="0"/>
        <w:bidi w:val="0"/>
        <w:adjustRightInd w:val="0"/>
        <w:snapToGrid/>
        <w:spacing w:line="460" w:lineRule="exact"/>
        <w:ind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D44824">
      <w:pPr>
        <w:spacing w:line="460" w:lineRule="exact"/>
        <w:rPr>
          <w:rFonts w:ascii="宋体" w:hAnsi="宋体" w:cs="宋体"/>
          <w:color w:val="auto"/>
          <w:sz w:val="24"/>
          <w:highlight w:val="none"/>
        </w:rPr>
      </w:pPr>
    </w:p>
    <w:p w14:paraId="683D713B">
      <w:pPr>
        <w:pStyle w:val="10"/>
        <w:spacing w:line="460" w:lineRule="exact"/>
        <w:ind w:firstLine="480"/>
        <w:rPr>
          <w:rFonts w:ascii="宋体" w:hAnsi="宋体" w:eastAsia="宋体" w:cs="宋体"/>
          <w:color w:val="auto"/>
          <w:sz w:val="24"/>
          <w:szCs w:val="24"/>
          <w:highlight w:val="none"/>
        </w:rPr>
      </w:pPr>
    </w:p>
    <w:p w14:paraId="70AF7B0B">
      <w:pPr>
        <w:pStyle w:val="5"/>
        <w:ind w:firstLine="241" w:firstLineChars="100"/>
        <w:jc w:val="both"/>
        <w:rPr>
          <w:rFonts w:hint="eastAsia" w:ascii="宋体" w:hAnsi="宋体" w:eastAsia="宋体" w:cs="宋体"/>
          <w:b w:val="0"/>
          <w:bCs w:val="0"/>
          <w:color w:val="auto"/>
          <w:sz w:val="24"/>
          <w:highlight w:val="none"/>
          <w:lang w:eastAsia="zh-CN"/>
        </w:rPr>
      </w:pPr>
      <w:r>
        <w:rPr>
          <w:rFonts w:hint="eastAsia" w:ascii="宋体" w:hAnsi="宋体" w:cs="宋体"/>
          <w:b/>
          <w:bCs/>
          <w:color w:val="auto"/>
          <w:sz w:val="24"/>
          <w:highlight w:val="none"/>
          <w:lang w:val="en-US" w:eastAsia="zh-CN"/>
        </w:rPr>
        <w:t>注</w:t>
      </w:r>
      <w:r>
        <w:rPr>
          <w:rFonts w:hint="eastAsia" w:ascii="宋体" w:hAnsi="宋体" w:cs="宋体"/>
          <w:b/>
          <w:bCs/>
          <w:color w:val="auto"/>
          <w:sz w:val="24"/>
          <w:highlight w:val="none"/>
        </w:rPr>
        <w:t>：附投标保证金缴纳凭证的扫描件或复印件或打印件</w:t>
      </w:r>
      <w:r>
        <w:rPr>
          <w:rFonts w:hint="eastAsia" w:ascii="宋体" w:hAnsi="宋体" w:cs="宋体"/>
          <w:b/>
          <w:bCs/>
          <w:color w:val="auto"/>
          <w:sz w:val="24"/>
          <w:highlight w:val="none"/>
          <w:lang w:eastAsia="zh-CN"/>
        </w:rPr>
        <w:t>。</w:t>
      </w:r>
    </w:p>
    <w:p w14:paraId="63FC869C">
      <w:pPr>
        <w:pStyle w:val="5"/>
        <w:jc w:val="both"/>
        <w:rPr>
          <w:rFonts w:ascii="宋体" w:hAnsi="宋体" w:cs="宋体"/>
          <w:b w:val="0"/>
          <w:bCs w:val="0"/>
          <w:color w:val="auto"/>
          <w:sz w:val="24"/>
          <w:highlight w:val="none"/>
        </w:rPr>
        <w:sectPr>
          <w:pgSz w:w="11906" w:h="16838"/>
          <w:pgMar w:top="1440" w:right="1080" w:bottom="1440" w:left="1080" w:header="851" w:footer="992" w:gutter="0"/>
          <w:pgNumType w:fmt="decimal"/>
          <w:cols w:space="720" w:num="1"/>
          <w:docGrid w:type="lines" w:linePitch="312" w:charSpace="0"/>
        </w:sectPr>
      </w:pPr>
    </w:p>
    <w:p w14:paraId="43F7F0A6">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四</w:t>
      </w:r>
      <w:r>
        <w:rPr>
          <w:rFonts w:hint="eastAsia" w:ascii="宋体" w:hAnsi="宋体" w:cs="宋体"/>
          <w:b/>
          <w:bCs/>
          <w:color w:val="auto"/>
          <w:kern w:val="0"/>
          <w:sz w:val="30"/>
          <w:szCs w:val="30"/>
          <w:highlight w:val="none"/>
        </w:rPr>
        <w:t>、投标承诺书</w:t>
      </w:r>
    </w:p>
    <w:p w14:paraId="59B6B3A4">
      <w:pPr>
        <w:pStyle w:val="5"/>
        <w:ind w:firstLine="0" w:firstLineChars="0"/>
        <w:jc w:val="center"/>
        <w:rPr>
          <w:rFonts w:ascii="宋体" w:hAnsi="宋体" w:cs="宋体"/>
          <w:b/>
          <w:bCs/>
          <w:color w:val="auto"/>
          <w:sz w:val="24"/>
          <w:highlight w:val="none"/>
        </w:rPr>
      </w:pPr>
    </w:p>
    <w:p w14:paraId="01761153">
      <w:pPr>
        <w:spacing w:line="500" w:lineRule="exact"/>
        <w:rPr>
          <w:color w:val="auto"/>
          <w:sz w:val="24"/>
          <w:highlight w:val="none"/>
          <w:u w:val="single"/>
        </w:rPr>
      </w:pPr>
      <w:r>
        <w:rPr>
          <w:rFonts w:hint="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（采购人名称）       </w:t>
      </w:r>
    </w:p>
    <w:p w14:paraId="2297CBDC">
      <w:pPr>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我方认真阅读了</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的招标文件，我方知道在采购活动中必须按照法律法规和招标文件的规定参与投标，如违反将会导致</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无效、保证金不能退还和其他违法后果。在此，我方郑重承诺，我方遵守政府采购法律法规的规定，愿意接受招标文件的所有条款规定参与上述项目的投标，不围标，不串通投标，提供的所有投标资料真实有效，采购人有权对提供的投标资料进行查询，一旦查出有弄虚作假或故意隐瞒行为，将取消投标资格，已经中标的中标无效，并承担一切法律责任和经济损失。</w:t>
      </w:r>
    </w:p>
    <w:p w14:paraId="3F2323AC">
      <w:pPr>
        <w:spacing w:line="480" w:lineRule="auto"/>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27DA275D">
      <w:pPr>
        <w:spacing w:line="480" w:lineRule="auto"/>
        <w:rPr>
          <w:rFonts w:ascii="宋体" w:hAnsi="宋体" w:cs="宋体"/>
          <w:color w:val="auto"/>
          <w:sz w:val="24"/>
          <w:highlight w:val="none"/>
        </w:rPr>
      </w:pPr>
    </w:p>
    <w:p w14:paraId="073D28EC">
      <w:pPr>
        <w:pStyle w:val="10"/>
        <w:ind w:firstLine="480"/>
        <w:rPr>
          <w:color w:val="auto"/>
          <w:sz w:val="24"/>
          <w:szCs w:val="24"/>
          <w:highlight w:val="none"/>
        </w:rPr>
      </w:pPr>
    </w:p>
    <w:p w14:paraId="00D61812">
      <w:pPr>
        <w:snapToGrid w:val="0"/>
        <w:spacing w:line="480" w:lineRule="auto"/>
        <w:jc w:val="right"/>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投标人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（加盖电子公章）</w:t>
      </w:r>
    </w:p>
    <w:p w14:paraId="56C8EF18">
      <w:pPr>
        <w:snapToGrid w:val="0"/>
        <w:spacing w:line="48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（签字或电子签名或电子签章）</w:t>
      </w:r>
    </w:p>
    <w:p w14:paraId="172CE8E2">
      <w:pPr>
        <w:spacing w:line="360" w:lineRule="auto"/>
        <w:jc w:val="center"/>
        <w:outlineLvl w:val="1"/>
        <w:rPr>
          <w:rFonts w:hint="eastAsia" w:ascii="宋体" w:hAnsi="宋体" w:cs="宋体"/>
          <w:b w:val="0"/>
          <w:bCs/>
          <w:color w:val="auto"/>
          <w:kern w:val="0"/>
          <w:sz w:val="24"/>
          <w:szCs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kern w:val="0"/>
          <w:sz w:val="24"/>
          <w:szCs w:val="24"/>
          <w:highlight w:val="none"/>
        </w:rPr>
        <w:t>年____月____日</w:t>
      </w:r>
    </w:p>
    <w:p w14:paraId="14C7583E">
      <w:pPr>
        <w:keepNext/>
        <w:keepLines/>
        <w:widowControl/>
        <w:autoSpaceDE w:val="0"/>
        <w:spacing w:line="360" w:lineRule="auto"/>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、政府采购优惠政策及其他资料</w:t>
      </w:r>
    </w:p>
    <w:p w14:paraId="15D3FB86">
      <w:pPr>
        <w:keepNext/>
        <w:keepLines/>
        <w:widowControl/>
        <w:autoSpaceDE w:val="0"/>
        <w:spacing w:beforeLines="50"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（一）《中小企业声明函》（货物）</w:t>
      </w:r>
    </w:p>
    <w:p w14:paraId="610B2487">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本公司（联合体</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郑重声明，根据《政府采购促进中小企业发展管理办法》</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财库</w:t>
      </w:r>
      <w:r>
        <w:rPr>
          <w:rFonts w:hint="eastAsia" w:ascii="宋体" w:hAnsi="宋体" w:cs="Arial Narrow"/>
          <w:color w:val="auto"/>
          <w:sz w:val="24"/>
          <w:highlight w:val="none"/>
          <w:shd w:val="clear" w:color="auto" w:fill="FFFFFF"/>
          <w:lang w:eastAsia="zh-CN"/>
        </w:rPr>
        <w:t>〔2020〕46号）</w:t>
      </w:r>
      <w:r>
        <w:rPr>
          <w:rFonts w:hint="eastAsia" w:ascii="宋体" w:hAnsi="宋体" w:cs="Arial Narrow"/>
          <w:color w:val="auto"/>
          <w:sz w:val="24"/>
          <w:highlight w:val="none"/>
          <w:shd w:val="clear" w:color="auto" w:fill="FFFFFF"/>
        </w:rPr>
        <w:t>的规定，本公司</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联合体</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参加</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单位名称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的</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项目名称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采购活动，提供的货物全部由符合政策要求的中小企业制造。相关企业</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含联合体中的中小企业、签订分包意向协议的中小企业</w:t>
      </w:r>
      <w:r>
        <w:rPr>
          <w:rFonts w:hint="eastAsia" w:ascii="宋体" w:hAnsi="宋体" w:cs="Arial Narrow"/>
          <w:color w:val="auto"/>
          <w:sz w:val="24"/>
          <w:highlight w:val="none"/>
          <w:shd w:val="clear" w:color="auto" w:fill="FFFFFF"/>
          <w:lang w:eastAsia="zh-CN"/>
        </w:rPr>
        <w:t>）</w:t>
      </w:r>
      <w:r>
        <w:rPr>
          <w:rFonts w:hint="eastAsia" w:ascii="宋体" w:hAnsi="宋体" w:cs="Arial Narrow"/>
          <w:color w:val="auto"/>
          <w:sz w:val="24"/>
          <w:highlight w:val="none"/>
          <w:shd w:val="clear" w:color="auto" w:fill="FFFFFF"/>
        </w:rPr>
        <w:t>的具体情况如下</w:t>
      </w:r>
      <w:r>
        <w:rPr>
          <w:rFonts w:hint="eastAsia" w:ascii="宋体" w:hAnsi="宋体" w:cs="Arial Narrow"/>
          <w:color w:val="auto"/>
          <w:sz w:val="24"/>
          <w:highlight w:val="none"/>
          <w:shd w:val="clear" w:color="auto" w:fill="FFFFFF"/>
          <w:lang w:eastAsia="zh-CN"/>
        </w:rPr>
        <w:t>：</w:t>
      </w:r>
    </w:p>
    <w:p w14:paraId="627DA135">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1.</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标的名称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，属于</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招标文件中明确的所属行业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行业；制造商为</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企业名称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，从业人员人，营业收入为万元，资产总额为万元，属于</w:t>
      </w:r>
      <w:r>
        <w:rPr>
          <w:rFonts w:hint="eastAsia" w:ascii="宋体" w:hAnsi="宋体" w:cs="Arial Narrow"/>
          <w:color w:val="auto"/>
          <w:sz w:val="24"/>
          <w:highlight w:val="none"/>
          <w:u w:val="single"/>
          <w:shd w:val="clear" w:color="auto" w:fill="FFFFFF"/>
        </w:rPr>
        <w:t xml:space="preserve">   （中型企业、小型企业、微型企业）   </w:t>
      </w:r>
      <w:r>
        <w:rPr>
          <w:rFonts w:hint="eastAsia" w:ascii="宋体" w:hAnsi="宋体" w:cs="Arial Narrow"/>
          <w:color w:val="auto"/>
          <w:sz w:val="24"/>
          <w:highlight w:val="none"/>
          <w:shd w:val="clear" w:color="auto" w:fill="FFFFFF"/>
        </w:rPr>
        <w:t>；</w:t>
      </w:r>
    </w:p>
    <w:p w14:paraId="12158F82">
      <w:pPr>
        <w:spacing w:line="36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2.</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标的名称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，属于</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招标文件中明确的所属行业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行业；制造商为</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企业名称</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，从业人员人，营业收入为万元，资产总额为万元，属于</w:t>
      </w:r>
      <w:r>
        <w:rPr>
          <w:rFonts w:hint="eastAsia" w:ascii="宋体" w:hAnsi="宋体" w:cs="Arial Narrow"/>
          <w:color w:val="auto"/>
          <w:sz w:val="24"/>
          <w:highlight w:val="none"/>
          <w:u w:val="single"/>
          <w:shd w:val="clear" w:color="auto" w:fill="FFFFFF"/>
        </w:rPr>
        <w:t xml:space="preserve">   （中型企业、小型企业、微型企业</w:t>
      </w:r>
      <w:r>
        <w:rPr>
          <w:rFonts w:hint="eastAsia" w:ascii="宋体" w:hAnsi="宋体" w:cs="Arial Narrow"/>
          <w:color w:val="auto"/>
          <w:sz w:val="24"/>
          <w:highlight w:val="none"/>
          <w:u w:val="single"/>
          <w:shd w:val="clear" w:color="auto" w:fill="FFFFFF"/>
          <w:lang w:eastAsia="zh-CN"/>
        </w:rPr>
        <w:t>）</w:t>
      </w:r>
      <w:r>
        <w:rPr>
          <w:rFonts w:hint="eastAsia" w:ascii="宋体" w:hAnsi="宋体" w:cs="Arial Narrow"/>
          <w:color w:val="auto"/>
          <w:sz w:val="24"/>
          <w:highlight w:val="none"/>
          <w:u w:val="single"/>
          <w:shd w:val="clear" w:color="auto" w:fill="FFFFFF"/>
        </w:rPr>
        <w:t xml:space="preserve">   </w:t>
      </w:r>
      <w:r>
        <w:rPr>
          <w:rFonts w:hint="eastAsia" w:ascii="宋体" w:hAnsi="宋体" w:cs="Arial Narrow"/>
          <w:color w:val="auto"/>
          <w:sz w:val="24"/>
          <w:highlight w:val="none"/>
          <w:shd w:val="clear" w:color="auto" w:fill="FFFFFF"/>
        </w:rPr>
        <w:t>；</w:t>
      </w:r>
    </w:p>
    <w:p w14:paraId="43E05B1B">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lang w:eastAsia="zh-CN"/>
        </w:rPr>
        <w:t>……</w:t>
      </w:r>
    </w:p>
    <w:p w14:paraId="2ADE70B0">
      <w:pPr>
        <w:spacing w:line="480" w:lineRule="auto"/>
        <w:ind w:firstLine="480" w:firstLineChars="200"/>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以上企业，不属于大企业的分支机构，不存在控股股东为大企业的情形，也不存在与大企业的负责人为同一人的情形。</w:t>
      </w:r>
    </w:p>
    <w:p w14:paraId="7452FFB8">
      <w:pPr>
        <w:spacing w:line="360" w:lineRule="auto"/>
        <w:ind w:firstLine="480" w:firstLineChars="200"/>
        <w:rPr>
          <w:rFonts w:ascii="宋体" w:hAnsi="宋体"/>
          <w:color w:val="auto"/>
          <w:sz w:val="24"/>
          <w:highlight w:val="none"/>
        </w:rPr>
      </w:pPr>
      <w:r>
        <w:rPr>
          <w:rFonts w:hint="eastAsia" w:ascii="宋体" w:hAnsi="宋体" w:cs="Arial Narrow"/>
          <w:color w:val="auto"/>
          <w:sz w:val="24"/>
          <w:highlight w:val="none"/>
          <w:shd w:val="clear" w:color="auto" w:fill="FFFFFF"/>
        </w:rPr>
        <w:t>本企业对上述声明内容的真实性负责。如有虚假，将依法承担相应责任。</w:t>
      </w:r>
    </w:p>
    <w:p w14:paraId="6B45F8A7">
      <w:pPr>
        <w:pStyle w:val="31"/>
        <w:spacing w:before="120" w:line="360" w:lineRule="auto"/>
        <w:ind w:firstLine="6600" w:firstLineChars="2750"/>
        <w:rPr>
          <w:rFonts w:hAnsi="宋体" w:cs="Verdana"/>
          <w:color w:val="auto"/>
          <w:kern w:val="2"/>
          <w:highlight w:val="none"/>
        </w:rPr>
      </w:pPr>
    </w:p>
    <w:p w14:paraId="31A3A933">
      <w:pPr>
        <w:pStyle w:val="31"/>
        <w:keepNext w:val="0"/>
        <w:keepLines w:val="0"/>
        <w:pageBreakBefore w:val="0"/>
        <w:widowControl w:val="0"/>
        <w:kinsoku/>
        <w:wordWrap/>
        <w:overflowPunct/>
        <w:topLinePunct w:val="0"/>
        <w:bidi w:val="0"/>
        <w:snapToGrid/>
        <w:spacing w:before="120" w:line="560" w:lineRule="exact"/>
        <w:ind w:firstLine="4320" w:firstLineChars="18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企业名称（加盖电子公章）：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p>
    <w:p w14:paraId="2AC21D2A">
      <w:pPr>
        <w:keepNext w:val="0"/>
        <w:keepLines w:val="0"/>
        <w:pageBreakBefore w:val="0"/>
        <w:widowControl w:val="0"/>
        <w:kinsoku/>
        <w:wordWrap/>
        <w:overflowPunct/>
        <w:topLinePunct w:val="0"/>
        <w:bidi w:val="0"/>
        <w:snapToGrid/>
        <w:spacing w:line="560" w:lineRule="exact"/>
        <w:ind w:right="960" w:firstLine="5040" w:firstLineChars="2100"/>
        <w:jc w:val="both"/>
        <w:textAlignment w:val="auto"/>
        <w:rPr>
          <w:rFonts w:hint="eastAsia" w:ascii="宋体" w:hAnsi="宋体" w:eastAsia="宋体" w:cs="Arial Narrow"/>
          <w:color w:val="auto"/>
          <w:sz w:val="24"/>
          <w:szCs w:val="24"/>
          <w:highlight w:val="none"/>
        </w:rPr>
      </w:pPr>
      <w:r>
        <w:rPr>
          <w:rFonts w:hint="eastAsia" w:ascii="宋体" w:hAnsi="宋体" w:eastAsia="宋体" w:cs="Arial Narrow"/>
          <w:color w:val="auto"/>
          <w:sz w:val="24"/>
          <w:szCs w:val="24"/>
          <w:highlight w:val="none"/>
        </w:rPr>
        <w:t>日期</w:t>
      </w:r>
      <w:r>
        <w:rPr>
          <w:rFonts w:ascii="宋体" w:hAnsi="宋体" w:eastAsia="宋体" w:cs="Arial Narrow"/>
          <w:color w:val="auto"/>
          <w:sz w:val="24"/>
          <w:szCs w:val="24"/>
          <w:highlight w:val="none"/>
        </w:rPr>
        <w:t>：</w:t>
      </w:r>
      <w:r>
        <w:rPr>
          <w:rFonts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eastAsia="宋体"/>
          <w:color w:val="auto"/>
          <w:sz w:val="24"/>
          <w:szCs w:val="24"/>
          <w:highlight w:val="none"/>
          <w:u w:val="single"/>
        </w:rPr>
        <w:t xml:space="preserve">     </w:t>
      </w:r>
      <w:r>
        <w:rPr>
          <w:rFonts w:hint="eastAsia" w:ascii="宋体" w:hAnsi="宋体" w:eastAsia="宋体" w:cs="Arial Narrow"/>
          <w:color w:val="auto"/>
          <w:sz w:val="24"/>
          <w:szCs w:val="24"/>
          <w:highlight w:val="none"/>
        </w:rPr>
        <w:t>年</w:t>
      </w:r>
      <w:r>
        <w:rPr>
          <w:rFonts w:ascii="宋体" w:hAnsi="宋体" w:eastAsia="宋体"/>
          <w:b/>
          <w:color w:val="auto"/>
          <w:sz w:val="24"/>
          <w:szCs w:val="24"/>
          <w:highlight w:val="none"/>
          <w:u w:val="single"/>
        </w:rPr>
        <w:t xml:space="preserve">     </w:t>
      </w:r>
      <w:r>
        <w:rPr>
          <w:rFonts w:hint="eastAsia" w:ascii="宋体" w:hAnsi="宋体" w:eastAsia="宋体" w:cs="Arial Narrow"/>
          <w:color w:val="auto"/>
          <w:sz w:val="24"/>
          <w:szCs w:val="24"/>
          <w:highlight w:val="none"/>
        </w:rPr>
        <w:t>月</w:t>
      </w:r>
      <w:r>
        <w:rPr>
          <w:rFonts w:ascii="宋体" w:hAnsi="宋体" w:eastAsia="宋体"/>
          <w:b/>
          <w:color w:val="auto"/>
          <w:sz w:val="24"/>
          <w:szCs w:val="24"/>
          <w:highlight w:val="none"/>
          <w:u w:val="single"/>
        </w:rPr>
        <w:t xml:space="preserve">     </w:t>
      </w:r>
      <w:r>
        <w:rPr>
          <w:rFonts w:hint="eastAsia" w:ascii="宋体" w:hAnsi="宋体" w:eastAsia="宋体" w:cs="Arial Narrow"/>
          <w:color w:val="auto"/>
          <w:sz w:val="24"/>
          <w:szCs w:val="24"/>
          <w:highlight w:val="none"/>
        </w:rPr>
        <w:t>日</w:t>
      </w:r>
    </w:p>
    <w:p w14:paraId="3F490466">
      <w:pPr>
        <w:pStyle w:val="11"/>
        <w:rPr>
          <w:color w:val="auto"/>
          <w:highlight w:val="none"/>
        </w:rPr>
      </w:pPr>
    </w:p>
    <w:p w14:paraId="1F1FA21D">
      <w:pPr>
        <w:spacing w:line="480" w:lineRule="auto"/>
        <w:rPr>
          <w:rFonts w:ascii="宋体" w:hAnsi="宋体" w:cs="Arial Narrow"/>
          <w:color w:val="auto"/>
          <w:sz w:val="24"/>
          <w:highlight w:val="none"/>
          <w:shd w:val="clear" w:color="auto" w:fill="FFFFFF"/>
        </w:rPr>
      </w:pPr>
      <w:r>
        <w:rPr>
          <w:rFonts w:hint="eastAsia" w:ascii="宋体" w:hAnsi="宋体" w:cs="Arial Narrow"/>
          <w:color w:val="auto"/>
          <w:sz w:val="24"/>
          <w:highlight w:val="none"/>
          <w:shd w:val="clear" w:color="auto" w:fill="FFFFFF"/>
        </w:rPr>
        <w:t>从业人员、营业收入、资产总额填报上一年度数据，无上一年度数据的新成立企业可不填报。</w:t>
      </w:r>
    </w:p>
    <w:p w14:paraId="3635A6BC">
      <w:pPr>
        <w:spacing w:line="360" w:lineRule="auto"/>
        <w:ind w:firstLine="482" w:firstLineChars="200"/>
        <w:jc w:val="center"/>
        <w:rPr>
          <w:rFonts w:ascii="宋体" w:hAnsi="宋体"/>
          <w:b/>
          <w:color w:val="auto"/>
          <w:highlight w:val="none"/>
        </w:rPr>
      </w:pPr>
      <w:r>
        <w:rPr>
          <w:rFonts w:hint="eastAsia" w:ascii="宋体" w:hAnsi="宋体" w:cs="Arial Narrow"/>
          <w:b/>
          <w:bCs/>
          <w:color w:val="auto"/>
          <w:sz w:val="24"/>
          <w:highlight w:val="none"/>
          <w:shd w:val="clear" w:color="auto" w:fill="FFFFFF"/>
        </w:rPr>
        <w:t>注：</w:t>
      </w:r>
      <w:r>
        <w:rPr>
          <w:rFonts w:hint="eastAsia" w:ascii="宋体" w:hAnsi="宋体" w:cs="Arial Narrow"/>
          <w:b/>
          <w:bCs/>
          <w:color w:val="auto"/>
          <w:sz w:val="24"/>
          <w:highlight w:val="none"/>
          <w:shd w:val="clear" w:color="auto" w:fill="FFFFFF"/>
          <w:lang w:val="en-US" w:eastAsia="zh-CN"/>
        </w:rPr>
        <w:t>本函件不填写不构成废标条款</w:t>
      </w:r>
      <w:r>
        <w:rPr>
          <w:rFonts w:hint="eastAsia" w:ascii="宋体" w:hAnsi="宋体" w:cs="Arial Narrow"/>
          <w:b/>
          <w:bCs/>
          <w:color w:val="auto"/>
          <w:sz w:val="24"/>
          <w:highlight w:val="none"/>
          <w:shd w:val="clear" w:color="auto" w:fill="FFFFFF"/>
        </w:rPr>
        <w:t>。</w:t>
      </w:r>
      <w:r>
        <w:rPr>
          <w:rFonts w:ascii="宋体" w:hAnsi="宋体"/>
          <w:b/>
          <w:color w:val="auto"/>
          <w:highlight w:val="none"/>
        </w:rPr>
        <w:br w:type="page"/>
      </w:r>
    </w:p>
    <w:p w14:paraId="4A2D3C16">
      <w:pPr>
        <w:rPr>
          <w:rFonts w:ascii="宋体" w:hAnsi="宋体" w:cs="宋体"/>
          <w:b/>
          <w:bCs/>
          <w:color w:val="auto"/>
          <w:kern w:val="0"/>
          <w:sz w:val="24"/>
          <w:highlight w:val="none"/>
        </w:rPr>
        <w:sectPr>
          <w:headerReference r:id="rId11" w:type="default"/>
          <w:footerReference r:id="rId12" w:type="default"/>
          <w:pgSz w:w="11906" w:h="16838"/>
          <w:pgMar w:top="1440" w:right="1134" w:bottom="1418" w:left="1134" w:header="851" w:footer="936" w:gutter="0"/>
          <w:pgNumType w:fmt="decimal"/>
          <w:cols w:space="720" w:num="1"/>
          <w:docGrid w:linePitch="312" w:charSpace="0"/>
        </w:sectPr>
      </w:pPr>
    </w:p>
    <w:p w14:paraId="1956EAD8">
      <w:pPr>
        <w:keepNext/>
        <w:keepLines/>
        <w:widowControl/>
        <w:autoSpaceDE w:val="0"/>
        <w:spacing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（二）残疾人福利性单位声明函（若有）</w:t>
      </w:r>
    </w:p>
    <w:p w14:paraId="571B2D1D">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pacing w:val="6"/>
          <w:sz w:val="24"/>
          <w:highlight w:val="none"/>
          <w:lang w:eastAsia="zh-CN"/>
        </w:rPr>
        <w:t>〔2017〕141号</w:t>
      </w:r>
      <w:r>
        <w:rPr>
          <w:rFonts w:hint="eastAsia" w:ascii="宋体" w:hAnsi="宋体"/>
          <w:color w:val="auto"/>
          <w:spacing w:val="6"/>
          <w:sz w:val="24"/>
          <w:highlight w:val="none"/>
        </w:rPr>
        <w:t>）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C88467">
      <w:pP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3652CB3">
      <w:pPr>
        <w:spacing w:line="588" w:lineRule="exact"/>
        <w:ind w:firstLine="504" w:firstLineChars="200"/>
        <w:rPr>
          <w:rFonts w:ascii="宋体" w:hAnsi="宋体"/>
          <w:color w:val="auto"/>
          <w:spacing w:val="6"/>
          <w:sz w:val="24"/>
          <w:highlight w:val="none"/>
        </w:rPr>
      </w:pPr>
    </w:p>
    <w:p w14:paraId="377A820B">
      <w:pPr>
        <w:spacing w:line="588" w:lineRule="exact"/>
        <w:ind w:firstLine="504" w:firstLineChars="200"/>
        <w:rPr>
          <w:rFonts w:ascii="宋体" w:hAnsi="宋体"/>
          <w:color w:val="auto"/>
          <w:spacing w:val="6"/>
          <w:sz w:val="24"/>
          <w:highlight w:val="none"/>
        </w:rPr>
      </w:pPr>
    </w:p>
    <w:p w14:paraId="58FF4D1B">
      <w:pPr>
        <w:spacing w:line="360" w:lineRule="auto"/>
        <w:ind w:firstLine="4320" w:firstLineChars="1800"/>
        <w:rPr>
          <w:rFonts w:ascii="宋体" w:hAnsi="宋体" w:eastAsia="宋体"/>
          <w:b w:val="0"/>
          <w:bCs/>
          <w:color w:val="auto"/>
          <w:sz w:val="24"/>
          <w:szCs w:val="24"/>
          <w:highlight w:val="none"/>
          <w:u w:val="single"/>
        </w:rPr>
      </w:pPr>
      <w:r>
        <w:rPr>
          <w:rFonts w:hint="eastAsia" w:ascii="宋体" w:hAnsi="宋体" w:eastAsia="宋体"/>
          <w:b w:val="0"/>
          <w:bCs/>
          <w:color w:val="auto"/>
          <w:sz w:val="24"/>
          <w:szCs w:val="24"/>
          <w:highlight w:val="none"/>
        </w:rPr>
        <w:t>单位名称（加盖电子公章）</w:t>
      </w:r>
      <w:r>
        <w:rPr>
          <w:rFonts w:ascii="宋体" w:hAnsi="宋体" w:eastAsia="宋体"/>
          <w:b w:val="0"/>
          <w:bCs/>
          <w:color w:val="auto"/>
          <w:sz w:val="24"/>
          <w:szCs w:val="24"/>
          <w:highlight w:val="none"/>
        </w:rPr>
        <w:t>：</w:t>
      </w:r>
      <w:r>
        <w:rPr>
          <w:rFonts w:hint="eastAsia"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u w:val="single"/>
        </w:rPr>
        <w:t xml:space="preserve">       </w:t>
      </w:r>
      <w:r>
        <w:rPr>
          <w:rFonts w:hint="eastAsia" w:ascii="宋体" w:hAnsi="宋体" w:eastAsia="宋体"/>
          <w:b w:val="0"/>
          <w:bCs/>
          <w:color w:val="auto"/>
          <w:sz w:val="24"/>
          <w:szCs w:val="24"/>
          <w:highlight w:val="none"/>
          <w:u w:val="single"/>
          <w:lang w:val="en-US" w:eastAsia="zh-CN"/>
        </w:rPr>
        <w:t xml:space="preserve">           </w:t>
      </w:r>
      <w:r>
        <w:rPr>
          <w:rFonts w:ascii="宋体" w:hAnsi="宋体" w:eastAsia="宋体"/>
          <w:b w:val="0"/>
          <w:bCs/>
          <w:color w:val="auto"/>
          <w:sz w:val="24"/>
          <w:szCs w:val="24"/>
          <w:highlight w:val="none"/>
          <w:u w:val="single"/>
        </w:rPr>
        <w:t xml:space="preserve">    </w:t>
      </w:r>
    </w:p>
    <w:p w14:paraId="7C90954C">
      <w:pPr>
        <w:spacing w:line="360" w:lineRule="auto"/>
        <w:ind w:firstLine="480" w:firstLineChars="200"/>
        <w:rPr>
          <w:rFonts w:ascii="宋体" w:hAnsi="宋体" w:eastAsia="宋体"/>
          <w:b w:val="0"/>
          <w:bCs/>
          <w:color w:val="auto"/>
          <w:sz w:val="24"/>
          <w:szCs w:val="24"/>
          <w:highlight w:val="none"/>
        </w:rPr>
      </w:pPr>
    </w:p>
    <w:p w14:paraId="56E21BB0">
      <w:pPr>
        <w:spacing w:line="360" w:lineRule="auto"/>
        <w:jc w:val="right"/>
        <w:rPr>
          <w:rFonts w:ascii="宋体" w:hAnsi="宋体" w:eastAsia="宋体"/>
          <w:b w:val="0"/>
          <w:bCs/>
          <w:color w:val="auto"/>
          <w:sz w:val="24"/>
          <w:szCs w:val="24"/>
          <w:highlight w:val="none"/>
        </w:rPr>
      </w:pPr>
      <w:r>
        <w:rPr>
          <w:rFonts w:ascii="宋体" w:hAnsi="宋体" w:eastAsia="宋体"/>
          <w:b w:val="0"/>
          <w:bCs/>
          <w:color w:val="auto"/>
          <w:sz w:val="24"/>
          <w:szCs w:val="24"/>
          <w:highlight w:val="none"/>
        </w:rPr>
        <w:t>日</w:t>
      </w:r>
      <w:r>
        <w:rPr>
          <w:rFonts w:hint="eastAsia" w:ascii="宋体" w:hAnsi="宋体" w:eastAsia="宋体"/>
          <w:b w:val="0"/>
          <w:bCs/>
          <w:color w:val="auto"/>
          <w:sz w:val="24"/>
          <w:szCs w:val="24"/>
          <w:highlight w:val="none"/>
        </w:rPr>
        <w:t xml:space="preserve">  </w:t>
      </w:r>
      <w:r>
        <w:rPr>
          <w:rFonts w:ascii="宋体" w:hAnsi="宋体" w:eastAsia="宋体"/>
          <w:b w:val="0"/>
          <w:bCs/>
          <w:color w:val="auto"/>
          <w:sz w:val="24"/>
          <w:szCs w:val="24"/>
          <w:highlight w:val="none"/>
        </w:rPr>
        <w:t>期：</w:t>
      </w:r>
      <w:r>
        <w:rPr>
          <w:rFonts w:ascii="宋体" w:hAnsi="宋体" w:eastAsia="宋体"/>
          <w:b w:val="0"/>
          <w:bCs/>
          <w:color w:val="auto"/>
          <w:sz w:val="24"/>
          <w:szCs w:val="24"/>
          <w:highlight w:val="none"/>
          <w:u w:val="single"/>
        </w:rPr>
        <w:t xml:space="preserve">  </w:t>
      </w:r>
      <w:r>
        <w:rPr>
          <w:rFonts w:hint="eastAsia" w:ascii="宋体" w:hAnsi="宋体"/>
          <w:b w:val="0"/>
          <w:bCs/>
          <w:color w:val="auto"/>
          <w:sz w:val="24"/>
          <w:szCs w:val="24"/>
          <w:highlight w:val="none"/>
          <w:u w:val="single"/>
          <w:lang w:val="en-US" w:eastAsia="zh-CN"/>
        </w:rPr>
        <w:t xml:space="preserve"> </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年</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月</w:t>
      </w:r>
      <w:r>
        <w:rPr>
          <w:rFonts w:ascii="宋体" w:hAnsi="宋体" w:eastAsia="宋体"/>
          <w:b w:val="0"/>
          <w:bCs/>
          <w:color w:val="auto"/>
          <w:sz w:val="24"/>
          <w:szCs w:val="24"/>
          <w:highlight w:val="none"/>
          <w:u w:val="single"/>
        </w:rPr>
        <w:t xml:space="preserve">     </w:t>
      </w:r>
      <w:r>
        <w:rPr>
          <w:rFonts w:ascii="宋体" w:hAnsi="宋体" w:eastAsia="宋体"/>
          <w:b w:val="0"/>
          <w:bCs/>
          <w:color w:val="auto"/>
          <w:sz w:val="24"/>
          <w:szCs w:val="24"/>
          <w:highlight w:val="none"/>
        </w:rPr>
        <w:t>日</w:t>
      </w:r>
    </w:p>
    <w:p w14:paraId="0176B90C">
      <w:pPr>
        <w:spacing w:line="360" w:lineRule="auto"/>
        <w:ind w:firstLine="480" w:firstLineChars="200"/>
        <w:rPr>
          <w:rFonts w:ascii="宋体" w:hAnsi="宋体"/>
          <w:color w:val="auto"/>
          <w:sz w:val="24"/>
          <w:highlight w:val="none"/>
        </w:rPr>
      </w:pPr>
    </w:p>
    <w:p w14:paraId="7F4C587A">
      <w:pPr>
        <w:spacing w:line="360" w:lineRule="auto"/>
        <w:ind w:firstLine="480" w:firstLineChars="200"/>
        <w:rPr>
          <w:rFonts w:ascii="宋体" w:hAnsi="宋体"/>
          <w:color w:val="auto"/>
          <w:sz w:val="24"/>
          <w:highlight w:val="none"/>
        </w:rPr>
      </w:pPr>
    </w:p>
    <w:p w14:paraId="3BFBDF20">
      <w:pPr>
        <w:pStyle w:val="5"/>
        <w:spacing w:line="360" w:lineRule="auto"/>
        <w:ind w:firstLine="482"/>
        <w:rPr>
          <w:rFonts w:ascii="宋体" w:hAnsi="宋体"/>
          <w:b/>
          <w:color w:val="auto"/>
          <w:sz w:val="24"/>
          <w:highlight w:val="none"/>
        </w:rPr>
      </w:pPr>
      <w:r>
        <w:rPr>
          <w:rFonts w:hint="eastAsia" w:ascii="宋体" w:hAnsi="宋体"/>
          <w:b/>
          <w:color w:val="auto"/>
          <w:sz w:val="24"/>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7D70F4D8">
      <w:pPr>
        <w:keepNext/>
        <w:keepLines/>
        <w:widowControl/>
        <w:autoSpaceDE w:val="0"/>
        <w:spacing w:line="360" w:lineRule="auto"/>
        <w:jc w:val="center"/>
        <w:outlineLvl w:val="2"/>
        <w:rPr>
          <w:rFonts w:ascii="宋体" w:hAnsi="宋体" w:cs="宋体"/>
          <w:b/>
          <w:bCs/>
          <w:color w:val="auto"/>
          <w:sz w:val="28"/>
          <w:szCs w:val="28"/>
          <w:highlight w:val="none"/>
        </w:rPr>
        <w:sectPr>
          <w:pgSz w:w="11906" w:h="16838"/>
          <w:pgMar w:top="1440" w:right="1134" w:bottom="1418" w:left="1134" w:header="851" w:footer="936" w:gutter="0"/>
          <w:pgNumType w:fmt="decimal"/>
          <w:cols w:space="720" w:num="1"/>
          <w:docGrid w:linePitch="312" w:charSpace="0"/>
        </w:sectPr>
      </w:pPr>
    </w:p>
    <w:p w14:paraId="2E7AAF58">
      <w:pPr>
        <w:keepNext/>
        <w:keepLines/>
        <w:widowControl/>
        <w:autoSpaceDE w:val="0"/>
        <w:spacing w:line="360" w:lineRule="auto"/>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（三）监狱企业证明材料（若有）</w:t>
      </w:r>
    </w:p>
    <w:p w14:paraId="2DA38CDE">
      <w:pPr>
        <w:jc w:val="center"/>
        <w:rPr>
          <w:rFonts w:ascii="宋体" w:hAnsi="宋体" w:cs="Arial Narrow"/>
          <w:color w:val="auto"/>
          <w:highlight w:val="none"/>
          <w:shd w:val="clear" w:color="auto" w:fill="FFFFFF"/>
        </w:rPr>
      </w:pPr>
    </w:p>
    <w:p w14:paraId="3B9AE2E2">
      <w:pPr>
        <w:jc w:val="center"/>
        <w:rPr>
          <w:rFonts w:hint="eastAsia" w:ascii="宋体" w:hAnsi="宋体" w:cs="Arial Narrow"/>
          <w:color w:val="auto"/>
          <w:sz w:val="24"/>
          <w:highlight w:val="none"/>
          <w:shd w:val="clear" w:color="auto" w:fill="FFFFFF"/>
        </w:rPr>
        <w:sectPr>
          <w:pgSz w:w="11906" w:h="16838"/>
          <w:pgMar w:top="1440" w:right="1134" w:bottom="1418" w:left="1134" w:header="851" w:footer="936" w:gutter="0"/>
          <w:pgNumType w:fmt="decimal"/>
          <w:cols w:space="720" w:num="1"/>
          <w:docGrid w:linePitch="312" w:charSpace="0"/>
        </w:sectPr>
      </w:pPr>
      <w:r>
        <w:rPr>
          <w:rFonts w:hint="eastAsia" w:ascii="宋体" w:hAnsi="宋体" w:cs="Arial Narrow"/>
          <w:color w:val="auto"/>
          <w:sz w:val="24"/>
          <w:highlight w:val="none"/>
          <w:shd w:val="clear" w:color="auto" w:fill="FFFFFF"/>
        </w:rPr>
        <w:t>附监狱企业证明材料扫描件</w:t>
      </w:r>
    </w:p>
    <w:p w14:paraId="10EF7252">
      <w:pPr>
        <w:keepNext/>
        <w:keepLines/>
        <w:widowControl/>
        <w:autoSpaceDE w:val="0"/>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关于符合本国产品标准的声明函</w:t>
      </w:r>
    </w:p>
    <w:p w14:paraId="6E7F666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F6F85FB">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279" w:leftChars="133" w:right="0" w:rightChars="0" w:firstLine="240" w:firstLineChars="100"/>
        <w:jc w:val="both"/>
        <w:textAlignment w:val="baseline"/>
        <w:rPr>
          <w:rFonts w:hint="eastAsia" w:ascii="宋体" w:hAnsi="宋体" w:eastAsia="宋体" w:cs="宋体"/>
          <w:color w:val="auto"/>
          <w:sz w:val="24"/>
          <w:szCs w:val="24"/>
          <w:highlight w:val="none"/>
        </w:rPr>
      </w:pP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1.</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Style w:val="28"/>
          <w:rFonts w:hint="eastAsia" w:ascii="宋体" w:hAnsi="宋体" w:eastAsia="宋体" w:cs="宋体"/>
          <w:caps w:val="0"/>
          <w:color w:val="auto"/>
          <w:spacing w:val="0"/>
          <w:sz w:val="24"/>
          <w:szCs w:val="24"/>
          <w:highlight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（厂名）</w:t>
      </w:r>
      <w:r>
        <w:rPr>
          <w:rStyle w:val="28"/>
          <w:rFonts w:hint="eastAsia" w:ascii="宋体" w:hAnsi="宋体" w:eastAsia="宋体" w:cs="宋体"/>
          <w:caps w:val="0"/>
          <w:color w:val="auto"/>
          <w:spacing w:val="0"/>
          <w:sz w:val="24"/>
          <w:szCs w:val="24"/>
          <w:highlight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（规定比例）</w:t>
      </w:r>
      <w:r>
        <w:rPr>
          <w:rStyle w:val="28"/>
          <w:rFonts w:hint="eastAsia" w:ascii="宋体" w:hAnsi="宋体" w:eastAsia="宋体" w:cs="宋体"/>
          <w:caps w:val="0"/>
          <w:color w:val="auto"/>
          <w:spacing w:val="0"/>
          <w:sz w:val="24"/>
          <w:szCs w:val="24"/>
          <w:highlight w:val="none"/>
          <w:shd w:val="clear" w:color="auto" w:fill="FFFFFF"/>
          <w:vertAlign w:val="superscript"/>
        </w:rPr>
        <w:t>3</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（关键组件）</w:t>
      </w:r>
      <w:r>
        <w:rPr>
          <w:rStyle w:val="28"/>
          <w:rFonts w:hint="eastAsia" w:ascii="宋体" w:hAnsi="宋体" w:eastAsia="宋体" w:cs="宋体"/>
          <w:caps w:val="0"/>
          <w:color w:val="auto"/>
          <w:spacing w:val="0"/>
          <w:sz w:val="24"/>
          <w:szCs w:val="24"/>
          <w:highlight w:val="none"/>
          <w:shd w:val="clear" w:color="auto" w:fill="FFFFFF"/>
          <w:vertAlign w:val="superscript"/>
        </w:rPr>
        <w:t>4</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（产品名称1）</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（关键工序）</w:t>
      </w:r>
      <w:r>
        <w:rPr>
          <w:rStyle w:val="28"/>
          <w:rFonts w:hint="eastAsia" w:ascii="宋体" w:hAnsi="宋体" w:eastAsia="宋体" w:cs="宋体"/>
          <w:caps w:val="0"/>
          <w:color w:val="auto"/>
          <w:spacing w:val="0"/>
          <w:sz w:val="24"/>
          <w:szCs w:val="24"/>
          <w:highlight w:val="none"/>
          <w:shd w:val="clear" w:color="auto" w:fill="FFFFFF"/>
          <w:vertAlign w:val="superscript"/>
        </w:rPr>
        <w:t>5</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13402F9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（规定比例）</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（关键组件）</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none"/>
          <w:shd w:val="clear" w:color="auto" w:fill="FFFFFF"/>
          <w:vertAlign w:val="baseline"/>
        </w:rPr>
        <w:t>（关键工序）</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0770674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0CD3914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2E09F30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rPr>
      </w:pPr>
    </w:p>
    <w:p w14:paraId="1BEB74B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left"/>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rPr>
      </w:pPr>
    </w:p>
    <w:p w14:paraId="650A684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right="0" w:firstLine="0"/>
        <w:jc w:val="center"/>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公司（单位）名称（盖章）：</w:t>
      </w:r>
    </w:p>
    <w:p w14:paraId="15DBAA9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rightChars="0" w:firstLine="0" w:firstLineChars="0"/>
        <w:jc w:val="center"/>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日期：</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年</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月</w:t>
      </w: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color="auto" w:fill="FFFFFF"/>
          <w:vertAlign w:val="baseline"/>
        </w:rPr>
        <w:t>日</w:t>
      </w:r>
    </w:p>
    <w:p w14:paraId="58FA37B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0"/>
        <w:textAlignment w:val="baseline"/>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u w:val="none"/>
          <w:shd w:val="clear" w:color="auto" w:fill="FFFFFF"/>
          <w:vertAlign w:val="baseline"/>
        </w:rPr>
        <w:t>__________________</w:t>
      </w:r>
    </w:p>
    <w:p w14:paraId="20F4005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1.产品如有型号，请在“产品名称”栏一并填写。</w:t>
      </w:r>
    </w:p>
    <w:p w14:paraId="1CA73FC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shd w:val="clear" w:color="auto" w:fill="FFFFFF"/>
          <w:vertAlign w:val="baseline"/>
        </w:rPr>
        <w:t>2.生产厂名与厂址应与生产厂营业执照载明的相关信息保持一致。</w:t>
      </w:r>
    </w:p>
    <w:p w14:paraId="71146A0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3.该产品的中国境内生产的组件成本占比相关要求实施前，“规定比例”栏可不填，下同。</w:t>
      </w:r>
    </w:p>
    <w:p w14:paraId="6B5580F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4.该产品的关键组件要求实施前，“关键组件”栏可不填，下同。</w:t>
      </w:r>
    </w:p>
    <w:p w14:paraId="0102B26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u w:val="none"/>
          <w:shd w:val="clear" w:color="auto" w:fill="FFFFFF"/>
          <w:vertAlign w:val="baseline"/>
        </w:rPr>
        <w:t>5.该产品的关键工序要求实施前，“关键工序”栏可不填，下同。</w:t>
      </w:r>
    </w:p>
    <w:p w14:paraId="3C9395A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6.</w:t>
      </w:r>
      <w:r>
        <w:rPr>
          <w:rFonts w:hint="eastAsia" w:ascii="宋体" w:hAnsi="宋体" w:eastAsia="宋体" w:cs="宋体"/>
          <w:b/>
          <w:bCs/>
          <w:i w:val="0"/>
          <w:iCs w:val="0"/>
          <w:caps w:val="0"/>
          <w:color w:val="auto"/>
          <w:spacing w:val="0"/>
          <w:sz w:val="21"/>
          <w:szCs w:val="21"/>
          <w:highlight w:val="none"/>
          <w:u w:val="none"/>
          <w:shd w:val="clear" w:color="auto" w:fill="FFFFFF"/>
          <w:vertAlign w:val="baseline"/>
          <w:lang w:val="en-US" w:eastAsia="zh-CN"/>
        </w:rPr>
        <w:t>采购</w:t>
      </w: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代理机构将随中标、成交结果同时公告中标、成交供应商提供的《声明函》或有关证明文件，请各投标人如实进行声明。</w:t>
      </w:r>
    </w:p>
    <w:p w14:paraId="544ECCE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7.供应商提供虚假《声明函》、虚假证明文件谋取中标、成交的，依照《中华人民共和国政府采购法》等法律法规规定追究相应责任。</w:t>
      </w:r>
    </w:p>
    <w:p w14:paraId="5FEE8B3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sectPr>
          <w:pgSz w:w="11906" w:h="16838"/>
          <w:pgMar w:top="1440" w:right="1134" w:bottom="1418" w:left="1134" w:header="851" w:footer="936" w:gutter="0"/>
          <w:pgNumType w:fmt="decimal"/>
          <w:cols w:space="720" w:num="1"/>
          <w:docGrid w:linePitch="312" w:charSpace="0"/>
        </w:sectPr>
      </w:pPr>
      <w:r>
        <w:rPr>
          <w:rFonts w:hint="eastAsia" w:ascii="宋体" w:hAnsi="宋体" w:eastAsia="宋体" w:cs="宋体"/>
          <w:b/>
          <w:bCs/>
          <w:i w:val="0"/>
          <w:iCs w:val="0"/>
          <w:caps w:val="0"/>
          <w:color w:val="auto"/>
          <w:spacing w:val="0"/>
          <w:sz w:val="21"/>
          <w:szCs w:val="21"/>
          <w:highlight w:val="none"/>
          <w:u w:val="none"/>
          <w:shd w:val="clear" w:color="auto" w:fill="FFFFFF"/>
          <w:vertAlign w:val="baseline"/>
        </w:rPr>
        <w:t>8.若供应商认为提供的货物不符合本国产品标准，可以不填写声明函，不享受价格评审优惠政策。</w:t>
      </w:r>
    </w:p>
    <w:p w14:paraId="50EBAA41">
      <w:pPr>
        <w:keepNext w:val="0"/>
        <w:keepLines w:val="0"/>
        <w:pageBreakBefore w:val="0"/>
        <w:kinsoku/>
        <w:wordWrap/>
        <w:overflowPunct/>
        <w:topLinePunct w:val="0"/>
        <w:autoSpaceDE/>
        <w:autoSpaceDN/>
        <w:bidi w:val="0"/>
        <w:adjustRightInd/>
        <w:snapToGrid/>
        <w:spacing w:line="480" w:lineRule="auto"/>
        <w:jc w:val="center"/>
        <w:textAlignment w:val="auto"/>
        <w:rPr>
          <w:rStyle w:val="26"/>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s="宋体"/>
          <w:b/>
          <w:bCs/>
          <w:color w:val="auto"/>
          <w:sz w:val="24"/>
          <w:szCs w:val="24"/>
          <w:highlight w:val="none"/>
          <w:shd w:val="clear" w:color="auto" w:fill="FFFFFF"/>
        </w:rPr>
        <w:t>提供</w:t>
      </w:r>
      <w:r>
        <w:rPr>
          <w:rStyle w:val="26"/>
          <w:rFonts w:hint="eastAsia" w:ascii="宋体" w:hAnsi="宋体" w:eastAsia="宋体" w:cs="宋体"/>
          <w:i w:val="0"/>
          <w:iCs w:val="0"/>
          <w:caps w:val="0"/>
          <w:color w:val="auto"/>
          <w:spacing w:val="0"/>
          <w:sz w:val="24"/>
          <w:szCs w:val="24"/>
          <w:highlight w:val="none"/>
          <w:u w:val="none"/>
          <w:shd w:val="clear" w:color="auto" w:fill="FFFFFF"/>
          <w:vertAlign w:val="baseline"/>
        </w:rPr>
        <w:t>的本国产品占其提供的全部产品成本之和比例是否达到80%</w:t>
      </w:r>
      <w:r>
        <w:rPr>
          <w:rStyle w:val="26"/>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t>的</w:t>
      </w:r>
      <w:r>
        <w:rPr>
          <w:rStyle w:val="26"/>
          <w:rFonts w:hint="eastAsia" w:ascii="宋体" w:hAnsi="宋体" w:eastAsia="宋体" w:cs="宋体"/>
          <w:i w:val="0"/>
          <w:iCs w:val="0"/>
          <w:caps w:val="0"/>
          <w:color w:val="auto"/>
          <w:spacing w:val="0"/>
          <w:sz w:val="24"/>
          <w:szCs w:val="24"/>
          <w:highlight w:val="none"/>
          <w:u w:val="none"/>
          <w:shd w:val="clear" w:color="auto" w:fill="FFFFFF"/>
          <w:vertAlign w:val="baseline"/>
        </w:rPr>
        <w:t>承诺</w:t>
      </w:r>
      <w:r>
        <w:rPr>
          <w:rStyle w:val="26"/>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t>书（当采购项目或者采购包中含有多种产品时需提供该承诺书，否则无需提供）</w:t>
      </w:r>
    </w:p>
    <w:p w14:paraId="3D64CC7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line="560" w:lineRule="atLeast"/>
        <w:ind w:left="0" w:leftChars="0" w:right="0" w:firstLine="480" w:firstLineChars="200"/>
        <w:jc w:val="both"/>
        <w:textAlignment w:val="baseline"/>
        <w:rPr>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u w:val="none"/>
          <w:shd w:val="clear" w:color="auto" w:fill="FFFFFF"/>
          <w:vertAlign w:val="baseline"/>
          <w:lang w:val="en-US" w:eastAsia="zh-CN"/>
        </w:rPr>
        <w:t>（投标人自行承诺，内容自拟）</w:t>
      </w:r>
    </w:p>
    <w:p w14:paraId="2A1C33E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both"/>
        <w:textAlignment w:val="baseline"/>
        <w:rPr>
          <w:rFonts w:hint="eastAsia" w:ascii="宋体" w:hAnsi="宋体" w:eastAsia="宋体" w:cs="宋体"/>
          <w:b/>
          <w:bCs/>
          <w:i w:val="0"/>
          <w:iCs w:val="0"/>
          <w:caps w:val="0"/>
          <w:color w:val="auto"/>
          <w:spacing w:val="0"/>
          <w:sz w:val="21"/>
          <w:szCs w:val="21"/>
          <w:highlight w:val="none"/>
          <w:u w:val="none"/>
          <w:shd w:val="clear" w:color="auto" w:fill="FFFFFF"/>
          <w:vertAlign w:val="baseline"/>
        </w:rPr>
        <w:sectPr>
          <w:pgSz w:w="11906" w:h="16838"/>
          <w:pgMar w:top="1440" w:right="1134" w:bottom="1418" w:left="1134" w:header="851" w:footer="936" w:gutter="0"/>
          <w:pgNumType w:fmt="decimal"/>
          <w:cols w:space="720" w:num="1"/>
          <w:docGrid w:linePitch="312" w:charSpace="0"/>
        </w:sectPr>
      </w:pPr>
    </w:p>
    <w:p w14:paraId="2FFE148E">
      <w:pPr>
        <w:jc w:val="center"/>
        <w:rPr>
          <w:rFonts w:ascii="宋体" w:hAnsi="宋体"/>
          <w:b/>
          <w:bCs/>
          <w:color w:val="auto"/>
          <w:sz w:val="28"/>
          <w:szCs w:val="28"/>
          <w:highlight w:val="none"/>
        </w:rPr>
      </w:pP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五</w:t>
      </w:r>
      <w:r>
        <w:rPr>
          <w:rFonts w:hint="eastAsia" w:ascii="宋体" w:hAnsi="宋体"/>
          <w:b/>
          <w:bCs/>
          <w:color w:val="auto"/>
          <w:sz w:val="28"/>
          <w:szCs w:val="28"/>
          <w:highlight w:val="none"/>
        </w:rPr>
        <w:t>）节能环保产品清单</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lang w:val="en-US" w:eastAsia="zh-CN"/>
        </w:rPr>
        <w:t>若有</w:t>
      </w:r>
      <w:r>
        <w:rPr>
          <w:rFonts w:hint="eastAsia" w:ascii="宋体" w:hAnsi="宋体"/>
          <w:b/>
          <w:bCs/>
          <w:color w:val="auto"/>
          <w:sz w:val="28"/>
          <w:szCs w:val="28"/>
          <w:highlight w:val="none"/>
          <w:lang w:eastAsia="zh-CN"/>
        </w:rPr>
        <w:t>）</w:t>
      </w:r>
    </w:p>
    <w:tbl>
      <w:tblPr>
        <w:tblStyle w:val="23"/>
        <w:tblpPr w:leftFromText="180" w:rightFromText="180" w:vertAnchor="text" w:horzAnchor="page" w:tblpX="1285" w:tblpY="362"/>
        <w:tblOverlap w:val="never"/>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119"/>
        <w:gridCol w:w="2551"/>
        <w:gridCol w:w="2678"/>
      </w:tblGrid>
      <w:tr w14:paraId="7A53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3DA1E395">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序号</w:t>
            </w:r>
          </w:p>
        </w:tc>
        <w:tc>
          <w:tcPr>
            <w:tcW w:w="3119" w:type="dxa"/>
            <w:noWrap/>
            <w:vAlign w:val="center"/>
          </w:tcPr>
          <w:p w14:paraId="28475EDD">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货物名称</w:t>
            </w:r>
          </w:p>
        </w:tc>
        <w:tc>
          <w:tcPr>
            <w:tcW w:w="2551" w:type="dxa"/>
            <w:noWrap/>
            <w:vAlign w:val="center"/>
          </w:tcPr>
          <w:p w14:paraId="7EE23D8C">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依据标准</w:t>
            </w:r>
          </w:p>
        </w:tc>
        <w:tc>
          <w:tcPr>
            <w:tcW w:w="2678" w:type="dxa"/>
            <w:noWrap/>
            <w:vAlign w:val="center"/>
          </w:tcPr>
          <w:p w14:paraId="34A765AE">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备注</w:t>
            </w:r>
          </w:p>
        </w:tc>
      </w:tr>
      <w:tr w14:paraId="591C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06CD93FD">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1</w:t>
            </w:r>
          </w:p>
        </w:tc>
        <w:tc>
          <w:tcPr>
            <w:tcW w:w="3119" w:type="dxa"/>
            <w:noWrap/>
            <w:vAlign w:val="center"/>
          </w:tcPr>
          <w:p w14:paraId="56DA937F">
            <w:pPr>
              <w:pStyle w:val="5"/>
              <w:ind w:firstLine="0" w:firstLineChars="0"/>
              <w:jc w:val="center"/>
              <w:rPr>
                <w:rFonts w:ascii="宋体" w:hAnsi="宋体"/>
                <w:b/>
                <w:color w:val="auto"/>
                <w:sz w:val="24"/>
                <w:szCs w:val="24"/>
                <w:highlight w:val="none"/>
              </w:rPr>
            </w:pPr>
          </w:p>
        </w:tc>
        <w:tc>
          <w:tcPr>
            <w:tcW w:w="2551" w:type="dxa"/>
            <w:noWrap/>
            <w:vAlign w:val="center"/>
          </w:tcPr>
          <w:p w14:paraId="0DEBEB39">
            <w:pPr>
              <w:pStyle w:val="5"/>
              <w:ind w:firstLine="0" w:firstLineChars="0"/>
              <w:jc w:val="center"/>
              <w:rPr>
                <w:rFonts w:ascii="宋体" w:hAnsi="宋体"/>
                <w:b/>
                <w:color w:val="auto"/>
                <w:sz w:val="24"/>
                <w:szCs w:val="24"/>
                <w:highlight w:val="none"/>
              </w:rPr>
            </w:pPr>
          </w:p>
        </w:tc>
        <w:tc>
          <w:tcPr>
            <w:tcW w:w="2678" w:type="dxa"/>
            <w:noWrap/>
            <w:vAlign w:val="center"/>
          </w:tcPr>
          <w:p w14:paraId="69D7E593">
            <w:pPr>
              <w:pStyle w:val="5"/>
              <w:ind w:firstLine="0" w:firstLineChars="0"/>
              <w:jc w:val="center"/>
              <w:rPr>
                <w:rFonts w:ascii="宋体" w:hAnsi="宋体"/>
                <w:b/>
                <w:color w:val="auto"/>
                <w:sz w:val="24"/>
                <w:szCs w:val="24"/>
                <w:highlight w:val="none"/>
              </w:rPr>
            </w:pPr>
          </w:p>
        </w:tc>
      </w:tr>
      <w:tr w14:paraId="20E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5247FC0D">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2</w:t>
            </w:r>
          </w:p>
        </w:tc>
        <w:tc>
          <w:tcPr>
            <w:tcW w:w="3119" w:type="dxa"/>
            <w:noWrap/>
            <w:vAlign w:val="center"/>
          </w:tcPr>
          <w:p w14:paraId="3A43E4C9">
            <w:pPr>
              <w:pStyle w:val="5"/>
              <w:ind w:firstLine="0" w:firstLineChars="0"/>
              <w:jc w:val="center"/>
              <w:rPr>
                <w:rFonts w:ascii="宋体" w:hAnsi="宋体"/>
                <w:b/>
                <w:color w:val="auto"/>
                <w:sz w:val="24"/>
                <w:szCs w:val="24"/>
                <w:highlight w:val="none"/>
              </w:rPr>
            </w:pPr>
          </w:p>
        </w:tc>
        <w:tc>
          <w:tcPr>
            <w:tcW w:w="2551" w:type="dxa"/>
            <w:noWrap/>
            <w:vAlign w:val="center"/>
          </w:tcPr>
          <w:p w14:paraId="6A1E022B">
            <w:pPr>
              <w:pStyle w:val="5"/>
              <w:ind w:firstLine="0" w:firstLineChars="0"/>
              <w:jc w:val="center"/>
              <w:rPr>
                <w:rFonts w:ascii="宋体" w:hAnsi="宋体"/>
                <w:b/>
                <w:color w:val="auto"/>
                <w:sz w:val="24"/>
                <w:szCs w:val="24"/>
                <w:highlight w:val="none"/>
              </w:rPr>
            </w:pPr>
          </w:p>
        </w:tc>
        <w:tc>
          <w:tcPr>
            <w:tcW w:w="2678" w:type="dxa"/>
            <w:noWrap/>
            <w:vAlign w:val="center"/>
          </w:tcPr>
          <w:p w14:paraId="63205E0F">
            <w:pPr>
              <w:pStyle w:val="5"/>
              <w:ind w:firstLine="0" w:firstLineChars="0"/>
              <w:jc w:val="center"/>
              <w:rPr>
                <w:rFonts w:ascii="宋体" w:hAnsi="宋体"/>
                <w:b/>
                <w:color w:val="auto"/>
                <w:sz w:val="24"/>
                <w:szCs w:val="24"/>
                <w:highlight w:val="none"/>
              </w:rPr>
            </w:pPr>
          </w:p>
        </w:tc>
      </w:tr>
      <w:tr w14:paraId="5D75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416D72EC">
            <w:pPr>
              <w:pStyle w:val="5"/>
              <w:ind w:firstLine="0" w:firstLineChars="0"/>
              <w:jc w:val="center"/>
              <w:rPr>
                <w:rFonts w:ascii="宋体" w:hAnsi="宋体"/>
                <w:b/>
                <w:color w:val="auto"/>
                <w:sz w:val="24"/>
                <w:szCs w:val="24"/>
                <w:highlight w:val="none"/>
              </w:rPr>
            </w:pPr>
            <w:r>
              <w:rPr>
                <w:rFonts w:hint="eastAsia" w:ascii="宋体" w:hAnsi="宋体"/>
                <w:b/>
                <w:color w:val="auto"/>
                <w:sz w:val="24"/>
                <w:szCs w:val="24"/>
                <w:highlight w:val="none"/>
              </w:rPr>
              <w:t>3</w:t>
            </w:r>
          </w:p>
        </w:tc>
        <w:tc>
          <w:tcPr>
            <w:tcW w:w="3119" w:type="dxa"/>
            <w:noWrap/>
            <w:vAlign w:val="center"/>
          </w:tcPr>
          <w:p w14:paraId="3553F4AD">
            <w:pPr>
              <w:pStyle w:val="5"/>
              <w:ind w:firstLine="0" w:firstLineChars="0"/>
              <w:jc w:val="center"/>
              <w:rPr>
                <w:rFonts w:ascii="宋体" w:hAnsi="宋体"/>
                <w:b/>
                <w:color w:val="auto"/>
                <w:sz w:val="24"/>
                <w:szCs w:val="24"/>
                <w:highlight w:val="none"/>
              </w:rPr>
            </w:pPr>
          </w:p>
        </w:tc>
        <w:tc>
          <w:tcPr>
            <w:tcW w:w="2551" w:type="dxa"/>
            <w:noWrap/>
            <w:vAlign w:val="center"/>
          </w:tcPr>
          <w:p w14:paraId="4DEE8A19">
            <w:pPr>
              <w:pStyle w:val="5"/>
              <w:ind w:firstLine="0" w:firstLineChars="0"/>
              <w:jc w:val="center"/>
              <w:rPr>
                <w:rFonts w:ascii="宋体" w:hAnsi="宋体"/>
                <w:b/>
                <w:color w:val="auto"/>
                <w:sz w:val="24"/>
                <w:szCs w:val="24"/>
                <w:highlight w:val="none"/>
              </w:rPr>
            </w:pPr>
          </w:p>
        </w:tc>
        <w:tc>
          <w:tcPr>
            <w:tcW w:w="2678" w:type="dxa"/>
            <w:noWrap/>
            <w:vAlign w:val="center"/>
          </w:tcPr>
          <w:p w14:paraId="6F880593">
            <w:pPr>
              <w:pStyle w:val="5"/>
              <w:ind w:firstLine="0" w:firstLineChars="0"/>
              <w:jc w:val="center"/>
              <w:rPr>
                <w:rFonts w:ascii="宋体" w:hAnsi="宋体"/>
                <w:b/>
                <w:color w:val="auto"/>
                <w:sz w:val="24"/>
                <w:szCs w:val="24"/>
                <w:highlight w:val="none"/>
              </w:rPr>
            </w:pPr>
          </w:p>
        </w:tc>
      </w:tr>
      <w:tr w14:paraId="3940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668D4691">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w:t>
            </w:r>
          </w:p>
        </w:tc>
        <w:tc>
          <w:tcPr>
            <w:tcW w:w="3119" w:type="dxa"/>
            <w:noWrap/>
            <w:vAlign w:val="center"/>
          </w:tcPr>
          <w:p w14:paraId="3D5D1E1A">
            <w:pPr>
              <w:pStyle w:val="5"/>
              <w:ind w:firstLine="0" w:firstLineChars="0"/>
              <w:jc w:val="center"/>
              <w:rPr>
                <w:rFonts w:ascii="宋体" w:hAnsi="宋体"/>
                <w:b/>
                <w:color w:val="auto"/>
                <w:sz w:val="24"/>
                <w:szCs w:val="24"/>
                <w:highlight w:val="none"/>
              </w:rPr>
            </w:pPr>
          </w:p>
        </w:tc>
        <w:tc>
          <w:tcPr>
            <w:tcW w:w="2551" w:type="dxa"/>
            <w:noWrap/>
            <w:vAlign w:val="center"/>
          </w:tcPr>
          <w:p w14:paraId="0DC880BF">
            <w:pPr>
              <w:pStyle w:val="5"/>
              <w:ind w:firstLine="0" w:firstLineChars="0"/>
              <w:jc w:val="center"/>
              <w:rPr>
                <w:rFonts w:ascii="宋体" w:hAnsi="宋体"/>
                <w:b/>
                <w:color w:val="auto"/>
                <w:sz w:val="24"/>
                <w:szCs w:val="24"/>
                <w:highlight w:val="none"/>
              </w:rPr>
            </w:pPr>
          </w:p>
        </w:tc>
        <w:tc>
          <w:tcPr>
            <w:tcW w:w="2678" w:type="dxa"/>
            <w:noWrap/>
            <w:vAlign w:val="center"/>
          </w:tcPr>
          <w:p w14:paraId="7EAA9A6C">
            <w:pPr>
              <w:pStyle w:val="5"/>
              <w:ind w:firstLine="0" w:firstLineChars="0"/>
              <w:jc w:val="center"/>
              <w:rPr>
                <w:rFonts w:ascii="宋体" w:hAnsi="宋体"/>
                <w:b/>
                <w:color w:val="auto"/>
                <w:sz w:val="24"/>
                <w:szCs w:val="24"/>
                <w:highlight w:val="none"/>
              </w:rPr>
            </w:pPr>
          </w:p>
        </w:tc>
      </w:tr>
      <w:tr w14:paraId="6150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76" w:type="dxa"/>
            <w:noWrap/>
            <w:vAlign w:val="center"/>
          </w:tcPr>
          <w:p w14:paraId="5FEE9A64">
            <w:pPr>
              <w:pStyle w:val="5"/>
              <w:ind w:firstLine="0" w:firstLineChars="0"/>
              <w:jc w:val="center"/>
              <w:rPr>
                <w:rFonts w:ascii="宋体" w:hAnsi="宋体"/>
                <w:b/>
                <w:color w:val="auto"/>
                <w:sz w:val="24"/>
                <w:szCs w:val="24"/>
                <w:highlight w:val="none"/>
              </w:rPr>
            </w:pPr>
            <w:r>
              <w:rPr>
                <w:rFonts w:ascii="宋体" w:hAnsi="宋体"/>
                <w:b/>
                <w:color w:val="auto"/>
                <w:sz w:val="24"/>
                <w:szCs w:val="24"/>
                <w:highlight w:val="none"/>
              </w:rPr>
              <w:t>…</w:t>
            </w:r>
          </w:p>
        </w:tc>
        <w:tc>
          <w:tcPr>
            <w:tcW w:w="3119" w:type="dxa"/>
            <w:noWrap/>
            <w:vAlign w:val="center"/>
          </w:tcPr>
          <w:p w14:paraId="4F8CE702">
            <w:pPr>
              <w:pStyle w:val="5"/>
              <w:ind w:firstLine="0" w:firstLineChars="0"/>
              <w:jc w:val="center"/>
              <w:rPr>
                <w:rFonts w:ascii="宋体" w:hAnsi="宋体"/>
                <w:b/>
                <w:color w:val="auto"/>
                <w:sz w:val="24"/>
                <w:szCs w:val="24"/>
                <w:highlight w:val="none"/>
              </w:rPr>
            </w:pPr>
          </w:p>
        </w:tc>
        <w:tc>
          <w:tcPr>
            <w:tcW w:w="2551" w:type="dxa"/>
            <w:noWrap/>
            <w:vAlign w:val="center"/>
          </w:tcPr>
          <w:p w14:paraId="1EED3A36">
            <w:pPr>
              <w:pStyle w:val="5"/>
              <w:ind w:firstLine="0" w:firstLineChars="0"/>
              <w:jc w:val="center"/>
              <w:rPr>
                <w:rFonts w:ascii="宋体" w:hAnsi="宋体"/>
                <w:b/>
                <w:color w:val="auto"/>
                <w:sz w:val="24"/>
                <w:szCs w:val="24"/>
                <w:highlight w:val="none"/>
              </w:rPr>
            </w:pPr>
          </w:p>
        </w:tc>
        <w:tc>
          <w:tcPr>
            <w:tcW w:w="2678" w:type="dxa"/>
            <w:noWrap/>
            <w:vAlign w:val="center"/>
          </w:tcPr>
          <w:p w14:paraId="75E1BB6A">
            <w:pPr>
              <w:pStyle w:val="5"/>
              <w:ind w:firstLine="0" w:firstLineChars="0"/>
              <w:jc w:val="center"/>
              <w:rPr>
                <w:rFonts w:ascii="宋体" w:hAnsi="宋体"/>
                <w:b/>
                <w:color w:val="auto"/>
                <w:sz w:val="24"/>
                <w:szCs w:val="24"/>
                <w:highlight w:val="none"/>
              </w:rPr>
            </w:pPr>
          </w:p>
        </w:tc>
      </w:tr>
    </w:tbl>
    <w:p w14:paraId="1AAF60EB">
      <w:pPr>
        <w:jc w:val="center"/>
        <w:rPr>
          <w:rFonts w:ascii="宋体" w:hAnsi="宋体"/>
          <w:b/>
          <w:bCs/>
          <w:color w:val="auto"/>
          <w:sz w:val="28"/>
          <w:szCs w:val="28"/>
          <w:highlight w:val="none"/>
        </w:rPr>
      </w:pPr>
    </w:p>
    <w:p w14:paraId="29B42637">
      <w:pPr>
        <w:pStyle w:val="5"/>
        <w:ind w:firstLine="480"/>
        <w:rPr>
          <w:rFonts w:ascii="宋体" w:hAnsi="宋体"/>
          <w:color w:val="auto"/>
          <w:sz w:val="24"/>
          <w:highlight w:val="none"/>
        </w:rPr>
      </w:pPr>
    </w:p>
    <w:p w14:paraId="75531766">
      <w:pPr>
        <w:pStyle w:val="5"/>
        <w:ind w:firstLine="480"/>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rPr>
        <w:t>：</w:t>
      </w:r>
    </w:p>
    <w:p w14:paraId="04A3B340">
      <w:pPr>
        <w:pStyle w:val="5"/>
        <w:ind w:firstLine="480"/>
        <w:rPr>
          <w:rFonts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本表不填写不构成废标条款</w:t>
      </w:r>
      <w:r>
        <w:rPr>
          <w:rFonts w:hint="eastAsia" w:ascii="宋体" w:hAnsi="宋体"/>
          <w:color w:val="auto"/>
          <w:sz w:val="24"/>
          <w:highlight w:val="none"/>
        </w:rPr>
        <w:t>。</w:t>
      </w:r>
    </w:p>
    <w:p w14:paraId="4C6C0C03">
      <w:pPr>
        <w:pStyle w:val="5"/>
        <w:ind w:firstLine="48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节能、环保产品认证证书附后。</w:t>
      </w:r>
    </w:p>
    <w:p w14:paraId="3225308A">
      <w:pPr>
        <w:spacing w:line="400" w:lineRule="atLeast"/>
        <w:ind w:firstLine="360" w:firstLineChars="150"/>
        <w:rPr>
          <w:rFonts w:ascii="宋体" w:hAnsi="宋体"/>
          <w:color w:val="auto"/>
          <w:sz w:val="24"/>
          <w:highlight w:val="none"/>
        </w:rPr>
      </w:pPr>
    </w:p>
    <w:p w14:paraId="6A1E3DAD">
      <w:pPr>
        <w:spacing w:line="400" w:lineRule="atLeast"/>
        <w:ind w:firstLine="360" w:firstLineChars="150"/>
        <w:rPr>
          <w:rFonts w:ascii="宋体" w:hAnsi="宋体"/>
          <w:color w:val="auto"/>
          <w:sz w:val="24"/>
          <w:highlight w:val="none"/>
        </w:rPr>
      </w:pPr>
    </w:p>
    <w:p w14:paraId="36041CE9">
      <w:pPr>
        <w:spacing w:before="60" w:after="60" w:line="480" w:lineRule="auto"/>
        <w:rPr>
          <w:rFonts w:ascii="宋体" w:hAnsi="宋体" w:eastAsia="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eastAsia="宋体"/>
          <w:color w:val="auto"/>
          <w:sz w:val="24"/>
          <w:szCs w:val="24"/>
          <w:highlight w:val="none"/>
        </w:rPr>
        <w:t>（加盖电子公章）：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C7123F0">
      <w:pPr>
        <w:spacing w:before="60" w:after="60" w:line="480" w:lineRule="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法定代表人或委托代理人（</w:t>
      </w:r>
      <w:r>
        <w:rPr>
          <w:rFonts w:hint="eastAsia" w:ascii="宋体" w:hAnsi="宋体" w:cs="宋体"/>
          <w:color w:val="auto"/>
          <w:sz w:val="24"/>
          <w:szCs w:val="24"/>
          <w:highlight w:val="none"/>
        </w:rPr>
        <w:t>签字或电子签名或电子签章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p>
    <w:p w14:paraId="7C174289">
      <w:pPr>
        <w:pStyle w:val="7"/>
        <w:rPr>
          <w:color w:val="auto"/>
          <w:sz w:val="24"/>
          <w:szCs w:val="24"/>
          <w:highlight w:val="none"/>
        </w:rPr>
      </w:pPr>
      <w:r>
        <w:rPr>
          <w:rFonts w:hint="eastAsia" w:ascii="宋体" w:hAnsi="宋体" w:eastAsia="宋体"/>
          <w:color w:val="auto"/>
          <w:sz w:val="24"/>
          <w:szCs w:val="24"/>
          <w:highlight w:val="none"/>
        </w:rPr>
        <w:t>日期：</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14:paraId="63E4C060">
      <w:pPr>
        <w:jc w:val="center"/>
        <w:rPr>
          <w:rFonts w:ascii="宋体" w:hAnsi="宋体"/>
          <w:b/>
          <w:bCs/>
          <w:color w:val="auto"/>
          <w:sz w:val="28"/>
          <w:szCs w:val="28"/>
          <w:highlight w:val="none"/>
        </w:rPr>
        <w:sectPr>
          <w:pgSz w:w="11906" w:h="16838"/>
          <w:pgMar w:top="1440" w:right="1134" w:bottom="1418" w:left="1134" w:header="851" w:footer="936" w:gutter="0"/>
          <w:pgNumType w:fmt="decimal"/>
          <w:cols w:space="720" w:num="1"/>
          <w:docGrid w:linePitch="312" w:charSpace="0"/>
        </w:sectPr>
      </w:pPr>
    </w:p>
    <w:p w14:paraId="7F96511C">
      <w:pPr>
        <w:keepNext/>
        <w:keepLines/>
        <w:widowControl/>
        <w:autoSpaceDE w:val="0"/>
        <w:spacing w:line="360" w:lineRule="auto"/>
        <w:jc w:val="center"/>
        <w:outlineLvl w:val="2"/>
        <w:rPr>
          <w:rFonts w:ascii="宋体" w:hAnsi="宋体" w:cs="宋体"/>
          <w:b/>
          <w:color w:val="auto"/>
          <w:sz w:val="30"/>
          <w:szCs w:val="30"/>
          <w:highlight w:val="none"/>
        </w:rPr>
      </w:pP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投标人认为需要提交的其他资料</w:t>
      </w:r>
    </w:p>
    <w:p w14:paraId="1CF78BFE">
      <w:pPr>
        <w:pStyle w:val="33"/>
        <w:ind w:firstLine="210" w:firstLineChars="100"/>
        <w:jc w:val="center"/>
        <w:rPr>
          <w:color w:val="auto"/>
          <w:highlight w:val="none"/>
        </w:rPr>
      </w:pPr>
    </w:p>
    <w:p w14:paraId="3A9ED246">
      <w:pPr>
        <w:pStyle w:val="49"/>
        <w:spacing w:before="0" w:after="0" w:line="460" w:lineRule="exact"/>
        <w:ind w:left="0" w:right="23" w:firstLine="480" w:firstLineChars="200"/>
        <w:jc w:val="both"/>
        <w:rPr>
          <w:rFonts w:ascii="宋体" w:hAnsi="宋体" w:cs="宋体"/>
          <w:color w:val="auto"/>
          <w:highlight w:val="none"/>
        </w:rPr>
        <w:sectPr>
          <w:pgSz w:w="11906" w:h="16838"/>
          <w:pgMar w:top="1440" w:right="1080" w:bottom="1440" w:left="1080" w:header="851" w:footer="992" w:gutter="0"/>
          <w:pgNumType w:fmt="decimal"/>
          <w:cols w:space="720" w:num="1"/>
          <w:docGrid w:type="lines" w:linePitch="312" w:charSpace="0"/>
        </w:sectPr>
      </w:pPr>
    </w:p>
    <w:p w14:paraId="62B3E6DA">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lang w:val="en-US" w:eastAsia="zh-CN"/>
        </w:rPr>
        <w:t>六</w:t>
      </w:r>
      <w:r>
        <w:rPr>
          <w:rFonts w:hint="eastAsia" w:ascii="宋体" w:hAnsi="宋体" w:cs="宋体"/>
          <w:b/>
          <w:bCs/>
          <w:color w:val="auto"/>
          <w:kern w:val="0"/>
          <w:sz w:val="30"/>
          <w:szCs w:val="30"/>
          <w:highlight w:val="none"/>
        </w:rPr>
        <w:t>、投标货物技术参数偏离表</w:t>
      </w:r>
    </w:p>
    <w:p w14:paraId="1FC96D9B">
      <w:pPr>
        <w:pStyle w:val="11"/>
        <w:rPr>
          <w:color w:val="auto"/>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4"/>
        <w:gridCol w:w="2905"/>
        <w:gridCol w:w="2869"/>
        <w:gridCol w:w="1241"/>
      </w:tblGrid>
      <w:tr w14:paraId="1508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17" w:type="dxa"/>
            <w:noWrap/>
          </w:tcPr>
          <w:p w14:paraId="4FE8AC4D">
            <w:pPr>
              <w:autoSpaceDE w:val="0"/>
              <w:autoSpaceDN w:val="0"/>
              <w:spacing w:line="500" w:lineRule="exact"/>
              <w:jc w:val="center"/>
              <w:rPr>
                <w:b/>
                <w:bCs/>
                <w:color w:val="auto"/>
                <w:sz w:val="24"/>
                <w:highlight w:val="none"/>
              </w:rPr>
            </w:pPr>
            <w:r>
              <w:rPr>
                <w:rFonts w:hint="eastAsia"/>
                <w:b/>
                <w:bCs/>
                <w:color w:val="auto"/>
                <w:sz w:val="24"/>
                <w:highlight w:val="none"/>
              </w:rPr>
              <w:t>序号</w:t>
            </w:r>
          </w:p>
        </w:tc>
        <w:tc>
          <w:tcPr>
            <w:tcW w:w="1314" w:type="dxa"/>
            <w:noWrap/>
          </w:tcPr>
          <w:p w14:paraId="42CD65C3">
            <w:pPr>
              <w:autoSpaceDE w:val="0"/>
              <w:autoSpaceDN w:val="0"/>
              <w:spacing w:line="500" w:lineRule="exact"/>
              <w:jc w:val="center"/>
              <w:rPr>
                <w:b/>
                <w:bCs/>
                <w:color w:val="auto"/>
                <w:sz w:val="24"/>
                <w:highlight w:val="none"/>
              </w:rPr>
            </w:pPr>
            <w:r>
              <w:rPr>
                <w:b/>
                <w:bCs/>
                <w:color w:val="auto"/>
                <w:sz w:val="24"/>
                <w:highlight w:val="none"/>
              </w:rPr>
              <w:t>名称</w:t>
            </w:r>
          </w:p>
        </w:tc>
        <w:tc>
          <w:tcPr>
            <w:tcW w:w="2905" w:type="dxa"/>
            <w:noWrap/>
          </w:tcPr>
          <w:p w14:paraId="679C51F2">
            <w:pPr>
              <w:autoSpaceDE w:val="0"/>
              <w:autoSpaceDN w:val="0"/>
              <w:spacing w:line="500" w:lineRule="exact"/>
              <w:jc w:val="center"/>
              <w:rPr>
                <w:b/>
                <w:bCs/>
                <w:color w:val="auto"/>
                <w:sz w:val="24"/>
                <w:highlight w:val="none"/>
              </w:rPr>
            </w:pPr>
            <w:r>
              <w:rPr>
                <w:b/>
                <w:bCs/>
                <w:color w:val="auto"/>
                <w:sz w:val="24"/>
                <w:highlight w:val="none"/>
              </w:rPr>
              <w:t>招标文件技术参数</w:t>
            </w:r>
          </w:p>
        </w:tc>
        <w:tc>
          <w:tcPr>
            <w:tcW w:w="2869" w:type="dxa"/>
            <w:noWrap/>
          </w:tcPr>
          <w:p w14:paraId="4F944F59">
            <w:pPr>
              <w:autoSpaceDE w:val="0"/>
              <w:autoSpaceDN w:val="0"/>
              <w:spacing w:line="500" w:lineRule="exact"/>
              <w:jc w:val="center"/>
              <w:rPr>
                <w:b/>
                <w:bCs/>
                <w:color w:val="auto"/>
                <w:sz w:val="24"/>
                <w:highlight w:val="none"/>
              </w:rPr>
            </w:pPr>
            <w:r>
              <w:rPr>
                <w:b/>
                <w:bCs/>
                <w:color w:val="auto"/>
                <w:sz w:val="24"/>
                <w:highlight w:val="none"/>
              </w:rPr>
              <w:t>投标文件技术参数</w:t>
            </w:r>
          </w:p>
        </w:tc>
        <w:tc>
          <w:tcPr>
            <w:tcW w:w="1241" w:type="dxa"/>
            <w:noWrap/>
          </w:tcPr>
          <w:p w14:paraId="31699BA1">
            <w:pPr>
              <w:autoSpaceDE w:val="0"/>
              <w:autoSpaceDN w:val="0"/>
              <w:spacing w:line="500" w:lineRule="exact"/>
              <w:jc w:val="center"/>
              <w:rPr>
                <w:b/>
                <w:bCs/>
                <w:color w:val="auto"/>
                <w:sz w:val="24"/>
                <w:highlight w:val="none"/>
              </w:rPr>
            </w:pPr>
            <w:r>
              <w:rPr>
                <w:b/>
                <w:bCs/>
                <w:color w:val="auto"/>
                <w:sz w:val="24"/>
                <w:highlight w:val="none"/>
              </w:rPr>
              <w:t>偏离说明</w:t>
            </w:r>
          </w:p>
        </w:tc>
      </w:tr>
      <w:tr w14:paraId="5EAD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10DF1C94">
            <w:pPr>
              <w:autoSpaceDE w:val="0"/>
              <w:autoSpaceDN w:val="0"/>
              <w:spacing w:line="500" w:lineRule="exact"/>
              <w:jc w:val="center"/>
              <w:rPr>
                <w:b/>
                <w:color w:val="auto"/>
                <w:sz w:val="24"/>
                <w:highlight w:val="none"/>
              </w:rPr>
            </w:pPr>
          </w:p>
        </w:tc>
        <w:tc>
          <w:tcPr>
            <w:tcW w:w="1314" w:type="dxa"/>
            <w:noWrap/>
          </w:tcPr>
          <w:p w14:paraId="2B74CA07">
            <w:pPr>
              <w:autoSpaceDE w:val="0"/>
              <w:autoSpaceDN w:val="0"/>
              <w:spacing w:line="500" w:lineRule="exact"/>
              <w:rPr>
                <w:b/>
                <w:color w:val="auto"/>
                <w:sz w:val="24"/>
                <w:highlight w:val="none"/>
              </w:rPr>
            </w:pPr>
          </w:p>
        </w:tc>
        <w:tc>
          <w:tcPr>
            <w:tcW w:w="2905" w:type="dxa"/>
            <w:noWrap/>
          </w:tcPr>
          <w:p w14:paraId="5D2E670E">
            <w:pPr>
              <w:autoSpaceDE w:val="0"/>
              <w:autoSpaceDN w:val="0"/>
              <w:spacing w:line="500" w:lineRule="exact"/>
              <w:rPr>
                <w:b/>
                <w:color w:val="auto"/>
                <w:sz w:val="24"/>
                <w:highlight w:val="none"/>
              </w:rPr>
            </w:pPr>
          </w:p>
        </w:tc>
        <w:tc>
          <w:tcPr>
            <w:tcW w:w="2869" w:type="dxa"/>
            <w:noWrap/>
          </w:tcPr>
          <w:p w14:paraId="7E984BF0">
            <w:pPr>
              <w:autoSpaceDE w:val="0"/>
              <w:autoSpaceDN w:val="0"/>
              <w:spacing w:line="500" w:lineRule="exact"/>
              <w:rPr>
                <w:b/>
                <w:color w:val="auto"/>
                <w:sz w:val="24"/>
                <w:highlight w:val="none"/>
              </w:rPr>
            </w:pPr>
          </w:p>
        </w:tc>
        <w:tc>
          <w:tcPr>
            <w:tcW w:w="1241" w:type="dxa"/>
            <w:noWrap/>
          </w:tcPr>
          <w:p w14:paraId="686E3552">
            <w:pPr>
              <w:autoSpaceDE w:val="0"/>
              <w:autoSpaceDN w:val="0"/>
              <w:spacing w:line="500" w:lineRule="exact"/>
              <w:rPr>
                <w:b/>
                <w:color w:val="auto"/>
                <w:sz w:val="24"/>
                <w:highlight w:val="none"/>
              </w:rPr>
            </w:pPr>
          </w:p>
        </w:tc>
      </w:tr>
      <w:tr w14:paraId="558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66264CD3">
            <w:pPr>
              <w:autoSpaceDE w:val="0"/>
              <w:autoSpaceDN w:val="0"/>
              <w:spacing w:line="500" w:lineRule="exact"/>
              <w:jc w:val="center"/>
              <w:rPr>
                <w:b/>
                <w:color w:val="auto"/>
                <w:sz w:val="24"/>
                <w:highlight w:val="none"/>
              </w:rPr>
            </w:pPr>
          </w:p>
        </w:tc>
        <w:tc>
          <w:tcPr>
            <w:tcW w:w="1314" w:type="dxa"/>
            <w:noWrap/>
          </w:tcPr>
          <w:p w14:paraId="3A0484BF">
            <w:pPr>
              <w:autoSpaceDE w:val="0"/>
              <w:autoSpaceDN w:val="0"/>
              <w:spacing w:line="500" w:lineRule="exact"/>
              <w:rPr>
                <w:b/>
                <w:color w:val="auto"/>
                <w:sz w:val="24"/>
                <w:highlight w:val="none"/>
              </w:rPr>
            </w:pPr>
          </w:p>
        </w:tc>
        <w:tc>
          <w:tcPr>
            <w:tcW w:w="2905" w:type="dxa"/>
            <w:noWrap/>
          </w:tcPr>
          <w:p w14:paraId="5AAC840D">
            <w:pPr>
              <w:autoSpaceDE w:val="0"/>
              <w:autoSpaceDN w:val="0"/>
              <w:spacing w:line="500" w:lineRule="exact"/>
              <w:rPr>
                <w:b/>
                <w:color w:val="auto"/>
                <w:sz w:val="24"/>
                <w:highlight w:val="none"/>
              </w:rPr>
            </w:pPr>
          </w:p>
        </w:tc>
        <w:tc>
          <w:tcPr>
            <w:tcW w:w="2869" w:type="dxa"/>
            <w:noWrap/>
          </w:tcPr>
          <w:p w14:paraId="51CE277A">
            <w:pPr>
              <w:autoSpaceDE w:val="0"/>
              <w:autoSpaceDN w:val="0"/>
              <w:spacing w:line="500" w:lineRule="exact"/>
              <w:rPr>
                <w:b/>
                <w:color w:val="auto"/>
                <w:sz w:val="24"/>
                <w:highlight w:val="none"/>
              </w:rPr>
            </w:pPr>
          </w:p>
        </w:tc>
        <w:tc>
          <w:tcPr>
            <w:tcW w:w="1241" w:type="dxa"/>
            <w:noWrap/>
          </w:tcPr>
          <w:p w14:paraId="265924E5">
            <w:pPr>
              <w:autoSpaceDE w:val="0"/>
              <w:autoSpaceDN w:val="0"/>
              <w:spacing w:line="500" w:lineRule="exact"/>
              <w:rPr>
                <w:b/>
                <w:color w:val="auto"/>
                <w:sz w:val="24"/>
                <w:highlight w:val="none"/>
              </w:rPr>
            </w:pPr>
          </w:p>
        </w:tc>
      </w:tr>
      <w:tr w14:paraId="5BA9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66E41E7F">
            <w:pPr>
              <w:autoSpaceDE w:val="0"/>
              <w:autoSpaceDN w:val="0"/>
              <w:spacing w:line="500" w:lineRule="exact"/>
              <w:jc w:val="center"/>
              <w:rPr>
                <w:b/>
                <w:color w:val="auto"/>
                <w:sz w:val="24"/>
                <w:highlight w:val="none"/>
              </w:rPr>
            </w:pPr>
          </w:p>
        </w:tc>
        <w:tc>
          <w:tcPr>
            <w:tcW w:w="1314" w:type="dxa"/>
            <w:noWrap/>
          </w:tcPr>
          <w:p w14:paraId="4C8BD29F">
            <w:pPr>
              <w:autoSpaceDE w:val="0"/>
              <w:autoSpaceDN w:val="0"/>
              <w:spacing w:line="500" w:lineRule="exact"/>
              <w:rPr>
                <w:b/>
                <w:color w:val="auto"/>
                <w:sz w:val="24"/>
                <w:highlight w:val="none"/>
              </w:rPr>
            </w:pPr>
          </w:p>
        </w:tc>
        <w:tc>
          <w:tcPr>
            <w:tcW w:w="2905" w:type="dxa"/>
            <w:noWrap/>
          </w:tcPr>
          <w:p w14:paraId="5D0B36A1">
            <w:pPr>
              <w:autoSpaceDE w:val="0"/>
              <w:autoSpaceDN w:val="0"/>
              <w:spacing w:line="500" w:lineRule="exact"/>
              <w:rPr>
                <w:b/>
                <w:color w:val="auto"/>
                <w:sz w:val="24"/>
                <w:highlight w:val="none"/>
              </w:rPr>
            </w:pPr>
          </w:p>
        </w:tc>
        <w:tc>
          <w:tcPr>
            <w:tcW w:w="2869" w:type="dxa"/>
            <w:noWrap/>
          </w:tcPr>
          <w:p w14:paraId="073D34F6">
            <w:pPr>
              <w:autoSpaceDE w:val="0"/>
              <w:autoSpaceDN w:val="0"/>
              <w:spacing w:line="500" w:lineRule="exact"/>
              <w:rPr>
                <w:b/>
                <w:color w:val="auto"/>
                <w:sz w:val="24"/>
                <w:highlight w:val="none"/>
              </w:rPr>
            </w:pPr>
          </w:p>
        </w:tc>
        <w:tc>
          <w:tcPr>
            <w:tcW w:w="1241" w:type="dxa"/>
            <w:noWrap/>
          </w:tcPr>
          <w:p w14:paraId="256ED92A">
            <w:pPr>
              <w:autoSpaceDE w:val="0"/>
              <w:autoSpaceDN w:val="0"/>
              <w:spacing w:line="500" w:lineRule="exact"/>
              <w:rPr>
                <w:b/>
                <w:color w:val="auto"/>
                <w:sz w:val="24"/>
                <w:highlight w:val="none"/>
              </w:rPr>
            </w:pPr>
          </w:p>
        </w:tc>
      </w:tr>
      <w:tr w14:paraId="2BE8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ign w:val="center"/>
          </w:tcPr>
          <w:p w14:paraId="16D8468A">
            <w:pPr>
              <w:autoSpaceDE w:val="0"/>
              <w:autoSpaceDN w:val="0"/>
              <w:spacing w:line="500" w:lineRule="exact"/>
              <w:jc w:val="center"/>
              <w:rPr>
                <w:b/>
                <w:bCs/>
                <w:color w:val="auto"/>
                <w:sz w:val="24"/>
                <w:highlight w:val="none"/>
              </w:rPr>
            </w:pPr>
          </w:p>
        </w:tc>
        <w:tc>
          <w:tcPr>
            <w:tcW w:w="1314" w:type="dxa"/>
            <w:noWrap/>
          </w:tcPr>
          <w:p w14:paraId="6BAB93CD">
            <w:pPr>
              <w:autoSpaceDE w:val="0"/>
              <w:autoSpaceDN w:val="0"/>
              <w:spacing w:line="500" w:lineRule="exact"/>
              <w:jc w:val="center"/>
              <w:rPr>
                <w:b/>
                <w:bCs/>
                <w:color w:val="auto"/>
                <w:sz w:val="24"/>
                <w:highlight w:val="none"/>
              </w:rPr>
            </w:pPr>
          </w:p>
        </w:tc>
        <w:tc>
          <w:tcPr>
            <w:tcW w:w="2905" w:type="dxa"/>
            <w:noWrap/>
          </w:tcPr>
          <w:p w14:paraId="15A332B5">
            <w:pPr>
              <w:autoSpaceDE w:val="0"/>
              <w:autoSpaceDN w:val="0"/>
              <w:spacing w:line="500" w:lineRule="exact"/>
              <w:rPr>
                <w:b/>
                <w:color w:val="auto"/>
                <w:sz w:val="24"/>
                <w:highlight w:val="none"/>
              </w:rPr>
            </w:pPr>
          </w:p>
        </w:tc>
        <w:tc>
          <w:tcPr>
            <w:tcW w:w="2869" w:type="dxa"/>
            <w:noWrap/>
          </w:tcPr>
          <w:p w14:paraId="6C2DF426">
            <w:pPr>
              <w:autoSpaceDE w:val="0"/>
              <w:autoSpaceDN w:val="0"/>
              <w:spacing w:line="500" w:lineRule="exact"/>
              <w:rPr>
                <w:b/>
                <w:color w:val="auto"/>
                <w:sz w:val="24"/>
                <w:highlight w:val="none"/>
              </w:rPr>
            </w:pPr>
          </w:p>
        </w:tc>
        <w:tc>
          <w:tcPr>
            <w:tcW w:w="1241" w:type="dxa"/>
            <w:noWrap/>
          </w:tcPr>
          <w:p w14:paraId="134705B6">
            <w:pPr>
              <w:autoSpaceDE w:val="0"/>
              <w:autoSpaceDN w:val="0"/>
              <w:spacing w:line="500" w:lineRule="exact"/>
              <w:rPr>
                <w:b/>
                <w:color w:val="auto"/>
                <w:sz w:val="24"/>
                <w:highlight w:val="none"/>
              </w:rPr>
            </w:pPr>
          </w:p>
        </w:tc>
      </w:tr>
    </w:tbl>
    <w:p w14:paraId="07C9219A">
      <w:pPr>
        <w:autoSpaceDE w:val="0"/>
        <w:autoSpaceDN w:val="0"/>
        <w:spacing w:line="500" w:lineRule="exact"/>
        <w:rPr>
          <w:rFonts w:ascii="宋体" w:hAnsi="宋体" w:cs="宋体"/>
          <w:color w:val="auto"/>
          <w:sz w:val="24"/>
          <w:highlight w:val="none"/>
        </w:rPr>
      </w:pPr>
    </w:p>
    <w:p w14:paraId="14353E07">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注：</w:t>
      </w:r>
    </w:p>
    <w:p w14:paraId="7B4B1EDA">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1.投标人必须对应招标文件第五章采购需求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采购清单</w:t>
      </w:r>
      <w:r>
        <w:rPr>
          <w:rFonts w:hint="eastAsia" w:ascii="宋体" w:hAnsi="宋体" w:cs="宋体"/>
          <w:color w:val="auto"/>
          <w:sz w:val="24"/>
          <w:highlight w:val="none"/>
          <w:lang w:eastAsia="zh-CN"/>
        </w:rPr>
        <w:t>”</w:t>
      </w:r>
      <w:r>
        <w:rPr>
          <w:rFonts w:hint="eastAsia" w:ascii="宋体" w:hAnsi="宋体" w:cs="宋体"/>
          <w:color w:val="auto"/>
          <w:sz w:val="24"/>
          <w:highlight w:val="none"/>
        </w:rPr>
        <w:t>中的</w:t>
      </w:r>
      <w:r>
        <w:rPr>
          <w:rFonts w:hint="eastAsia" w:ascii="宋体" w:hAnsi="宋体" w:cs="宋体"/>
          <w:color w:val="auto"/>
          <w:sz w:val="24"/>
          <w:highlight w:val="none"/>
          <w:lang w:val="en-US" w:eastAsia="zh-CN"/>
        </w:rPr>
        <w:t>所有货物</w:t>
      </w:r>
      <w:r>
        <w:rPr>
          <w:rFonts w:hint="eastAsia" w:ascii="宋体" w:hAnsi="宋体" w:cs="宋体"/>
          <w:color w:val="auto"/>
          <w:sz w:val="24"/>
          <w:highlight w:val="none"/>
        </w:rPr>
        <w:t>参数内容逐条响应。</w:t>
      </w:r>
    </w:p>
    <w:p w14:paraId="42FC0848">
      <w:pPr>
        <w:autoSpaceDE w:val="0"/>
        <w:autoSpaceDN w:val="0"/>
        <w:spacing w:line="460" w:lineRule="exact"/>
        <w:rPr>
          <w:rFonts w:ascii="宋体" w:hAnsi="宋体" w:cs="宋体"/>
          <w:color w:val="auto"/>
          <w:sz w:val="24"/>
          <w:highlight w:val="none"/>
        </w:rPr>
      </w:pPr>
      <w:r>
        <w:rPr>
          <w:rFonts w:hint="eastAsia" w:ascii="宋体" w:hAnsi="宋体" w:cs="宋体"/>
          <w:bCs/>
          <w:color w:val="auto"/>
          <w:sz w:val="24"/>
          <w:highlight w:val="none"/>
        </w:rPr>
        <w:t>2.投标人应按投标货物实际数据填写</w:t>
      </w:r>
      <w:r>
        <w:rPr>
          <w:rFonts w:hint="eastAsia" w:ascii="宋体" w:hAnsi="宋体" w:cs="宋体"/>
          <w:color w:val="auto"/>
          <w:sz w:val="24"/>
          <w:highlight w:val="none"/>
        </w:rPr>
        <w:t>实际参数</w:t>
      </w:r>
      <w:r>
        <w:rPr>
          <w:rFonts w:hint="eastAsia" w:ascii="宋体" w:hAnsi="宋体" w:cs="宋体"/>
          <w:bCs/>
          <w:color w:val="auto"/>
          <w:sz w:val="24"/>
          <w:highlight w:val="none"/>
        </w:rPr>
        <w:t>。</w:t>
      </w:r>
    </w:p>
    <w:p w14:paraId="48384EA5">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3.投标人响应采购需求应具体、明确；含糊不清、不确切的，按照不完全响应或者完全不响应处理。</w:t>
      </w:r>
    </w:p>
    <w:p w14:paraId="672E7C14">
      <w:pPr>
        <w:autoSpaceDE w:val="0"/>
        <w:autoSpaceDN w:val="0"/>
        <w:spacing w:line="460" w:lineRule="exact"/>
        <w:rPr>
          <w:rFonts w:ascii="宋体" w:hAnsi="宋体" w:cs="宋体"/>
          <w:color w:val="auto"/>
          <w:sz w:val="24"/>
          <w:highlight w:val="none"/>
        </w:rPr>
      </w:pPr>
      <w:r>
        <w:rPr>
          <w:rFonts w:hint="eastAsia" w:ascii="宋体" w:hAnsi="宋体" w:cs="宋体"/>
          <w:color w:val="auto"/>
          <w:sz w:val="24"/>
          <w:highlight w:val="none"/>
        </w:rPr>
        <w:t>4.本表可根据实际需求自行增减行数，但内容不得擅自修改。</w:t>
      </w:r>
    </w:p>
    <w:p w14:paraId="6AC73F6E">
      <w:pPr>
        <w:autoSpaceDE w:val="0"/>
        <w:autoSpaceDN w:val="0"/>
        <w:spacing w:line="460" w:lineRule="exact"/>
        <w:rPr>
          <w:rFonts w:ascii="宋体" w:hAnsi="宋体" w:cs="宋体"/>
          <w:bCs/>
          <w:color w:val="auto"/>
          <w:sz w:val="24"/>
          <w:highlight w:val="none"/>
        </w:rPr>
      </w:pPr>
      <w:r>
        <w:rPr>
          <w:rFonts w:hint="eastAsia" w:ascii="宋体" w:hAnsi="宋体" w:cs="宋体"/>
          <w:bCs/>
          <w:color w:val="auto"/>
          <w:sz w:val="24"/>
          <w:highlight w:val="none"/>
        </w:rPr>
        <w:t>5.后附相关证明材料。</w:t>
      </w:r>
    </w:p>
    <w:p w14:paraId="4FEDA03A">
      <w:pPr>
        <w:spacing w:line="460" w:lineRule="exact"/>
        <w:rPr>
          <w:color w:val="auto"/>
          <w:sz w:val="24"/>
          <w:highlight w:val="none"/>
        </w:rPr>
      </w:pPr>
    </w:p>
    <w:p w14:paraId="40C40212">
      <w:pPr>
        <w:spacing w:line="560" w:lineRule="exact"/>
        <w:ind w:firstLine="480" w:firstLineChars="200"/>
        <w:rPr>
          <w:rFonts w:ascii="宋体"/>
          <w:color w:val="auto"/>
          <w:sz w:val="24"/>
          <w:highlight w:val="none"/>
        </w:rPr>
      </w:pPr>
      <w:r>
        <w:rPr>
          <w:rFonts w:hint="eastAsia" w:ascii="宋体" w:hAnsi="宋体" w:cs="宋体"/>
          <w:color w:val="auto"/>
          <w:sz w:val="24"/>
          <w:highlight w:val="none"/>
        </w:rPr>
        <w:t>投标人（加盖电子公章）：</w:t>
      </w:r>
      <w:r>
        <w:rPr>
          <w:rFonts w:hint="eastAsia" w:ascii="宋体" w:hAnsi="宋体" w:cs="宋体"/>
          <w:color w:val="auto"/>
          <w:sz w:val="24"/>
          <w:highlight w:val="none"/>
          <w:u w:val="single"/>
        </w:rPr>
        <w:t>　　　　　　　　　　　　</w:t>
      </w:r>
    </w:p>
    <w:p w14:paraId="4B374797">
      <w:pPr>
        <w:spacing w:line="560" w:lineRule="exact"/>
        <w:ind w:firstLine="480" w:firstLineChars="200"/>
        <w:rPr>
          <w:rFonts w:ascii="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szCs w:val="24"/>
          <w:highlight w:val="none"/>
        </w:rPr>
        <w:t>签字或电子签名或电子签章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2443D38D">
      <w:pPr>
        <w:adjustRightInd w:val="0"/>
        <w:spacing w:line="560" w:lineRule="exact"/>
        <w:ind w:firstLine="480" w:firstLineChars="200"/>
        <w:rPr>
          <w:rFonts w:ascii="宋体" w:hAnsi="宋体" w:cs="宋体"/>
          <w:color w:val="auto"/>
          <w:sz w:val="24"/>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4BC4DEF3">
      <w:pPr>
        <w:keepNext/>
        <w:keepLines/>
        <w:widowControl/>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项目</w:t>
      </w:r>
      <w:r>
        <w:rPr>
          <w:rFonts w:hint="eastAsia" w:ascii="宋体" w:hAnsi="宋体" w:cs="宋体"/>
          <w:b/>
          <w:color w:val="auto"/>
          <w:sz w:val="30"/>
          <w:szCs w:val="30"/>
          <w:highlight w:val="none"/>
        </w:rPr>
        <w:t>实施方案</w:t>
      </w:r>
    </w:p>
    <w:p w14:paraId="0C2EA52A">
      <w:pPr>
        <w:pStyle w:val="49"/>
        <w:spacing w:before="0" w:after="0" w:line="460" w:lineRule="exact"/>
        <w:ind w:left="0" w:right="23" w:firstLine="480" w:firstLineChars="200"/>
        <w:jc w:val="left"/>
        <w:rPr>
          <w:rFonts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6460E974">
      <w:pPr>
        <w:keepNext/>
        <w:keepLines/>
        <w:widowControl/>
        <w:autoSpaceDE w:val="0"/>
        <w:spacing w:line="360" w:lineRule="auto"/>
        <w:jc w:val="left"/>
        <w:outlineLvl w:val="2"/>
        <w:rPr>
          <w:rFonts w:ascii="宋体" w:hAnsi="宋体" w:cs="宋体"/>
          <w:b/>
          <w:color w:val="auto"/>
          <w:sz w:val="30"/>
          <w:szCs w:val="30"/>
          <w:highlight w:val="none"/>
        </w:rPr>
      </w:pPr>
    </w:p>
    <w:p w14:paraId="6B1AB223">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八、产品质量承诺及保障措施</w:t>
      </w:r>
    </w:p>
    <w:p w14:paraId="57CC7F98">
      <w:pPr>
        <w:pStyle w:val="49"/>
        <w:spacing w:before="0" w:after="0" w:line="460" w:lineRule="exact"/>
        <w:ind w:left="0" w:right="23" w:firstLine="480" w:firstLineChars="200"/>
        <w:jc w:val="left"/>
        <w:rPr>
          <w:rFonts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2255C90F">
      <w:pPr>
        <w:keepNext/>
        <w:keepLines/>
        <w:widowControl/>
        <w:autoSpaceDE w:val="0"/>
        <w:spacing w:line="360" w:lineRule="auto"/>
        <w:jc w:val="left"/>
        <w:outlineLvl w:val="2"/>
        <w:rPr>
          <w:rFonts w:ascii="宋体" w:hAnsi="宋体" w:cs="宋体"/>
          <w:b/>
          <w:color w:val="auto"/>
          <w:sz w:val="30"/>
          <w:szCs w:val="30"/>
          <w:highlight w:val="none"/>
        </w:rPr>
      </w:pPr>
    </w:p>
    <w:p w14:paraId="57803418">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九、培训方案及保障措施</w:t>
      </w:r>
    </w:p>
    <w:p w14:paraId="4EED9BFD">
      <w:pPr>
        <w:pStyle w:val="49"/>
        <w:spacing w:before="0" w:after="0" w:line="460" w:lineRule="exact"/>
        <w:ind w:left="0" w:right="23" w:firstLine="480" w:firstLineChars="200"/>
        <w:jc w:val="left"/>
        <w:rPr>
          <w:rFonts w:hint="eastAsia"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3F8CB9B6">
      <w:pPr>
        <w:keepNext/>
        <w:keepLines/>
        <w:widowControl/>
        <w:numPr>
          <w:ilvl w:val="0"/>
          <w:numId w:val="0"/>
        </w:numPr>
        <w:autoSpaceDE w:val="0"/>
        <w:spacing w:line="360" w:lineRule="auto"/>
        <w:jc w:val="left"/>
        <w:outlineLvl w:val="2"/>
        <w:rPr>
          <w:rFonts w:hint="eastAsia" w:ascii="宋体" w:hAnsi="宋体" w:cs="宋体"/>
          <w:b/>
          <w:color w:val="auto"/>
          <w:sz w:val="30"/>
          <w:szCs w:val="30"/>
          <w:highlight w:val="none"/>
          <w:lang w:val="en-US" w:eastAsia="zh-CN"/>
        </w:rPr>
      </w:pPr>
    </w:p>
    <w:p w14:paraId="1BCCC974">
      <w:pPr>
        <w:keepNext/>
        <w:keepLines/>
        <w:widowControl/>
        <w:numPr>
          <w:ilvl w:val="0"/>
          <w:numId w:val="0"/>
        </w:numPr>
        <w:autoSpaceDE w:val="0"/>
        <w:spacing w:line="360" w:lineRule="auto"/>
        <w:jc w:val="left"/>
        <w:outlineLvl w:val="2"/>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十、售后服务方案</w:t>
      </w:r>
    </w:p>
    <w:p w14:paraId="405353CD">
      <w:pPr>
        <w:pStyle w:val="49"/>
        <w:spacing w:before="0" w:after="0" w:line="460" w:lineRule="exact"/>
        <w:ind w:left="0" w:right="23" w:firstLine="480" w:firstLineChars="200"/>
        <w:jc w:val="left"/>
        <w:rPr>
          <w:rFonts w:ascii="宋体" w:hAnsi="宋体" w:cs="宋体"/>
          <w:color w:val="auto"/>
          <w:highlight w:val="none"/>
        </w:rPr>
      </w:pPr>
      <w:r>
        <w:rPr>
          <w:rFonts w:hint="eastAsia" w:ascii="宋体" w:hAnsi="宋体" w:cs="宋体"/>
          <w:color w:val="auto"/>
          <w:highlight w:val="none"/>
        </w:rPr>
        <w:t>注：以上内容投标人根据评标办法结合自身实际情况编写，格式自拟。</w:t>
      </w:r>
    </w:p>
    <w:p w14:paraId="1A9EC23C">
      <w:pPr>
        <w:pStyle w:val="49"/>
        <w:spacing w:before="0" w:after="0" w:line="460" w:lineRule="exact"/>
        <w:ind w:left="0" w:right="23" w:firstLine="480" w:firstLineChars="200"/>
        <w:jc w:val="left"/>
        <w:rPr>
          <w:rFonts w:hint="eastAsia" w:ascii="宋体" w:hAnsi="宋体" w:cs="宋体"/>
          <w:color w:val="auto"/>
          <w:highlight w:val="none"/>
        </w:rPr>
      </w:pPr>
    </w:p>
    <w:p w14:paraId="245EDE0A">
      <w:pPr>
        <w:keepNext/>
        <w:keepLines/>
        <w:widowControl/>
        <w:autoSpaceDE w:val="0"/>
        <w:spacing w:line="360" w:lineRule="auto"/>
        <w:jc w:val="center"/>
        <w:outlineLvl w:val="2"/>
        <w:rPr>
          <w:rFonts w:ascii="宋体" w:hAnsi="宋体" w:cs="宋体"/>
          <w:b/>
          <w:color w:val="auto"/>
          <w:sz w:val="30"/>
          <w:szCs w:val="30"/>
          <w:highlight w:val="none"/>
        </w:rPr>
      </w:pPr>
    </w:p>
    <w:p w14:paraId="78A9404C">
      <w:pPr>
        <w:pStyle w:val="33"/>
        <w:ind w:firstLine="210" w:firstLineChars="100"/>
        <w:jc w:val="center"/>
        <w:rPr>
          <w:color w:val="auto"/>
          <w:highlight w:val="none"/>
        </w:rPr>
      </w:pPr>
    </w:p>
    <w:sectPr>
      <w:headerReference r:id="rId13" w:type="default"/>
      <w:footerReference r:id="rId14" w:type="default"/>
      <w:pgSz w:w="11906" w:h="16838"/>
      <w:pgMar w:top="1440" w:right="1134" w:bottom="1418" w:left="1134" w:header="851" w:footer="936"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8518E8-DECB-48F0-B4D9-29E5468023D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D798E11E-DB73-473B-8177-2A292D818AC2}"/>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6CB465C-8DCC-477F-9019-5A98A1C5958F}"/>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embedRegular r:id="rId4" w:fontKey="{417D90E8-8BA1-46B5-BF68-4CE702EC4669}"/>
  </w:font>
  <w:font w:name="Verdana">
    <w:panose1 w:val="020B0604030504040204"/>
    <w:charset w:val="00"/>
    <w:family w:val="swiss"/>
    <w:pitch w:val="default"/>
    <w:sig w:usb0="A00006FF" w:usb1="4000205B" w:usb2="00000010" w:usb3="00000000" w:csb0="2000019F" w:csb1="00000000"/>
    <w:embedRegular r:id="rId5" w:fontKey="{DA254B21-6C01-4883-BF5F-77AA6C0C6B5A}"/>
  </w:font>
  <w:font w:name="WPSEMBED1">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6023">
    <w:pPr>
      <w:pStyle w:val="14"/>
      <w:jc w:val="center"/>
    </w:pPr>
  </w:p>
  <w:p w14:paraId="691DE77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D61D">
    <w:pPr>
      <w:pStyle w:val="14"/>
      <w:jc w:val="center"/>
    </w:pPr>
    <w:r>
      <w:rPr>
        <w:sz w:val="18"/>
      </w:rPr>
      <w:pict>
        <v:shape id="_x0000_s1047" o:spid="_x0000_s10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8DA75D7">
                <w:pPr>
                  <w:pStyle w:val="14"/>
                </w:pPr>
                <w:r>
                  <w:fldChar w:fldCharType="begin"/>
                </w:r>
                <w:r>
                  <w:instrText xml:space="preserve"> PAGE  \* MERGEFORMAT </w:instrText>
                </w:r>
                <w:r>
                  <w:fldChar w:fldCharType="separate"/>
                </w:r>
                <w:r>
                  <w:t>1</w:t>
                </w:r>
                <w:r>
                  <w:fldChar w:fldCharType="end"/>
                </w:r>
              </w:p>
            </w:txbxContent>
          </v:textbox>
        </v:shape>
      </w:pict>
    </w:r>
  </w:p>
  <w:p w14:paraId="0CEC481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5D5A">
    <w:pPr>
      <w:pStyle w:val="14"/>
    </w:pPr>
    <w:r>
      <w:rPr>
        <w:sz w:val="18"/>
      </w:rPr>
      <w:pict>
        <v:shape id="_x0000_s1048" o:spid="_x0000_s10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52C4A0D">
                <w:pPr>
                  <w:pStyle w:val="14"/>
                </w:pPr>
                <w:r>
                  <w:fldChar w:fldCharType="begin"/>
                </w:r>
                <w:r>
                  <w:instrText xml:space="preserve"> PAGE  \* MERGEFORMAT </w:instrText>
                </w:r>
                <w:r>
                  <w:fldChar w:fldCharType="separate"/>
                </w:r>
                <w:r>
                  <w:t>32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10E4">
    <w:pPr>
      <w:pStyle w:val="14"/>
      <w:tabs>
        <w:tab w:val="left" w:pos="2743"/>
        <w:tab w:val="clear" w:pos="4153"/>
      </w:tabs>
    </w:pPr>
    <w:r>
      <w:rPr>
        <w:sz w:val="18"/>
      </w:rPr>
      <w:pict>
        <v:shape id="_x0000_s1049" o:spid="_x0000_s104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A7C4097">
                <w:pPr>
                  <w:pStyle w:val="14"/>
                </w:pPr>
                <w:r>
                  <w:fldChar w:fldCharType="begin"/>
                </w:r>
                <w:r>
                  <w:instrText xml:space="preserve"> PAGE  \* MERGEFORMAT </w:instrText>
                </w:r>
                <w:r>
                  <w:fldChar w:fldCharType="separate"/>
                </w:r>
                <w:r>
                  <w:t>31</w:t>
                </w:r>
                <w:r>
                  <w:fldChar w:fldCharType="end"/>
                </w:r>
              </w:p>
            </w:txbxContent>
          </v:textbox>
        </v:shape>
      </w:pict>
    </w:r>
    <w:r>
      <w:rPr>
        <w:rFonts w:hint="eastAsia"/>
      </w:rPr>
      <w:tab/>
    </w:r>
  </w:p>
  <w:p w14:paraId="4D40684B">
    <w:pPr>
      <w:pStyle w:val="14"/>
      <w:tabs>
        <w:tab w:val="left" w:pos="2743"/>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28D3">
    <w:pPr>
      <w:pStyle w:val="14"/>
      <w:tabs>
        <w:tab w:val="center" w:pos="4512"/>
        <w:tab w:val="clear" w:pos="4153"/>
      </w:tabs>
    </w:pPr>
    <w:r>
      <w:rPr>
        <w:sz w:val="18"/>
      </w:rPr>
      <w:pict>
        <v:shape id="_x0000_s1050" o:spid="_x0000_s105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F252792">
                <w:pPr>
                  <w:pStyle w:val="14"/>
                </w:pPr>
                <w:r>
                  <w:fldChar w:fldCharType="begin"/>
                </w:r>
                <w:r>
                  <w:instrText xml:space="preserve"> PAGE  \* MERGEFORMAT </w:instrText>
                </w:r>
                <w:r>
                  <w:fldChar w:fldCharType="separate"/>
                </w:r>
                <w:r>
                  <w:t>46</w:t>
                </w:r>
                <w:r>
                  <w:fldChar w:fldCharType="end"/>
                </w:r>
              </w:p>
            </w:txbxContent>
          </v:textbox>
        </v:shape>
      </w:pict>
    </w:r>
    <w:r>
      <w:rPr>
        <w:rFonts w:hint="eastAsia"/>
      </w:rPr>
      <w:tab/>
    </w:r>
  </w:p>
  <w:p w14:paraId="14C507EB">
    <w:pPr>
      <w:pStyle w:val="14"/>
      <w:tabs>
        <w:tab w:val="center" w:pos="4512"/>
        <w:tab w:val="clear" w:pos="4153"/>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02FF">
    <w:pPr>
      <w:pStyle w:val="14"/>
      <w:tabs>
        <w:tab w:val="left" w:pos="689"/>
        <w:tab w:val="center" w:pos="5103"/>
      </w:tabs>
    </w:pPr>
    <w:r>
      <w:rPr>
        <w:sz w:val="18"/>
      </w:rPr>
      <w:pict>
        <v:shape id="_x0000_s1051" o:spid="_x0000_s105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F111EFE">
                <w:pPr>
                  <w:pStyle w:val="14"/>
                </w:pPr>
                <w:r>
                  <w:fldChar w:fldCharType="begin"/>
                </w:r>
                <w:r>
                  <w:instrText xml:space="preserve"> PAGE  \* MERGEFORMAT </w:instrText>
                </w:r>
                <w:r>
                  <w:fldChar w:fldCharType="separate"/>
                </w:r>
                <w:r>
                  <w:t>75</w:t>
                </w:r>
                <w:r>
                  <w:fldChar w:fldCharType="end"/>
                </w:r>
              </w:p>
            </w:txbxContent>
          </v:textbox>
        </v:shape>
      </w:pict>
    </w:r>
    <w:r>
      <w:rPr>
        <w:rFonts w:hint="eastAsia"/>
      </w:rPr>
      <w:tab/>
    </w:r>
    <w:r>
      <w:rPr>
        <w:sz w:val="21"/>
      </w:rPr>
      <w:pict>
        <v:shape id="_x0000_s1029" o:spid="_x0000_s1029" o:spt="202" type="#_x0000_t202" style="position:absolute;left:0pt;margin-left:243.6pt;margin-top:-11.45pt;height:144pt;width:144pt;mso-position-horizontal-relative:margin;mso-wrap-style:none;z-index:251660288;mso-width-relative:page;mso-height-relative:page;" filled="f" stroked="f" coordsize="21600,21600" o:gfxdata="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wp+gHcAAAACwEAAA8AAAAAAAAAAQAg&#10;AAAAIgAAAGRycy9kb3ducmV2LnhtbFBLAQIUABQAAAAIAIdO4kAjgFfJ0QEAAKUDAAAOAAAAAAAA&#10;AAEAIAAAACsBAABkcnMvZTJvRG9jLnhtbFBLBQYAAAAABgAGAFkBAABuBQAAAAA=&#10;">
          <v:path/>
          <v:fill on="f" focussize="0,0"/>
          <v:stroke on="f" weight="1.25pt" joinstyle="miter"/>
          <v:imagedata o:title=""/>
          <o:lock v:ext="edit"/>
          <v:textbox inset="0mm,0mm,0mm,0mm" style="mso-fit-shape-to-text:t;">
            <w:txbxContent>
              <w:p w14:paraId="545CE121">
                <w:pPr>
                  <w:snapToGrid w:val="0"/>
                  <w:rPr>
                    <w:sz w:val="18"/>
                  </w:rPr>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E67D">
    <w:pPr>
      <w:pStyle w:val="14"/>
      <w:tabs>
        <w:tab w:val="left" w:pos="689"/>
        <w:tab w:val="center" w:pos="5103"/>
      </w:tabs>
    </w:pPr>
    <w:r>
      <w:rPr>
        <w:sz w:val="18"/>
      </w:rPr>
      <w:pict>
        <v:shape id="_x0000_s1052" o:spid="_x0000_s105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4321EDFC">
                <w:pPr>
                  <w:pStyle w:val="14"/>
                </w:pPr>
                <w:r>
                  <w:fldChar w:fldCharType="begin"/>
                </w:r>
                <w:r>
                  <w:instrText xml:space="preserve"> PAGE  \* MERGEFORMAT </w:instrText>
                </w:r>
                <w:r>
                  <w:fldChar w:fldCharType="separate"/>
                </w:r>
                <w:r>
                  <w:t>81</w:t>
                </w:r>
                <w:r>
                  <w:fldChar w:fldCharType="end"/>
                </w:r>
              </w:p>
            </w:txbxContent>
          </v:textbox>
        </v:shape>
      </w:pict>
    </w:r>
    <w:r>
      <w:rPr>
        <w:rFonts w:hint="eastAsia"/>
      </w:rPr>
      <w:tab/>
    </w:r>
    <w:r>
      <w:rPr>
        <w:sz w:val="21"/>
      </w:rPr>
      <w:pict>
        <v:shape id="_x0000_s1027" o:spid="_x0000_s1027" o:spt="202" type="#_x0000_t202" style="position:absolute;left:0pt;margin-left:243.6pt;margin-top:-11.45pt;height:144pt;width:144pt;mso-position-horizontal-relative:margin;mso-wrap-style:none;z-index:251659264;mso-width-relative:page;mso-height-relative:page;" filled="f" stroked="f" coordsize="21600,21600" o:gfxdata="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KfoB3AAAAAsBAAAPAAAAAAAAAAEA&#10;IAAAACIAAABkcnMvZG93bnJldi54bWxQSwECFAAUAAAACACHTuJA3F9X4tIBAACjAwAADgAAAAAA&#10;AAABACAAAAArAQAAZHJzL2Uyb0RvYy54bWxQSwUGAAAAAAYABgBZAQAAbwUAAAAA&#10;">
          <v:path/>
          <v:fill on="f" focussize="0,0"/>
          <v:stroke on="f" weight="1.25pt" joinstyle="miter"/>
          <v:imagedata o:title=""/>
          <o:lock v:ext="edit"/>
          <v:textbox inset="0mm,0mm,0mm,0mm" style="mso-fit-shape-to-text:t;">
            <w:txbxContent>
              <w:p w14:paraId="76BE0A30">
                <w:pPr>
                  <w:snapToGrid w:val="0"/>
                  <w:rPr>
                    <w:sz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C5E2">
    <w:pPr>
      <w:pStyle w:val="16"/>
      <w:pBdr>
        <w:bottom w:val="none" w:color="auto" w:sz="0" w:space="1"/>
      </w:pBdr>
      <w:ind w:left="1800" w:hanging="1800" w:hangingChars="10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89D3">
    <w:pPr>
      <w:pStyle w:val="16"/>
      <w:pBdr>
        <w:bottom w:val="none" w:color="auto" w:sz="0" w:space="1"/>
      </w:pBdr>
      <w:tabs>
        <w:tab w:val="left" w:pos="3919"/>
        <w:tab w:val="clear" w:pos="4153"/>
      </w:tabs>
      <w:ind w:left="1440" w:hanging="1440" w:hangingChars="80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4588E">
    <w:pPr>
      <w:pStyle w:val="7"/>
      <w:spacing w:line="14" w:lineRule="auto"/>
      <w:rPr>
        <w:sz w:val="20"/>
      </w:rPr>
    </w:pPr>
    <w:r>
      <w:pict>
        <v:shape id="_x0000_s1032" o:spid="_x0000_s1032" o:spt="202" type="#_x0000_t202" style="position:absolute;left:0pt;margin-left:395.8pt;margin-top:42.9pt;height:12pt;width:167.25pt;mso-position-horizontal-relative:page;mso-position-vertical-relative:page;z-index:-251655168;mso-width-relative:page;mso-height-relative:page;" filled="f" stroked="f" coordsize="21600,21600" o:gfxdata="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DDQF2QAAAAsBAAAPAAAAAAAAAAEAIAAAACIAAABkcnMvZG93&#10;bnJldi54bWxQSwECFAAUAAAACACHTuJAGoG4z8YBAACJAwAADgAAAAAAAAABACAAAAAoAQAAZHJz&#10;L2Uyb0RvYy54bWxQSwUGAAAAAAYABgBZAQAAYAUAAAAA&#10;">
          <v:path/>
          <v:fill on="f" focussize="0,0"/>
          <v:stroke on="f" joinstyle="miter"/>
          <v:imagedata o:title=""/>
          <o:lock v:ext="edit"/>
          <v:textbox inset="0mm,0mm,0mm,0mm">
            <w:txbxContent>
              <w:p w14:paraId="1E70E269"/>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113C">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42F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7A41C"/>
    <w:multiLevelType w:val="singleLevel"/>
    <w:tmpl w:val="B1A7A41C"/>
    <w:lvl w:ilvl="0" w:tentative="0">
      <w:start w:val="3"/>
      <w:numFmt w:val="chineseCounting"/>
      <w:suff w:val="nothing"/>
      <w:lvlText w:val="%1、"/>
      <w:lvlJc w:val="left"/>
      <w:rPr>
        <w:rFonts w:hint="eastAsia"/>
      </w:rPr>
    </w:lvl>
  </w:abstractNum>
  <w:abstractNum w:abstractNumId="1">
    <w:nsid w:val="D0BD7345"/>
    <w:multiLevelType w:val="singleLevel"/>
    <w:tmpl w:val="D0BD7345"/>
    <w:lvl w:ilvl="0" w:tentative="0">
      <w:start w:val="6"/>
      <w:numFmt w:val="decimal"/>
      <w:lvlText w:val="%1."/>
      <w:lvlJc w:val="left"/>
      <w:pPr>
        <w:tabs>
          <w:tab w:val="left" w:pos="312"/>
        </w:tabs>
      </w:p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NjOWIzOWZlMjZhNjM1YzE1NWUzYmJjMzc0NzZhNDIifQ=="/>
  </w:docVars>
  <w:rsids>
    <w:rsidRoot w:val="0C3E167A"/>
    <w:rsid w:val="000303E6"/>
    <w:rsid w:val="000315B3"/>
    <w:rsid w:val="001E714F"/>
    <w:rsid w:val="0020643C"/>
    <w:rsid w:val="00263964"/>
    <w:rsid w:val="002640FC"/>
    <w:rsid w:val="002729FC"/>
    <w:rsid w:val="00294ABE"/>
    <w:rsid w:val="00296DB2"/>
    <w:rsid w:val="00393DCC"/>
    <w:rsid w:val="003E1921"/>
    <w:rsid w:val="004079EA"/>
    <w:rsid w:val="00443933"/>
    <w:rsid w:val="00542CBF"/>
    <w:rsid w:val="00571A7C"/>
    <w:rsid w:val="00593490"/>
    <w:rsid w:val="00620C6E"/>
    <w:rsid w:val="00625C39"/>
    <w:rsid w:val="00631834"/>
    <w:rsid w:val="006C1802"/>
    <w:rsid w:val="006F27E3"/>
    <w:rsid w:val="006F5FC6"/>
    <w:rsid w:val="00701438"/>
    <w:rsid w:val="007251C5"/>
    <w:rsid w:val="00773CF4"/>
    <w:rsid w:val="00862BE0"/>
    <w:rsid w:val="0086444A"/>
    <w:rsid w:val="008B5614"/>
    <w:rsid w:val="008E477B"/>
    <w:rsid w:val="00982B9C"/>
    <w:rsid w:val="009C3A38"/>
    <w:rsid w:val="00A20A3A"/>
    <w:rsid w:val="00AB06F7"/>
    <w:rsid w:val="00AC1CB3"/>
    <w:rsid w:val="00AD3871"/>
    <w:rsid w:val="00B92929"/>
    <w:rsid w:val="00B94BF7"/>
    <w:rsid w:val="00BE6A27"/>
    <w:rsid w:val="00C778A8"/>
    <w:rsid w:val="00C81B3A"/>
    <w:rsid w:val="00CF5546"/>
    <w:rsid w:val="00D01DAD"/>
    <w:rsid w:val="00DA1050"/>
    <w:rsid w:val="00E070AE"/>
    <w:rsid w:val="00E31AAE"/>
    <w:rsid w:val="00E335D4"/>
    <w:rsid w:val="00E404DF"/>
    <w:rsid w:val="00E80ED8"/>
    <w:rsid w:val="00EA3AEA"/>
    <w:rsid w:val="00EB6FF4"/>
    <w:rsid w:val="00F22233"/>
    <w:rsid w:val="00F509ED"/>
    <w:rsid w:val="00F54758"/>
    <w:rsid w:val="00FB6B95"/>
    <w:rsid w:val="010553AD"/>
    <w:rsid w:val="01233006"/>
    <w:rsid w:val="013F5EAF"/>
    <w:rsid w:val="0168325F"/>
    <w:rsid w:val="016D09BD"/>
    <w:rsid w:val="01705095"/>
    <w:rsid w:val="0175065C"/>
    <w:rsid w:val="018822A2"/>
    <w:rsid w:val="01A249C3"/>
    <w:rsid w:val="01AF40FF"/>
    <w:rsid w:val="01CE4A86"/>
    <w:rsid w:val="021B0167"/>
    <w:rsid w:val="021C3526"/>
    <w:rsid w:val="0231564A"/>
    <w:rsid w:val="0240054F"/>
    <w:rsid w:val="028D6C53"/>
    <w:rsid w:val="02C01DAB"/>
    <w:rsid w:val="02CB3E2E"/>
    <w:rsid w:val="02E64D17"/>
    <w:rsid w:val="03157416"/>
    <w:rsid w:val="031746F6"/>
    <w:rsid w:val="03362F71"/>
    <w:rsid w:val="033B6D29"/>
    <w:rsid w:val="03484220"/>
    <w:rsid w:val="03724295"/>
    <w:rsid w:val="037474BD"/>
    <w:rsid w:val="03782B71"/>
    <w:rsid w:val="037D56E7"/>
    <w:rsid w:val="03970F53"/>
    <w:rsid w:val="03DB41BC"/>
    <w:rsid w:val="03FD6B35"/>
    <w:rsid w:val="041E1B9D"/>
    <w:rsid w:val="042100A8"/>
    <w:rsid w:val="04402823"/>
    <w:rsid w:val="04781A8C"/>
    <w:rsid w:val="04A016C1"/>
    <w:rsid w:val="04BD1B14"/>
    <w:rsid w:val="04C446F4"/>
    <w:rsid w:val="04D003FD"/>
    <w:rsid w:val="056B7F0A"/>
    <w:rsid w:val="057F64F0"/>
    <w:rsid w:val="05C6566C"/>
    <w:rsid w:val="05D0358C"/>
    <w:rsid w:val="05DF7CA0"/>
    <w:rsid w:val="05E9769E"/>
    <w:rsid w:val="061E3494"/>
    <w:rsid w:val="065A72EE"/>
    <w:rsid w:val="06612296"/>
    <w:rsid w:val="06685DA0"/>
    <w:rsid w:val="066A198F"/>
    <w:rsid w:val="0676789C"/>
    <w:rsid w:val="06874187"/>
    <w:rsid w:val="06921FED"/>
    <w:rsid w:val="06A0516B"/>
    <w:rsid w:val="06E0398C"/>
    <w:rsid w:val="06E5439E"/>
    <w:rsid w:val="06EB58B1"/>
    <w:rsid w:val="07252124"/>
    <w:rsid w:val="07361C1F"/>
    <w:rsid w:val="07A52ADE"/>
    <w:rsid w:val="07EB7653"/>
    <w:rsid w:val="080F36B8"/>
    <w:rsid w:val="08147FF9"/>
    <w:rsid w:val="081506F6"/>
    <w:rsid w:val="083D65C1"/>
    <w:rsid w:val="0863632A"/>
    <w:rsid w:val="08C46ADC"/>
    <w:rsid w:val="08D75D34"/>
    <w:rsid w:val="09000221"/>
    <w:rsid w:val="09456C28"/>
    <w:rsid w:val="09677921"/>
    <w:rsid w:val="097E7AC3"/>
    <w:rsid w:val="09B11E56"/>
    <w:rsid w:val="09B60682"/>
    <w:rsid w:val="0A136187"/>
    <w:rsid w:val="0A251543"/>
    <w:rsid w:val="0A2D76F3"/>
    <w:rsid w:val="0A4B2A37"/>
    <w:rsid w:val="0A613FA4"/>
    <w:rsid w:val="0A821B52"/>
    <w:rsid w:val="0A887251"/>
    <w:rsid w:val="0A8E4BBF"/>
    <w:rsid w:val="0AA5071B"/>
    <w:rsid w:val="0ACD78AC"/>
    <w:rsid w:val="0AE8247C"/>
    <w:rsid w:val="0AF91E03"/>
    <w:rsid w:val="0B5F56D3"/>
    <w:rsid w:val="0B673A26"/>
    <w:rsid w:val="0B6D5F91"/>
    <w:rsid w:val="0B943584"/>
    <w:rsid w:val="0BA162E0"/>
    <w:rsid w:val="0BB14D3B"/>
    <w:rsid w:val="0BC23691"/>
    <w:rsid w:val="0BC635C5"/>
    <w:rsid w:val="0BD347E1"/>
    <w:rsid w:val="0BDE516F"/>
    <w:rsid w:val="0BEA11A6"/>
    <w:rsid w:val="0C28643E"/>
    <w:rsid w:val="0C3E167A"/>
    <w:rsid w:val="0C3F5BB7"/>
    <w:rsid w:val="0C5E17B9"/>
    <w:rsid w:val="0C9F2C2C"/>
    <w:rsid w:val="0CCF6E73"/>
    <w:rsid w:val="0CD12600"/>
    <w:rsid w:val="0CD730AF"/>
    <w:rsid w:val="0CF521B4"/>
    <w:rsid w:val="0D2110D1"/>
    <w:rsid w:val="0D817F26"/>
    <w:rsid w:val="0DE32BA7"/>
    <w:rsid w:val="0E0020DD"/>
    <w:rsid w:val="0E241828"/>
    <w:rsid w:val="0E336FD4"/>
    <w:rsid w:val="0E5B41AF"/>
    <w:rsid w:val="0EC823B8"/>
    <w:rsid w:val="0ED22D01"/>
    <w:rsid w:val="0ED46BCC"/>
    <w:rsid w:val="0EE355B1"/>
    <w:rsid w:val="0EF41E5D"/>
    <w:rsid w:val="0EFE7EC3"/>
    <w:rsid w:val="0F062139"/>
    <w:rsid w:val="0F7408C1"/>
    <w:rsid w:val="0F827239"/>
    <w:rsid w:val="0F995D79"/>
    <w:rsid w:val="0F9968A7"/>
    <w:rsid w:val="0FA04CB8"/>
    <w:rsid w:val="0FBF2F03"/>
    <w:rsid w:val="0FCA3A6A"/>
    <w:rsid w:val="0FD2165C"/>
    <w:rsid w:val="10292C00"/>
    <w:rsid w:val="104B0478"/>
    <w:rsid w:val="109468A2"/>
    <w:rsid w:val="10F71AE0"/>
    <w:rsid w:val="10F863AD"/>
    <w:rsid w:val="11590E22"/>
    <w:rsid w:val="11797C42"/>
    <w:rsid w:val="11AC6FFE"/>
    <w:rsid w:val="11F27FCA"/>
    <w:rsid w:val="121D1E44"/>
    <w:rsid w:val="123D3151"/>
    <w:rsid w:val="125460D5"/>
    <w:rsid w:val="12837EF9"/>
    <w:rsid w:val="12975EC2"/>
    <w:rsid w:val="129C545E"/>
    <w:rsid w:val="12E3308D"/>
    <w:rsid w:val="12F55F78"/>
    <w:rsid w:val="12FE53C0"/>
    <w:rsid w:val="134D4C41"/>
    <w:rsid w:val="13A11678"/>
    <w:rsid w:val="13A55415"/>
    <w:rsid w:val="13A860F4"/>
    <w:rsid w:val="13B443BA"/>
    <w:rsid w:val="13C7475D"/>
    <w:rsid w:val="13E14E20"/>
    <w:rsid w:val="13F26E36"/>
    <w:rsid w:val="14172F4F"/>
    <w:rsid w:val="14201348"/>
    <w:rsid w:val="14237C5F"/>
    <w:rsid w:val="146A4573"/>
    <w:rsid w:val="147B1B90"/>
    <w:rsid w:val="149C44BF"/>
    <w:rsid w:val="14A10AFD"/>
    <w:rsid w:val="14AD3AF0"/>
    <w:rsid w:val="14B21D18"/>
    <w:rsid w:val="14B436BD"/>
    <w:rsid w:val="14B95E54"/>
    <w:rsid w:val="15074412"/>
    <w:rsid w:val="15140E04"/>
    <w:rsid w:val="15462BF7"/>
    <w:rsid w:val="157D2500"/>
    <w:rsid w:val="15987023"/>
    <w:rsid w:val="15DF2871"/>
    <w:rsid w:val="160A6091"/>
    <w:rsid w:val="162714B9"/>
    <w:rsid w:val="16392BB7"/>
    <w:rsid w:val="16426A34"/>
    <w:rsid w:val="166531D2"/>
    <w:rsid w:val="167C4FCD"/>
    <w:rsid w:val="168626AD"/>
    <w:rsid w:val="169F77B7"/>
    <w:rsid w:val="16AC0FE9"/>
    <w:rsid w:val="16C704C1"/>
    <w:rsid w:val="16D01FC5"/>
    <w:rsid w:val="16D56EC7"/>
    <w:rsid w:val="17013C5E"/>
    <w:rsid w:val="17171557"/>
    <w:rsid w:val="172035A1"/>
    <w:rsid w:val="17207916"/>
    <w:rsid w:val="173C0FBE"/>
    <w:rsid w:val="17462095"/>
    <w:rsid w:val="174D17C6"/>
    <w:rsid w:val="175A0C63"/>
    <w:rsid w:val="178A0348"/>
    <w:rsid w:val="17A87CF6"/>
    <w:rsid w:val="17C63785"/>
    <w:rsid w:val="18075A07"/>
    <w:rsid w:val="1809752B"/>
    <w:rsid w:val="18114F58"/>
    <w:rsid w:val="18253800"/>
    <w:rsid w:val="1830400D"/>
    <w:rsid w:val="186C7681"/>
    <w:rsid w:val="18703EB9"/>
    <w:rsid w:val="18C202B4"/>
    <w:rsid w:val="18C839A0"/>
    <w:rsid w:val="18D76003"/>
    <w:rsid w:val="18D94428"/>
    <w:rsid w:val="19017DC9"/>
    <w:rsid w:val="191C03B2"/>
    <w:rsid w:val="193A302C"/>
    <w:rsid w:val="19795D80"/>
    <w:rsid w:val="19914308"/>
    <w:rsid w:val="19C4060A"/>
    <w:rsid w:val="19EE216E"/>
    <w:rsid w:val="1A075887"/>
    <w:rsid w:val="1A282A73"/>
    <w:rsid w:val="1A2C5585"/>
    <w:rsid w:val="1A3B7FA8"/>
    <w:rsid w:val="1A79678C"/>
    <w:rsid w:val="1A8064B7"/>
    <w:rsid w:val="1A832C70"/>
    <w:rsid w:val="1A961CB9"/>
    <w:rsid w:val="1AAD10A9"/>
    <w:rsid w:val="1AD41EBE"/>
    <w:rsid w:val="1B287251"/>
    <w:rsid w:val="1B7355D3"/>
    <w:rsid w:val="1B850DED"/>
    <w:rsid w:val="1BA03399"/>
    <w:rsid w:val="1BA51325"/>
    <w:rsid w:val="1BB669E6"/>
    <w:rsid w:val="1BC021BE"/>
    <w:rsid w:val="1BE267C0"/>
    <w:rsid w:val="1C5178F7"/>
    <w:rsid w:val="1C5C1E03"/>
    <w:rsid w:val="1C6374F1"/>
    <w:rsid w:val="1C737230"/>
    <w:rsid w:val="1C99267F"/>
    <w:rsid w:val="1CDC5AB0"/>
    <w:rsid w:val="1CF739BD"/>
    <w:rsid w:val="1CFB19FF"/>
    <w:rsid w:val="1D1179E4"/>
    <w:rsid w:val="1D300C7D"/>
    <w:rsid w:val="1D303373"/>
    <w:rsid w:val="1DB2643E"/>
    <w:rsid w:val="1DCB4E4A"/>
    <w:rsid w:val="1DD01BF6"/>
    <w:rsid w:val="1DEA4D95"/>
    <w:rsid w:val="1DF37276"/>
    <w:rsid w:val="1E194298"/>
    <w:rsid w:val="1E2B1699"/>
    <w:rsid w:val="1E333E88"/>
    <w:rsid w:val="1E3D6D25"/>
    <w:rsid w:val="1E6F3A27"/>
    <w:rsid w:val="1E701F5C"/>
    <w:rsid w:val="1E814BE0"/>
    <w:rsid w:val="1E8425B6"/>
    <w:rsid w:val="1E9811D0"/>
    <w:rsid w:val="1EB5185B"/>
    <w:rsid w:val="1ECB3E5D"/>
    <w:rsid w:val="1ED7600C"/>
    <w:rsid w:val="1EF33CC8"/>
    <w:rsid w:val="1F005AB2"/>
    <w:rsid w:val="1F0F5C89"/>
    <w:rsid w:val="1F3C3BFD"/>
    <w:rsid w:val="1F604DC2"/>
    <w:rsid w:val="1F7604F4"/>
    <w:rsid w:val="1FA00D66"/>
    <w:rsid w:val="200C4881"/>
    <w:rsid w:val="206826E3"/>
    <w:rsid w:val="206E478F"/>
    <w:rsid w:val="208757E3"/>
    <w:rsid w:val="208D0729"/>
    <w:rsid w:val="208F03B0"/>
    <w:rsid w:val="20943022"/>
    <w:rsid w:val="20BA17FA"/>
    <w:rsid w:val="20C045AC"/>
    <w:rsid w:val="20F77EFC"/>
    <w:rsid w:val="2104192E"/>
    <w:rsid w:val="21103286"/>
    <w:rsid w:val="21331AEE"/>
    <w:rsid w:val="21380A48"/>
    <w:rsid w:val="21434EDB"/>
    <w:rsid w:val="21461EAD"/>
    <w:rsid w:val="214A44A8"/>
    <w:rsid w:val="21781177"/>
    <w:rsid w:val="21DE339D"/>
    <w:rsid w:val="21FF5FB4"/>
    <w:rsid w:val="222535A8"/>
    <w:rsid w:val="22A2024B"/>
    <w:rsid w:val="22A42520"/>
    <w:rsid w:val="22BE5497"/>
    <w:rsid w:val="22C0006C"/>
    <w:rsid w:val="22DD1D18"/>
    <w:rsid w:val="231E77CA"/>
    <w:rsid w:val="23246F67"/>
    <w:rsid w:val="232B0693"/>
    <w:rsid w:val="234C38D6"/>
    <w:rsid w:val="234D6367"/>
    <w:rsid w:val="236E07D8"/>
    <w:rsid w:val="2382220B"/>
    <w:rsid w:val="23B4531E"/>
    <w:rsid w:val="23D176E0"/>
    <w:rsid w:val="23FE795E"/>
    <w:rsid w:val="241D7484"/>
    <w:rsid w:val="243A6FFC"/>
    <w:rsid w:val="248A3369"/>
    <w:rsid w:val="24CB028B"/>
    <w:rsid w:val="24DE5462"/>
    <w:rsid w:val="250F1AC0"/>
    <w:rsid w:val="254268D2"/>
    <w:rsid w:val="254D4E3B"/>
    <w:rsid w:val="25830C89"/>
    <w:rsid w:val="25925F3D"/>
    <w:rsid w:val="25A36C3A"/>
    <w:rsid w:val="25AE492E"/>
    <w:rsid w:val="25C2563A"/>
    <w:rsid w:val="25DE50D3"/>
    <w:rsid w:val="25E57984"/>
    <w:rsid w:val="26435EC5"/>
    <w:rsid w:val="264C077C"/>
    <w:rsid w:val="268F4C66"/>
    <w:rsid w:val="268F77F5"/>
    <w:rsid w:val="26932EBE"/>
    <w:rsid w:val="26934677"/>
    <w:rsid w:val="26C74D24"/>
    <w:rsid w:val="26CD144F"/>
    <w:rsid w:val="273D6320"/>
    <w:rsid w:val="274B539B"/>
    <w:rsid w:val="277327DA"/>
    <w:rsid w:val="277C1ABD"/>
    <w:rsid w:val="27A8581B"/>
    <w:rsid w:val="27AD0247"/>
    <w:rsid w:val="27B65BE3"/>
    <w:rsid w:val="28040C42"/>
    <w:rsid w:val="283658DB"/>
    <w:rsid w:val="283C5AAD"/>
    <w:rsid w:val="2859375C"/>
    <w:rsid w:val="286E4D4F"/>
    <w:rsid w:val="289C6C12"/>
    <w:rsid w:val="28CF68A6"/>
    <w:rsid w:val="28DA50C0"/>
    <w:rsid w:val="28EE5DF3"/>
    <w:rsid w:val="28F2135F"/>
    <w:rsid w:val="291122AA"/>
    <w:rsid w:val="29325D7D"/>
    <w:rsid w:val="29427B46"/>
    <w:rsid w:val="294571B9"/>
    <w:rsid w:val="29641B32"/>
    <w:rsid w:val="29687FF7"/>
    <w:rsid w:val="29966937"/>
    <w:rsid w:val="29A14F6D"/>
    <w:rsid w:val="29B05DC0"/>
    <w:rsid w:val="29B2414D"/>
    <w:rsid w:val="29DB79B4"/>
    <w:rsid w:val="29DD527F"/>
    <w:rsid w:val="29F15C38"/>
    <w:rsid w:val="29F50DB9"/>
    <w:rsid w:val="2AAD6D63"/>
    <w:rsid w:val="2ACF6763"/>
    <w:rsid w:val="2AF54394"/>
    <w:rsid w:val="2B183050"/>
    <w:rsid w:val="2B1F770C"/>
    <w:rsid w:val="2B4029D3"/>
    <w:rsid w:val="2B41057E"/>
    <w:rsid w:val="2B7D4FD5"/>
    <w:rsid w:val="2B8C5C18"/>
    <w:rsid w:val="2B992173"/>
    <w:rsid w:val="2BA14C47"/>
    <w:rsid w:val="2BB71CB6"/>
    <w:rsid w:val="2BDF21EC"/>
    <w:rsid w:val="2C294F7E"/>
    <w:rsid w:val="2C2B0122"/>
    <w:rsid w:val="2C334120"/>
    <w:rsid w:val="2C4613C9"/>
    <w:rsid w:val="2C7A3CC3"/>
    <w:rsid w:val="2CAA48B6"/>
    <w:rsid w:val="2CB904B4"/>
    <w:rsid w:val="2CCA25DB"/>
    <w:rsid w:val="2CF27831"/>
    <w:rsid w:val="2CF972B8"/>
    <w:rsid w:val="2D3C4E47"/>
    <w:rsid w:val="2D484CC7"/>
    <w:rsid w:val="2D5F069D"/>
    <w:rsid w:val="2D675FF9"/>
    <w:rsid w:val="2D6942E8"/>
    <w:rsid w:val="2D6D7A98"/>
    <w:rsid w:val="2D715CB9"/>
    <w:rsid w:val="2DFB239F"/>
    <w:rsid w:val="2E19019F"/>
    <w:rsid w:val="2E2533B4"/>
    <w:rsid w:val="2E352C39"/>
    <w:rsid w:val="2E362C79"/>
    <w:rsid w:val="2E6D65FE"/>
    <w:rsid w:val="2E8F64C3"/>
    <w:rsid w:val="2E921785"/>
    <w:rsid w:val="2ECD6A72"/>
    <w:rsid w:val="2EF57510"/>
    <w:rsid w:val="2F0B52E7"/>
    <w:rsid w:val="2F3341F2"/>
    <w:rsid w:val="2F357FC4"/>
    <w:rsid w:val="2F3D2CB6"/>
    <w:rsid w:val="2F4D56BE"/>
    <w:rsid w:val="2F6E32C4"/>
    <w:rsid w:val="2F8174EE"/>
    <w:rsid w:val="2F9507A1"/>
    <w:rsid w:val="2FA94288"/>
    <w:rsid w:val="2FBF7A81"/>
    <w:rsid w:val="2FC2764D"/>
    <w:rsid w:val="2FC329B1"/>
    <w:rsid w:val="2FD43F33"/>
    <w:rsid w:val="2FDB19C8"/>
    <w:rsid w:val="2FEF47B4"/>
    <w:rsid w:val="30064402"/>
    <w:rsid w:val="300C557A"/>
    <w:rsid w:val="30267856"/>
    <w:rsid w:val="3031475A"/>
    <w:rsid w:val="30612C6E"/>
    <w:rsid w:val="30655562"/>
    <w:rsid w:val="309057EE"/>
    <w:rsid w:val="30956CBB"/>
    <w:rsid w:val="30BF2F99"/>
    <w:rsid w:val="310405F2"/>
    <w:rsid w:val="31045716"/>
    <w:rsid w:val="312F7D0F"/>
    <w:rsid w:val="31554BAF"/>
    <w:rsid w:val="3163322A"/>
    <w:rsid w:val="31E97129"/>
    <w:rsid w:val="31ED3E5D"/>
    <w:rsid w:val="31F70944"/>
    <w:rsid w:val="321F51B5"/>
    <w:rsid w:val="322707A5"/>
    <w:rsid w:val="325821AA"/>
    <w:rsid w:val="32747406"/>
    <w:rsid w:val="327C4C95"/>
    <w:rsid w:val="32846E67"/>
    <w:rsid w:val="32FC6528"/>
    <w:rsid w:val="33220CEE"/>
    <w:rsid w:val="332C67C7"/>
    <w:rsid w:val="33955886"/>
    <w:rsid w:val="33A246AE"/>
    <w:rsid w:val="33BA709B"/>
    <w:rsid w:val="33CA3782"/>
    <w:rsid w:val="33D27210"/>
    <w:rsid w:val="33D434AE"/>
    <w:rsid w:val="33ED7CFA"/>
    <w:rsid w:val="34110124"/>
    <w:rsid w:val="342766C3"/>
    <w:rsid w:val="34296C14"/>
    <w:rsid w:val="34A65ECA"/>
    <w:rsid w:val="34C37A55"/>
    <w:rsid w:val="34D631A4"/>
    <w:rsid w:val="34E73DDC"/>
    <w:rsid w:val="34FF2796"/>
    <w:rsid w:val="352B5B2D"/>
    <w:rsid w:val="354A3D2E"/>
    <w:rsid w:val="355A4229"/>
    <w:rsid w:val="357376F1"/>
    <w:rsid w:val="35783E0F"/>
    <w:rsid w:val="359F37C3"/>
    <w:rsid w:val="35A940DE"/>
    <w:rsid w:val="35B33634"/>
    <w:rsid w:val="36306479"/>
    <w:rsid w:val="364B6B64"/>
    <w:rsid w:val="36697488"/>
    <w:rsid w:val="366F3BE0"/>
    <w:rsid w:val="36E0506A"/>
    <w:rsid w:val="36FB00F6"/>
    <w:rsid w:val="370146DA"/>
    <w:rsid w:val="370F5020"/>
    <w:rsid w:val="37315EBE"/>
    <w:rsid w:val="373D5CA8"/>
    <w:rsid w:val="37622F03"/>
    <w:rsid w:val="3769770F"/>
    <w:rsid w:val="377E17AE"/>
    <w:rsid w:val="37833591"/>
    <w:rsid w:val="37C624B2"/>
    <w:rsid w:val="37D576C4"/>
    <w:rsid w:val="380B7EA3"/>
    <w:rsid w:val="38156829"/>
    <w:rsid w:val="381D39B4"/>
    <w:rsid w:val="381F342D"/>
    <w:rsid w:val="383616C8"/>
    <w:rsid w:val="383D3C2D"/>
    <w:rsid w:val="38401B10"/>
    <w:rsid w:val="38510CC5"/>
    <w:rsid w:val="38703F75"/>
    <w:rsid w:val="38771E31"/>
    <w:rsid w:val="38803F03"/>
    <w:rsid w:val="389A3789"/>
    <w:rsid w:val="38CB2931"/>
    <w:rsid w:val="38CC3AF8"/>
    <w:rsid w:val="38F87303"/>
    <w:rsid w:val="38FC614B"/>
    <w:rsid w:val="390C4A3A"/>
    <w:rsid w:val="392F5000"/>
    <w:rsid w:val="394B4DF2"/>
    <w:rsid w:val="39880D99"/>
    <w:rsid w:val="39A00712"/>
    <w:rsid w:val="39C55C29"/>
    <w:rsid w:val="3A0D759D"/>
    <w:rsid w:val="3A2172B4"/>
    <w:rsid w:val="3A217919"/>
    <w:rsid w:val="3A2A2305"/>
    <w:rsid w:val="3A331A08"/>
    <w:rsid w:val="3A4A092B"/>
    <w:rsid w:val="3A4B3262"/>
    <w:rsid w:val="3A4E1D0E"/>
    <w:rsid w:val="3A627A97"/>
    <w:rsid w:val="3A650204"/>
    <w:rsid w:val="3AA2375D"/>
    <w:rsid w:val="3AA37F42"/>
    <w:rsid w:val="3AC21210"/>
    <w:rsid w:val="3ACC73B7"/>
    <w:rsid w:val="3B3A2CB7"/>
    <w:rsid w:val="3B3F2CA7"/>
    <w:rsid w:val="3B7B277E"/>
    <w:rsid w:val="3B871330"/>
    <w:rsid w:val="3BBB558B"/>
    <w:rsid w:val="3BC80B39"/>
    <w:rsid w:val="3C7C2D5B"/>
    <w:rsid w:val="3CA51396"/>
    <w:rsid w:val="3CF03B2D"/>
    <w:rsid w:val="3D066899"/>
    <w:rsid w:val="3D844A5A"/>
    <w:rsid w:val="3DA1374C"/>
    <w:rsid w:val="3DA2025D"/>
    <w:rsid w:val="3DC878BD"/>
    <w:rsid w:val="3DD20E23"/>
    <w:rsid w:val="3DD36B7B"/>
    <w:rsid w:val="3E1E429B"/>
    <w:rsid w:val="3E2C7997"/>
    <w:rsid w:val="3E45504C"/>
    <w:rsid w:val="3E61043C"/>
    <w:rsid w:val="3E694D43"/>
    <w:rsid w:val="3EB963A5"/>
    <w:rsid w:val="3ECA46D1"/>
    <w:rsid w:val="3EE651E8"/>
    <w:rsid w:val="3F016D70"/>
    <w:rsid w:val="3F1F4A85"/>
    <w:rsid w:val="3F2B0CDF"/>
    <w:rsid w:val="3F3A501A"/>
    <w:rsid w:val="3F6539A3"/>
    <w:rsid w:val="3F780536"/>
    <w:rsid w:val="3FC6325B"/>
    <w:rsid w:val="3FE575B3"/>
    <w:rsid w:val="4003500E"/>
    <w:rsid w:val="40247426"/>
    <w:rsid w:val="40384A7B"/>
    <w:rsid w:val="4054738B"/>
    <w:rsid w:val="406827B9"/>
    <w:rsid w:val="4082168B"/>
    <w:rsid w:val="40C31C84"/>
    <w:rsid w:val="40F17640"/>
    <w:rsid w:val="40F57964"/>
    <w:rsid w:val="410D17F2"/>
    <w:rsid w:val="4118432E"/>
    <w:rsid w:val="411952E3"/>
    <w:rsid w:val="4125226D"/>
    <w:rsid w:val="41290D30"/>
    <w:rsid w:val="415C7EC8"/>
    <w:rsid w:val="415E35BD"/>
    <w:rsid w:val="417F3345"/>
    <w:rsid w:val="418F600A"/>
    <w:rsid w:val="419754E8"/>
    <w:rsid w:val="419C26DE"/>
    <w:rsid w:val="41A00CE9"/>
    <w:rsid w:val="41D81893"/>
    <w:rsid w:val="41EC6FC4"/>
    <w:rsid w:val="420C49CA"/>
    <w:rsid w:val="42222905"/>
    <w:rsid w:val="42373953"/>
    <w:rsid w:val="42450CF1"/>
    <w:rsid w:val="42554FFD"/>
    <w:rsid w:val="4268152D"/>
    <w:rsid w:val="42790D52"/>
    <w:rsid w:val="428E139A"/>
    <w:rsid w:val="42C87CCF"/>
    <w:rsid w:val="42CB3072"/>
    <w:rsid w:val="42CB65B7"/>
    <w:rsid w:val="42E33C29"/>
    <w:rsid w:val="42E47ECD"/>
    <w:rsid w:val="42F07DA6"/>
    <w:rsid w:val="42F53119"/>
    <w:rsid w:val="42FF09A2"/>
    <w:rsid w:val="430809D3"/>
    <w:rsid w:val="430D56E1"/>
    <w:rsid w:val="437C2D76"/>
    <w:rsid w:val="439B5259"/>
    <w:rsid w:val="43AA0EDA"/>
    <w:rsid w:val="43B36F6B"/>
    <w:rsid w:val="43BC0983"/>
    <w:rsid w:val="441B3AC8"/>
    <w:rsid w:val="441B3E9F"/>
    <w:rsid w:val="44296A03"/>
    <w:rsid w:val="444462EB"/>
    <w:rsid w:val="44814344"/>
    <w:rsid w:val="44A517E9"/>
    <w:rsid w:val="44AD056C"/>
    <w:rsid w:val="44DA759D"/>
    <w:rsid w:val="44F10233"/>
    <w:rsid w:val="44F61E0C"/>
    <w:rsid w:val="44FA3F82"/>
    <w:rsid w:val="451E3FAA"/>
    <w:rsid w:val="452334C7"/>
    <w:rsid w:val="452C0D9A"/>
    <w:rsid w:val="45551418"/>
    <w:rsid w:val="456F5EC4"/>
    <w:rsid w:val="45777E59"/>
    <w:rsid w:val="457849BD"/>
    <w:rsid w:val="458A0FC3"/>
    <w:rsid w:val="458F46CB"/>
    <w:rsid w:val="45C9326C"/>
    <w:rsid w:val="45DC1C00"/>
    <w:rsid w:val="45E458B8"/>
    <w:rsid w:val="45ED50AE"/>
    <w:rsid w:val="460A6A09"/>
    <w:rsid w:val="466133AD"/>
    <w:rsid w:val="46E55753"/>
    <w:rsid w:val="46E83D20"/>
    <w:rsid w:val="46F6606A"/>
    <w:rsid w:val="470D0570"/>
    <w:rsid w:val="47173738"/>
    <w:rsid w:val="471D14BA"/>
    <w:rsid w:val="471E3D23"/>
    <w:rsid w:val="47431429"/>
    <w:rsid w:val="47B40579"/>
    <w:rsid w:val="47B73822"/>
    <w:rsid w:val="47CD4D16"/>
    <w:rsid w:val="47F043DD"/>
    <w:rsid w:val="48253830"/>
    <w:rsid w:val="485E04E5"/>
    <w:rsid w:val="487600BD"/>
    <w:rsid w:val="4893018E"/>
    <w:rsid w:val="48B44E62"/>
    <w:rsid w:val="48BA22AD"/>
    <w:rsid w:val="48C757A9"/>
    <w:rsid w:val="490E6CFE"/>
    <w:rsid w:val="49164744"/>
    <w:rsid w:val="4923344E"/>
    <w:rsid w:val="492723AF"/>
    <w:rsid w:val="49652E3E"/>
    <w:rsid w:val="497017A3"/>
    <w:rsid w:val="49780F96"/>
    <w:rsid w:val="49B31E56"/>
    <w:rsid w:val="49E12C8F"/>
    <w:rsid w:val="49E30116"/>
    <w:rsid w:val="4A0B3203"/>
    <w:rsid w:val="4A216B47"/>
    <w:rsid w:val="4A735973"/>
    <w:rsid w:val="4AA40F60"/>
    <w:rsid w:val="4B1631F6"/>
    <w:rsid w:val="4B230539"/>
    <w:rsid w:val="4B460AE7"/>
    <w:rsid w:val="4B9C0A98"/>
    <w:rsid w:val="4BA72F9D"/>
    <w:rsid w:val="4BAD74F9"/>
    <w:rsid w:val="4BAE4C18"/>
    <w:rsid w:val="4BC23195"/>
    <w:rsid w:val="4BC80D37"/>
    <w:rsid w:val="4BE50DF7"/>
    <w:rsid w:val="4BE530C7"/>
    <w:rsid w:val="4C2C74AF"/>
    <w:rsid w:val="4C651E78"/>
    <w:rsid w:val="4C6850EC"/>
    <w:rsid w:val="4C7379C1"/>
    <w:rsid w:val="4C9D7F05"/>
    <w:rsid w:val="4CAA1C19"/>
    <w:rsid w:val="4CAF55D3"/>
    <w:rsid w:val="4CB507AC"/>
    <w:rsid w:val="4CB66A54"/>
    <w:rsid w:val="4CBD4AE5"/>
    <w:rsid w:val="4D4664F3"/>
    <w:rsid w:val="4D663C4E"/>
    <w:rsid w:val="4D6B3747"/>
    <w:rsid w:val="4D777E8A"/>
    <w:rsid w:val="4D84069B"/>
    <w:rsid w:val="4DBE1A1B"/>
    <w:rsid w:val="4DD11D7A"/>
    <w:rsid w:val="4DEE4A39"/>
    <w:rsid w:val="4E094161"/>
    <w:rsid w:val="4E105DDD"/>
    <w:rsid w:val="4E1C6E78"/>
    <w:rsid w:val="4E5440AE"/>
    <w:rsid w:val="4E742692"/>
    <w:rsid w:val="4E79012D"/>
    <w:rsid w:val="4EBB3F9B"/>
    <w:rsid w:val="4EC217CD"/>
    <w:rsid w:val="4ECE71C0"/>
    <w:rsid w:val="4ED7337C"/>
    <w:rsid w:val="4F0B290B"/>
    <w:rsid w:val="4F1D21CF"/>
    <w:rsid w:val="4F6700F2"/>
    <w:rsid w:val="4FAC727E"/>
    <w:rsid w:val="4FB21A9B"/>
    <w:rsid w:val="4FC06238"/>
    <w:rsid w:val="4FC9340D"/>
    <w:rsid w:val="4FD86DCF"/>
    <w:rsid w:val="4FE11136"/>
    <w:rsid w:val="4FE340AE"/>
    <w:rsid w:val="4FEC613D"/>
    <w:rsid w:val="501A7B2B"/>
    <w:rsid w:val="502C515D"/>
    <w:rsid w:val="503B4195"/>
    <w:rsid w:val="504B75A0"/>
    <w:rsid w:val="50534099"/>
    <w:rsid w:val="50810A2B"/>
    <w:rsid w:val="50AC1E5D"/>
    <w:rsid w:val="50BF6BA4"/>
    <w:rsid w:val="50E6147C"/>
    <w:rsid w:val="51056772"/>
    <w:rsid w:val="51082A39"/>
    <w:rsid w:val="512540D9"/>
    <w:rsid w:val="51471974"/>
    <w:rsid w:val="5156161E"/>
    <w:rsid w:val="51714609"/>
    <w:rsid w:val="5180210D"/>
    <w:rsid w:val="51AB3125"/>
    <w:rsid w:val="51B64C72"/>
    <w:rsid w:val="51CF3E00"/>
    <w:rsid w:val="52431D60"/>
    <w:rsid w:val="52A44E02"/>
    <w:rsid w:val="52B10AD9"/>
    <w:rsid w:val="52B4385B"/>
    <w:rsid w:val="52CB5F77"/>
    <w:rsid w:val="52CD0741"/>
    <w:rsid w:val="52EA5C89"/>
    <w:rsid w:val="52F105F2"/>
    <w:rsid w:val="532A5D9E"/>
    <w:rsid w:val="53604C2D"/>
    <w:rsid w:val="53690E1E"/>
    <w:rsid w:val="536D19A8"/>
    <w:rsid w:val="537F5564"/>
    <w:rsid w:val="53A45945"/>
    <w:rsid w:val="53C366A5"/>
    <w:rsid w:val="53CD0DF1"/>
    <w:rsid w:val="540F2218"/>
    <w:rsid w:val="54134879"/>
    <w:rsid w:val="54160D2E"/>
    <w:rsid w:val="545555BC"/>
    <w:rsid w:val="545A0B3C"/>
    <w:rsid w:val="545B071C"/>
    <w:rsid w:val="54970228"/>
    <w:rsid w:val="54AA6F8B"/>
    <w:rsid w:val="54BD719C"/>
    <w:rsid w:val="54FE2E33"/>
    <w:rsid w:val="552A0324"/>
    <w:rsid w:val="552A5644"/>
    <w:rsid w:val="552B713D"/>
    <w:rsid w:val="559612BE"/>
    <w:rsid w:val="55AE3E55"/>
    <w:rsid w:val="55B46F38"/>
    <w:rsid w:val="560721BC"/>
    <w:rsid w:val="56280B45"/>
    <w:rsid w:val="562B4A40"/>
    <w:rsid w:val="56410EA1"/>
    <w:rsid w:val="5656174A"/>
    <w:rsid w:val="566217BD"/>
    <w:rsid w:val="56982791"/>
    <w:rsid w:val="569F4BDB"/>
    <w:rsid w:val="56C65BD3"/>
    <w:rsid w:val="5701674D"/>
    <w:rsid w:val="5743439F"/>
    <w:rsid w:val="57531672"/>
    <w:rsid w:val="575C5B37"/>
    <w:rsid w:val="57647E28"/>
    <w:rsid w:val="577F2AA1"/>
    <w:rsid w:val="578E0EE5"/>
    <w:rsid w:val="57A75A04"/>
    <w:rsid w:val="57B44841"/>
    <w:rsid w:val="57E8101B"/>
    <w:rsid w:val="57F509BF"/>
    <w:rsid w:val="58117322"/>
    <w:rsid w:val="5819350C"/>
    <w:rsid w:val="581C65D9"/>
    <w:rsid w:val="585B5DD0"/>
    <w:rsid w:val="585E184A"/>
    <w:rsid w:val="587020E4"/>
    <w:rsid w:val="5880260C"/>
    <w:rsid w:val="589D5573"/>
    <w:rsid w:val="58BC1F54"/>
    <w:rsid w:val="58C3123D"/>
    <w:rsid w:val="58C448E4"/>
    <w:rsid w:val="59047EE0"/>
    <w:rsid w:val="590576DC"/>
    <w:rsid w:val="590D41FF"/>
    <w:rsid w:val="59177B7A"/>
    <w:rsid w:val="59904D1D"/>
    <w:rsid w:val="59AB0E97"/>
    <w:rsid w:val="59C5394B"/>
    <w:rsid w:val="59F33DBC"/>
    <w:rsid w:val="5A0031AA"/>
    <w:rsid w:val="5A0058B7"/>
    <w:rsid w:val="5A2B0AC7"/>
    <w:rsid w:val="5A4667AC"/>
    <w:rsid w:val="5A6D4AD5"/>
    <w:rsid w:val="5A985AD8"/>
    <w:rsid w:val="5AA5177E"/>
    <w:rsid w:val="5ADA39FB"/>
    <w:rsid w:val="5B0F6D3E"/>
    <w:rsid w:val="5B133E22"/>
    <w:rsid w:val="5B1A4369"/>
    <w:rsid w:val="5B223F3D"/>
    <w:rsid w:val="5B9F2496"/>
    <w:rsid w:val="5BBF2BB2"/>
    <w:rsid w:val="5BE9580E"/>
    <w:rsid w:val="5C0E3AB7"/>
    <w:rsid w:val="5C186ED1"/>
    <w:rsid w:val="5C1A2E1D"/>
    <w:rsid w:val="5C2A29F5"/>
    <w:rsid w:val="5C6F7777"/>
    <w:rsid w:val="5C8B408D"/>
    <w:rsid w:val="5C9F73C2"/>
    <w:rsid w:val="5CA0595A"/>
    <w:rsid w:val="5CA77128"/>
    <w:rsid w:val="5CAE3F35"/>
    <w:rsid w:val="5CAF0AD9"/>
    <w:rsid w:val="5CBA2B74"/>
    <w:rsid w:val="5CDD4EE8"/>
    <w:rsid w:val="5CEA3032"/>
    <w:rsid w:val="5D015A24"/>
    <w:rsid w:val="5D0E70DE"/>
    <w:rsid w:val="5D3C742B"/>
    <w:rsid w:val="5D5F6439"/>
    <w:rsid w:val="5D7664A2"/>
    <w:rsid w:val="5D7F2AAE"/>
    <w:rsid w:val="5D866E36"/>
    <w:rsid w:val="5D90589D"/>
    <w:rsid w:val="5DC64EE5"/>
    <w:rsid w:val="5DDB32CA"/>
    <w:rsid w:val="5DE76E43"/>
    <w:rsid w:val="5DEE5685"/>
    <w:rsid w:val="5DF43FF9"/>
    <w:rsid w:val="5E3F5AA9"/>
    <w:rsid w:val="5E8A0A27"/>
    <w:rsid w:val="5EDA66BF"/>
    <w:rsid w:val="5EE23683"/>
    <w:rsid w:val="5F007FE9"/>
    <w:rsid w:val="5F2E4693"/>
    <w:rsid w:val="5F3B790E"/>
    <w:rsid w:val="5F5165BF"/>
    <w:rsid w:val="5F5544E9"/>
    <w:rsid w:val="5F9B6878"/>
    <w:rsid w:val="5FD17AC2"/>
    <w:rsid w:val="5FF13CC0"/>
    <w:rsid w:val="5FF31531"/>
    <w:rsid w:val="5FF7485C"/>
    <w:rsid w:val="5FFC19E9"/>
    <w:rsid w:val="600E5F6A"/>
    <w:rsid w:val="6027245F"/>
    <w:rsid w:val="602D75C5"/>
    <w:rsid w:val="607F75F1"/>
    <w:rsid w:val="608A6848"/>
    <w:rsid w:val="609A1C45"/>
    <w:rsid w:val="60AF6879"/>
    <w:rsid w:val="60B40A33"/>
    <w:rsid w:val="61101CCB"/>
    <w:rsid w:val="615709F5"/>
    <w:rsid w:val="615D2AE6"/>
    <w:rsid w:val="61806608"/>
    <w:rsid w:val="61C96A7B"/>
    <w:rsid w:val="61DC00F0"/>
    <w:rsid w:val="61ED3C40"/>
    <w:rsid w:val="620705C1"/>
    <w:rsid w:val="62097B17"/>
    <w:rsid w:val="620C7BF2"/>
    <w:rsid w:val="623A646C"/>
    <w:rsid w:val="628A1755"/>
    <w:rsid w:val="62905443"/>
    <w:rsid w:val="629A29B4"/>
    <w:rsid w:val="62BC5FD6"/>
    <w:rsid w:val="62C57F8B"/>
    <w:rsid w:val="62D058DB"/>
    <w:rsid w:val="62D360A9"/>
    <w:rsid w:val="62D83358"/>
    <w:rsid w:val="62E606CC"/>
    <w:rsid w:val="62FB736E"/>
    <w:rsid w:val="631D18BC"/>
    <w:rsid w:val="63390619"/>
    <w:rsid w:val="6382127C"/>
    <w:rsid w:val="63AB23D8"/>
    <w:rsid w:val="63B93A73"/>
    <w:rsid w:val="63D8386C"/>
    <w:rsid w:val="63E9713C"/>
    <w:rsid w:val="6401140E"/>
    <w:rsid w:val="64056E42"/>
    <w:rsid w:val="640C14E4"/>
    <w:rsid w:val="641F161E"/>
    <w:rsid w:val="64397EB9"/>
    <w:rsid w:val="64667A1D"/>
    <w:rsid w:val="647633D1"/>
    <w:rsid w:val="649900F6"/>
    <w:rsid w:val="64AD1FBD"/>
    <w:rsid w:val="64BE1A92"/>
    <w:rsid w:val="64D92F75"/>
    <w:rsid w:val="64E02555"/>
    <w:rsid w:val="64F657DB"/>
    <w:rsid w:val="650E5959"/>
    <w:rsid w:val="651E5075"/>
    <w:rsid w:val="65247BAC"/>
    <w:rsid w:val="65285EB9"/>
    <w:rsid w:val="655667B5"/>
    <w:rsid w:val="65992ACE"/>
    <w:rsid w:val="65B24706"/>
    <w:rsid w:val="65CF421A"/>
    <w:rsid w:val="662E5357"/>
    <w:rsid w:val="669E6224"/>
    <w:rsid w:val="66A37F78"/>
    <w:rsid w:val="66E04C4E"/>
    <w:rsid w:val="6714413F"/>
    <w:rsid w:val="675661AE"/>
    <w:rsid w:val="67FA63ED"/>
    <w:rsid w:val="682A5F9A"/>
    <w:rsid w:val="683E062D"/>
    <w:rsid w:val="685655A6"/>
    <w:rsid w:val="68581BAD"/>
    <w:rsid w:val="68810433"/>
    <w:rsid w:val="688D0659"/>
    <w:rsid w:val="688D7E0D"/>
    <w:rsid w:val="689202CC"/>
    <w:rsid w:val="68DB3760"/>
    <w:rsid w:val="68DC271B"/>
    <w:rsid w:val="68E63A01"/>
    <w:rsid w:val="68EF049E"/>
    <w:rsid w:val="692803C3"/>
    <w:rsid w:val="692E6E3C"/>
    <w:rsid w:val="69427AF8"/>
    <w:rsid w:val="699867A0"/>
    <w:rsid w:val="69B0543A"/>
    <w:rsid w:val="69FE3518"/>
    <w:rsid w:val="6A0543C1"/>
    <w:rsid w:val="6A284048"/>
    <w:rsid w:val="6A414821"/>
    <w:rsid w:val="6A481A73"/>
    <w:rsid w:val="6A575068"/>
    <w:rsid w:val="6A665904"/>
    <w:rsid w:val="6AAE31DE"/>
    <w:rsid w:val="6AC33697"/>
    <w:rsid w:val="6AE42621"/>
    <w:rsid w:val="6AEE4B93"/>
    <w:rsid w:val="6B1001A3"/>
    <w:rsid w:val="6B326078"/>
    <w:rsid w:val="6B3B559F"/>
    <w:rsid w:val="6B3E7FD6"/>
    <w:rsid w:val="6B586CAF"/>
    <w:rsid w:val="6B597167"/>
    <w:rsid w:val="6B5A092C"/>
    <w:rsid w:val="6B790EB9"/>
    <w:rsid w:val="6B7B2FD8"/>
    <w:rsid w:val="6B9D6AAA"/>
    <w:rsid w:val="6BD74EC9"/>
    <w:rsid w:val="6C575B38"/>
    <w:rsid w:val="6C655226"/>
    <w:rsid w:val="6C755A73"/>
    <w:rsid w:val="6C847C6A"/>
    <w:rsid w:val="6CB86BD0"/>
    <w:rsid w:val="6CBD5694"/>
    <w:rsid w:val="6CCE7534"/>
    <w:rsid w:val="6D177A6A"/>
    <w:rsid w:val="6D197BC5"/>
    <w:rsid w:val="6D2C6024"/>
    <w:rsid w:val="6D6264DA"/>
    <w:rsid w:val="6D840DA7"/>
    <w:rsid w:val="6DBE2A89"/>
    <w:rsid w:val="6DC82033"/>
    <w:rsid w:val="6DD21A39"/>
    <w:rsid w:val="6DD46C7A"/>
    <w:rsid w:val="6DD87C15"/>
    <w:rsid w:val="6DDF1625"/>
    <w:rsid w:val="6DE31096"/>
    <w:rsid w:val="6DE72ACD"/>
    <w:rsid w:val="6DED0D1E"/>
    <w:rsid w:val="6E036A38"/>
    <w:rsid w:val="6E0700F7"/>
    <w:rsid w:val="6E113CCF"/>
    <w:rsid w:val="6E121C95"/>
    <w:rsid w:val="6E160D96"/>
    <w:rsid w:val="6E1D2506"/>
    <w:rsid w:val="6E260E83"/>
    <w:rsid w:val="6E345B1F"/>
    <w:rsid w:val="6E443669"/>
    <w:rsid w:val="6E6C09B6"/>
    <w:rsid w:val="6EA20C89"/>
    <w:rsid w:val="6EAB5982"/>
    <w:rsid w:val="6EF379C8"/>
    <w:rsid w:val="6F40253B"/>
    <w:rsid w:val="6F416BF8"/>
    <w:rsid w:val="6F457A72"/>
    <w:rsid w:val="6F6E519E"/>
    <w:rsid w:val="6F831F50"/>
    <w:rsid w:val="6F915F14"/>
    <w:rsid w:val="6F941DD7"/>
    <w:rsid w:val="6F963B26"/>
    <w:rsid w:val="6FC75B46"/>
    <w:rsid w:val="70071D76"/>
    <w:rsid w:val="702754DC"/>
    <w:rsid w:val="70336AEB"/>
    <w:rsid w:val="70562C94"/>
    <w:rsid w:val="70686334"/>
    <w:rsid w:val="706A7177"/>
    <w:rsid w:val="706B0386"/>
    <w:rsid w:val="70825E08"/>
    <w:rsid w:val="7094120F"/>
    <w:rsid w:val="709541F4"/>
    <w:rsid w:val="70CB097C"/>
    <w:rsid w:val="70D31C0C"/>
    <w:rsid w:val="70F73985"/>
    <w:rsid w:val="71044528"/>
    <w:rsid w:val="712C6A73"/>
    <w:rsid w:val="715C340F"/>
    <w:rsid w:val="716B764B"/>
    <w:rsid w:val="718522D2"/>
    <w:rsid w:val="719165C1"/>
    <w:rsid w:val="719B0D15"/>
    <w:rsid w:val="71C50D8A"/>
    <w:rsid w:val="71D35BBA"/>
    <w:rsid w:val="72037C20"/>
    <w:rsid w:val="724C4F1A"/>
    <w:rsid w:val="72872262"/>
    <w:rsid w:val="72A7312D"/>
    <w:rsid w:val="72C32DEC"/>
    <w:rsid w:val="7309711B"/>
    <w:rsid w:val="733758C8"/>
    <w:rsid w:val="73695804"/>
    <w:rsid w:val="737133D2"/>
    <w:rsid w:val="73AA4CD1"/>
    <w:rsid w:val="73AD263E"/>
    <w:rsid w:val="73DF2B50"/>
    <w:rsid w:val="73EA2F44"/>
    <w:rsid w:val="73EF6FCB"/>
    <w:rsid w:val="73F8082D"/>
    <w:rsid w:val="746D6EA6"/>
    <w:rsid w:val="74901273"/>
    <w:rsid w:val="74A120DC"/>
    <w:rsid w:val="74CE7988"/>
    <w:rsid w:val="7519412F"/>
    <w:rsid w:val="75245A20"/>
    <w:rsid w:val="75264D66"/>
    <w:rsid w:val="752F002D"/>
    <w:rsid w:val="756578D8"/>
    <w:rsid w:val="756E6D67"/>
    <w:rsid w:val="75B571A3"/>
    <w:rsid w:val="75E33518"/>
    <w:rsid w:val="75F31736"/>
    <w:rsid w:val="760D4907"/>
    <w:rsid w:val="76171B4F"/>
    <w:rsid w:val="76465F91"/>
    <w:rsid w:val="767508E2"/>
    <w:rsid w:val="7678399B"/>
    <w:rsid w:val="767D395F"/>
    <w:rsid w:val="76AF2584"/>
    <w:rsid w:val="76C25116"/>
    <w:rsid w:val="76FC183B"/>
    <w:rsid w:val="771F4ADD"/>
    <w:rsid w:val="772067E2"/>
    <w:rsid w:val="772E7150"/>
    <w:rsid w:val="774714D4"/>
    <w:rsid w:val="774B2CA1"/>
    <w:rsid w:val="77710400"/>
    <w:rsid w:val="7775456C"/>
    <w:rsid w:val="777637DB"/>
    <w:rsid w:val="777A32E1"/>
    <w:rsid w:val="778A5C5E"/>
    <w:rsid w:val="77B55997"/>
    <w:rsid w:val="77CC6F80"/>
    <w:rsid w:val="77D9214F"/>
    <w:rsid w:val="77EB74D4"/>
    <w:rsid w:val="78081F57"/>
    <w:rsid w:val="781147F5"/>
    <w:rsid w:val="78202BD2"/>
    <w:rsid w:val="78244B98"/>
    <w:rsid w:val="78473CF3"/>
    <w:rsid w:val="784B0ED7"/>
    <w:rsid w:val="78566524"/>
    <w:rsid w:val="785A4958"/>
    <w:rsid w:val="78A810E3"/>
    <w:rsid w:val="78B137A9"/>
    <w:rsid w:val="78B816AD"/>
    <w:rsid w:val="794C4820"/>
    <w:rsid w:val="796B3756"/>
    <w:rsid w:val="7A645F2D"/>
    <w:rsid w:val="7A776F80"/>
    <w:rsid w:val="7A7831A2"/>
    <w:rsid w:val="7A880D40"/>
    <w:rsid w:val="7AA16DD5"/>
    <w:rsid w:val="7AAD2A82"/>
    <w:rsid w:val="7AAF3E21"/>
    <w:rsid w:val="7AD1790C"/>
    <w:rsid w:val="7B0870EC"/>
    <w:rsid w:val="7B1A15C8"/>
    <w:rsid w:val="7B3F5294"/>
    <w:rsid w:val="7B694B69"/>
    <w:rsid w:val="7B803CF3"/>
    <w:rsid w:val="7B9F14B1"/>
    <w:rsid w:val="7BBD27C5"/>
    <w:rsid w:val="7BDD3112"/>
    <w:rsid w:val="7BEC586E"/>
    <w:rsid w:val="7C2C7801"/>
    <w:rsid w:val="7C2E374F"/>
    <w:rsid w:val="7C38782F"/>
    <w:rsid w:val="7C604753"/>
    <w:rsid w:val="7C92193E"/>
    <w:rsid w:val="7CB768FB"/>
    <w:rsid w:val="7CD5482B"/>
    <w:rsid w:val="7CFC1380"/>
    <w:rsid w:val="7CFE093F"/>
    <w:rsid w:val="7D1F3C7C"/>
    <w:rsid w:val="7D6525D2"/>
    <w:rsid w:val="7D672CA3"/>
    <w:rsid w:val="7D732219"/>
    <w:rsid w:val="7D73351F"/>
    <w:rsid w:val="7D843D8E"/>
    <w:rsid w:val="7D8865BE"/>
    <w:rsid w:val="7D966001"/>
    <w:rsid w:val="7D9A3472"/>
    <w:rsid w:val="7DFB0936"/>
    <w:rsid w:val="7E186464"/>
    <w:rsid w:val="7E1E3B76"/>
    <w:rsid w:val="7E2625E2"/>
    <w:rsid w:val="7E3B705D"/>
    <w:rsid w:val="7E960C89"/>
    <w:rsid w:val="7EAB6553"/>
    <w:rsid w:val="7EEC10D5"/>
    <w:rsid w:val="7EFE143D"/>
    <w:rsid w:val="7F28157E"/>
    <w:rsid w:val="7F8A5DC0"/>
    <w:rsid w:val="7F8D0F80"/>
    <w:rsid w:val="7FC83C85"/>
    <w:rsid w:val="7FCA47A2"/>
    <w:rsid w:val="7FF901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3"/>
    <w:basedOn w:val="3"/>
    <w:next w:val="1"/>
    <w:link w:val="58"/>
    <w:autoRedefine/>
    <w:qFormat/>
    <w:uiPriority w:val="0"/>
    <w:pPr>
      <w:numPr>
        <w:ilvl w:val="2"/>
      </w:numPr>
      <w:tabs>
        <w:tab w:val="left" w:pos="900"/>
      </w:tabs>
      <w:outlineLvl w:val="2"/>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Body Text 3"/>
    <w:basedOn w:val="1"/>
    <w:autoRedefine/>
    <w:unhideWhenUsed/>
    <w:qFormat/>
    <w:uiPriority w:val="99"/>
    <w:rPr>
      <w:rFonts w:ascii="宋体" w:hAnsi="Calibri"/>
      <w:sz w:val="24"/>
    </w:rPr>
  </w:style>
  <w:style w:type="paragraph" w:styleId="7">
    <w:name w:val="Body Text"/>
    <w:basedOn w:val="1"/>
    <w:next w:val="8"/>
    <w:autoRedefine/>
    <w:qFormat/>
    <w:uiPriority w:val="0"/>
    <w:pPr>
      <w:spacing w:line="360" w:lineRule="auto"/>
    </w:pPr>
  </w:style>
  <w:style w:type="paragraph" w:styleId="8">
    <w:name w:val="Title"/>
    <w:basedOn w:val="1"/>
    <w:next w:val="1"/>
    <w:autoRedefine/>
    <w:qFormat/>
    <w:uiPriority w:val="0"/>
    <w:pPr>
      <w:spacing w:before="240" w:after="60"/>
      <w:jc w:val="center"/>
      <w:outlineLvl w:val="0"/>
    </w:pPr>
    <w:rPr>
      <w:rFonts w:ascii="Cambria" w:hAnsi="Cambria"/>
      <w:b/>
      <w:bCs/>
      <w:szCs w:val="32"/>
    </w:rPr>
  </w:style>
  <w:style w:type="paragraph" w:styleId="9">
    <w:name w:val="Body Text Indent"/>
    <w:basedOn w:val="1"/>
    <w:next w:val="10"/>
    <w:autoRedefine/>
    <w:qFormat/>
    <w:uiPriority w:val="0"/>
    <w:pPr>
      <w:spacing w:after="120"/>
      <w:ind w:left="420" w:leftChars="200"/>
    </w:pPr>
    <w:rPr>
      <w:rFonts w:asciiTheme="minorHAnsi" w:hAnsiTheme="minorHAnsi" w:eastAsiaTheme="minorEastAsia" w:cstheme="minorBidi"/>
      <w:szCs w:val="22"/>
    </w:rPr>
  </w:style>
  <w:style w:type="paragraph" w:styleId="10">
    <w:name w:val="Body Text First Indent 2"/>
    <w:basedOn w:val="9"/>
    <w:next w:val="1"/>
    <w:autoRedefine/>
    <w:qFormat/>
    <w:uiPriority w:val="0"/>
    <w:pPr>
      <w:ind w:firstLine="420" w:firstLineChars="200"/>
    </w:pPr>
  </w:style>
  <w:style w:type="paragraph" w:styleId="11">
    <w:name w:val="Plain Text"/>
    <w:basedOn w:val="1"/>
    <w:next w:val="1"/>
    <w:autoRedefine/>
    <w:qFormat/>
    <w:uiPriority w:val="0"/>
    <w:rPr>
      <w:rFonts w:ascii="宋体"/>
      <w:szCs w:val="20"/>
    </w:rPr>
  </w:style>
  <w:style w:type="paragraph" w:styleId="12">
    <w:name w:val="Date"/>
    <w:basedOn w:val="1"/>
    <w:next w:val="1"/>
    <w:link w:val="48"/>
    <w:autoRedefine/>
    <w:qFormat/>
    <w:uiPriority w:val="0"/>
    <w:pPr>
      <w:ind w:left="100" w:leftChars="2500"/>
    </w:pPr>
  </w:style>
  <w:style w:type="paragraph" w:styleId="13">
    <w:name w:val="Balloon Text"/>
    <w:basedOn w:val="1"/>
    <w:link w:val="45"/>
    <w:autoRedefine/>
    <w:qFormat/>
    <w:uiPriority w:val="0"/>
    <w:rPr>
      <w:sz w:val="18"/>
      <w:szCs w:val="18"/>
    </w:rPr>
  </w:style>
  <w:style w:type="paragraph" w:styleId="14">
    <w:name w:val="footer"/>
    <w:basedOn w:val="1"/>
    <w:link w:val="46"/>
    <w:autoRedefine/>
    <w:qFormat/>
    <w:uiPriority w:val="99"/>
    <w:pPr>
      <w:tabs>
        <w:tab w:val="center" w:pos="4153"/>
        <w:tab w:val="right" w:pos="8306"/>
      </w:tabs>
      <w:snapToGrid w:val="0"/>
      <w:jc w:val="left"/>
    </w:pPr>
    <w:rPr>
      <w:rFonts w:ascii="宋体"/>
      <w:sz w:val="18"/>
      <w:szCs w:val="20"/>
    </w:rPr>
  </w:style>
  <w:style w:type="paragraph" w:styleId="15">
    <w:name w:val="envelope return"/>
    <w:basedOn w:val="1"/>
    <w:autoRedefine/>
    <w:qFormat/>
    <w:uiPriority w:val="0"/>
    <w:pPr>
      <w:snapToGrid w:val="0"/>
    </w:pPr>
    <w:rPr>
      <w:rFonts w:ascii="Arial" w:hAnsi="Arial"/>
    </w:rPr>
  </w:style>
  <w:style w:type="paragraph" w:styleId="16">
    <w:name w:val="header"/>
    <w:basedOn w:val="1"/>
    <w:next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spacing w:before="120" w:after="120"/>
      <w:jc w:val="left"/>
    </w:pPr>
    <w:rPr>
      <w:rFonts w:ascii="Calibri" w:hAnsi="Calibri"/>
      <w:b/>
      <w:bCs/>
      <w:caps/>
      <w:sz w:val="24"/>
    </w:rPr>
  </w:style>
  <w:style w:type="paragraph" w:styleId="18">
    <w:name w:val="toc 2"/>
    <w:basedOn w:val="1"/>
    <w:next w:val="1"/>
    <w:autoRedefine/>
    <w:qFormat/>
    <w:uiPriority w:val="0"/>
    <w:pPr>
      <w:ind w:left="420"/>
    </w:pPr>
  </w:style>
  <w:style w:type="paragraph" w:styleId="19">
    <w:name w:val="Body Text 2"/>
    <w:basedOn w:val="1"/>
    <w:autoRedefine/>
    <w:qFormat/>
    <w:uiPriority w:val="0"/>
    <w:pPr>
      <w:spacing w:after="120" w:line="480" w:lineRule="auto"/>
    </w:pPr>
  </w:style>
  <w:style w:type="paragraph" w:styleId="20">
    <w:name w:val="Normal (Web)"/>
    <w:basedOn w:val="1"/>
    <w:autoRedefine/>
    <w:qFormat/>
    <w:uiPriority w:val="0"/>
    <w:pPr>
      <w:spacing w:beforeAutospacing="1" w:afterAutospacing="1"/>
      <w:jc w:val="left"/>
    </w:pPr>
    <w:rPr>
      <w:kern w:val="0"/>
      <w:sz w:val="24"/>
    </w:rPr>
  </w:style>
  <w:style w:type="paragraph" w:styleId="21">
    <w:name w:val="Body Text First Indent"/>
    <w:basedOn w:val="7"/>
    <w:next w:val="22"/>
    <w:autoRedefine/>
    <w:unhideWhenUsed/>
    <w:qFormat/>
    <w:uiPriority w:val="0"/>
    <w:pPr>
      <w:ind w:firstLine="420" w:firstLineChars="100"/>
    </w:pPr>
  </w:style>
  <w:style w:type="paragraph" w:customStyle="1" w:styleId="22">
    <w:name w:val="段落正文"/>
    <w:basedOn w:val="1"/>
    <w:autoRedefine/>
    <w:qFormat/>
    <w:uiPriority w:val="0"/>
    <w:pPr>
      <w:spacing w:line="360" w:lineRule="auto"/>
      <w:ind w:firstLine="480" w:firstLineChars="200"/>
    </w:pPr>
    <w:rPr>
      <w:rFonts w:ascii="微软雅黑" w:hAnsi="微软雅黑"/>
      <w:kern w:val="0"/>
      <w:sz w:val="24"/>
      <w:szCs w:val="20"/>
    </w:rPr>
  </w:style>
  <w:style w:type="table" w:styleId="24">
    <w:name w:val="Table Grid"/>
    <w:basedOn w:val="2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ascii="Times New Roman" w:hAnsi="Times New Roman" w:eastAsia="宋体" w:cs="Times New Roman"/>
      <w:b/>
    </w:rPr>
  </w:style>
  <w:style w:type="character" w:styleId="27">
    <w:name w:val="page number"/>
    <w:basedOn w:val="25"/>
    <w:autoRedefine/>
    <w:qFormat/>
    <w:uiPriority w:val="0"/>
  </w:style>
  <w:style w:type="character" w:styleId="28">
    <w:name w:val="Emphasis"/>
    <w:basedOn w:val="25"/>
    <w:qFormat/>
    <w:uiPriority w:val="0"/>
    <w:rPr>
      <w:rFonts w:ascii="Times New Roman" w:hAnsi="Times New Roman" w:eastAsia="宋体" w:cs="Times New Roman"/>
      <w:i/>
    </w:rPr>
  </w:style>
  <w:style w:type="character" w:styleId="29">
    <w:name w:val="Hyperlink"/>
    <w:basedOn w:val="25"/>
    <w:autoRedefine/>
    <w:qFormat/>
    <w:uiPriority w:val="99"/>
    <w:rPr>
      <w:color w:val="666666"/>
      <w:u w:val="none"/>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正文首行缩进 21"/>
    <w:basedOn w:val="9"/>
    <w:autoRedefine/>
    <w:qFormat/>
    <w:uiPriority w:val="0"/>
    <w:pPr>
      <w:overflowPunct w:val="0"/>
      <w:autoSpaceDE w:val="0"/>
      <w:autoSpaceDN w:val="0"/>
      <w:adjustRightInd w:val="0"/>
      <w:spacing w:line="360" w:lineRule="auto"/>
      <w:ind w:left="0" w:leftChars="0" w:firstLine="420" w:firstLineChars="200"/>
      <w:textAlignment w:val="baseline"/>
    </w:pPr>
    <w:rPr>
      <w:rFonts w:ascii="宋体" w:hAnsi="MS Sans Serif"/>
      <w:spacing w:val="12"/>
      <w:sz w:val="24"/>
    </w:rPr>
  </w:style>
  <w:style w:type="paragraph" w:customStyle="1" w:styleId="33">
    <w:name w:val="正文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4">
    <w:name w:val="正文文本缩进1"/>
    <w:basedOn w:val="1"/>
    <w:autoRedefine/>
    <w:qFormat/>
    <w:uiPriority w:val="0"/>
    <w:pPr>
      <w:ind w:left="420" w:leftChars="200"/>
    </w:pPr>
  </w:style>
  <w:style w:type="paragraph" w:customStyle="1" w:styleId="3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37">
    <w:name w:val="_Style 17"/>
    <w:basedOn w:val="1"/>
    <w:next w:val="1"/>
    <w:autoRedefine/>
    <w:qFormat/>
    <w:uiPriority w:val="0"/>
    <w:pPr>
      <w:pBdr>
        <w:bottom w:val="single" w:color="auto" w:sz="6" w:space="1"/>
      </w:pBdr>
      <w:jc w:val="center"/>
    </w:pPr>
    <w:rPr>
      <w:rFonts w:ascii="Arial"/>
      <w:vanish/>
      <w:sz w:val="16"/>
    </w:rPr>
  </w:style>
  <w:style w:type="paragraph" w:customStyle="1" w:styleId="38">
    <w:name w:val="_Style 18"/>
    <w:basedOn w:val="1"/>
    <w:next w:val="1"/>
    <w:autoRedefine/>
    <w:qFormat/>
    <w:uiPriority w:val="0"/>
    <w:pPr>
      <w:pBdr>
        <w:top w:val="single" w:color="auto" w:sz="6" w:space="1"/>
      </w:pBdr>
      <w:jc w:val="center"/>
    </w:pPr>
    <w:rPr>
      <w:rFonts w:ascii="Arial"/>
      <w:vanish/>
      <w:sz w:val="16"/>
    </w:rPr>
  </w:style>
  <w:style w:type="paragraph" w:customStyle="1" w:styleId="39">
    <w:name w:val="样式 样式 首行缩进:  2.57 字符 + 首行缩进:  2.57 字符"/>
    <w:basedOn w:val="1"/>
    <w:autoRedefine/>
    <w:qFormat/>
    <w:uiPriority w:val="0"/>
    <w:pPr>
      <w:spacing w:line="360" w:lineRule="auto"/>
      <w:ind w:firstLine="771" w:firstLineChars="257"/>
    </w:pPr>
    <w:rPr>
      <w:rFonts w:eastAsia="仿宋" w:cs="宋体"/>
      <w:sz w:val="30"/>
      <w:szCs w:val="30"/>
    </w:rPr>
  </w:style>
  <w:style w:type="paragraph" w:customStyle="1" w:styleId="40">
    <w:name w:val="_Style 2"/>
    <w:basedOn w:val="1"/>
    <w:autoRedefine/>
    <w:qFormat/>
    <w:uiPriority w:val="0"/>
  </w:style>
  <w:style w:type="paragraph" w:customStyle="1" w:styleId="41">
    <w:name w:val="纯文本1"/>
    <w:basedOn w:val="1"/>
    <w:autoRedefine/>
    <w:qFormat/>
    <w:uiPriority w:val="0"/>
    <w:rPr>
      <w:rFonts w:ascii="宋体" w:hAnsi="Courier New"/>
      <w:szCs w:val="22"/>
    </w:rPr>
  </w:style>
  <w:style w:type="character" w:customStyle="1" w:styleId="42">
    <w:name w:val="标题 1 Char"/>
    <w:link w:val="2"/>
    <w:autoRedefine/>
    <w:qFormat/>
    <w:uiPriority w:val="0"/>
    <w:rPr>
      <w:b/>
      <w:bCs/>
      <w:kern w:val="44"/>
      <w:sz w:val="44"/>
      <w:szCs w:val="44"/>
    </w:rPr>
  </w:style>
  <w:style w:type="paragraph" w:customStyle="1" w:styleId="43">
    <w:name w:val="txt14"/>
    <w:basedOn w:val="1"/>
    <w:autoRedefine/>
    <w:qFormat/>
    <w:uiPriority w:val="0"/>
    <w:pPr>
      <w:widowControl/>
      <w:spacing w:before="100" w:beforeAutospacing="1" w:after="100" w:afterAutospacing="1"/>
      <w:jc w:val="left"/>
    </w:pPr>
    <w:rPr>
      <w:rFonts w:hint="eastAsia" w:ascii="宋体" w:hAnsi="宋体"/>
      <w:color w:val="000000"/>
      <w:kern w:val="0"/>
      <w:szCs w:val="21"/>
    </w:rPr>
  </w:style>
  <w:style w:type="paragraph" w:customStyle="1" w:styleId="44">
    <w:name w:val="Table Paragraph"/>
    <w:basedOn w:val="1"/>
    <w:autoRedefine/>
    <w:qFormat/>
    <w:uiPriority w:val="99"/>
    <w:pPr>
      <w:jc w:val="left"/>
    </w:pPr>
    <w:rPr>
      <w:kern w:val="0"/>
      <w:sz w:val="22"/>
      <w:lang w:eastAsia="en-US"/>
    </w:rPr>
  </w:style>
  <w:style w:type="character" w:customStyle="1" w:styleId="45">
    <w:name w:val="批注框文本 Char"/>
    <w:basedOn w:val="25"/>
    <w:link w:val="13"/>
    <w:autoRedefine/>
    <w:qFormat/>
    <w:uiPriority w:val="0"/>
    <w:rPr>
      <w:rFonts w:ascii="Times New Roman" w:hAnsi="Times New Roman"/>
      <w:kern w:val="2"/>
      <w:sz w:val="18"/>
      <w:szCs w:val="18"/>
    </w:rPr>
  </w:style>
  <w:style w:type="character" w:customStyle="1" w:styleId="46">
    <w:name w:val="页脚 Char"/>
    <w:basedOn w:val="25"/>
    <w:link w:val="14"/>
    <w:autoRedefine/>
    <w:qFormat/>
    <w:uiPriority w:val="99"/>
    <w:rPr>
      <w:rFonts w:ascii="宋体" w:hAnsi="Times New Roman"/>
      <w:kern w:val="2"/>
      <w:sz w:val="18"/>
    </w:rPr>
  </w:style>
  <w:style w:type="character" w:customStyle="1" w:styleId="47">
    <w:name w:val="页眉 Char"/>
    <w:basedOn w:val="25"/>
    <w:link w:val="16"/>
    <w:autoRedefine/>
    <w:qFormat/>
    <w:uiPriority w:val="99"/>
    <w:rPr>
      <w:rFonts w:ascii="Times New Roman" w:hAnsi="Times New Roman"/>
      <w:kern w:val="2"/>
      <w:sz w:val="18"/>
      <w:szCs w:val="18"/>
    </w:rPr>
  </w:style>
  <w:style w:type="character" w:customStyle="1" w:styleId="48">
    <w:name w:val="日期 Char"/>
    <w:basedOn w:val="25"/>
    <w:link w:val="12"/>
    <w:autoRedefine/>
    <w:qFormat/>
    <w:uiPriority w:val="0"/>
    <w:rPr>
      <w:rFonts w:ascii="Times New Roman" w:hAnsi="Times New Roman"/>
      <w:kern w:val="2"/>
      <w:sz w:val="21"/>
      <w:szCs w:val="24"/>
    </w:rPr>
  </w:style>
  <w:style w:type="paragraph" w:customStyle="1" w:styleId="49">
    <w:name w:val="Blockquote"/>
    <w:basedOn w:val="1"/>
    <w:autoRedefine/>
    <w:qFormat/>
    <w:uiPriority w:val="0"/>
    <w:pPr>
      <w:autoSpaceDE w:val="0"/>
      <w:autoSpaceDN w:val="0"/>
      <w:adjustRightInd w:val="0"/>
      <w:spacing w:before="100" w:after="100"/>
      <w:ind w:left="360" w:right="360"/>
      <w:jc w:val="left"/>
    </w:pPr>
    <w:rPr>
      <w:kern w:val="0"/>
      <w:position w:val="-6"/>
      <w:sz w:val="24"/>
    </w:rPr>
  </w:style>
  <w:style w:type="paragraph" w:customStyle="1" w:styleId="50">
    <w:name w:val="p2"/>
    <w:basedOn w:val="1"/>
    <w:autoRedefine/>
    <w:qFormat/>
    <w:uiPriority w:val="99"/>
    <w:pPr>
      <w:widowControl/>
      <w:spacing w:line="480" w:lineRule="auto"/>
      <w:ind w:firstLine="420"/>
      <w:jc w:val="left"/>
    </w:pPr>
    <w:rPr>
      <w:rFonts w:ascii="宋体" w:hAnsi="宋体" w:cs="宋体"/>
      <w:kern w:val="0"/>
      <w:szCs w:val="21"/>
    </w:rPr>
  </w:style>
  <w:style w:type="paragraph" w:customStyle="1" w:styleId="51">
    <w:name w:val="（标题二）"/>
    <w:basedOn w:val="3"/>
    <w:next w:val="1"/>
    <w:autoRedefine/>
    <w:qFormat/>
    <w:uiPriority w:val="0"/>
    <w:pPr>
      <w:spacing w:before="100" w:beforeAutospacing="1" w:after="100" w:afterAutospacing="1" w:line="410" w:lineRule="auto"/>
      <w:ind w:left="1680" w:hanging="420"/>
    </w:pPr>
    <w:rPr>
      <w:rFonts w:cs="Arial"/>
      <w:b w:val="0"/>
      <w:sz w:val="36"/>
      <w:szCs w:val="36"/>
    </w:rPr>
  </w:style>
  <w:style w:type="paragraph" w:customStyle="1" w:styleId="52">
    <w:name w:val="正文 New New New New New New New New New New New New New New New"/>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Other|1"/>
    <w:basedOn w:val="1"/>
    <w:autoRedefine/>
    <w:qFormat/>
    <w:uiPriority w:val="0"/>
    <w:pPr>
      <w:spacing w:line="480" w:lineRule="auto"/>
      <w:ind w:firstLine="400"/>
    </w:pPr>
    <w:rPr>
      <w:rFonts w:ascii="宋体" w:hAnsi="宋体" w:cs="宋体"/>
      <w:sz w:val="19"/>
      <w:szCs w:val="19"/>
      <w:lang w:val="zh-TW" w:eastAsia="zh-TW" w:bidi="zh-TW"/>
    </w:rPr>
  </w:style>
  <w:style w:type="paragraph" w:customStyle="1" w:styleId="54">
    <w:name w:val="p0"/>
    <w:basedOn w:val="1"/>
    <w:autoRedefine/>
    <w:qFormat/>
    <w:uiPriority w:val="99"/>
    <w:pPr>
      <w:widowControl/>
    </w:pPr>
    <w:rPr>
      <w:kern w:val="0"/>
    </w:rPr>
  </w:style>
  <w:style w:type="paragraph" w:styleId="55">
    <w:name w:val="List Paragraph"/>
    <w:basedOn w:val="1"/>
    <w:autoRedefine/>
    <w:qFormat/>
    <w:uiPriority w:val="34"/>
    <w:pPr>
      <w:ind w:firstLine="420" w:firstLineChars="200"/>
    </w:pPr>
  </w:style>
  <w:style w:type="paragraph" w:customStyle="1" w:styleId="56">
    <w:name w:val="NormalIndent"/>
    <w:basedOn w:val="1"/>
    <w:next w:val="1"/>
    <w:autoRedefine/>
    <w:qFormat/>
    <w:uiPriority w:val="0"/>
    <w:pPr>
      <w:spacing w:line="360" w:lineRule="auto"/>
      <w:ind w:firstLine="420" w:firstLineChars="200"/>
    </w:pPr>
    <w:rPr>
      <w:sz w:val="24"/>
    </w:rPr>
  </w:style>
  <w:style w:type="paragraph" w:customStyle="1" w:styleId="57">
    <w:name w:val="样式 正文Alt+ctrl+Z + 首行缩进:  2 字符9"/>
    <w:basedOn w:val="1"/>
    <w:autoRedefine/>
    <w:qFormat/>
    <w:uiPriority w:val="0"/>
    <w:pPr>
      <w:spacing w:afterLines="50" w:line="360" w:lineRule="auto"/>
      <w:ind w:firstLine="200" w:firstLineChars="200"/>
    </w:pPr>
    <w:rPr>
      <w:rFonts w:cs="宋体"/>
      <w:sz w:val="24"/>
      <w:szCs w:val="20"/>
    </w:rPr>
  </w:style>
  <w:style w:type="character" w:customStyle="1" w:styleId="58">
    <w:name w:val="标题 3 Char"/>
    <w:basedOn w:val="25"/>
    <w:link w:val="4"/>
    <w:autoRedefine/>
    <w:qFormat/>
    <w:uiPriority w:val="0"/>
    <w:rPr>
      <w:rFonts w:eastAsia="黑体"/>
      <w:b/>
      <w:kern w:val="0"/>
      <w:sz w:val="28"/>
      <w:szCs w:val="20"/>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Body Text Indent 21"/>
    <w:basedOn w:val="1"/>
    <w:autoRedefine/>
    <w:qFormat/>
    <w:uiPriority w:val="0"/>
    <w:pPr>
      <w:spacing w:line="60" w:lineRule="auto"/>
      <w:ind w:firstLine="128" w:firstLineChars="128"/>
    </w:pPr>
    <w:rPr>
      <w:rFonts w:ascii="仿宋_GB2312" w:eastAsia="仿宋_GB2312"/>
      <w:kern w:val="0"/>
      <w:sz w:val="24"/>
    </w:rPr>
  </w:style>
  <w:style w:type="character" w:customStyle="1" w:styleId="61">
    <w:name w:val="font11"/>
    <w:basedOn w:val="25"/>
    <w:autoRedefine/>
    <w:qFormat/>
    <w:uiPriority w:val="0"/>
    <w:rPr>
      <w:rFonts w:hint="default" w:ascii="Times New Roman" w:hAnsi="Times New Roman" w:cs="Times New Roman"/>
      <w:color w:val="000000"/>
      <w:sz w:val="28"/>
      <w:szCs w:val="28"/>
      <w:u w:val="none"/>
    </w:rPr>
  </w:style>
  <w:style w:type="character" w:customStyle="1" w:styleId="62">
    <w:name w:val="font01"/>
    <w:basedOn w:val="25"/>
    <w:autoRedefine/>
    <w:qFormat/>
    <w:uiPriority w:val="0"/>
    <w:rPr>
      <w:rFonts w:hint="eastAsia" w:ascii="宋体" w:hAnsi="宋体" w:eastAsia="宋体" w:cs="宋体"/>
      <w:color w:val="000000"/>
      <w:sz w:val="28"/>
      <w:szCs w:val="28"/>
      <w:u w:val="none"/>
    </w:rPr>
  </w:style>
  <w:style w:type="character" w:customStyle="1" w:styleId="63">
    <w:name w:val="font41"/>
    <w:basedOn w:val="25"/>
    <w:autoRedefine/>
    <w:qFormat/>
    <w:uiPriority w:val="0"/>
    <w:rPr>
      <w:rFonts w:hint="eastAsia" w:ascii="宋体" w:hAnsi="宋体" w:eastAsia="宋体" w:cs="宋体"/>
      <w:color w:val="000000"/>
      <w:sz w:val="22"/>
      <w:szCs w:val="22"/>
      <w:u w:val="none"/>
    </w:rPr>
  </w:style>
  <w:style w:type="character" w:customStyle="1" w:styleId="64">
    <w:name w:val="font31"/>
    <w:basedOn w:val="25"/>
    <w:autoRedefine/>
    <w:qFormat/>
    <w:uiPriority w:val="0"/>
    <w:rPr>
      <w:rFonts w:hint="eastAsia" w:ascii="宋体" w:hAnsi="宋体" w:eastAsia="宋体" w:cs="宋体"/>
      <w:b/>
      <w:bCs/>
      <w:color w:val="000000"/>
      <w:sz w:val="20"/>
      <w:szCs w:val="20"/>
      <w:u w:val="none"/>
    </w:rPr>
  </w:style>
  <w:style w:type="character" w:customStyle="1" w:styleId="65">
    <w:name w:val="font21"/>
    <w:basedOn w:val="25"/>
    <w:autoRedefine/>
    <w:qFormat/>
    <w:uiPriority w:val="0"/>
    <w:rPr>
      <w:rFonts w:hint="eastAsia" w:ascii="宋体" w:hAnsi="宋体" w:eastAsia="宋体" w:cs="宋体"/>
      <w:color w:val="000000"/>
      <w:sz w:val="18"/>
      <w:szCs w:val="18"/>
      <w:u w:val="none"/>
    </w:rPr>
  </w:style>
  <w:style w:type="paragraph" w:customStyle="1" w:styleId="66">
    <w:name w:val="style4"/>
    <w:basedOn w:val="33"/>
    <w:next w:val="67"/>
    <w:autoRedefine/>
    <w:qFormat/>
    <w:uiPriority w:val="0"/>
    <w:pPr>
      <w:spacing w:before="100" w:beforeAutospacing="1" w:after="100" w:afterAutospacing="1"/>
      <w:jc w:val="left"/>
    </w:pPr>
    <w:rPr>
      <w:rFonts w:ascii="宋体" w:hAnsi="宋体" w:cs="宋体"/>
      <w:kern w:val="0"/>
      <w:sz w:val="18"/>
      <w:szCs w:val="18"/>
    </w:rPr>
  </w:style>
  <w:style w:type="paragraph" w:customStyle="1" w:styleId="67">
    <w:name w:val="2"/>
    <w:basedOn w:val="1"/>
    <w:next w:val="1"/>
    <w:autoRedefine/>
    <w:qFormat/>
    <w:uiPriority w:val="0"/>
    <w:pPr>
      <w:spacing w:line="360" w:lineRule="auto"/>
    </w:pPr>
    <w:rPr>
      <w:rFonts w:eastAsia="仿宋_GB2312"/>
      <w:sz w:val="28"/>
      <w:szCs w:val="28"/>
    </w:rPr>
  </w:style>
  <w:style w:type="paragraph" w:customStyle="1" w:styleId="68">
    <w:name w:val="_Style 33"/>
    <w:basedOn w:val="1"/>
    <w:next w:val="7"/>
    <w:autoRedefine/>
    <w:qFormat/>
    <w:uiPriority w:val="0"/>
    <w:pPr>
      <w:adjustRightInd w:val="0"/>
      <w:spacing w:line="440" w:lineRule="exact"/>
    </w:pPr>
    <w:rPr>
      <w:rFonts w:ascii="宋体" w:hAnsi="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7" textRotate="1"/>
    <customShpInfo spid="_x0000_s1048" textRotate="1"/>
    <customShpInfo spid="_x0000_s1049" textRotate="1"/>
    <customShpInfo spid="_x0000_s1032"/>
    <customShpInfo spid="_x0000_s1050" textRotate="1"/>
    <customShpInfo spid="_x0000_s1051" textRotate="1"/>
    <customShpInfo spid="_x0000_s1029"/>
    <customShpInfo spid="_x0000_s1052" textRotate="1"/>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30904d45-880c-4ca9-9366-49baaaa2d05b</errorID>
      <errorWord>。</errorWord>
      <group>L1_Format</group>
      <groupName>格式问题</groupName>
      <ability>L2_HalfPunc</ability>
      <abilityName>全半角检查</abilityName>
      <candidateList>
        <item>.</item>
      </candidateList>
      <explain>文本全半角错误。</explain>
      <paraID>15ACE660</paraID>
      <start>131</start>
      <end>132</end>
      <status>unmodified</status>
      <modifiedWord/>
      <trackRevisions>false</trackRevisions>
    </reviewItem>
    <reviewItem>
      <errorID>d8fd95ff-9a5d-465e-b4f9-41e6761ec52f</errorID>
      <errorWord>：/</errorWord>
      <group>L1_Punc</group>
      <groupName>标点问题</groupName>
      <ability>L2_Punc</ability>
      <abilityName>标点符号检查</abilityName>
      <candidateList>
        <item>：</item>
      </candidateList>
      <explain/>
      <paraID> BAAD0F5</paraID>
      <start>6</start>
      <end>8</end>
      <status>unmodified</status>
      <modifiedWord/>
      <trackRevisions>false</trackRevisions>
    </reviewItem>
    <reviewItem>
      <errorID>a874af8b-a17b-477c-8baa-d07fa4a52fed</errorID>
      <errorWord>：/</errorWord>
      <group>L1_Punc</group>
      <groupName>标点问题</groupName>
      <ability>L2_Punc</ability>
      <abilityName>标点符号检查</abilityName>
      <candidateList>
        <item>：</item>
      </candidateList>
      <explain/>
      <paraID>30C45139</paraID>
      <start>8</start>
      <end>10</end>
      <status>unmodified</status>
      <modifiedWord/>
      <trackRevisions>false</trackRevisions>
    </reviewItem>
    <reviewItem>
      <errorID>17ba0645-8302-4a82-ad5f-b7ade1701897</errorID>
      <errorWord>：/</errorWord>
      <group>L1_Punc</group>
      <groupName>标点问题</groupName>
      <ability>L2_Punc</ability>
      <abilityName>标点符号检查</abilityName>
      <candidateList>
        <item>：</item>
      </candidateList>
      <explain/>
      <paraID> BAFB997</paraID>
      <start>4</start>
      <end>6</end>
      <status>unmodified</status>
      <modifiedWord/>
      <trackRevisions>false</trackRevisions>
    </reviewItem>
    <reviewItem>
      <errorID>b176c936-0fc1-4030-a5e1-06d7df9ee128</errorID>
      <errorWord>：/</errorWord>
      <group>L1_Punc</group>
      <groupName>标点问题</groupName>
      <ability>L2_Punc</ability>
      <abilityName>标点符号检查</abilityName>
      <candidateList>
        <item>：</item>
      </candidateList>
      <explain/>
      <paraID>508F23FB</paraID>
      <start>10</start>
      <end>12</end>
      <status>unmodified</status>
      <modifiedWord/>
      <trackRevisions>false</trackRevisions>
    </reviewItem>
    <reviewItem>
      <errorID>ce2984b8-4f7b-494f-8dd8-b3b3ccd23e11</errorID>
      <errorWord>：/</errorWord>
      <group>L1_Punc</group>
      <groupName>标点问题</groupName>
      <ability>L2_Punc</ability>
      <abilityName>标点符号检查</abilityName>
      <candidateList>
        <item>：</item>
      </candidateList>
      <explain/>
      <paraID>22791428</paraID>
      <start>6</start>
      <end>8</end>
      <status>unmodified</status>
      <modifiedWord/>
      <trackRevisions>false</trackRevisions>
    </reviewItem>
    <reviewItem>
      <errorID>c62a265f-93ef-4830-ac1c-b333ed23594f</errorID>
      <errorWord>：/</errorWord>
      <group>L1_Punc</group>
      <groupName>标点问题</groupName>
      <ability>L2_Punc</ability>
      <abilityName>标点符号检查</abilityName>
      <candidateList>
        <item>：</item>
      </candidateList>
      <explain/>
      <paraID>29ABEE7F</paraID>
      <start>9</start>
      <end>11</end>
      <status>unmodified</status>
      <modifiedWord/>
      <trackRevisions>false</trackRevisions>
    </reviewItem>
    <reviewItem>
      <errorID>7a9cc172-d8cc-48a0-ae08-e1fd78cc47e9</errorID>
      <errorWord>操作合</errorWord>
      <group>L1_Word</group>
      <groupName>字词问题</groupName>
      <ability>L2_Typo</ability>
      <abilityName>字词错误</abilityName>
      <candidateList>
        <item>操作台</item>
      </candidateList>
      <explain/>
      <paraID>426149EF</paraID>
      <start>8</start>
      <end>11</end>
      <status>unmodified</status>
      <modifiedWord/>
      <trackRevisions>false</trackRevisions>
    </reviewItem>
    <reviewItem>
      <errorID>9edded73-41f6-4771-bf84-12bff91efb38</errorID>
      <errorWord>：/</errorWord>
      <group>L1_Punc</group>
      <groupName>标点问题</groupName>
      <ability>L2_Punc</ability>
      <abilityName>标点符号检查</abilityName>
      <candidateList>
        <item>：</item>
      </candidateList>
      <explain/>
      <paraID>180EA20E</paraID>
      <start>4</start>
      <end>6</end>
      <status>unmodified</status>
      <modifiedWord/>
      <trackRevisions>false</trackRevisions>
    </reviewItem>
    <reviewItem>
      <errorID>048eae17-fc8c-4fb9-8020-5132df8080fd</errorID>
      <errorWord>：/</errorWord>
      <group>L1_Punc</group>
      <groupName>标点问题</groupName>
      <ability>L2_Punc</ability>
      <abilityName>标点符号检查</abilityName>
      <candidateList>
        <item>：</item>
      </candidateList>
      <explain/>
      <paraID>35175EEE</paraID>
      <start>7</start>
      <end>9</end>
      <status>unmodified</status>
      <modifiedWord/>
      <trackRevisions>false</trackRevisions>
    </reviewItem>
    <reviewItem>
      <errorID>073fcbce-cc17-4a08-9134-64bc98135846</errorID>
      <errorWord>&lt;</errorWord>
      <group>L1_Format</group>
      <groupName>格式问题</groupName>
      <ability>L2_HalfPunc</ability>
      <abilityName>全半角检查</abilityName>
      <candidateList>
        <item>〈</item>
      </candidateList>
      <explain>文本全半角错误。</explain>
      <paraID>1F1A4199</paraID>
      <start>59</start>
      <end>60</end>
      <status>unmodified</status>
      <modifiedWord/>
      <trackRevisions>false</trackRevisions>
    </reviewItem>
    <reviewItem>
      <errorID>125d1f48-6ce1-45a4-872f-2212f94de068</errorID>
      <errorWord>&gt;</errorWord>
      <group>L1_Format</group>
      <groupName>格式问题</groupName>
      <ability>L2_HalfPunc</ability>
      <abilityName>全半角检查</abilityName>
      <candidateList>
        <item>〉</item>
      </candidateList>
      <explain>文本全半角错误。</explain>
      <paraID>1F1A4199</paraID>
      <start>90</start>
      <end>91</end>
      <status>unmodified</status>
      <modifiedWord/>
      <trackRevisions>false</trackRevisions>
    </reviewItem>
    <reviewItem>
      <errorID>2f179d70-cb2d-437c-bb67-b565decf1cb7</errorID>
      <errorWord>目</errorWord>
      <group>L1_Word</group>
      <groupName>字词问题</groupName>
      <ability>L2_Typo</ability>
      <abilityName>字词错误</abilityName>
      <candidateList>
        <item>目在</item>
      </candidateList>
      <explain/>
      <paraID>1F1A4199</paraID>
      <start>115</start>
      <end>116</end>
      <status>unmodified</status>
      <modifiedWord/>
      <trackRevisions>false</trackRevisions>
    </reviewItem>
    <reviewItem>
      <errorID>5b2be4e0-e24b-4b09-bbf7-2dfafecc8014</errorID>
      <errorWord>&lt;</errorWord>
      <group>L1_Format</group>
      <groupName>格式问题</groupName>
      <ability>L2_HalfPunc</ability>
      <abilityName>全半角检查</abilityName>
      <candidateList>
        <item>〈</item>
      </candidateList>
      <explain>文本全半角错误。</explain>
      <paraID>2B8BCFC7</paraID>
      <start>368</start>
      <end>369</end>
      <status>unmodified</status>
      <modifiedWord/>
      <trackRevisions>false</trackRevisions>
    </reviewItem>
    <reviewItem>
      <errorID>b5510daf-cc92-4f3f-b047-8f8329aec289</errorID>
      <errorWord>&gt;</errorWord>
      <group>L1_Format</group>
      <groupName>格式问题</groupName>
      <ability>L2_HalfPunc</ability>
      <abilityName>全半角检查</abilityName>
      <candidateList>
        <item>〉</item>
      </candidateList>
      <explain>文本全半角错误。</explain>
      <paraID>2B8BCFC7</paraID>
      <start>399</start>
      <end>400</end>
      <status>unmodified</status>
      <modifiedWord/>
      <trackRevisions>false</trackRevisions>
    </reviewItem>
    <reviewItem>
      <errorID>fc65c812-03ad-45de-beb9-8764b4083363</errorID>
      <errorWord>现场中</errorWord>
      <group>L1_Word</group>
      <groupName>字词问题</groupName>
      <ability>L2_Typo</ability>
      <abilityName>字词错误</abilityName>
      <candidateList>
        <item>现场</item>
      </candidateList>
      <explain/>
      <paraID>58E9D350</paraID>
      <start>25</start>
      <end>28</end>
      <status>unmodified</status>
      <modifiedWord/>
      <trackRevisions>false</trackRevisions>
    </reviewItem>
    <reviewItem>
      <errorID>a3bc45b2-339e-4cec-965e-56db783ce696</errorID>
      <errorWord>及</errorWord>
      <group>L1_Word</group>
      <groupName>字词问题</groupName>
      <ability>L2_Typo</ability>
      <abilityName>字词错误</abilityName>
      <candidateList>
        <item>及与</item>
      </candidateList>
      <explain/>
      <paraID> 4B434D4</paraID>
      <start>58</start>
      <end>59</end>
      <status>unmodified</status>
      <modifiedWord/>
      <trackRevisions>false</trackRevisions>
    </reviewItem>
    <reviewItem>
      <errorID>59337945-3282-4a31-afe0-92c7beeb977f</errorID>
      <errorWord>&lt;</errorWord>
      <group>L1_Format</group>
      <groupName>格式问题</groupName>
      <ability>L2_HalfPunc</ability>
      <abilityName>全半角检查</abilityName>
      <candidateList>
        <item>〈</item>
      </candidateList>
      <explain>文本全半角错误。</explain>
      <paraID>7F32860D</paraID>
      <start>13</start>
      <end>14</end>
      <status>unmodified</status>
      <modifiedWord/>
      <trackRevisions>false</trackRevisions>
    </reviewItem>
    <reviewItem>
      <errorID>1e15fbe8-e829-473d-8631-6ee1e00cf90c</errorID>
      <errorWord>&gt;的通知》</errorWord>
      <group>L1_Punc</group>
      <groupName>标点问题</groupName>
      <ability>L2_Punc</ability>
      <abilityName>标点符号检查</abilityName>
      <candidateList>
        <item>〉的通知》</item>
      </candidateList>
      <explain/>
      <paraID>7F32860D</paraID>
      <start>30</start>
      <end>35</end>
      <status>unmodified</status>
      <modifiedWord/>
      <trackRevisions>false</trackRevisions>
    </reviewItem>
    <reviewItem>
      <errorID>ecdbf15b-0ff1-49a5-b9a2-e6fc3a147b42</errorID>
      <errorWord>&lt;</errorWord>
      <group>L1_Format</group>
      <groupName>格式问题</groupName>
      <ability>L2_HalfPunc</ability>
      <abilityName>全半角检查</abilityName>
      <candidateList>
        <item>〈</item>
      </candidateList>
      <explain>文本全半角错误。</explain>
      <paraID>3132C69B</paraID>
      <start>9</start>
      <end>10</end>
      <status>unmodified</status>
      <modifiedWord/>
      <trackRevisions>false</trackRevisions>
    </reviewItem>
    <reviewItem>
      <errorID>66317b6a-5f87-434d-8a5f-4c0d3cc4acb8</errorID>
      <errorWord>&gt;</errorWord>
      <group>L1_Format</group>
      <groupName>格式问题</groupName>
      <ability>L2_HalfPunc</ability>
      <abilityName>全半角检查</abilityName>
      <candidateList>
        <item>〉</item>
      </candidateList>
      <explain>文本全半角错误。</explain>
      <paraID>3132C69B</paraID>
      <start>38</start>
      <end>39</end>
      <status>unmodified</status>
      <modifiedWord/>
      <trackRevisions>false</trackRevisions>
    </reviewItem>
    <reviewItem>
      <errorID>8a08a883-cc31-491a-80b3-ea49d510f8e6</errorID>
      <errorWord>&lt;</errorWord>
      <group>L1_Format</group>
      <groupName>格式问题</groupName>
      <ability>L2_HalfPunc</ability>
      <abilityName>全半角检查</abilityName>
      <candidateList>
        <item>〈</item>
      </candidateList>
      <explain>文本全半角错误。</explain>
      <paraID>3F4DF219</paraID>
      <start>73</start>
      <end>74</end>
      <status>unmodified</status>
      <modifiedWord/>
      <trackRevisions>false</trackRevisions>
    </reviewItem>
    <reviewItem>
      <errorID>5366d3d1-9421-48e8-bec9-d7f5c72c9067</errorID>
      <errorWord>&gt;</errorWord>
      <group>L1_Format</group>
      <groupName>格式问题</groupName>
      <ability>L2_HalfPunc</ability>
      <abilityName>全半角检查</abilityName>
      <candidateList>
        <item>〉</item>
      </candidateList>
      <explain>文本全半角错误。</explain>
      <paraID>3F4DF219</paraID>
      <start>104</start>
      <end>105</end>
      <status>unmodified</status>
      <modifiedWord/>
      <trackRevisions>false</trackRevisions>
    </reviewItem>
    <reviewItem>
      <errorID>63852325-ab71-45b3-a6e2-49cdfec50d10</errorID>
      <errorWord>&lt;</errorWord>
      <group>L1_Format</group>
      <groupName>格式问题</groupName>
      <ability>L2_HalfPunc</ability>
      <abilityName>全半角检查</abilityName>
      <candidateList>
        <item>〈</item>
      </candidateList>
      <explain>文本全半角错误。</explain>
      <paraID>56DBB71A</paraID>
      <start>50</start>
      <end>51</end>
      <status>unmodified</status>
      <modifiedWord/>
      <trackRevisions>false</trackRevisions>
    </reviewItem>
    <reviewItem>
      <errorID>c66cca48-c38a-4811-a13c-cc11af3d2548</errorID>
      <errorWord>&lt;</errorWord>
      <group>L1_Format</group>
      <groupName>格式问题</groupName>
      <ability>L2_HalfPunc</ability>
      <abilityName>全半角检查</abilityName>
      <candidateList>
        <item>〈</item>
      </candidateList>
      <explain>文本全半角错误。</explain>
      <paraID>202C96D5</paraID>
      <start>50</start>
      <end>51</end>
      <status>unmodified</status>
      <modifiedWord/>
      <trackRevisions>false</trackRevisions>
    </reviewItem>
    <reviewItem>
      <errorID>0040a081-3d89-4d75-acf6-844ab0de5a01</errorID>
      <errorWord>&lt;</errorWord>
      <group>L1_Format</group>
      <groupName>格式问题</groupName>
      <ability>L2_HalfPunc</ability>
      <abilityName>全半角检查</abilityName>
      <candidateList>
        <item>〈</item>
      </candidateList>
      <explain>文本全半角错误。</explain>
      <paraID>  8393C2</paraID>
      <start>35</start>
      <end>36</end>
      <status>unmodified</status>
      <modifiedWord/>
      <trackRevisions>false</trackRevisions>
    </reviewItem>
    <reviewItem>
      <errorID>fdefe499-ac08-4002-a24e-40952586b2e6</errorID>
      <errorWord>&lt;</errorWord>
      <group>L1_Format</group>
      <groupName>格式问题</groupName>
      <ability>L2_HalfPunc</ability>
      <abilityName>全半角检查</abilityName>
      <candidateList>
        <item>〈</item>
      </candidateList>
      <explain>文本全半角错误。</explain>
      <paraID>229FAF98</paraID>
      <start>59</start>
      <end>60</end>
      <status>unmodified</status>
      <modifiedWord/>
      <trackRevisions>false</trackRevisions>
    </reviewItem>
    <reviewItem>
      <errorID>5f3fc504-5a2d-4d1c-8a5a-aff01bb18389</errorID>
      <errorWord>&gt;</errorWord>
      <group>L1_Format</group>
      <groupName>格式问题</groupName>
      <ability>L2_HalfPunc</ability>
      <abilityName>全半角检查</abilityName>
      <candidateList>
        <item>〉</item>
      </candidateList>
      <explain>文本全半角错误。</explain>
      <paraID>229FAF98</paraID>
      <start>90</start>
      <end>91</end>
      <status>unmodified</status>
      <modifiedWord/>
      <trackRevisions>false</trackRevisions>
    </reviewItem>
    <reviewItem>
      <errorID>b87c2000-5183-47b1-a315-8b51ed871003</errorID>
      <errorWord>目</errorWord>
      <group>L1_Word</group>
      <groupName>字词问题</groupName>
      <ability>L2_Typo</ability>
      <abilityName>字词错误</abilityName>
      <candidateList>
        <item>目在</item>
      </candidateList>
      <explain/>
      <paraID>229FAF98</paraID>
      <start>115</start>
      <end>116</end>
      <status>unmodified</status>
      <modifiedWord/>
      <trackRevisions>false</trackRevisions>
    </reviewItem>
    <reviewItem>
      <errorID>d113617b-9b83-4c45-ae0f-9b826c7deaab</errorID>
      <errorWord>:</errorWord>
      <group>L1_Format</group>
      <groupName>格式问题</groupName>
      <ability>L2_HalfPunc</ability>
      <abilityName>全半角检查</abilityName>
      <candidateList>
        <item>：</item>
      </candidateList>
      <explain>文本全半角错误。</explain>
      <paraID>3803CA4A</paraID>
      <start>35</start>
      <end>36</end>
      <status>modified</status>
      <modifiedWord>：</modifiedWord>
      <trackRevisions>false</trackRevisions>
    </reviewItem>
    <reviewItem>
      <errorID>139c84d5-53bb-49a2-8432-1a6f5da3ca74</errorID>
      <errorWord>规定也</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3803CA4A</paraID>
      <start>74</start>
      <end>77</end>
      <status>unmodified</status>
      <modifiedWord/>
      <trackRevisions>false</trackRevisions>
    </reviewItem>
    <reviewItem>
      <errorID>c35ae54f-2ec7-4f4f-93e4-2012a060b96c</errorID>
      <errorWord>涉及到</errorWord>
      <group>L1_Grammar</group>
      <groupName>语法问题</groupName>
      <ability>L2_Grammar</ability>
      <abilityName>语法错误</abilityName>
      <candidateList>
        <item>涉及</item>
      </candidateList>
      <explain>〈动〉牵涉到；关联到：案子～好几个人｜这个问题～面很广。</explain>
      <paraID>76969FCC</paraID>
      <start>4</start>
      <end>7</end>
      <status>unmodified</status>
      <modifiedWord/>
      <trackRevisions>false</trackRevisions>
    </reviewItem>
    <reviewItem>
      <errorID>6c22883a-8e51-45d6-9d2a-33bb71da9778</errorID>
      <errorWord>涉及到</errorWord>
      <group>L1_Grammar</group>
      <groupName>语法问题</groupName>
      <ability>L2_Grammar</ability>
      <abilityName>语法错误</abilityName>
      <candidateList>
        <item>涉及</item>
      </candidateList>
      <explain>〈动〉牵涉到；关联到：案子～好几个人｜这个问题～面很广。</explain>
      <paraID>3E1762EB</paraID>
      <start>4</start>
      <end>7</end>
      <status>unmodified</status>
      <modifiedWord/>
      <trackRevisions>false</trackRevisions>
    </reviewItem>
    <reviewItem>
      <errorID>d9fb1d8d-e8b8-47e1-a26c-1039136af143</errorID>
      <errorWord>涉及到</errorWord>
      <group>L1_Grammar</group>
      <groupName>语法问题</groupName>
      <ability>L2_Grammar</ability>
      <abilityName>语法错误</abilityName>
      <candidateList>
        <item>涉及</item>
      </candidateList>
      <explain>〈动〉牵涉到；关联到：案子～好几个人｜这个问题～面很广。</explain>
      <paraID>389B916A</paraID>
      <start>4</start>
      <end>7</end>
      <status>unmodified</status>
      <modifiedWord/>
      <trackRevisions>false</trackRevisions>
    </reviewItem>
    <reviewItem>
      <errorID>cb7c426f-d104-4c2b-8cc0-5270d698545f</errorID>
      <errorWord>涉及到</errorWord>
      <group>L1_Grammar</group>
      <groupName>语法问题</groupName>
      <ability>L2_Grammar</ability>
      <abilityName>语法错误</abilityName>
      <candidateList>
        <item>涉及</item>
      </candidateList>
      <explain>〈动〉牵涉到；关联到：案子～好几个人｜这个问题～面很广。</explain>
      <paraID>443EF36D</paraID>
      <start>4</start>
      <end>7</end>
      <status>unmodified</status>
      <modifiedWord/>
      <trackRevisions>false</trackRevisions>
    </reviewItem>
    <reviewItem>
      <errorID>59a9852f-00b0-4ee2-9280-fa0c0469e1a9</errorID>
      <errorWord>共同协商</errorWord>
      <group>L1_Grammar</group>
      <groupName>语法问题</groupName>
      <ability>L2_Grammar</ability>
      <abilityName>语法错误</abilityName>
      <candidateList>
        <item>协商</item>
      </candidateList>
      <explain/>
      <paraID>2B2056A6</paraID>
      <start>35</start>
      <end>39</end>
      <status>unmodified</status>
      <modifiedWord/>
      <trackRevisions>false</trackRevisions>
    </reviewItem>
    <reviewItem>
      <errorID>04535897-3cf9-42d5-a72d-a9670a62feb8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44D4A73E</paraID>
      <start>50</start>
      <end>52</end>
      <status>modified</status>
      <modifiedWord>”“</modifiedWord>
      <trackRevisions>false</trackRevisions>
    </reviewItem>
    <reviewItem>
      <errorID>4a8a4e87-dd7b-4015-ac5c-3f614c856323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44D4A73E</paraID>
      <start>56</start>
      <end>58</end>
      <status>modified</status>
      <modifiedWord>”“</modifiedWord>
      <trackRevisions>false</trackRevisions>
    </reviewItem>
    <reviewItem>
      <errorID>f17a5d8c-53a1-4890-9443-54c7efe5dfac</errorID>
      <errorWord>壹份</errorWord>
      <group>L1_Word</group>
      <groupName>字词问题</groupName>
      <ability>L2_Typo</ability>
      <abilityName>字词错误</abilityName>
      <candidateList>
        <item>一份</item>
      </candidateList>
      <explain>存在发音相同字词的误用。</explain>
      <paraID>36B80107</paraID>
      <start>24</start>
      <end>26</end>
      <status>unmodified</status>
      <modifiedWord/>
      <trackRevisions>false</trackRevisions>
    </reviewItem>
    <reviewItem>
      <errorID>3d499eeb-d3d8-442a-bda2-0b9fc37ba3a4</errorID>
      <errorWord>4由</errorWord>
      <group>L1_Word</group>
      <groupName>字词问题</groupName>
      <ability>L2_Typo</ability>
      <abilityName>字词错误</abilityName>
      <candidateList>
        <item>4</item>
      </candidateList>
      <explain/>
      <paraID>1C32D93D</paraID>
      <start>2</start>
      <end>4</end>
      <status>unmodified</status>
      <modifiedWord/>
      <trackRevisions>false</trackRevisions>
    </reviewItem>
    <reviewItem>
      <errorID>d914e087-1815-4471-b696-529c3dc95dd7</errorID>
      <errorWord>附件的</errorWord>
      <group>L1_Word</group>
      <groupName>字词问题</groupName>
      <ability>L2_Typo</ability>
      <abilityName>字词错误</abilityName>
      <candidateList>
        <item>附件</item>
      </candidateList>
      <explain/>
      <paraID>26961B00</paraID>
      <start>104</start>
      <end>107</end>
      <status>unmodified</status>
      <modifiedWord/>
      <trackRevisions>false</trackRevisions>
    </reviewItem>
    <reviewItem>
      <errorID>ffb0983e-bea3-4136-ae1f-5d529e1a33f9</errorID>
      <errorWord>且</errorWord>
      <group>L1_Word</group>
      <groupName>字词问题</groupName>
      <ability>L2_Typo</ability>
      <abilityName>字词错误</abilityName>
      <candidateList>
        <item>且不</item>
      </candidateList>
      <explain/>
      <paraID>7D47B591</paraID>
      <start>51</start>
      <end>52</end>
      <status>unmodified</status>
      <modifiedWord/>
      <trackRevisions>false</trackRevisions>
    </reviewItem>
    <reviewItem>
      <errorID>14977cf2-0236-4674-b958-c8684ac322a5</errorID>
      <errorWord>KW</errorWord>
      <group>L1_Word</group>
      <groupName>字词问题</groupName>
      <ability>L2_Typo</ability>
      <abilityName>字词错误</abilityName>
      <candidateList>
        <item>kW</item>
      </candidateList>
      <explain/>
      <paraID>3005524B</paraID>
      <start>37</start>
      <end>39</end>
      <status>unmodified</status>
      <modifiedWord/>
      <trackRevisions>false</trackRevisions>
    </reviewItem>
    <reviewItem>
      <errorID>f4883629-6e19-4bb5-9b3d-2f8a681f8c44</errorID>
      <errorWord>,</errorWord>
      <group>L1_Format</group>
      <groupName>格式问题</groupName>
      <ability>L2_HalfPunc</ability>
      <abilityName>全半角检查</abilityName>
      <candidateList>
        <item>，</item>
      </candidateList>
      <explain>文本全半角错误。</explain>
      <paraID>3005524B</paraID>
      <start>39</start>
      <end>40</end>
      <status>modified</status>
      <modifiedWord>，</modifiedWord>
      <trackRevisions>false</trackRevisions>
    </reviewItem>
    <reviewItem>
      <errorID>83ba2ae4-bb3d-4f22-a523-a59fedfa75bd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45585F2F</paraID>
      <start>20</start>
      <end>21</end>
      <status>unmodified</status>
      <modifiedWord/>
      <trackRevisions>false</trackRevisions>
    </reviewItem>
    <reviewItem>
      <errorID>c60813d4-fb3c-4810-8fbd-2205ad05520b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57B5FA39</paraID>
      <start>5</start>
      <end>6</end>
      <status>unmodified</status>
      <modifiedWord/>
      <trackRevisions>false</trackRevisions>
    </reviewItem>
    <reviewItem>
      <errorID>8ee3b5ab-9187-4440-936f-13417d809550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57B5FA39</paraID>
      <start>23</start>
      <end>24</end>
      <status>unmodified</status>
      <modifiedWord/>
      <trackRevisions>false</trackRevisions>
    </reviewItem>
    <reviewItem>
      <errorID>38526489-67ee-4089-86f9-07a37014f93a</errorID>
      <errorWord>,</errorWord>
      <group>L1_Format</group>
      <groupName>格式问题</groupName>
      <ability>L2_HalfPunc</ability>
      <abilityName>全半角检查</abilityName>
      <candidateList>
        <item>，</item>
      </candidateList>
      <explain>文本全半角错误。</explain>
      <paraID> E82389E</paraID>
      <start>106</start>
      <end>107</end>
      <status>modified</status>
      <modifiedWord>，</modifiedWord>
      <trackRevisions>false</trackRevisions>
    </reviewItem>
    <reviewItem>
      <errorID>3e12c658-d5de-4e2f-be65-871683bb04aa</errorID>
      <errorWord>切换选</errorWord>
      <group>L1_Word</group>
      <groupName>字词问题</groupName>
      <ability>L2_Typo</ability>
      <abilityName>字词错误</abilityName>
      <candidateList>
        <item>切换</item>
      </candidateList>
      <explain/>
      <paraID> E82389E</paraID>
      <start>189</start>
      <end>192</end>
      <status>unmodified</status>
      <modifiedWord/>
      <trackRevisions>false</trackRevisions>
    </reviewItem>
    <reviewItem>
      <errorID>5a98ca33-de35-46e4-ab6c-a74869e652ff</errorID>
      <errorWord>干扰能</errorWord>
      <group>L1_Knowledge</group>
      <groupName>知识性问题</groupName>
      <ability>L2_Term</ability>
      <abilityName>专业术语</abilityName>
      <candidateList>
        <item>干扰素</item>
      </candidateList>
      <explain>医学名词[干扰能]为不规范表述或旧称，其规范书面表述为[干扰素]。</explain>
      <paraID> E82389E</paraID>
      <start>490</start>
      <end>493</end>
      <status>unmodified</status>
      <modifiedWord/>
      <trackRevisions>false</trackRevisions>
    </reviewItem>
    <reviewItem>
      <errorID>60f08aea-165a-45c0-ae3d-aef413845dba</errorID>
      <errorWord>，，</errorWord>
      <group>L1_Punc</group>
      <groupName>标点问题</groupName>
      <ability>L2_Punc</ability>
      <abilityName>标点符号检查</abilityName>
      <candidateList>
        <item>，</item>
      </candidateList>
      <explain/>
      <paraID>68C4CE37</paraID>
      <start>91</start>
      <end>92</end>
      <status>modified</status>
      <modifiedWord>，</modifiedWord>
      <trackRevisions>false</trackRevisions>
    </reviewItem>
    <reviewItem>
      <errorID>79b858a7-8bb9-4961-a180-c97ee68b6f87</errorID>
      <errorWord>干扰能</errorWord>
      <group>L1_Knowledge</group>
      <groupName>知识性问题</groupName>
      <ability>L2_Term</ability>
      <abilityName>专业术语</abilityName>
      <candidateList>
        <item>干扰素</item>
      </candidateList>
      <explain>医学名词[干扰能]为不规范表述或旧称，其规范书面表述为[干扰素]。</explain>
      <paraID>68C4CE37</paraID>
      <start>485</start>
      <end>488</end>
      <status>unmodified</status>
      <modifiedWord/>
      <trackRevisions>false</trackRevisions>
    </reviewItem>
    <reviewItem>
      <errorID>c2c88ed1-8e05-45b0-8c2f-cda54b1c2f37</errorID>
      <errorWord>“/</errorWord>
      <group>L1_Punc</group>
      <groupName>标点问题</groupName>
      <ability>L2_Punc</ability>
      <abilityName>标点符号检查</abilityName>
      <candidateList>
        <item>“</item>
      </candidateList>
      <explain/>
      <paraID>57D6CE50</paraID>
      <start>33</start>
      <end>35</end>
      <status>unmodified</status>
      <modifiedWord/>
      <trackRevisions>false</trackRevisions>
    </reviewItem>
    <reviewItem>
      <errorID>f0acffad-94dc-4458-951b-35c6f762c05e</errorID>
      <errorWord>：）</errorWord>
      <group>L1_Punc</group>
      <groupName>标点问题</groupName>
      <ability>L2_Punc</ability>
      <abilityName>标点符号检查</abilityName>
      <candidateList>
        <item>）</item>
      </candidateList>
      <explain/>
      <paraID>4281E40A</paraID>
      <start>32</start>
      <end>34</end>
      <status>unmodified</status>
      <modifiedWord/>
      <trackRevisions>false</trackRevisions>
    </reviewItem>
    <reviewItem>
      <errorID>906fe501-de95-45d9-9327-82e926285407</errorID>
      <errorWord>晰</errorWord>
      <group>L1_Word</group>
      <groupName>字词问题</groupName>
      <ability>L2_Typo</ability>
      <abilityName>字词错误</abilityName>
      <candidateList>
        <item>晰地</item>
      </candidateList>
      <explain/>
      <paraID>3975BB42</paraID>
      <start>43</start>
      <end>44</end>
      <status>unmodified</status>
      <modifiedWord/>
      <trackRevisions>false</trackRevisions>
    </reviewItem>
    <reviewItem>
      <errorID>2170aa04-ec22-49d3-9d60-71f518f404d3</errorID>
      <errorWord>楚</errorWord>
      <group>L1_Word</group>
      <groupName>字词问题</groupName>
      <ability>L2_Typo</ability>
      <abilityName>字词错误</abilityName>
      <candidateList>
        <item>楚地</item>
      </candidateList>
      <explain/>
      <paraID> 453B32C</paraID>
      <start>25</start>
      <end>26</end>
      <status>unmodified</status>
      <modifiedWord/>
      <trackRevisions>false</trackRevisions>
    </reviewItem>
    <reviewItem>
      <errorID>8720f051-e92b-49b4-b90e-7fcdc4f642a8</errorID>
      <errorWord>：）</errorWord>
      <group>L1_Punc</group>
      <groupName>标点问题</groupName>
      <ability>L2_Punc</ability>
      <abilityName>标点符号检查</abilityName>
      <candidateList>
        <item>）</item>
      </candidateList>
      <explain/>
      <paraID>749B63AA</paraID>
      <start>71</start>
      <end>73</end>
      <status>unmodified</status>
      <modifiedWord/>
      <trackRevisions>false</trackRevisions>
    </reviewItem>
    <reviewItem>
      <errorID>2cb4aa4c-b8a8-42ee-9a4d-122dac64d3f3</errorID>
      <errorWord>容</errorWord>
      <group>L1_Word</group>
      <groupName>字词问题</groupName>
      <ability>L2_Typo</ability>
      <abilityName>字词错误</abilityName>
      <candidateList>
        <item>容由</item>
      </candidateList>
      <explain/>
      <paraID> C2EA52A</paraID>
      <start>5</start>
      <end>6</end>
      <status>unmodified</status>
      <modifiedWord/>
      <trackRevisions>false</trackRevisions>
    </reviewItem>
    <reviewItem>
      <errorID>ee533d17-8c35-48b2-a91f-532e99f89af6</errorID>
      <errorWord>容</errorWord>
      <group>L1_Word</group>
      <groupName>字词问题</groupName>
      <ability>L2_Typo</ability>
      <abilityName>字词错误</abilityName>
      <candidateList>
        <item>容由</item>
      </candidateList>
      <explain/>
      <paraID>57CC7F98</paraID>
      <start>5</start>
      <end>6</end>
      <status>unmodified</status>
      <modifiedWord/>
      <trackRevisions>false</trackRevisions>
    </reviewItem>
    <reviewItem>
      <errorID>fa6c88d8-a29c-4eaa-bc68-3da6462a1928</errorID>
      <errorWord>容</errorWord>
      <group>L1_Word</group>
      <groupName>字词问题</groupName>
      <ability>L2_Typo</ability>
      <abilityName>字词错误</abilityName>
      <candidateList>
        <item>容由</item>
      </candidateList>
      <explain/>
      <paraID>4EED9BFD</paraID>
      <start>5</start>
      <end>6</end>
      <status>unmodified</status>
      <modifiedWord/>
      <trackRevisions>false</trackRevisions>
    </reviewItem>
    <reviewItem>
      <errorID>11faf3dd-a401-4238-9c65-1a1bad842915</errorID>
      <errorWord>容</errorWord>
      <group>L1_Word</group>
      <groupName>字词问题</groupName>
      <ability>L2_Typo</ability>
      <abilityName>字词错误</abilityName>
      <candidateList>
        <item>容由</item>
      </candidateList>
      <explain/>
      <paraID>405353CD</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3D36-FA44-4D50-A3CD-091567A4332F}">
  <ds:schemaRefs/>
</ds:datastoreItem>
</file>

<file path=customXml/itemProps3.xml><?xml version="1.0" encoding="utf-8"?>
<ds:datastoreItem xmlns:ds="http://schemas.openxmlformats.org/officeDocument/2006/customXml" ds:itemID="{d3d591ae-e183-427c-ae8e-a60c0937b920}">
  <ds:schemaRefs/>
</ds:datastoreItem>
</file>

<file path=docProps/app.xml><?xml version="1.0" encoding="utf-8"?>
<Properties xmlns="http://schemas.openxmlformats.org/officeDocument/2006/extended-properties" xmlns:vt="http://schemas.openxmlformats.org/officeDocument/2006/docPropsVTypes">
  <Template>Normal</Template>
  <Pages>89</Pages>
  <Words>21824</Words>
  <Characters>24526</Characters>
  <Lines>460</Lines>
  <Paragraphs>129</Paragraphs>
  <TotalTime>73</TotalTime>
  <ScaleCrop>false</ScaleCrop>
  <LinksUpToDate>false</LinksUpToDate>
  <CharactersWithSpaces>24728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2020-07-11T03:32:00Z</dcterms:created>
  <dc:creator>Administrator</dc:creator>
  <cp:lastModifiedBy>Administrator</cp:lastModifiedBy>
  <cp:lastPrinted>2024-09-09T10:43:00Z</cp:lastPrinted>
  <dcterms:modified xsi:type="dcterms:W3CDTF">2026-04-24T09:25:55Z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B6C1C272EC1040E3BFFE6C0633940638_13</vt:lpwstr>
  </property>
  <property fmtid="{D5CDD505-2E9C-101B-9397-08002B2CF9AE}" pid="4" name="KSOTemplateDocerSaveRecord">
    <vt:lpwstr>eyJoZGlkIjoiMjA1NGJkZDlmYjRhYTMyYmRmOWI3NzNmZjUyZmI0MzYiLCJ1c2VySWQiOiI5NDM0NzQ1ODUifQ==</vt:lpwstr>
  </property>
</Properties>
</file>