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E50E8">
      <w:pPr>
        <w:shd w:val="clear"/>
        <w:rPr>
          <w:rFonts w:hint="eastAsia" w:ascii="黑体" w:hAnsi="黑体" w:eastAsia="黑体"/>
          <w:color w:val="auto"/>
          <w:sz w:val="32"/>
          <w:szCs w:val="32"/>
          <w:highlight w:val="none"/>
          <w:lang w:eastAsia="zh-CN"/>
        </w:rPr>
      </w:pPr>
    </w:p>
    <w:p w14:paraId="7E039B8B">
      <w:pPr>
        <w:shd w:val="clear"/>
        <w:jc w:val="center"/>
        <w:rPr>
          <w:rFonts w:hint="eastAsia" w:ascii="黑体" w:hAnsi="黑体" w:eastAsia="黑体"/>
          <w:color w:val="auto"/>
          <w:spacing w:val="5760"/>
          <w:w w:val="100"/>
          <w:kern w:val="0"/>
          <w:sz w:val="36"/>
          <w:szCs w:val="36"/>
          <w:highlight w:val="none"/>
          <w:fitText w:val="6120" w:id="-1002138880"/>
          <w:lang w:val="en-US" w:eastAsia="zh-CN"/>
        </w:rPr>
      </w:pPr>
    </w:p>
    <w:p w14:paraId="2DD0582A">
      <w:pPr>
        <w:shd w:val="clear"/>
        <w:jc w:val="center"/>
        <w:rPr>
          <w:rFonts w:hint="eastAsia" w:ascii="宋体" w:hAnsi="宋体" w:eastAsia="宋体" w:cs="宋体"/>
          <w:b/>
          <w:bCs/>
          <w:color w:val="auto"/>
          <w:kern w:val="0"/>
          <w:sz w:val="60"/>
          <w:szCs w:val="60"/>
          <w:highlight w:val="none"/>
          <w:lang w:val="en-US" w:eastAsia="zh-CN"/>
        </w:rPr>
      </w:pPr>
      <w:r>
        <w:rPr>
          <w:rFonts w:hint="eastAsia" w:ascii="宋体" w:hAnsi="宋体" w:eastAsia="宋体" w:cs="宋体"/>
          <w:b/>
          <w:bCs/>
          <w:color w:val="auto"/>
          <w:kern w:val="0"/>
          <w:sz w:val="60"/>
          <w:szCs w:val="60"/>
          <w:highlight w:val="none"/>
          <w:lang w:val="en-US" w:eastAsia="zh-CN"/>
        </w:rPr>
        <w:t>兵团政府采购项目</w:t>
      </w:r>
    </w:p>
    <w:p w14:paraId="1B00BC94">
      <w:pPr>
        <w:shd w:val="clear"/>
        <w:jc w:val="center"/>
        <w:rPr>
          <w:rFonts w:hint="eastAsia" w:ascii="宋体" w:hAnsi="宋体" w:eastAsia="宋体" w:cs="宋体"/>
          <w:b/>
          <w:bCs/>
          <w:color w:val="auto"/>
          <w:sz w:val="60"/>
          <w:szCs w:val="60"/>
          <w:highlight w:val="none"/>
          <w:lang w:val="en-US" w:eastAsia="zh-CN"/>
        </w:rPr>
      </w:pPr>
      <w:r>
        <w:rPr>
          <w:rFonts w:hint="eastAsia" w:ascii="宋体" w:hAnsi="宋体" w:eastAsia="宋体" w:cs="宋体"/>
          <w:b/>
          <w:bCs/>
          <w:color w:val="auto"/>
          <w:sz w:val="60"/>
          <w:szCs w:val="60"/>
          <w:highlight w:val="none"/>
        </w:rPr>
        <w:t>竞争性</w:t>
      </w:r>
      <w:r>
        <w:rPr>
          <w:rFonts w:hint="eastAsia" w:cs="宋体"/>
          <w:b/>
          <w:bCs/>
          <w:color w:val="auto"/>
          <w:sz w:val="60"/>
          <w:szCs w:val="60"/>
          <w:highlight w:val="none"/>
          <w:lang w:val="en-US" w:eastAsia="zh-CN"/>
        </w:rPr>
        <w:t>谈判</w:t>
      </w:r>
      <w:r>
        <w:rPr>
          <w:rFonts w:hint="eastAsia" w:ascii="宋体" w:hAnsi="宋体" w:eastAsia="宋体" w:cs="宋体"/>
          <w:b/>
          <w:bCs/>
          <w:color w:val="auto"/>
          <w:sz w:val="60"/>
          <w:szCs w:val="60"/>
          <w:highlight w:val="none"/>
        </w:rPr>
        <w:t>文件</w:t>
      </w:r>
      <w:r>
        <w:rPr>
          <w:rFonts w:hint="eastAsia" w:ascii="宋体" w:hAnsi="宋体" w:eastAsia="宋体" w:cs="宋体"/>
          <w:b/>
          <w:bCs/>
          <w:color w:val="auto"/>
          <w:sz w:val="60"/>
          <w:szCs w:val="60"/>
          <w:highlight w:val="none"/>
          <w:lang w:val="en-US" w:eastAsia="zh-CN"/>
        </w:rPr>
        <w:t>示范文本</w:t>
      </w:r>
    </w:p>
    <w:p w14:paraId="4E1FA335">
      <w:pPr>
        <w:shd w:val="clear"/>
        <w:jc w:val="center"/>
        <w:rPr>
          <w:rFonts w:hint="eastAsia" w:ascii="宋体" w:hAnsi="宋体" w:eastAsia="宋体" w:cs="宋体"/>
          <w:b/>
          <w:bCs/>
          <w:color w:val="auto"/>
          <w:sz w:val="60"/>
          <w:szCs w:val="60"/>
          <w:highlight w:val="none"/>
        </w:rPr>
      </w:pPr>
      <w:r>
        <w:rPr>
          <w:rFonts w:hint="eastAsia" w:ascii="宋体" w:hAnsi="宋体" w:eastAsia="宋体" w:cs="宋体"/>
          <w:b/>
          <w:bCs/>
          <w:color w:val="auto"/>
          <w:sz w:val="60"/>
          <w:szCs w:val="60"/>
          <w:highlight w:val="none"/>
          <w:lang w:val="en-US" w:eastAsia="zh-CN"/>
        </w:rPr>
        <w:t>（货物）</w:t>
      </w:r>
    </w:p>
    <w:p w14:paraId="08B3A613">
      <w:pPr>
        <w:shd w:val="clear"/>
        <w:jc w:val="center"/>
        <w:rPr>
          <w:rFonts w:hint="eastAsia" w:ascii="宋体" w:hAnsi="宋体" w:eastAsia="宋体" w:cs="宋体"/>
          <w:b/>
          <w:bCs/>
          <w:color w:val="auto"/>
          <w:sz w:val="60"/>
          <w:szCs w:val="60"/>
          <w:highlight w:val="none"/>
        </w:rPr>
      </w:pPr>
    </w:p>
    <w:p w14:paraId="6C8C8A47">
      <w:pPr>
        <w:shd w:val="clear"/>
        <w:jc w:val="center"/>
        <w:rPr>
          <w:rFonts w:ascii="黑体" w:hAnsi="黑体" w:eastAsia="黑体"/>
          <w:color w:val="auto"/>
          <w:sz w:val="72"/>
          <w:szCs w:val="72"/>
          <w:highlight w:val="none"/>
        </w:rPr>
      </w:pPr>
    </w:p>
    <w:p w14:paraId="281ECC9C">
      <w:pPr>
        <w:shd w:val="clear"/>
        <w:jc w:val="center"/>
        <w:rPr>
          <w:rFonts w:ascii="黑体" w:hAnsi="黑体" w:eastAsia="黑体"/>
          <w:color w:val="auto"/>
          <w:sz w:val="72"/>
          <w:szCs w:val="72"/>
          <w:highlight w:val="none"/>
        </w:rPr>
      </w:pPr>
    </w:p>
    <w:p w14:paraId="450CD3A6">
      <w:pPr>
        <w:shd w:val="clear"/>
        <w:jc w:val="center"/>
        <w:rPr>
          <w:rFonts w:ascii="黑体" w:hAnsi="黑体" w:eastAsia="黑体"/>
          <w:color w:val="auto"/>
          <w:sz w:val="72"/>
          <w:szCs w:val="72"/>
          <w:highlight w:val="none"/>
        </w:rPr>
      </w:pPr>
    </w:p>
    <w:p w14:paraId="7A2B5886">
      <w:pPr>
        <w:shd w:val="clea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cs="宋体"/>
          <w:color w:val="auto"/>
          <w:sz w:val="36"/>
          <w:szCs w:val="36"/>
          <w:highlight w:val="none"/>
          <w:u w:val="single"/>
          <w:lang w:val="en-US" w:eastAsia="zh-CN"/>
        </w:rPr>
        <w:t xml:space="preserve">  XJBTB[</w:t>
      </w:r>
      <w:r>
        <w:rPr>
          <w:rFonts w:hint="eastAsia" w:ascii="宋体" w:hAnsi="宋体" w:eastAsia="宋体" w:cs="宋体"/>
          <w:color w:val="auto"/>
          <w:sz w:val="36"/>
          <w:szCs w:val="36"/>
          <w:highlight w:val="none"/>
          <w:u w:val="single"/>
        </w:rPr>
        <w:t>2026</w:t>
      </w:r>
      <w:r>
        <w:rPr>
          <w:rFonts w:hint="eastAsia" w:cs="宋体"/>
          <w:color w:val="auto"/>
          <w:sz w:val="36"/>
          <w:szCs w:val="36"/>
          <w:highlight w:val="none"/>
          <w:u w:val="single"/>
          <w:lang w:val="en-US" w:eastAsia="zh-CN"/>
        </w:rPr>
        <w:t>]676号（二次）</w:t>
      </w:r>
      <w:r>
        <w:rPr>
          <w:rFonts w:hint="eastAsia" w:ascii="宋体" w:hAnsi="宋体" w:eastAsia="宋体" w:cs="宋体"/>
          <w:color w:val="auto"/>
          <w:sz w:val="36"/>
          <w:szCs w:val="36"/>
          <w:highlight w:val="none"/>
          <w:u w:val="single"/>
        </w:rPr>
        <w:t xml:space="preserve">   </w:t>
      </w:r>
      <w:r>
        <w:rPr>
          <w:rFonts w:hint="eastAsia"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ED656F3">
      <w:pPr>
        <w:shd w:val="clea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lang w:val="en-US" w:eastAsia="zh-CN"/>
        </w:rPr>
        <w:t>2026年兵团</w:t>
      </w:r>
      <w:r>
        <w:rPr>
          <w:rFonts w:hint="eastAsia" w:cs="宋体"/>
          <w:color w:val="auto"/>
          <w:sz w:val="36"/>
          <w:szCs w:val="36"/>
          <w:highlight w:val="none"/>
          <w:u w:val="single"/>
          <w:lang w:val="en-US" w:eastAsia="zh-CN"/>
        </w:rPr>
        <w:t>某单位</w:t>
      </w:r>
      <w:r>
        <w:rPr>
          <w:rFonts w:hint="eastAsia" w:ascii="宋体" w:hAnsi="宋体" w:eastAsia="宋体" w:cs="宋体"/>
          <w:color w:val="auto"/>
          <w:sz w:val="36"/>
          <w:szCs w:val="36"/>
          <w:highlight w:val="none"/>
          <w:u w:val="single"/>
          <w:lang w:val="en-US" w:eastAsia="zh-CN"/>
        </w:rPr>
        <w:t>警犬繁育及驯养项目</w:t>
      </w:r>
      <w:r>
        <w:rPr>
          <w:rFonts w:hint="eastAsia" w:cs="宋体"/>
          <w:color w:val="auto"/>
          <w:sz w:val="36"/>
          <w:szCs w:val="36"/>
          <w:highlight w:val="none"/>
          <w:u w:val="single"/>
          <w:lang w:val="en-US" w:eastAsia="zh-CN"/>
        </w:rPr>
        <w:t>（二次）</w:t>
      </w:r>
      <w:r>
        <w:rPr>
          <w:rFonts w:hint="eastAsia" w:ascii="宋体" w:hAnsi="宋体" w:eastAsia="宋体" w:cs="宋体"/>
          <w:color w:val="auto"/>
          <w:sz w:val="36"/>
          <w:szCs w:val="36"/>
          <w:highlight w:val="none"/>
          <w:u w:val="single"/>
        </w:rPr>
        <w:t xml:space="preserve"> </w:t>
      </w:r>
    </w:p>
    <w:p w14:paraId="728E52F3">
      <w:pPr>
        <w:shd w:val="clea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购</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cs="宋体"/>
          <w:color w:val="auto"/>
          <w:sz w:val="36"/>
          <w:szCs w:val="36"/>
          <w:highlight w:val="none"/>
          <w:u w:val="single"/>
          <w:lang w:val="en-US" w:eastAsia="zh-CN"/>
        </w:rPr>
        <w:t xml:space="preserve">  新疆生产建设兵团某单位     </w:t>
      </w:r>
      <w:r>
        <w:rPr>
          <w:rFonts w:hint="eastAsia" w:ascii="宋体" w:hAnsi="宋体" w:eastAsia="宋体" w:cs="宋体"/>
          <w:color w:val="auto"/>
          <w:sz w:val="36"/>
          <w:szCs w:val="36"/>
          <w:highlight w:val="none"/>
          <w:u w:val="single"/>
        </w:rPr>
        <w:t xml:space="preserve">  </w:t>
      </w:r>
    </w:p>
    <w:p w14:paraId="4B180FDF">
      <w:pPr>
        <w:shd w:val="clea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采购代理机构：</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eastAsia="zh-CN"/>
        </w:rPr>
        <w:t>新疆世纪星工程咨询有限公司</w:t>
      </w:r>
      <w:r>
        <w:rPr>
          <w:rFonts w:hint="eastAsia" w:ascii="宋体" w:hAnsi="宋体" w:eastAsia="宋体" w:cs="宋体"/>
          <w:color w:val="auto"/>
          <w:sz w:val="36"/>
          <w:szCs w:val="36"/>
          <w:highlight w:val="none"/>
          <w:u w:val="single"/>
        </w:rPr>
        <w:t xml:space="preserve">                         </w:t>
      </w:r>
    </w:p>
    <w:p w14:paraId="2C93F193">
      <w:pPr>
        <w:shd w:val="clear"/>
        <w:rPr>
          <w:rFonts w:ascii="黑体" w:hAnsi="黑体" w:eastAsia="黑体"/>
          <w:color w:val="auto"/>
          <w:highlight w:val="none"/>
        </w:rPr>
      </w:pPr>
    </w:p>
    <w:p w14:paraId="02F7A154">
      <w:pPr>
        <w:shd w:val="clear"/>
        <w:jc w:val="center"/>
        <w:rPr>
          <w:rFonts w:ascii="黑体" w:hAnsi="黑体" w:eastAsia="黑体"/>
          <w:color w:val="auto"/>
          <w:sz w:val="32"/>
          <w:szCs w:val="32"/>
          <w:highlight w:val="none"/>
        </w:rPr>
      </w:pPr>
      <w:r>
        <w:rPr>
          <w:rFonts w:hint="eastAsia" w:ascii="黑体" w:hAnsi="黑体" w:eastAsia="黑体"/>
          <w:color w:val="auto"/>
          <w:sz w:val="32"/>
          <w:szCs w:val="32"/>
          <w:highlight w:val="none"/>
        </w:rPr>
        <w:t xml:space="preserve">   </w:t>
      </w:r>
    </w:p>
    <w:p w14:paraId="27E04485">
      <w:pPr>
        <w:shd w:val="clear"/>
        <w:rPr>
          <w:rFonts w:ascii="黑体" w:hAnsi="黑体" w:eastAsia="黑体"/>
          <w:color w:val="auto"/>
          <w:sz w:val="32"/>
          <w:szCs w:val="32"/>
          <w:highlight w:val="none"/>
        </w:rPr>
      </w:pPr>
    </w:p>
    <w:p w14:paraId="07CC1862">
      <w:pPr>
        <w:shd w:val="clear"/>
        <w:jc w:val="center"/>
        <w:rPr>
          <w:rFonts w:hint="eastAsia" w:ascii="黑体" w:hAnsi="黑体" w:eastAsia="黑体"/>
          <w:color w:val="auto"/>
          <w:sz w:val="48"/>
          <w:szCs w:val="48"/>
          <w:highlight w:val="none"/>
        </w:rPr>
      </w:pPr>
    </w:p>
    <w:p w14:paraId="084C07BD">
      <w:pPr>
        <w:shd w:val="clear"/>
        <w:jc w:val="center"/>
        <w:rPr>
          <w:rFonts w:hint="eastAsia" w:ascii="黑体" w:hAnsi="黑体" w:eastAsia="黑体"/>
          <w:color w:val="auto"/>
          <w:sz w:val="48"/>
          <w:szCs w:val="48"/>
          <w:highlight w:val="none"/>
        </w:rPr>
      </w:pPr>
    </w:p>
    <w:p w14:paraId="29422657">
      <w:pPr>
        <w:shd w:val="clear"/>
        <w:rPr>
          <w:rFonts w:ascii="黑体" w:hAnsi="黑体" w:eastAsia="黑体"/>
          <w:color w:val="auto"/>
          <w:sz w:val="32"/>
          <w:szCs w:val="32"/>
          <w:highlight w:val="none"/>
        </w:rPr>
        <w:sectPr>
          <w:pgSz w:w="11906" w:h="16838"/>
          <w:pgMar w:top="1440" w:right="1800" w:bottom="1440" w:left="1800" w:header="851" w:footer="992" w:gutter="0"/>
          <w:pgNumType w:fmt="numberInDash"/>
          <w:cols w:space="425" w:num="1"/>
          <w:docGrid w:type="lines" w:linePitch="312" w:charSpace="0"/>
        </w:sectPr>
      </w:pPr>
    </w:p>
    <w:p w14:paraId="2E6E0FD2">
      <w:pPr>
        <w:shd w:val="clea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目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录</w:t>
      </w:r>
    </w:p>
    <w:p w14:paraId="55100918">
      <w:pPr>
        <w:shd w:val="clear"/>
        <w:jc w:val="center"/>
        <w:rPr>
          <w:rFonts w:hint="eastAsia" w:ascii="宋体" w:hAnsi="宋体" w:eastAsia="宋体" w:cs="宋体"/>
          <w:b/>
          <w:bCs/>
          <w:color w:val="auto"/>
          <w:sz w:val="36"/>
          <w:szCs w:val="36"/>
          <w:highlight w:val="none"/>
        </w:rPr>
      </w:pPr>
    </w:p>
    <w:p w14:paraId="61C88D21">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_Toc23362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 xml:space="preserve">第一章 </w:t>
      </w:r>
      <w:r>
        <w:rPr>
          <w:rFonts w:hint="eastAsia" w:ascii="宋体" w:hAnsi="宋体" w:eastAsia="宋体" w:cs="宋体"/>
          <w:color w:val="auto"/>
          <w:sz w:val="24"/>
          <w:szCs w:val="24"/>
          <w:highlight w:val="none"/>
        </w:rPr>
        <w:t>竞争性</w:t>
      </w:r>
      <w:r>
        <w:rPr>
          <w:rFonts w:hint="eastAsia" w:eastAsia="宋体"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公告</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_Toc23362 \h </w:instrText>
      </w:r>
      <w:r>
        <w:rPr>
          <w:color w:val="auto"/>
          <w:sz w:val="24"/>
          <w:szCs w:val="24"/>
          <w:highlight w:val="none"/>
        </w:rPr>
        <w:fldChar w:fldCharType="separate"/>
      </w:r>
      <w:r>
        <w:rPr>
          <w:color w:val="auto"/>
          <w:sz w:val="24"/>
          <w:szCs w:val="24"/>
          <w:highlight w:val="none"/>
        </w:rPr>
        <w:t>- 1 -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B576A36">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_Toc23798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lang w:val="en-US" w:eastAsia="zh-CN"/>
        </w:rPr>
        <w:t>项目概况：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_Toc23798 \h </w:instrText>
      </w:r>
      <w:r>
        <w:rPr>
          <w:color w:val="auto"/>
          <w:sz w:val="24"/>
          <w:szCs w:val="24"/>
          <w:highlight w:val="none"/>
        </w:rPr>
        <w:fldChar w:fldCharType="separate"/>
      </w:r>
      <w:r>
        <w:rPr>
          <w:color w:val="auto"/>
          <w:sz w:val="24"/>
          <w:szCs w:val="24"/>
          <w:highlight w:val="none"/>
        </w:rPr>
        <w:t>- 1 -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E8B32A3">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_Toc13827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2"/>
          <w:sz w:val="24"/>
          <w:szCs w:val="24"/>
          <w:highlight w:val="none"/>
          <w:lang w:val="hr-HR" w:eastAsia="zh-CN" w:bidi="ar-SA"/>
        </w:rPr>
        <w:t>一、</w:t>
      </w:r>
      <w:r>
        <w:rPr>
          <w:rFonts w:hint="eastAsia" w:ascii="宋体" w:hAnsi="宋体" w:eastAsia="宋体" w:cs="宋体"/>
          <w:color w:val="auto"/>
          <w:sz w:val="24"/>
          <w:szCs w:val="24"/>
          <w:highlight w:val="none"/>
          <w:lang w:val="hr-HR"/>
        </w:rPr>
        <w:t>项目基本情况</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_Toc13827 \h </w:instrText>
      </w:r>
      <w:r>
        <w:rPr>
          <w:color w:val="auto"/>
          <w:sz w:val="24"/>
          <w:szCs w:val="24"/>
          <w:highlight w:val="none"/>
        </w:rPr>
        <w:fldChar w:fldCharType="separate"/>
      </w:r>
      <w:r>
        <w:rPr>
          <w:color w:val="auto"/>
          <w:sz w:val="24"/>
          <w:szCs w:val="24"/>
          <w:highlight w:val="none"/>
        </w:rPr>
        <w:t>- 1 -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B7885E3">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_Toc21076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2"/>
          <w:sz w:val="24"/>
          <w:szCs w:val="24"/>
          <w:highlight w:val="none"/>
          <w:lang w:val="en-US" w:eastAsia="zh-CN" w:bidi="ar-SA"/>
        </w:rPr>
        <w:t>二、申请人的</w:t>
      </w:r>
      <w:r>
        <w:rPr>
          <w:rFonts w:hint="eastAsia" w:ascii="宋体" w:hAnsi="宋体" w:eastAsia="宋体" w:cs="宋体"/>
          <w:bCs/>
          <w:color w:val="auto"/>
          <w:kern w:val="2"/>
          <w:sz w:val="24"/>
          <w:szCs w:val="24"/>
          <w:highlight w:val="none"/>
          <w:lang w:val="hr-HR" w:eastAsia="zh-CN" w:bidi="ar-SA"/>
        </w:rPr>
        <w:t>资格要求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_Toc21076 \h </w:instrText>
      </w:r>
      <w:r>
        <w:rPr>
          <w:color w:val="auto"/>
          <w:sz w:val="24"/>
          <w:szCs w:val="24"/>
          <w:highlight w:val="none"/>
        </w:rPr>
        <w:fldChar w:fldCharType="separate"/>
      </w:r>
      <w:r>
        <w:rPr>
          <w:color w:val="auto"/>
          <w:sz w:val="24"/>
          <w:szCs w:val="24"/>
          <w:highlight w:val="none"/>
        </w:rPr>
        <w:t>- 1 -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856A773">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2"/>
          <w:sz w:val="24"/>
          <w:szCs w:val="24"/>
          <w:highlight w:val="none"/>
          <w:lang w:val="en-US" w:eastAsia="zh-CN" w:bidi="ar-SA"/>
        </w:rPr>
        <w:t>三、</w:t>
      </w:r>
      <w:r>
        <w:rPr>
          <w:rFonts w:hint="eastAsia" w:ascii="宋体" w:hAnsi="宋体" w:eastAsia="宋体" w:cs="宋体"/>
          <w:bCs/>
          <w:color w:val="auto"/>
          <w:kern w:val="2"/>
          <w:sz w:val="24"/>
          <w:szCs w:val="24"/>
          <w:highlight w:val="none"/>
          <w:lang w:val="hr-HR" w:eastAsia="zh-CN" w:bidi="ar-SA"/>
        </w:rPr>
        <w:t>获取</w:t>
      </w:r>
      <w:r>
        <w:rPr>
          <w:rFonts w:hint="eastAsia" w:ascii="宋体" w:hAnsi="宋体" w:eastAsia="宋体" w:cs="宋体"/>
          <w:bCs/>
          <w:color w:val="auto"/>
          <w:kern w:val="2"/>
          <w:sz w:val="24"/>
          <w:szCs w:val="24"/>
          <w:highlight w:val="none"/>
          <w:lang w:val="en-US" w:eastAsia="zh-CN" w:bidi="ar-SA"/>
        </w:rPr>
        <w:t>采购</w:t>
      </w:r>
      <w:r>
        <w:rPr>
          <w:rFonts w:hint="eastAsia" w:ascii="宋体" w:hAnsi="宋体" w:eastAsia="宋体" w:cs="宋体"/>
          <w:bCs/>
          <w:color w:val="auto"/>
          <w:kern w:val="2"/>
          <w:sz w:val="24"/>
          <w:szCs w:val="24"/>
          <w:highlight w:val="none"/>
          <w:lang w:val="hr-HR" w:eastAsia="zh-CN" w:bidi="ar-SA"/>
        </w:rPr>
        <w:t>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_Toc293 \h </w:instrText>
      </w:r>
      <w:r>
        <w:rPr>
          <w:color w:val="auto"/>
          <w:sz w:val="24"/>
          <w:szCs w:val="24"/>
          <w:highlight w:val="none"/>
        </w:rPr>
        <w:fldChar w:fldCharType="separate"/>
      </w:r>
      <w:r>
        <w:rPr>
          <w:color w:val="auto"/>
          <w:sz w:val="24"/>
          <w:szCs w:val="24"/>
          <w:highlight w:val="none"/>
        </w:rPr>
        <w:t>- 2 -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1CFD0B5">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_Toc15058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2"/>
          <w:sz w:val="24"/>
          <w:szCs w:val="24"/>
          <w:highlight w:val="none"/>
          <w:lang w:val="en-US" w:eastAsia="zh-CN" w:bidi="ar-SA"/>
        </w:rPr>
        <w:t>四、</w:t>
      </w:r>
      <w:r>
        <w:rPr>
          <w:rFonts w:hint="eastAsia" w:ascii="宋体" w:hAnsi="宋体" w:eastAsia="宋体" w:cs="宋体"/>
          <w:bCs/>
          <w:color w:val="auto"/>
          <w:spacing w:val="-6"/>
          <w:kern w:val="2"/>
          <w:sz w:val="24"/>
          <w:szCs w:val="24"/>
          <w:highlight w:val="none"/>
          <w:lang w:val="hr-HR" w:eastAsia="zh-CN" w:bidi="ar-SA"/>
        </w:rPr>
        <w:t>响应文件提交</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_Toc15058 \h </w:instrText>
      </w:r>
      <w:r>
        <w:rPr>
          <w:color w:val="auto"/>
          <w:sz w:val="24"/>
          <w:szCs w:val="24"/>
          <w:highlight w:val="none"/>
        </w:rPr>
        <w:fldChar w:fldCharType="separate"/>
      </w:r>
      <w:r>
        <w:rPr>
          <w:color w:val="auto"/>
          <w:sz w:val="24"/>
          <w:szCs w:val="24"/>
          <w:highlight w:val="none"/>
        </w:rPr>
        <w:t>- 2 -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97B2EF0">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_Toc1822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2"/>
          <w:sz w:val="24"/>
          <w:szCs w:val="24"/>
          <w:highlight w:val="none"/>
          <w:lang w:val="en-US" w:eastAsia="zh-CN" w:bidi="ar-SA"/>
        </w:rPr>
        <w:t>五、开启</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_Toc1822 \h </w:instrText>
      </w:r>
      <w:r>
        <w:rPr>
          <w:color w:val="auto"/>
          <w:sz w:val="24"/>
          <w:szCs w:val="24"/>
          <w:highlight w:val="none"/>
        </w:rPr>
        <w:fldChar w:fldCharType="separate"/>
      </w:r>
      <w:r>
        <w:rPr>
          <w:color w:val="auto"/>
          <w:sz w:val="24"/>
          <w:szCs w:val="24"/>
          <w:highlight w:val="none"/>
        </w:rPr>
        <w:t>- 2 -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C5EE92B">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_Toc4915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2"/>
          <w:sz w:val="24"/>
          <w:szCs w:val="24"/>
          <w:highlight w:val="none"/>
          <w:lang w:val="en-US" w:eastAsia="zh-CN" w:bidi="ar-SA"/>
        </w:rPr>
        <w:t>六、</w:t>
      </w:r>
      <w:r>
        <w:rPr>
          <w:rFonts w:hint="eastAsia" w:ascii="宋体" w:hAnsi="宋体" w:eastAsia="宋体" w:cs="宋体"/>
          <w:bCs/>
          <w:color w:val="auto"/>
          <w:kern w:val="2"/>
          <w:sz w:val="24"/>
          <w:szCs w:val="24"/>
          <w:highlight w:val="none"/>
          <w:lang w:val="hr-HR" w:eastAsia="zh-CN" w:bidi="ar-SA"/>
        </w:rPr>
        <w:t>公告期限</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_Toc4915 \h </w:instrText>
      </w:r>
      <w:r>
        <w:rPr>
          <w:color w:val="auto"/>
          <w:sz w:val="24"/>
          <w:szCs w:val="24"/>
          <w:highlight w:val="none"/>
        </w:rPr>
        <w:fldChar w:fldCharType="separate"/>
      </w:r>
      <w:r>
        <w:rPr>
          <w:color w:val="auto"/>
          <w:sz w:val="24"/>
          <w:szCs w:val="24"/>
          <w:highlight w:val="none"/>
        </w:rPr>
        <w:t>- 2 -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EA515A4">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_Toc17723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2"/>
          <w:sz w:val="24"/>
          <w:szCs w:val="24"/>
          <w:highlight w:val="none"/>
          <w:lang w:val="en-US" w:eastAsia="zh-CN" w:bidi="ar-SA"/>
        </w:rPr>
        <w:t>八、</w:t>
      </w:r>
      <w:r>
        <w:rPr>
          <w:rFonts w:hint="eastAsia" w:ascii="宋体" w:hAnsi="宋体" w:eastAsia="宋体" w:cs="宋体"/>
          <w:bCs/>
          <w:color w:val="auto"/>
          <w:kern w:val="2"/>
          <w:sz w:val="24"/>
          <w:szCs w:val="24"/>
          <w:highlight w:val="none"/>
          <w:lang w:val="hr-HR" w:eastAsia="zh-CN" w:bidi="ar-SA"/>
        </w:rPr>
        <w:t>凡对本次采购提出询问，请按以下方式联系</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_Toc17723 \h </w:instrText>
      </w:r>
      <w:r>
        <w:rPr>
          <w:color w:val="auto"/>
          <w:sz w:val="24"/>
          <w:szCs w:val="24"/>
          <w:highlight w:val="none"/>
        </w:rPr>
        <w:fldChar w:fldCharType="separate"/>
      </w:r>
      <w:r>
        <w:rPr>
          <w:color w:val="auto"/>
          <w:sz w:val="24"/>
          <w:szCs w:val="24"/>
          <w:highlight w:val="none"/>
        </w:rPr>
        <w:t>- 3 -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826E7A5">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_Toc28863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第二章 供应商须知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_Toc28863 \h </w:instrText>
      </w:r>
      <w:r>
        <w:rPr>
          <w:color w:val="auto"/>
          <w:sz w:val="24"/>
          <w:szCs w:val="24"/>
          <w:highlight w:val="none"/>
        </w:rPr>
        <w:fldChar w:fldCharType="separate"/>
      </w:r>
      <w:r>
        <w:rPr>
          <w:color w:val="auto"/>
          <w:sz w:val="24"/>
          <w:szCs w:val="24"/>
          <w:highlight w:val="none"/>
        </w:rPr>
        <w:t>- 4 -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C52BE7D">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_Toc7178 </w:instrText>
      </w:r>
      <w:r>
        <w:rPr>
          <w:rFonts w:hint="eastAsia" w:ascii="宋体" w:hAnsi="宋体" w:eastAsia="宋体" w:cs="宋体"/>
          <w:color w:val="auto"/>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一、供应商须知前附表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_Toc7178 \h </w:instrText>
      </w:r>
      <w:r>
        <w:rPr>
          <w:color w:val="auto"/>
          <w:sz w:val="24"/>
          <w:szCs w:val="24"/>
          <w:highlight w:val="none"/>
        </w:rPr>
        <w:fldChar w:fldCharType="separate"/>
      </w:r>
      <w:r>
        <w:rPr>
          <w:color w:val="auto"/>
          <w:sz w:val="24"/>
          <w:szCs w:val="24"/>
          <w:highlight w:val="none"/>
        </w:rPr>
        <w:t>- 4 -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1B1211B">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_Toc30862 </w:instrText>
      </w:r>
      <w:r>
        <w:rPr>
          <w:rFonts w:hint="eastAsia" w:ascii="宋体" w:hAnsi="宋体" w:eastAsia="宋体" w:cs="宋体"/>
          <w:color w:val="auto"/>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二、供应商须知</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_Toc30862 \h </w:instrText>
      </w:r>
      <w:r>
        <w:rPr>
          <w:color w:val="auto"/>
          <w:sz w:val="24"/>
          <w:szCs w:val="24"/>
          <w:highlight w:val="none"/>
        </w:rPr>
        <w:fldChar w:fldCharType="separate"/>
      </w:r>
      <w:r>
        <w:rPr>
          <w:color w:val="auto"/>
          <w:sz w:val="24"/>
          <w:szCs w:val="24"/>
          <w:highlight w:val="none"/>
        </w:rPr>
        <w:t>- 13 -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7B8928A">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_Toc20486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第三章 项目采购需求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_Toc20486 \h </w:instrText>
      </w:r>
      <w:r>
        <w:rPr>
          <w:color w:val="auto"/>
          <w:sz w:val="24"/>
          <w:szCs w:val="24"/>
          <w:highlight w:val="none"/>
        </w:rPr>
        <w:fldChar w:fldCharType="separate"/>
      </w:r>
      <w:r>
        <w:rPr>
          <w:color w:val="auto"/>
          <w:sz w:val="24"/>
          <w:szCs w:val="24"/>
          <w:highlight w:val="none"/>
        </w:rPr>
        <w:t>- 38 -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139A622">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_Toc10757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第四章 评审方法及标准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_Toc10757 \h </w:instrText>
      </w:r>
      <w:r>
        <w:rPr>
          <w:color w:val="auto"/>
          <w:sz w:val="24"/>
          <w:szCs w:val="24"/>
          <w:highlight w:val="none"/>
        </w:rPr>
        <w:fldChar w:fldCharType="separate"/>
      </w:r>
      <w:r>
        <w:rPr>
          <w:color w:val="auto"/>
          <w:sz w:val="24"/>
          <w:szCs w:val="24"/>
          <w:highlight w:val="none"/>
        </w:rPr>
        <w:t>- 51 -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A764AA3">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_Toc17539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zh-CN" w:eastAsia="zh-CN"/>
        </w:rPr>
        <w:t>评审方法</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_Toc17539 \h </w:instrText>
      </w:r>
      <w:r>
        <w:rPr>
          <w:color w:val="auto"/>
          <w:sz w:val="24"/>
          <w:szCs w:val="24"/>
          <w:highlight w:val="none"/>
        </w:rPr>
        <w:fldChar w:fldCharType="separate"/>
      </w:r>
      <w:r>
        <w:rPr>
          <w:color w:val="auto"/>
          <w:sz w:val="24"/>
          <w:szCs w:val="24"/>
          <w:highlight w:val="none"/>
        </w:rPr>
        <w:t>- 51 -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29506C5">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_Toc24199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zh-CN" w:eastAsia="zh-CN"/>
        </w:rPr>
        <w:t>评审程序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_Toc24199 \h </w:instrText>
      </w:r>
      <w:r>
        <w:rPr>
          <w:color w:val="auto"/>
          <w:sz w:val="24"/>
          <w:szCs w:val="24"/>
          <w:highlight w:val="none"/>
        </w:rPr>
        <w:fldChar w:fldCharType="separate"/>
      </w:r>
      <w:r>
        <w:rPr>
          <w:color w:val="auto"/>
          <w:sz w:val="24"/>
          <w:szCs w:val="24"/>
          <w:highlight w:val="none"/>
        </w:rPr>
        <w:t>- 51 -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099A326">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_Toc27446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zh-CN" w:eastAsia="zh-CN"/>
        </w:rPr>
        <w:t>评审</w:t>
      </w:r>
      <w:r>
        <w:rPr>
          <w:rFonts w:hint="eastAsia" w:ascii="宋体" w:hAnsi="宋体" w:eastAsia="宋体" w:cs="宋体"/>
          <w:color w:val="auto"/>
          <w:sz w:val="24"/>
          <w:szCs w:val="24"/>
          <w:highlight w:val="none"/>
          <w:lang w:val="en-US" w:eastAsia="zh-CN"/>
        </w:rPr>
        <w:t>其他要求</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_Toc27446 \h </w:instrText>
      </w:r>
      <w:r>
        <w:rPr>
          <w:color w:val="auto"/>
          <w:sz w:val="24"/>
          <w:szCs w:val="24"/>
          <w:highlight w:val="none"/>
        </w:rPr>
        <w:fldChar w:fldCharType="separate"/>
      </w:r>
      <w:r>
        <w:rPr>
          <w:color w:val="auto"/>
          <w:sz w:val="24"/>
          <w:szCs w:val="24"/>
          <w:highlight w:val="none"/>
        </w:rPr>
        <w:t>- 58 -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6B5BE30">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_Toc12134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eastAsia="zh-CN"/>
        </w:rPr>
        <w:t>评审标准</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_Toc12134 \h </w:instrText>
      </w:r>
      <w:r>
        <w:rPr>
          <w:color w:val="auto"/>
          <w:sz w:val="24"/>
          <w:szCs w:val="24"/>
          <w:highlight w:val="none"/>
        </w:rPr>
        <w:fldChar w:fldCharType="separate"/>
      </w:r>
      <w:r>
        <w:rPr>
          <w:color w:val="auto"/>
          <w:sz w:val="24"/>
          <w:szCs w:val="24"/>
          <w:highlight w:val="none"/>
        </w:rPr>
        <w:t>- 58 -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9BEDCB3">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_Toc29904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 xml:space="preserve">第五章 </w:t>
      </w:r>
      <w:r>
        <w:rPr>
          <w:rFonts w:hint="eastAsia" w:ascii="宋体" w:hAnsi="宋体" w:eastAsia="宋体" w:cs="宋体"/>
          <w:bCs/>
          <w:color w:val="auto"/>
          <w:kern w:val="44"/>
          <w:sz w:val="24"/>
          <w:szCs w:val="24"/>
          <w:highlight w:val="none"/>
          <w:lang w:val="zh-CN" w:eastAsia="zh-CN" w:bidi="ar-SA"/>
        </w:rPr>
        <w:t>合同草案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_Toc29904 \h </w:instrText>
      </w:r>
      <w:r>
        <w:rPr>
          <w:color w:val="auto"/>
          <w:sz w:val="24"/>
          <w:szCs w:val="24"/>
          <w:highlight w:val="none"/>
        </w:rPr>
        <w:fldChar w:fldCharType="separate"/>
      </w:r>
      <w:r>
        <w:rPr>
          <w:color w:val="auto"/>
          <w:sz w:val="24"/>
          <w:szCs w:val="24"/>
          <w:highlight w:val="none"/>
        </w:rPr>
        <w:t>- 69 -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15E2F772">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rFonts w:hint="eastAsia" w:eastAsia="宋体"/>
          <w:color w:val="auto"/>
          <w:sz w:val="24"/>
          <w:szCs w:val="24"/>
          <w:highlight w:val="none"/>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_Toc15507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第一节 政府采购合同协议书</w:t>
      </w:r>
      <w:r>
        <w:rPr>
          <w:color w:val="auto"/>
          <w:sz w:val="24"/>
          <w:szCs w:val="24"/>
          <w:highlight w:val="none"/>
        </w:rPr>
        <w:tab/>
      </w:r>
      <w:r>
        <w:rPr>
          <w:rFonts w:hint="eastAsia"/>
          <w:color w:val="auto"/>
          <w:sz w:val="24"/>
          <w:szCs w:val="24"/>
          <w:highlight w:val="none"/>
          <w:lang w:val="en-US" w:eastAsia="zh-CN"/>
        </w:rPr>
        <w:t>6</w:t>
      </w:r>
      <w:r>
        <w:rPr>
          <w:rFonts w:hint="eastAsia" w:ascii="宋体" w:hAnsi="宋体" w:eastAsia="宋体" w:cs="宋体"/>
          <w:color w:val="auto"/>
          <w:sz w:val="24"/>
          <w:szCs w:val="24"/>
          <w:highlight w:val="none"/>
        </w:rPr>
        <w:fldChar w:fldCharType="end"/>
      </w:r>
      <w:r>
        <w:rPr>
          <w:rFonts w:hint="eastAsia" w:ascii="宋体" w:eastAsia="宋体" w:cs="宋体"/>
          <w:color w:val="auto"/>
          <w:sz w:val="24"/>
          <w:szCs w:val="24"/>
          <w:highlight w:val="none"/>
          <w:lang w:val="en-US" w:eastAsia="zh-CN"/>
        </w:rPr>
        <w:t>5</w:t>
      </w:r>
    </w:p>
    <w:p w14:paraId="32A4D5C8">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rFonts w:hint="default" w:eastAsia="宋体"/>
          <w:color w:val="auto"/>
          <w:sz w:val="24"/>
          <w:szCs w:val="24"/>
          <w:highlight w:val="none"/>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_Toc29562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第二节 政府采购合同通用条款</w:t>
      </w:r>
      <w:r>
        <w:rPr>
          <w:color w:val="auto"/>
          <w:sz w:val="24"/>
          <w:szCs w:val="24"/>
          <w:highlight w:val="none"/>
        </w:rPr>
        <w:tab/>
      </w:r>
      <w:r>
        <w:rPr>
          <w:rFonts w:hint="eastAsia" w:ascii="宋体" w:hAnsi="宋体" w:eastAsia="宋体" w:cs="宋体"/>
          <w:color w:val="auto"/>
          <w:sz w:val="24"/>
          <w:szCs w:val="24"/>
          <w:highlight w:val="none"/>
        </w:rPr>
        <w:fldChar w:fldCharType="end"/>
      </w:r>
      <w:r>
        <w:rPr>
          <w:rFonts w:hint="eastAsia" w:ascii="宋体" w:eastAsia="宋体" w:cs="宋体"/>
          <w:color w:val="auto"/>
          <w:sz w:val="24"/>
          <w:szCs w:val="24"/>
          <w:highlight w:val="none"/>
          <w:lang w:val="en-US" w:eastAsia="zh-CN"/>
        </w:rPr>
        <w:t>70</w:t>
      </w:r>
    </w:p>
    <w:p w14:paraId="6D808D24">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rFonts w:hint="eastAsia" w:eastAsia="宋体"/>
          <w:color w:val="auto"/>
          <w:sz w:val="24"/>
          <w:szCs w:val="24"/>
          <w:highlight w:val="none"/>
          <w:lang w:val="en-US" w:eastAsia="zh-CN"/>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_Toc24995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sz w:val="24"/>
          <w:szCs w:val="24"/>
          <w:highlight w:val="none"/>
        </w:rPr>
        <w:t>第三节 政府采购合同专用条款</w:t>
      </w:r>
      <w:r>
        <w:rPr>
          <w:color w:val="auto"/>
          <w:sz w:val="24"/>
          <w:szCs w:val="24"/>
          <w:highlight w:val="none"/>
        </w:rPr>
        <w:tab/>
      </w:r>
      <w:r>
        <w:rPr>
          <w:rFonts w:hint="eastAsia"/>
          <w:color w:val="auto"/>
          <w:sz w:val="24"/>
          <w:szCs w:val="24"/>
          <w:highlight w:val="none"/>
          <w:lang w:val="en-US" w:eastAsia="zh-CN"/>
        </w:rPr>
        <w:t>7</w:t>
      </w:r>
      <w:r>
        <w:rPr>
          <w:rFonts w:hint="eastAsia" w:ascii="宋体" w:hAnsi="宋体" w:eastAsia="宋体" w:cs="宋体"/>
          <w:color w:val="auto"/>
          <w:sz w:val="24"/>
          <w:szCs w:val="24"/>
          <w:highlight w:val="none"/>
        </w:rPr>
        <w:fldChar w:fldCharType="end"/>
      </w:r>
      <w:r>
        <w:rPr>
          <w:rFonts w:hint="eastAsia" w:ascii="宋体" w:eastAsia="宋体" w:cs="宋体"/>
          <w:color w:val="auto"/>
          <w:sz w:val="24"/>
          <w:szCs w:val="24"/>
          <w:highlight w:val="none"/>
          <w:lang w:val="en-US" w:eastAsia="zh-CN"/>
        </w:rPr>
        <w:t>8</w:t>
      </w:r>
    </w:p>
    <w:p w14:paraId="58514B36">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_Toc26172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Cs/>
          <w:color w:val="auto"/>
          <w:kern w:val="44"/>
          <w:sz w:val="24"/>
          <w:szCs w:val="24"/>
          <w:highlight w:val="none"/>
          <w:lang w:val="en-US" w:eastAsia="zh-CN" w:bidi="ar-SA"/>
        </w:rPr>
        <w:t xml:space="preserve">第六章 </w:t>
      </w:r>
      <w:r>
        <w:rPr>
          <w:rFonts w:hint="eastAsia" w:ascii="宋体" w:hAnsi="宋体" w:eastAsia="宋体" w:cs="宋体"/>
          <w:color w:val="auto"/>
          <w:sz w:val="24"/>
          <w:szCs w:val="24"/>
          <w:highlight w:val="none"/>
        </w:rPr>
        <w:t>响应文件的格式</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_Toc26172 \h </w:instrText>
      </w:r>
      <w:r>
        <w:rPr>
          <w:color w:val="auto"/>
          <w:sz w:val="24"/>
          <w:szCs w:val="24"/>
          <w:highlight w:val="none"/>
        </w:rPr>
        <w:fldChar w:fldCharType="separate"/>
      </w:r>
      <w:r>
        <w:rPr>
          <w:color w:val="auto"/>
          <w:sz w:val="24"/>
          <w:szCs w:val="24"/>
          <w:highlight w:val="none"/>
        </w:rPr>
        <w:t>- 85 -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D67DE46">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_Toc5152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lang w:val="en-US" w:eastAsia="zh-CN"/>
        </w:rPr>
        <w:t>响应</w:t>
      </w:r>
      <w:r>
        <w:rPr>
          <w:rFonts w:hint="eastAsia"/>
          <w:color w:val="auto"/>
          <w:sz w:val="24"/>
          <w:szCs w:val="24"/>
          <w:highlight w:val="none"/>
        </w:rPr>
        <w:t>文件</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_Toc7318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rPr>
        <w:t>资格证明文件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_Toc7318 \h </w:instrText>
      </w:r>
      <w:r>
        <w:rPr>
          <w:color w:val="auto"/>
          <w:sz w:val="24"/>
          <w:szCs w:val="24"/>
          <w:highlight w:val="none"/>
        </w:rPr>
        <w:fldChar w:fldCharType="separate"/>
      </w:r>
      <w:r>
        <w:rPr>
          <w:color w:val="auto"/>
          <w:sz w:val="24"/>
          <w:szCs w:val="24"/>
          <w:highlight w:val="none"/>
        </w:rPr>
        <w:t>- 86 -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31E793F">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_Toc15682 </w:instrText>
      </w:r>
      <w:r>
        <w:rPr>
          <w:rFonts w:hint="eastAsia" w:ascii="宋体" w:hAnsi="宋体" w:eastAsia="宋体" w:cs="宋体"/>
          <w:color w:val="auto"/>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一、满足《中华人民共和国政府采购法》第二十二条规定</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_Toc15682 \h </w:instrText>
      </w:r>
      <w:r>
        <w:rPr>
          <w:color w:val="auto"/>
          <w:sz w:val="24"/>
          <w:szCs w:val="24"/>
          <w:highlight w:val="none"/>
        </w:rPr>
        <w:fldChar w:fldCharType="separate"/>
      </w:r>
      <w:r>
        <w:rPr>
          <w:color w:val="auto"/>
          <w:sz w:val="24"/>
          <w:szCs w:val="24"/>
          <w:highlight w:val="none"/>
        </w:rPr>
        <w:t>- 87 -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D4DD33B">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_Toc7114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二</w:t>
      </w:r>
      <w:r>
        <w:rPr>
          <w:rFonts w:hint="eastAsia" w:eastAsia="宋体" w:asciiTheme="majorHAnsi" w:hAnsiTheme="majorHAnsi" w:cstheme="majorBidi"/>
          <w:bCs/>
          <w:color w:val="auto"/>
          <w:kern w:val="2"/>
          <w:sz w:val="24"/>
          <w:szCs w:val="24"/>
          <w:highlight w:val="none"/>
          <w:lang w:val="en-US" w:eastAsia="zh-CN" w:bidi="ar-SA"/>
        </w:rPr>
        <w:t>、</w:t>
      </w:r>
      <w:r>
        <w:rPr>
          <w:rFonts w:hint="eastAsia" w:eastAsia="宋体" w:asciiTheme="majorHAnsi" w:hAnsiTheme="majorHAnsi" w:cstheme="majorBidi"/>
          <w:bCs/>
          <w:color w:val="auto"/>
          <w:kern w:val="2"/>
          <w:sz w:val="24"/>
          <w:szCs w:val="24"/>
          <w:highlight w:val="none"/>
          <w:lang w:val="zh-CN" w:eastAsia="zh-CN" w:bidi="ar-SA"/>
        </w:rPr>
        <w:t>联合体协议书</w:t>
      </w:r>
      <w:r>
        <w:rPr>
          <w:rFonts w:hint="eastAsia" w:ascii="宋体" w:hAnsi="宋体" w:eastAsia="宋体" w:cstheme="minorBidi"/>
          <w:bCs w:val="0"/>
          <w:color w:val="auto"/>
          <w:kern w:val="2"/>
          <w:sz w:val="24"/>
          <w:szCs w:val="24"/>
          <w:highlight w:val="none"/>
          <w:lang w:val="zh-CN" w:eastAsia="zh-CN" w:bidi="ar-SA"/>
        </w:rPr>
        <w:t>【如适用】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_Toc7114 \h </w:instrText>
      </w:r>
      <w:r>
        <w:rPr>
          <w:color w:val="auto"/>
          <w:sz w:val="24"/>
          <w:szCs w:val="24"/>
          <w:highlight w:val="none"/>
        </w:rPr>
        <w:fldChar w:fldCharType="separate"/>
      </w:r>
      <w:r>
        <w:rPr>
          <w:color w:val="auto"/>
          <w:sz w:val="24"/>
          <w:szCs w:val="24"/>
          <w:highlight w:val="none"/>
        </w:rPr>
        <w:t>- 90 -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49A8F3C">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_Toc12924 </w:instrText>
      </w:r>
      <w:r>
        <w:rPr>
          <w:rFonts w:hint="eastAsia" w:ascii="宋体" w:hAnsi="宋体" w:eastAsia="宋体" w:cs="宋体"/>
          <w:color w:val="auto"/>
          <w:sz w:val="24"/>
          <w:szCs w:val="24"/>
          <w:highlight w:val="none"/>
        </w:rPr>
        <w:fldChar w:fldCharType="separate"/>
      </w:r>
      <w:r>
        <w:rPr>
          <w:rFonts w:hint="eastAsia" w:ascii="宋体" w:hAnsi="宋体" w:cs="宋体"/>
          <w:color w:val="auto"/>
          <w:kern w:val="0"/>
          <w:sz w:val="24"/>
          <w:szCs w:val="24"/>
          <w:highlight w:val="none"/>
        </w:rPr>
        <w:t>联合体协议书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_Toc12924 \h </w:instrText>
      </w:r>
      <w:r>
        <w:rPr>
          <w:color w:val="auto"/>
          <w:sz w:val="24"/>
          <w:szCs w:val="24"/>
          <w:highlight w:val="none"/>
        </w:rPr>
        <w:fldChar w:fldCharType="separate"/>
      </w:r>
      <w:r>
        <w:rPr>
          <w:color w:val="auto"/>
          <w:sz w:val="24"/>
          <w:szCs w:val="24"/>
          <w:highlight w:val="none"/>
        </w:rPr>
        <w:t>- 90 -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3D85933">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_Toc15286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三</w:t>
      </w:r>
      <w:r>
        <w:rPr>
          <w:rFonts w:hint="eastAsia" w:eastAsia="宋体" w:asciiTheme="majorHAnsi" w:hAnsiTheme="majorHAnsi" w:cstheme="majorBidi"/>
          <w:bCs/>
          <w:color w:val="auto"/>
          <w:kern w:val="2"/>
          <w:sz w:val="24"/>
          <w:szCs w:val="24"/>
          <w:highlight w:val="none"/>
          <w:lang w:val="en-US" w:eastAsia="zh-CN" w:bidi="ar-SA"/>
        </w:rPr>
        <w:t>、</w:t>
      </w:r>
      <w:r>
        <w:rPr>
          <w:rFonts w:hint="eastAsia" w:eastAsia="宋体" w:asciiTheme="majorHAnsi" w:hAnsiTheme="majorHAnsi" w:cstheme="majorBidi"/>
          <w:bCs/>
          <w:color w:val="auto"/>
          <w:kern w:val="2"/>
          <w:sz w:val="24"/>
          <w:szCs w:val="24"/>
          <w:highlight w:val="none"/>
          <w:lang w:val="zh-CN" w:eastAsia="zh-CN" w:bidi="ar-SA"/>
        </w:rPr>
        <w:t>分包意向协议书</w:t>
      </w:r>
      <w:r>
        <w:rPr>
          <w:rFonts w:hint="eastAsia" w:ascii="宋体" w:hAnsi="宋体" w:eastAsia="宋体" w:cstheme="minorBidi"/>
          <w:bCs w:val="0"/>
          <w:color w:val="auto"/>
          <w:kern w:val="2"/>
          <w:sz w:val="24"/>
          <w:szCs w:val="24"/>
          <w:highlight w:val="none"/>
          <w:lang w:val="zh-CN" w:eastAsia="zh-CN" w:bidi="ar-SA"/>
        </w:rPr>
        <w:t>【如适用】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_Toc15286 \h </w:instrText>
      </w:r>
      <w:r>
        <w:rPr>
          <w:color w:val="auto"/>
          <w:sz w:val="24"/>
          <w:szCs w:val="24"/>
          <w:highlight w:val="none"/>
        </w:rPr>
        <w:fldChar w:fldCharType="separate"/>
      </w:r>
      <w:r>
        <w:rPr>
          <w:color w:val="auto"/>
          <w:sz w:val="24"/>
          <w:szCs w:val="24"/>
          <w:highlight w:val="none"/>
        </w:rPr>
        <w:t>- 92 -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4AA58E1">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_Toc19341 </w:instrText>
      </w:r>
      <w:r>
        <w:rPr>
          <w:rFonts w:hint="eastAsia" w:ascii="宋体" w:hAnsi="宋体" w:eastAsia="宋体" w:cs="宋体"/>
          <w:color w:val="auto"/>
          <w:sz w:val="24"/>
          <w:szCs w:val="24"/>
          <w:highlight w:val="none"/>
        </w:rPr>
        <w:fldChar w:fldCharType="separate"/>
      </w:r>
      <w:r>
        <w:rPr>
          <w:rFonts w:hint="eastAsia" w:ascii="宋体" w:hAnsi="宋体" w:cs="宋体"/>
          <w:color w:val="auto"/>
          <w:kern w:val="0"/>
          <w:sz w:val="24"/>
          <w:szCs w:val="24"/>
          <w:highlight w:val="none"/>
        </w:rPr>
        <w:t>分包意向协议</w:t>
      </w:r>
      <w:r>
        <w:rPr>
          <w:rFonts w:hint="eastAsia" w:ascii="宋体" w:hAnsi="宋体" w:cs="宋体"/>
          <w:color w:val="auto"/>
          <w:kern w:val="0"/>
          <w:sz w:val="24"/>
          <w:szCs w:val="24"/>
          <w:highlight w:val="none"/>
          <w:lang w:val="en-US" w:eastAsia="zh-CN"/>
        </w:rPr>
        <w:t>书</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_Toc7973 </w:instrText>
      </w:r>
      <w:r>
        <w:rPr>
          <w:rFonts w:hint="eastAsia" w:ascii="宋体" w:hAnsi="宋体" w:eastAsia="宋体" w:cs="宋体"/>
          <w:color w:val="auto"/>
          <w:sz w:val="24"/>
          <w:szCs w:val="24"/>
          <w:highlight w:val="none"/>
        </w:rPr>
        <w:fldChar w:fldCharType="separate"/>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_Toc7973 \h </w:instrText>
      </w:r>
      <w:r>
        <w:rPr>
          <w:color w:val="auto"/>
          <w:sz w:val="24"/>
          <w:szCs w:val="24"/>
          <w:highlight w:val="none"/>
        </w:rPr>
        <w:fldChar w:fldCharType="separate"/>
      </w:r>
      <w:r>
        <w:rPr>
          <w:color w:val="auto"/>
          <w:sz w:val="24"/>
          <w:szCs w:val="24"/>
          <w:highlight w:val="none"/>
        </w:rPr>
        <w:t>- 92 -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67B35D82">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_Toc18930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四</w:t>
      </w:r>
      <w:r>
        <w:rPr>
          <w:rFonts w:hint="eastAsia" w:eastAsia="宋体" w:asciiTheme="majorHAnsi" w:hAnsiTheme="majorHAnsi" w:cstheme="majorBidi"/>
          <w:bCs/>
          <w:color w:val="auto"/>
          <w:kern w:val="2"/>
          <w:sz w:val="24"/>
          <w:szCs w:val="24"/>
          <w:highlight w:val="none"/>
          <w:lang w:val="en-US" w:eastAsia="zh-CN" w:bidi="ar-SA"/>
        </w:rPr>
        <w:t>、落实政府采购政策相关证明文件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_Toc18930 \h </w:instrText>
      </w:r>
      <w:r>
        <w:rPr>
          <w:color w:val="auto"/>
          <w:sz w:val="24"/>
          <w:szCs w:val="24"/>
          <w:highlight w:val="none"/>
        </w:rPr>
        <w:fldChar w:fldCharType="separate"/>
      </w:r>
      <w:r>
        <w:rPr>
          <w:color w:val="auto"/>
          <w:sz w:val="24"/>
          <w:szCs w:val="24"/>
          <w:highlight w:val="none"/>
        </w:rPr>
        <w:t>- 94 -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552EC91">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_Toc3073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五、不参与围标串标承诺书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_Toc3073 \h </w:instrText>
      </w:r>
      <w:r>
        <w:rPr>
          <w:color w:val="auto"/>
          <w:sz w:val="24"/>
          <w:szCs w:val="24"/>
          <w:highlight w:val="none"/>
        </w:rPr>
        <w:fldChar w:fldCharType="separate"/>
      </w:r>
      <w:r>
        <w:rPr>
          <w:color w:val="auto"/>
          <w:sz w:val="24"/>
          <w:szCs w:val="24"/>
          <w:highlight w:val="none"/>
        </w:rPr>
        <w:t>- 107 -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D428CA1">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_Toc9438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六</w:t>
      </w:r>
      <w:r>
        <w:rPr>
          <w:rFonts w:hint="eastAsia" w:eastAsia="宋体" w:asciiTheme="majorHAnsi" w:hAnsiTheme="majorHAnsi" w:cstheme="majorBidi"/>
          <w:bCs/>
          <w:color w:val="auto"/>
          <w:kern w:val="2"/>
          <w:sz w:val="24"/>
          <w:szCs w:val="24"/>
          <w:highlight w:val="none"/>
          <w:lang w:val="en-US" w:eastAsia="zh-CN" w:bidi="ar-SA"/>
        </w:rPr>
        <w:t>、</w:t>
      </w:r>
      <w:r>
        <w:rPr>
          <w:rFonts w:hint="eastAsia" w:eastAsia="宋体" w:asciiTheme="majorHAnsi" w:hAnsiTheme="majorHAnsi" w:cstheme="majorBidi"/>
          <w:bCs/>
          <w:color w:val="auto"/>
          <w:kern w:val="2"/>
          <w:sz w:val="24"/>
          <w:szCs w:val="24"/>
          <w:highlight w:val="none"/>
          <w:lang w:val="zh-CN" w:eastAsia="zh-CN" w:bidi="ar-SA"/>
        </w:rPr>
        <w:t>其他资格证明文件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_Toc9438 \h </w:instrText>
      </w:r>
      <w:r>
        <w:rPr>
          <w:color w:val="auto"/>
          <w:sz w:val="24"/>
          <w:szCs w:val="24"/>
          <w:highlight w:val="none"/>
        </w:rPr>
        <w:fldChar w:fldCharType="separate"/>
      </w:r>
      <w:r>
        <w:rPr>
          <w:color w:val="auto"/>
          <w:sz w:val="24"/>
          <w:szCs w:val="24"/>
          <w:highlight w:val="none"/>
        </w:rPr>
        <w:t>- 108 -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6335EE9">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_Toc2518 </w:instrText>
      </w:r>
      <w:r>
        <w:rPr>
          <w:rFonts w:hint="eastAsia" w:ascii="宋体" w:hAnsi="宋体" w:eastAsia="宋体" w:cs="宋体"/>
          <w:color w:val="auto"/>
          <w:sz w:val="24"/>
          <w:szCs w:val="24"/>
          <w:highlight w:val="none"/>
        </w:rPr>
        <w:fldChar w:fldCharType="separate"/>
      </w:r>
      <w:r>
        <w:rPr>
          <w:rFonts w:hint="eastAsia" w:ascii="黑体" w:hAnsi="黑体" w:eastAsia="黑体" w:cs="黑体"/>
          <w:color w:val="auto"/>
          <w:sz w:val="24"/>
          <w:szCs w:val="24"/>
          <w:highlight w:val="none"/>
          <w:lang w:val="en-US" w:eastAsia="zh-CN"/>
        </w:rPr>
        <w:t>响应</w:t>
      </w:r>
      <w:r>
        <w:rPr>
          <w:rFonts w:hint="eastAsia" w:ascii="黑体" w:hAnsi="黑体" w:eastAsia="黑体" w:cs="黑体"/>
          <w:color w:val="auto"/>
          <w:sz w:val="24"/>
          <w:szCs w:val="24"/>
          <w:highlight w:val="none"/>
        </w:rPr>
        <w:t>文件</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_Toc9782 </w:instrText>
      </w:r>
      <w:r>
        <w:rPr>
          <w:rFonts w:hint="eastAsia" w:ascii="宋体" w:hAnsi="宋体" w:eastAsia="宋体" w:cs="宋体"/>
          <w:color w:val="auto"/>
          <w:sz w:val="24"/>
          <w:szCs w:val="24"/>
          <w:highlight w:val="none"/>
        </w:rPr>
        <w:fldChar w:fldCharType="separate"/>
      </w:r>
      <w:r>
        <w:rPr>
          <w:rFonts w:hint="eastAsia" w:ascii="黑体" w:hAnsi="黑体" w:eastAsia="黑体" w:cs="黑体"/>
          <w:color w:val="auto"/>
          <w:sz w:val="24"/>
          <w:szCs w:val="24"/>
          <w:highlight w:val="none"/>
          <w:lang w:val="en-US" w:eastAsia="zh-CN"/>
        </w:rPr>
        <w:t>报价文件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_Toc9782 \h </w:instrText>
      </w:r>
      <w:r>
        <w:rPr>
          <w:color w:val="auto"/>
          <w:sz w:val="24"/>
          <w:szCs w:val="24"/>
          <w:highlight w:val="none"/>
        </w:rPr>
        <w:fldChar w:fldCharType="separate"/>
      </w:r>
      <w:r>
        <w:rPr>
          <w:color w:val="auto"/>
          <w:sz w:val="24"/>
          <w:szCs w:val="24"/>
          <w:highlight w:val="none"/>
        </w:rPr>
        <w:t>- 109 -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DEC9D3C">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_Toc8562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一、报价一览表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_Toc8562 \h </w:instrText>
      </w:r>
      <w:r>
        <w:rPr>
          <w:color w:val="auto"/>
          <w:sz w:val="24"/>
          <w:szCs w:val="24"/>
          <w:highlight w:val="none"/>
        </w:rPr>
        <w:fldChar w:fldCharType="separate"/>
      </w:r>
      <w:r>
        <w:rPr>
          <w:color w:val="auto"/>
          <w:sz w:val="24"/>
          <w:szCs w:val="24"/>
          <w:highlight w:val="none"/>
        </w:rPr>
        <w:t>- 110 -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B34DF15">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_Toc26650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二、分项报价表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_Toc26650 \h </w:instrText>
      </w:r>
      <w:r>
        <w:rPr>
          <w:color w:val="auto"/>
          <w:sz w:val="24"/>
          <w:szCs w:val="24"/>
          <w:highlight w:val="none"/>
        </w:rPr>
        <w:fldChar w:fldCharType="separate"/>
      </w:r>
      <w:r>
        <w:rPr>
          <w:color w:val="auto"/>
          <w:sz w:val="24"/>
          <w:szCs w:val="24"/>
          <w:highlight w:val="none"/>
        </w:rPr>
        <w:t>- 111 -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325B003">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cstheme="majorBidi"/>
          <w:bCs/>
          <w:color w:val="auto"/>
          <w:kern w:val="2"/>
          <w:sz w:val="24"/>
          <w:szCs w:val="24"/>
          <w:highlight w:val="none"/>
          <w:lang w:val="en-US" w:eastAsia="zh-CN" w:bidi="ar-SA"/>
        </w:rPr>
        <w:fldChar w:fldCharType="begin"/>
      </w:r>
      <w:r>
        <w:rPr>
          <w:rFonts w:hint="eastAsia" w:cstheme="majorBidi"/>
          <w:bCs/>
          <w:color w:val="auto"/>
          <w:kern w:val="2"/>
          <w:sz w:val="24"/>
          <w:szCs w:val="24"/>
          <w:highlight w:val="none"/>
          <w:lang w:val="en-US" w:eastAsia="zh-CN" w:bidi="ar-SA"/>
        </w:rPr>
        <w:instrText xml:space="preserve"> HYPERLINK \l _Toc11961 </w:instrText>
      </w:r>
      <w:r>
        <w:rPr>
          <w:rFonts w:hint="eastAsia" w:cstheme="majorBidi"/>
          <w:bCs/>
          <w:color w:val="auto"/>
          <w:kern w:val="2"/>
          <w:sz w:val="24"/>
          <w:szCs w:val="24"/>
          <w:highlight w:val="none"/>
          <w:lang w:val="en-US" w:eastAsia="zh-CN" w:bidi="ar-SA"/>
        </w:rPr>
        <w:fldChar w:fldCharType="separate"/>
      </w:r>
      <w:r>
        <w:rPr>
          <w:rFonts w:hint="eastAsia" w:cstheme="majorBidi"/>
          <w:bCs/>
          <w:color w:val="auto"/>
          <w:kern w:val="2"/>
          <w:sz w:val="24"/>
          <w:szCs w:val="24"/>
          <w:highlight w:val="none"/>
          <w:lang w:val="en-US" w:eastAsia="zh-CN" w:bidi="ar-SA"/>
        </w:rPr>
        <w:t>三、关于符合本国产品标准的声明函或财政部规定的其他</w:t>
      </w:r>
      <w:r>
        <w:rPr>
          <w:rFonts w:hint="eastAsia" w:cstheme="majorBidi"/>
          <w:bCs/>
          <w:color w:val="auto"/>
          <w:kern w:val="2"/>
          <w:sz w:val="24"/>
          <w:szCs w:val="24"/>
          <w:highlight w:val="none"/>
          <w:lang w:val="en-US" w:eastAsia="zh-CN" w:bidi="ar-SA"/>
        </w:rPr>
        <w:fldChar w:fldCharType="end"/>
      </w:r>
      <w:r>
        <w:rPr>
          <w:rFonts w:hint="eastAsia" w:cstheme="majorBidi"/>
          <w:bCs/>
          <w:color w:val="auto"/>
          <w:kern w:val="2"/>
          <w:sz w:val="24"/>
          <w:szCs w:val="24"/>
          <w:highlight w:val="none"/>
          <w:lang w:val="en-US" w:eastAsia="zh-CN" w:bidi="ar-SA"/>
        </w:rPr>
        <w:fldChar w:fldCharType="begin"/>
      </w:r>
      <w:r>
        <w:rPr>
          <w:rFonts w:hint="eastAsia" w:cstheme="majorBidi"/>
          <w:bCs/>
          <w:color w:val="auto"/>
          <w:kern w:val="2"/>
          <w:sz w:val="24"/>
          <w:szCs w:val="24"/>
          <w:highlight w:val="none"/>
          <w:lang w:val="en-US" w:eastAsia="zh-CN" w:bidi="ar-SA"/>
        </w:rPr>
        <w:instrText xml:space="preserve"> HYPERLINK \l _Toc3 </w:instrText>
      </w:r>
      <w:r>
        <w:rPr>
          <w:rFonts w:hint="eastAsia" w:cstheme="majorBidi"/>
          <w:bCs/>
          <w:color w:val="auto"/>
          <w:kern w:val="2"/>
          <w:sz w:val="24"/>
          <w:szCs w:val="24"/>
          <w:highlight w:val="none"/>
          <w:lang w:val="en-US" w:eastAsia="zh-CN" w:bidi="ar-SA"/>
        </w:rPr>
        <w:fldChar w:fldCharType="separate"/>
      </w:r>
      <w:r>
        <w:rPr>
          <w:rFonts w:hint="eastAsia" w:cstheme="majorBidi"/>
          <w:bCs/>
          <w:color w:val="auto"/>
          <w:kern w:val="2"/>
          <w:sz w:val="24"/>
          <w:szCs w:val="24"/>
          <w:highlight w:val="none"/>
          <w:lang w:val="en-US" w:eastAsia="zh-CN" w:bidi="ar-SA"/>
        </w:rPr>
        <w:t>证明文件</w:t>
      </w:r>
      <w:r>
        <w:rPr>
          <w:rFonts w:hint="eastAsia" w:cstheme="majorBidi"/>
          <w:bCs/>
          <w:color w:val="auto"/>
          <w:kern w:val="2"/>
          <w:sz w:val="24"/>
          <w:szCs w:val="24"/>
          <w:highlight w:val="none"/>
          <w:lang w:val="en-US" w:eastAsia="zh-CN" w:bidi="ar-SA"/>
        </w:rPr>
        <w:tab/>
      </w:r>
      <w:r>
        <w:rPr>
          <w:rFonts w:hint="eastAsia" w:cstheme="majorBidi"/>
          <w:bCs/>
          <w:color w:val="auto"/>
          <w:kern w:val="2"/>
          <w:sz w:val="24"/>
          <w:szCs w:val="24"/>
          <w:highlight w:val="none"/>
          <w:lang w:val="en-US" w:eastAsia="zh-CN" w:bidi="ar-SA"/>
        </w:rPr>
        <w:fldChar w:fldCharType="begin"/>
      </w:r>
      <w:r>
        <w:rPr>
          <w:rFonts w:hint="eastAsia" w:cstheme="majorBidi"/>
          <w:bCs/>
          <w:color w:val="auto"/>
          <w:kern w:val="2"/>
          <w:sz w:val="24"/>
          <w:szCs w:val="24"/>
          <w:highlight w:val="none"/>
          <w:lang w:val="en-US" w:eastAsia="zh-CN" w:bidi="ar-SA"/>
        </w:rPr>
        <w:instrText xml:space="preserve"> PAGEREF _Toc3 \h </w:instrText>
      </w:r>
      <w:r>
        <w:rPr>
          <w:rFonts w:hint="eastAsia" w:cstheme="majorBidi"/>
          <w:bCs/>
          <w:color w:val="auto"/>
          <w:kern w:val="2"/>
          <w:sz w:val="24"/>
          <w:szCs w:val="24"/>
          <w:highlight w:val="none"/>
          <w:lang w:val="en-US" w:eastAsia="zh-CN" w:bidi="ar-SA"/>
        </w:rPr>
        <w:fldChar w:fldCharType="separate"/>
      </w:r>
      <w:r>
        <w:rPr>
          <w:rFonts w:hint="eastAsia" w:cstheme="majorBidi"/>
          <w:bCs/>
          <w:color w:val="auto"/>
          <w:kern w:val="2"/>
          <w:sz w:val="24"/>
          <w:szCs w:val="24"/>
          <w:highlight w:val="none"/>
          <w:lang w:val="en-US" w:eastAsia="zh-CN" w:bidi="ar-SA"/>
        </w:rPr>
        <w:t>- 113 -</w:t>
      </w:r>
      <w:r>
        <w:rPr>
          <w:rFonts w:hint="eastAsia" w:cstheme="majorBidi"/>
          <w:bCs/>
          <w:color w:val="auto"/>
          <w:kern w:val="2"/>
          <w:sz w:val="24"/>
          <w:szCs w:val="24"/>
          <w:highlight w:val="none"/>
          <w:lang w:val="en-US" w:eastAsia="zh-CN" w:bidi="ar-SA"/>
        </w:rPr>
        <w:fldChar w:fldCharType="end"/>
      </w:r>
      <w:r>
        <w:rPr>
          <w:rFonts w:hint="eastAsia" w:cstheme="majorBidi"/>
          <w:bCs/>
          <w:color w:val="auto"/>
          <w:kern w:val="2"/>
          <w:sz w:val="24"/>
          <w:szCs w:val="24"/>
          <w:highlight w:val="none"/>
          <w:lang w:val="en-US" w:eastAsia="zh-CN" w:bidi="ar-SA"/>
        </w:rPr>
        <w:fldChar w:fldCharType="end"/>
      </w:r>
    </w:p>
    <w:p w14:paraId="0F982CF7">
      <w:pPr>
        <w:pStyle w:val="19"/>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_Toc32227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lang w:val="en-US" w:eastAsia="zh-CN"/>
        </w:rPr>
        <w:t>响应</w:t>
      </w:r>
      <w:r>
        <w:rPr>
          <w:rFonts w:hint="eastAsia"/>
          <w:color w:val="auto"/>
          <w:sz w:val="24"/>
          <w:szCs w:val="24"/>
          <w:highlight w:val="none"/>
        </w:rPr>
        <w:t>文件</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_Toc19324 </w:instrText>
      </w:r>
      <w:r>
        <w:rPr>
          <w:rFonts w:hint="eastAsia" w:ascii="宋体" w:hAnsi="宋体" w:eastAsia="宋体" w:cs="宋体"/>
          <w:color w:val="auto"/>
          <w:sz w:val="24"/>
          <w:szCs w:val="24"/>
          <w:highlight w:val="none"/>
        </w:rPr>
        <w:fldChar w:fldCharType="separate"/>
      </w:r>
      <w:r>
        <w:rPr>
          <w:rFonts w:hint="eastAsia"/>
          <w:color w:val="auto"/>
          <w:sz w:val="24"/>
          <w:szCs w:val="24"/>
          <w:highlight w:val="none"/>
          <w:lang w:val="en-US" w:eastAsia="zh-CN"/>
        </w:rPr>
        <w:t>商务技术文件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_Toc19324 \h </w:instrText>
      </w:r>
      <w:r>
        <w:rPr>
          <w:color w:val="auto"/>
          <w:sz w:val="24"/>
          <w:szCs w:val="24"/>
          <w:highlight w:val="none"/>
        </w:rPr>
        <w:fldChar w:fldCharType="separate"/>
      </w:r>
      <w:r>
        <w:rPr>
          <w:color w:val="auto"/>
          <w:sz w:val="24"/>
          <w:szCs w:val="24"/>
          <w:highlight w:val="none"/>
        </w:rPr>
        <w:t>- 115 -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ECB1D3C">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_Toc30642 </w:instrText>
      </w:r>
      <w:r>
        <w:rPr>
          <w:rFonts w:hint="eastAsia" w:ascii="宋体" w:hAnsi="宋体" w:eastAsia="宋体" w:cs="宋体"/>
          <w:color w:val="auto"/>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一、</w:t>
      </w:r>
      <w:r>
        <w:rPr>
          <w:rFonts w:hint="eastAsia" w:cstheme="majorBidi"/>
          <w:bCs/>
          <w:color w:val="auto"/>
          <w:kern w:val="2"/>
          <w:sz w:val="24"/>
          <w:szCs w:val="24"/>
          <w:highlight w:val="none"/>
          <w:lang w:val="en-US" w:eastAsia="zh-CN" w:bidi="ar-SA"/>
        </w:rPr>
        <w:t>响应</w:t>
      </w:r>
      <w:r>
        <w:rPr>
          <w:rFonts w:hint="eastAsia" w:eastAsia="宋体" w:asciiTheme="majorHAnsi" w:hAnsiTheme="majorHAnsi" w:cstheme="majorBidi"/>
          <w:bCs/>
          <w:color w:val="auto"/>
          <w:kern w:val="2"/>
          <w:sz w:val="24"/>
          <w:szCs w:val="24"/>
          <w:highlight w:val="none"/>
          <w:lang w:val="en-US" w:eastAsia="zh-CN" w:bidi="ar-SA"/>
        </w:rPr>
        <w:t>函</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_Toc30642 \h </w:instrText>
      </w:r>
      <w:r>
        <w:rPr>
          <w:color w:val="auto"/>
          <w:sz w:val="24"/>
          <w:szCs w:val="24"/>
          <w:highlight w:val="none"/>
        </w:rPr>
        <w:fldChar w:fldCharType="separate"/>
      </w:r>
      <w:r>
        <w:rPr>
          <w:color w:val="auto"/>
          <w:sz w:val="24"/>
          <w:szCs w:val="24"/>
          <w:highlight w:val="none"/>
        </w:rPr>
        <w:t>- 116 -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3F93EE51">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_Toc13314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二</w:t>
      </w:r>
      <w:r>
        <w:rPr>
          <w:rFonts w:hint="eastAsia" w:eastAsia="宋体" w:asciiTheme="majorHAnsi" w:hAnsiTheme="majorHAnsi" w:cstheme="majorBidi"/>
          <w:bCs/>
          <w:color w:val="auto"/>
          <w:kern w:val="2"/>
          <w:sz w:val="24"/>
          <w:szCs w:val="24"/>
          <w:highlight w:val="none"/>
          <w:lang w:val="en-US" w:eastAsia="zh-CN" w:bidi="ar-SA"/>
        </w:rPr>
        <w:t>、法定代表人（单位负责人）身份证明</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_Toc13314 \h </w:instrText>
      </w:r>
      <w:r>
        <w:rPr>
          <w:color w:val="auto"/>
          <w:sz w:val="24"/>
          <w:szCs w:val="24"/>
          <w:highlight w:val="none"/>
        </w:rPr>
        <w:fldChar w:fldCharType="separate"/>
      </w:r>
      <w:r>
        <w:rPr>
          <w:color w:val="auto"/>
          <w:sz w:val="24"/>
          <w:szCs w:val="24"/>
          <w:highlight w:val="none"/>
        </w:rPr>
        <w:t>- 118 -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0213393">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_Toc31851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三</w:t>
      </w:r>
      <w:r>
        <w:rPr>
          <w:rFonts w:hint="eastAsia" w:eastAsia="宋体" w:asciiTheme="majorHAnsi" w:hAnsiTheme="majorHAnsi" w:cstheme="majorBidi"/>
          <w:bCs/>
          <w:color w:val="auto"/>
          <w:kern w:val="2"/>
          <w:sz w:val="24"/>
          <w:szCs w:val="24"/>
          <w:highlight w:val="none"/>
          <w:lang w:val="en-US" w:eastAsia="zh-CN" w:bidi="ar-SA"/>
        </w:rPr>
        <w:t>、授权委托书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_Toc31851 \h </w:instrText>
      </w:r>
      <w:r>
        <w:rPr>
          <w:color w:val="auto"/>
          <w:sz w:val="24"/>
          <w:szCs w:val="24"/>
          <w:highlight w:val="none"/>
        </w:rPr>
        <w:fldChar w:fldCharType="separate"/>
      </w:r>
      <w:r>
        <w:rPr>
          <w:color w:val="auto"/>
          <w:sz w:val="24"/>
          <w:szCs w:val="24"/>
          <w:highlight w:val="none"/>
        </w:rPr>
        <w:t>- 119 -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F68BF29">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_Toc10900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四</w:t>
      </w:r>
      <w:r>
        <w:rPr>
          <w:rFonts w:hint="eastAsia" w:eastAsia="宋体" w:asciiTheme="majorHAnsi" w:hAnsiTheme="majorHAnsi" w:cstheme="majorBidi"/>
          <w:bCs/>
          <w:color w:val="auto"/>
          <w:kern w:val="2"/>
          <w:sz w:val="24"/>
          <w:szCs w:val="24"/>
          <w:highlight w:val="none"/>
          <w:lang w:val="en-US" w:eastAsia="zh-CN" w:bidi="ar-SA"/>
        </w:rPr>
        <w:t>、</w:t>
      </w:r>
      <w:r>
        <w:rPr>
          <w:rFonts w:hint="eastAsia" w:eastAsia="宋体" w:asciiTheme="majorHAnsi" w:hAnsiTheme="majorHAnsi" w:cstheme="majorBidi"/>
          <w:bCs/>
          <w:color w:val="auto"/>
          <w:kern w:val="2"/>
          <w:sz w:val="24"/>
          <w:szCs w:val="24"/>
          <w:highlight w:val="none"/>
          <w:lang w:val="zh-CN" w:eastAsia="zh-CN" w:bidi="ar-SA"/>
        </w:rPr>
        <w:t>政府采购供应商廉洁自律承诺书</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_Toc10900 \h </w:instrText>
      </w:r>
      <w:r>
        <w:rPr>
          <w:color w:val="auto"/>
          <w:sz w:val="24"/>
          <w:szCs w:val="24"/>
          <w:highlight w:val="none"/>
        </w:rPr>
        <w:fldChar w:fldCharType="separate"/>
      </w:r>
      <w:r>
        <w:rPr>
          <w:color w:val="auto"/>
          <w:sz w:val="24"/>
          <w:szCs w:val="24"/>
          <w:highlight w:val="none"/>
        </w:rPr>
        <w:t>- 120 -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0F11FA7">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_Toc19356 </w:instrText>
      </w:r>
      <w:r>
        <w:rPr>
          <w:rFonts w:hint="eastAsia" w:ascii="宋体" w:hAnsi="宋体" w:eastAsia="宋体" w:cs="宋体"/>
          <w:color w:val="auto"/>
          <w:sz w:val="24"/>
          <w:szCs w:val="24"/>
          <w:highlight w:val="none"/>
        </w:rPr>
        <w:fldChar w:fldCharType="separate"/>
      </w:r>
      <w:r>
        <w:rPr>
          <w:rFonts w:hint="eastAsia" w:eastAsia="宋体" w:asciiTheme="majorHAnsi" w:hAnsiTheme="majorHAnsi" w:cstheme="majorBidi"/>
          <w:bCs/>
          <w:color w:val="auto"/>
          <w:kern w:val="2"/>
          <w:sz w:val="24"/>
          <w:szCs w:val="24"/>
          <w:highlight w:val="none"/>
          <w:lang w:val="en-US" w:eastAsia="zh-CN" w:bidi="ar-SA"/>
        </w:rPr>
        <w:t>五、实质性响应一览表</w:t>
      </w:r>
      <w:r>
        <w:rPr>
          <w:rFonts w:hint="eastAsia" w:eastAsia="宋体" w:asciiTheme="majorHAnsi" w:hAnsiTheme="majorHAnsi" w:cstheme="majorBidi"/>
          <w:bCs/>
          <w:color w:val="auto"/>
          <w:kern w:val="2"/>
          <w:sz w:val="24"/>
          <w:szCs w:val="24"/>
          <w:highlight w:val="none"/>
          <w:lang w:val="zh-CN" w:eastAsia="zh-CN" w:bidi="ar-SA"/>
        </w:rPr>
        <w:t>【</w:t>
      </w:r>
      <w:r>
        <w:rPr>
          <w:rFonts w:hint="eastAsia" w:eastAsia="宋体" w:asciiTheme="majorHAnsi" w:hAnsiTheme="majorHAnsi" w:cstheme="majorBidi"/>
          <w:bCs/>
          <w:color w:val="auto"/>
          <w:kern w:val="2"/>
          <w:sz w:val="24"/>
          <w:szCs w:val="24"/>
          <w:highlight w:val="none"/>
          <w:lang w:val="en-US" w:eastAsia="zh-CN" w:bidi="ar-SA"/>
        </w:rPr>
        <w:t>本表须与第四章的一致】</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_Toc19356 \h </w:instrText>
      </w:r>
      <w:r>
        <w:rPr>
          <w:color w:val="auto"/>
          <w:sz w:val="24"/>
          <w:szCs w:val="24"/>
          <w:highlight w:val="none"/>
        </w:rPr>
        <w:fldChar w:fldCharType="separate"/>
      </w:r>
      <w:r>
        <w:rPr>
          <w:color w:val="auto"/>
          <w:sz w:val="24"/>
          <w:szCs w:val="24"/>
          <w:highlight w:val="none"/>
        </w:rPr>
        <w:t>- 121 -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C6304A8">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_Toc24814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六、</w:t>
      </w:r>
      <w:r>
        <w:rPr>
          <w:rFonts w:hint="eastAsia" w:eastAsia="宋体" w:asciiTheme="majorHAnsi" w:hAnsiTheme="majorHAnsi" w:cstheme="majorBidi"/>
          <w:bCs/>
          <w:color w:val="auto"/>
          <w:kern w:val="2"/>
          <w:sz w:val="24"/>
          <w:szCs w:val="24"/>
          <w:highlight w:val="none"/>
          <w:lang w:val="en-US" w:eastAsia="zh-CN" w:bidi="ar-SA"/>
        </w:rPr>
        <w:t>商务响应偏离表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_Toc24814 \h </w:instrText>
      </w:r>
      <w:r>
        <w:rPr>
          <w:color w:val="auto"/>
          <w:sz w:val="24"/>
          <w:szCs w:val="24"/>
          <w:highlight w:val="none"/>
        </w:rPr>
        <w:fldChar w:fldCharType="separate"/>
      </w:r>
      <w:r>
        <w:rPr>
          <w:color w:val="auto"/>
          <w:sz w:val="24"/>
          <w:szCs w:val="24"/>
          <w:highlight w:val="none"/>
        </w:rPr>
        <w:t>- 122 -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C5BF015">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_Toc1770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七、</w:t>
      </w:r>
      <w:r>
        <w:rPr>
          <w:rFonts w:hint="eastAsia" w:eastAsia="宋体" w:asciiTheme="majorHAnsi" w:hAnsiTheme="majorHAnsi" w:cstheme="majorBidi"/>
          <w:bCs/>
          <w:color w:val="auto"/>
          <w:kern w:val="2"/>
          <w:sz w:val="24"/>
          <w:szCs w:val="24"/>
          <w:highlight w:val="none"/>
          <w:lang w:val="en-US" w:eastAsia="zh-CN" w:bidi="ar-SA"/>
        </w:rPr>
        <w:t>业绩证明文件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_Toc1770 \h </w:instrText>
      </w:r>
      <w:r>
        <w:rPr>
          <w:color w:val="auto"/>
          <w:sz w:val="24"/>
          <w:szCs w:val="24"/>
          <w:highlight w:val="none"/>
        </w:rPr>
        <w:fldChar w:fldCharType="separate"/>
      </w:r>
      <w:r>
        <w:rPr>
          <w:color w:val="auto"/>
          <w:sz w:val="24"/>
          <w:szCs w:val="24"/>
          <w:highlight w:val="none"/>
        </w:rPr>
        <w:t>- 123 -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5CFAF00D">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_Toc13711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八、</w:t>
      </w:r>
      <w:r>
        <w:rPr>
          <w:rFonts w:hint="eastAsia" w:eastAsia="宋体" w:asciiTheme="majorHAnsi" w:hAnsiTheme="majorHAnsi" w:cstheme="majorBidi"/>
          <w:bCs/>
          <w:color w:val="auto"/>
          <w:kern w:val="2"/>
          <w:sz w:val="24"/>
          <w:szCs w:val="24"/>
          <w:highlight w:val="none"/>
          <w:lang w:val="en-US" w:eastAsia="zh-CN" w:bidi="ar-SA"/>
        </w:rPr>
        <w:t>拟派项目团队</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_Toc13711 \h </w:instrText>
      </w:r>
      <w:r>
        <w:rPr>
          <w:color w:val="auto"/>
          <w:sz w:val="24"/>
          <w:szCs w:val="24"/>
          <w:highlight w:val="none"/>
        </w:rPr>
        <w:fldChar w:fldCharType="separate"/>
      </w:r>
      <w:r>
        <w:rPr>
          <w:color w:val="auto"/>
          <w:sz w:val="24"/>
          <w:szCs w:val="24"/>
          <w:highlight w:val="none"/>
        </w:rPr>
        <w:t>- 124 -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731D80D4">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_Toc4226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九、</w:t>
      </w:r>
      <w:r>
        <w:rPr>
          <w:rFonts w:hint="eastAsia" w:eastAsia="宋体" w:asciiTheme="majorHAnsi" w:hAnsiTheme="majorHAnsi" w:cstheme="majorBidi"/>
          <w:bCs/>
          <w:color w:val="auto"/>
          <w:kern w:val="2"/>
          <w:sz w:val="24"/>
          <w:szCs w:val="24"/>
          <w:highlight w:val="none"/>
          <w:lang w:val="en-US" w:eastAsia="zh-CN" w:bidi="ar-SA"/>
        </w:rPr>
        <w:t>技术响应偏离表</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_Toc4226 \h </w:instrText>
      </w:r>
      <w:r>
        <w:rPr>
          <w:color w:val="auto"/>
          <w:sz w:val="24"/>
          <w:szCs w:val="24"/>
          <w:highlight w:val="none"/>
        </w:rPr>
        <w:fldChar w:fldCharType="separate"/>
      </w:r>
      <w:r>
        <w:rPr>
          <w:color w:val="auto"/>
          <w:sz w:val="24"/>
          <w:szCs w:val="24"/>
          <w:highlight w:val="none"/>
        </w:rPr>
        <w:t>- 125 -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23722086">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_Toc12534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十、</w:t>
      </w:r>
      <w:r>
        <w:rPr>
          <w:rFonts w:hint="eastAsia" w:eastAsia="宋体" w:asciiTheme="majorHAnsi" w:hAnsiTheme="majorHAnsi" w:cstheme="majorBidi"/>
          <w:bCs/>
          <w:color w:val="auto"/>
          <w:kern w:val="2"/>
          <w:sz w:val="24"/>
          <w:szCs w:val="24"/>
          <w:highlight w:val="none"/>
          <w:lang w:val="en-US" w:eastAsia="zh-CN" w:bidi="ar-SA"/>
        </w:rPr>
        <w:t>技术方案</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_Toc12534 \h </w:instrText>
      </w:r>
      <w:r>
        <w:rPr>
          <w:color w:val="auto"/>
          <w:sz w:val="24"/>
          <w:szCs w:val="24"/>
          <w:highlight w:val="none"/>
        </w:rPr>
        <w:fldChar w:fldCharType="separate"/>
      </w:r>
      <w:r>
        <w:rPr>
          <w:color w:val="auto"/>
          <w:sz w:val="24"/>
          <w:szCs w:val="24"/>
          <w:highlight w:val="none"/>
        </w:rPr>
        <w:t>- 126 -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091DD8AE">
      <w:pPr>
        <w:pStyle w:val="23"/>
        <w:keepNext w:val="0"/>
        <w:keepLines w:val="0"/>
        <w:pageBreakBefore w:val="0"/>
        <w:widowControl w:val="0"/>
        <w:shd w:val="clear"/>
        <w:tabs>
          <w:tab w:val="right" w:leader="dot" w:pos="8306"/>
        </w:tabs>
        <w:kinsoku/>
        <w:wordWrap/>
        <w:overflowPunct/>
        <w:topLinePunct w:val="0"/>
        <w:autoSpaceDE/>
        <w:autoSpaceDN/>
        <w:bidi w:val="0"/>
        <w:adjustRightInd/>
        <w:snapToGrid/>
        <w:spacing w:line="440" w:lineRule="exact"/>
        <w:textAlignment w:val="auto"/>
        <w:rPr>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\l _Toc18914 </w:instrText>
      </w:r>
      <w:r>
        <w:rPr>
          <w:rFonts w:hint="eastAsia" w:ascii="宋体" w:hAnsi="宋体" w:eastAsia="宋体" w:cs="宋体"/>
          <w:color w:val="auto"/>
          <w:sz w:val="24"/>
          <w:szCs w:val="24"/>
          <w:highlight w:val="none"/>
        </w:rPr>
        <w:fldChar w:fldCharType="separate"/>
      </w:r>
      <w:r>
        <w:rPr>
          <w:rFonts w:hint="eastAsia" w:cstheme="majorBidi"/>
          <w:bCs/>
          <w:color w:val="auto"/>
          <w:kern w:val="2"/>
          <w:sz w:val="24"/>
          <w:szCs w:val="24"/>
          <w:highlight w:val="none"/>
          <w:lang w:val="en-US" w:eastAsia="zh-CN" w:bidi="ar-SA"/>
        </w:rPr>
        <w:t>十一、</w:t>
      </w:r>
      <w:r>
        <w:rPr>
          <w:rFonts w:hint="eastAsia" w:eastAsia="宋体" w:asciiTheme="majorHAnsi" w:hAnsiTheme="majorHAnsi" w:cstheme="majorBidi"/>
          <w:bCs/>
          <w:color w:val="auto"/>
          <w:kern w:val="2"/>
          <w:sz w:val="24"/>
          <w:szCs w:val="24"/>
          <w:highlight w:val="none"/>
          <w:lang w:val="en-US" w:eastAsia="zh-CN" w:bidi="ar-SA"/>
        </w:rPr>
        <w:t>其他文件</w:t>
      </w:r>
      <w:r>
        <w:rPr>
          <w:color w:val="auto"/>
          <w:sz w:val="24"/>
          <w:szCs w:val="24"/>
          <w:highlight w:val="none"/>
        </w:rPr>
        <w:tab/>
      </w:r>
      <w:r>
        <w:rPr>
          <w:color w:val="auto"/>
          <w:sz w:val="24"/>
          <w:szCs w:val="24"/>
          <w:highlight w:val="none"/>
        </w:rPr>
        <w:fldChar w:fldCharType="begin"/>
      </w:r>
      <w:r>
        <w:rPr>
          <w:color w:val="auto"/>
          <w:sz w:val="24"/>
          <w:szCs w:val="24"/>
          <w:highlight w:val="none"/>
        </w:rPr>
        <w:instrText xml:space="preserve"> PAGEREF _Toc18914 \h </w:instrText>
      </w:r>
      <w:r>
        <w:rPr>
          <w:color w:val="auto"/>
          <w:sz w:val="24"/>
          <w:szCs w:val="24"/>
          <w:highlight w:val="none"/>
        </w:rPr>
        <w:fldChar w:fldCharType="separate"/>
      </w:r>
      <w:r>
        <w:rPr>
          <w:color w:val="auto"/>
          <w:sz w:val="24"/>
          <w:szCs w:val="24"/>
          <w:highlight w:val="none"/>
        </w:rPr>
        <w:t>- 127 -</w:t>
      </w:r>
      <w:r>
        <w:rPr>
          <w:color w:val="auto"/>
          <w:sz w:val="24"/>
          <w:szCs w:val="24"/>
          <w:highlight w:val="none"/>
        </w:rPr>
        <w:fldChar w:fldCharType="end"/>
      </w:r>
      <w:r>
        <w:rPr>
          <w:rFonts w:hint="eastAsia" w:ascii="宋体" w:hAnsi="宋体" w:eastAsia="宋体" w:cs="宋体"/>
          <w:color w:val="auto"/>
          <w:sz w:val="24"/>
          <w:szCs w:val="24"/>
          <w:highlight w:val="none"/>
        </w:rPr>
        <w:fldChar w:fldCharType="end"/>
      </w:r>
    </w:p>
    <w:p w14:paraId="4D90D7D4">
      <w:pPr>
        <w:shd w:val="clear"/>
        <w:spacing w:line="360" w:lineRule="auto"/>
        <w:rPr>
          <w:rFonts w:ascii="黑体" w:hAnsi="黑体" w:eastAsia="黑体"/>
          <w:color w:val="auto"/>
          <w:sz w:val="32"/>
          <w:szCs w:val="32"/>
          <w:highlight w:val="none"/>
        </w:rPr>
      </w:pPr>
      <w:r>
        <w:rPr>
          <w:rFonts w:hint="eastAsia" w:ascii="宋体" w:hAnsi="宋体" w:eastAsia="宋体" w:cs="宋体"/>
          <w:color w:val="auto"/>
          <w:szCs w:val="24"/>
          <w:highlight w:val="none"/>
        </w:rPr>
        <w:fldChar w:fldCharType="end"/>
      </w:r>
    </w:p>
    <w:p w14:paraId="63C53D3C">
      <w:pPr>
        <w:shd w:val="clear"/>
        <w:jc w:val="center"/>
        <w:rPr>
          <w:rFonts w:ascii="黑体" w:hAnsi="黑体" w:eastAsia="黑体"/>
          <w:color w:val="auto"/>
          <w:sz w:val="32"/>
          <w:szCs w:val="32"/>
          <w:highlight w:val="none"/>
        </w:rPr>
        <w:sectPr>
          <w:headerReference r:id="rId5" w:type="default"/>
          <w:pgSz w:w="11906" w:h="16838"/>
          <w:pgMar w:top="1440" w:right="1800" w:bottom="1440" w:left="1800" w:header="851" w:footer="992" w:gutter="0"/>
          <w:pgNumType w:fmt="numberInDash"/>
          <w:cols w:space="425" w:num="1"/>
          <w:docGrid w:type="lines" w:linePitch="312" w:charSpace="0"/>
        </w:sectPr>
      </w:pPr>
    </w:p>
    <w:p w14:paraId="0DDCC6E5">
      <w:pPr>
        <w:pStyle w:val="3"/>
        <w:keepNext/>
        <w:keepLines/>
        <w:pageBreakBefore w:val="0"/>
        <w:widowControl w:val="0"/>
        <w:numPr>
          <w:ilvl w:val="0"/>
          <w:numId w:val="0"/>
        </w:numPr>
        <w:shd w:val="clear"/>
        <w:kinsoku/>
        <w:wordWrap/>
        <w:overflowPunct/>
        <w:topLinePunct w:val="0"/>
        <w:autoSpaceDE/>
        <w:autoSpaceDN/>
        <w:bidi w:val="0"/>
        <w:adjustRightInd/>
        <w:snapToGrid/>
        <w:spacing w:before="100" w:after="90" w:line="360" w:lineRule="auto"/>
        <w:ind w:left="420" w:leftChars="0" w:hanging="420" w:firstLineChars="0"/>
        <w:textAlignment w:val="auto"/>
        <w:rPr>
          <w:color w:val="auto"/>
          <w:highlight w:val="none"/>
        </w:rPr>
      </w:pPr>
      <w:bookmarkStart w:id="0" w:name="_Toc27583"/>
      <w:bookmarkStart w:id="1" w:name="_Toc23362"/>
      <w:r>
        <w:rPr>
          <w:rFonts w:hint="eastAsia" w:ascii="宋体" w:hAnsi="宋体" w:eastAsia="宋体" w:cs="宋体"/>
          <w:b/>
          <w:bCs/>
          <w:color w:val="auto"/>
          <w:kern w:val="44"/>
          <w:sz w:val="36"/>
          <w:szCs w:val="36"/>
          <w:highlight w:val="none"/>
          <w:lang w:val="en-US" w:eastAsia="zh-CN" w:bidi="ar-SA"/>
        </w:rPr>
        <w:t xml:space="preserve">第一章 </w:t>
      </w:r>
      <w:r>
        <w:rPr>
          <w:rFonts w:hint="eastAsia" w:ascii="宋体" w:hAnsi="宋体" w:eastAsia="宋体" w:cs="宋体"/>
          <w:color w:val="auto"/>
          <w:sz w:val="36"/>
          <w:szCs w:val="36"/>
          <w:highlight w:val="none"/>
        </w:rPr>
        <w:t>竞争性</w:t>
      </w:r>
      <w:r>
        <w:rPr>
          <w:rFonts w:hint="eastAsia" w:eastAsia="宋体" w:cs="宋体"/>
          <w:color w:val="auto"/>
          <w:sz w:val="36"/>
          <w:szCs w:val="36"/>
          <w:highlight w:val="none"/>
          <w:lang w:val="en-US" w:eastAsia="zh-CN"/>
        </w:rPr>
        <w:t>谈判</w:t>
      </w:r>
      <w:r>
        <w:rPr>
          <w:rFonts w:hint="eastAsia" w:ascii="宋体" w:hAnsi="宋体" w:eastAsia="宋体" w:cs="宋体"/>
          <w:color w:val="auto"/>
          <w:sz w:val="36"/>
          <w:szCs w:val="36"/>
          <w:highlight w:val="none"/>
          <w:lang w:val="en-US" w:eastAsia="zh-CN"/>
        </w:rPr>
        <w:t>公告</w:t>
      </w:r>
      <w:bookmarkEnd w:id="0"/>
      <w:bookmarkEnd w:id="1"/>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5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6770E71">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2" w:name="_Toc23798"/>
            <w:bookmarkStart w:id="3" w:name="_Toc19242"/>
            <w:bookmarkStart w:id="4" w:name="_Toc10432"/>
            <w:bookmarkStart w:id="5" w:name="_Toc44583628"/>
            <w:bookmarkStart w:id="6" w:name="_Toc28359012"/>
            <w:bookmarkStart w:id="7" w:name="_Toc109900248"/>
            <w:bookmarkStart w:id="8" w:name="_Toc35393629"/>
            <w:bookmarkStart w:id="9" w:name="_Toc163492812"/>
            <w:bookmarkStart w:id="10" w:name="_Toc109899410"/>
            <w:bookmarkStart w:id="11" w:name="_Toc28359089"/>
            <w:bookmarkStart w:id="12" w:name="_Toc109899829"/>
            <w:bookmarkStart w:id="13" w:name="_Toc35393798"/>
            <w:bookmarkStart w:id="14" w:name="_Toc155185860"/>
            <w:bookmarkStart w:id="15" w:name="_Toc140132745"/>
            <w:r>
              <w:rPr>
                <w:rFonts w:hint="eastAsia"/>
                <w:color w:val="auto"/>
                <w:sz w:val="24"/>
                <w:szCs w:val="24"/>
                <w:highlight w:val="none"/>
                <w:lang w:val="en-US" w:eastAsia="zh-CN"/>
              </w:rPr>
              <w:t>项目概况：</w:t>
            </w:r>
            <w:bookmarkEnd w:id="2"/>
            <w:bookmarkEnd w:id="3"/>
            <w:bookmarkEnd w:id="4"/>
          </w:p>
          <w:p w14:paraId="6E3F83A4">
            <w:pPr>
              <w:shd w:val="clear"/>
              <w:ind w:firstLine="480" w:firstLineChars="200"/>
              <w:rPr>
                <w:rFonts w:hint="default"/>
                <w:color w:val="auto"/>
                <w:highlight w:val="none"/>
                <w:lang w:val="en-US" w:eastAsia="zh-CN"/>
              </w:rPr>
            </w:pP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(2026年兵团某单位警犬繁育及驯养项目</w:t>
            </w:r>
            <w:r>
              <w:rPr>
                <w:rFonts w:hint="eastAsia" w:cstheme="minorBidi"/>
                <w:iCs/>
                <w:color w:val="auto"/>
                <w:kern w:val="2"/>
                <w:sz w:val="24"/>
                <w:szCs w:val="24"/>
                <w:highlight w:val="none"/>
                <w:u w:val="single"/>
                <w:shd w:val="clear" w:color="auto" w:fill="FFFFFF" w:themeFill="background1"/>
                <w:lang w:val="hr-HR" w:eastAsia="zh-CN" w:bidi="ar-SA"/>
              </w:rPr>
              <w:t>（</w:t>
            </w:r>
            <w:r>
              <w:rPr>
                <w:rFonts w:hint="eastAsia" w:cstheme="minorBidi"/>
                <w:iCs/>
                <w:color w:val="auto"/>
                <w:kern w:val="2"/>
                <w:sz w:val="24"/>
                <w:szCs w:val="24"/>
                <w:highlight w:val="none"/>
                <w:u w:val="single"/>
                <w:shd w:val="clear" w:color="auto" w:fill="FFFFFF" w:themeFill="background1"/>
                <w:lang w:val="en-US" w:eastAsia="zh-CN" w:bidi="ar-SA"/>
              </w:rPr>
              <w:t>二次</w:t>
            </w:r>
            <w:r>
              <w:rPr>
                <w:rFonts w:hint="eastAsia" w:cstheme="minorBidi"/>
                <w:iCs/>
                <w:color w:val="auto"/>
                <w:kern w:val="2"/>
                <w:sz w:val="24"/>
                <w:szCs w:val="24"/>
                <w:highlight w:val="none"/>
                <w:u w:val="single"/>
                <w:shd w:val="clear" w:color="auto" w:fill="FFFFFF" w:themeFill="background1"/>
                <w:lang w:val="hr-HR" w:eastAsia="zh-CN" w:bidi="ar-SA"/>
              </w:rPr>
              <w:t>）</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w:t>
            </w:r>
            <w:r>
              <w:rPr>
                <w:rFonts w:hint="default" w:ascii="宋体" w:hAnsi="宋体" w:eastAsia="宋体" w:cstheme="minorBidi"/>
                <w:i w:val="0"/>
                <w:iCs w:val="0"/>
                <w:color w:val="auto"/>
                <w:kern w:val="2"/>
                <w:sz w:val="24"/>
                <w:szCs w:val="22"/>
                <w:highlight w:val="none"/>
                <w:u w:val="none"/>
                <w:lang w:val="en-US" w:eastAsia="zh-CN" w:bidi="ar-SA"/>
              </w:rPr>
              <w:t>采购项目的潜在供应商应在</w:t>
            </w:r>
            <w:r>
              <w:rPr>
                <w:rFonts w:hint="default" w:ascii="宋体" w:hAnsi="宋体" w:eastAsia="宋体" w:cstheme="minorBidi"/>
                <w:i w:val="0"/>
                <w:iCs w:val="0"/>
                <w:color w:val="auto"/>
                <w:kern w:val="2"/>
                <w:sz w:val="24"/>
                <w:szCs w:val="22"/>
                <w:highlight w:val="none"/>
                <w:u w:val="single"/>
                <w:lang w:val="en-US" w:eastAsia="zh-CN" w:bidi="ar-SA"/>
              </w:rPr>
              <w:t>（</w:t>
            </w:r>
            <w:r>
              <w:rPr>
                <w:rFonts w:hint="eastAsia" w:cs="宋体"/>
                <w:szCs w:val="24"/>
                <w:highlight w:val="none"/>
                <w:u w:val="single"/>
              </w:rPr>
              <w:t>兵团政府采购电子交易云平台</w:t>
            </w:r>
            <w:r>
              <w:rPr>
                <w:rFonts w:hint="eastAsia" w:cs="宋体"/>
                <w:szCs w:val="24"/>
                <w:highlight w:val="none"/>
                <w:u w:val="single"/>
                <w:lang w:val="hr-HR"/>
              </w:rPr>
              <w:t>（</w:t>
            </w:r>
            <w:r>
              <w:rPr>
                <w:rFonts w:hint="eastAsia" w:cs="宋体"/>
                <w:szCs w:val="24"/>
                <w:highlight w:val="none"/>
                <w:u w:val="single"/>
              </w:rPr>
              <w:t>网址</w:t>
            </w:r>
            <w:r>
              <w:rPr>
                <w:rFonts w:hint="eastAsia" w:cs="宋体"/>
                <w:szCs w:val="24"/>
                <w:highlight w:val="none"/>
                <w:u w:val="single"/>
                <w:lang w:val="hr-HR"/>
              </w:rPr>
              <w:t>：https://www.zcygov.cn/</w:t>
            </w:r>
            <w:r>
              <w:rPr>
                <w:rFonts w:hint="default" w:ascii="宋体" w:hAnsi="宋体" w:eastAsia="宋体" w:cstheme="minorBidi"/>
                <w:i w:val="0"/>
                <w:iCs w:val="0"/>
                <w:color w:val="auto"/>
                <w:kern w:val="2"/>
                <w:sz w:val="24"/>
                <w:szCs w:val="22"/>
                <w:highlight w:val="none"/>
                <w:u w:val="single"/>
                <w:lang w:val="en-US" w:eastAsia="zh-CN" w:bidi="ar-SA"/>
              </w:rPr>
              <w:t>）</w:t>
            </w:r>
            <w:r>
              <w:rPr>
                <w:rFonts w:hint="default" w:ascii="宋体" w:hAnsi="宋体" w:eastAsia="宋体" w:cstheme="minorBidi"/>
                <w:i w:val="0"/>
                <w:iCs w:val="0"/>
                <w:color w:val="auto"/>
                <w:kern w:val="2"/>
                <w:sz w:val="24"/>
                <w:szCs w:val="22"/>
                <w:highlight w:val="none"/>
                <w:u w:val="none"/>
                <w:lang w:val="en-US" w:eastAsia="zh-CN" w:bidi="ar-SA"/>
              </w:rPr>
              <w:t>获取采购文件，并于</w:t>
            </w:r>
            <w:r>
              <w:rPr>
                <w:rFonts w:hint="default" w:ascii="宋体" w:hAnsi="宋体" w:eastAsia="宋体" w:cstheme="minorBidi"/>
                <w:i w:val="0"/>
                <w:iCs w:val="0"/>
                <w:color w:val="auto"/>
                <w:kern w:val="2"/>
                <w:sz w:val="24"/>
                <w:szCs w:val="22"/>
                <w:highlight w:val="none"/>
                <w:u w:val="single"/>
                <w:lang w:val="en-US" w:eastAsia="zh-CN" w:bidi="ar-SA"/>
              </w:rPr>
              <w:t xml:space="preserve"> </w:t>
            </w:r>
            <w:r>
              <w:rPr>
                <w:rFonts w:hint="eastAsia" w:cstheme="minorBidi"/>
                <w:i w:val="0"/>
                <w:iCs w:val="0"/>
                <w:color w:val="auto"/>
                <w:kern w:val="2"/>
                <w:sz w:val="24"/>
                <w:szCs w:val="22"/>
                <w:highlight w:val="none"/>
                <w:u w:val="single"/>
                <w:lang w:val="en-US" w:eastAsia="zh-CN" w:bidi="ar-SA"/>
              </w:rPr>
              <w:t>2026</w:t>
            </w:r>
            <w:r>
              <w:rPr>
                <w:rFonts w:hint="default" w:ascii="宋体" w:hAnsi="宋体" w:eastAsia="宋体" w:cstheme="minorBidi"/>
                <w:i w:val="0"/>
                <w:iCs w:val="0"/>
                <w:color w:val="auto"/>
                <w:kern w:val="2"/>
                <w:sz w:val="24"/>
                <w:szCs w:val="22"/>
                <w:highlight w:val="none"/>
                <w:u w:val="single"/>
                <w:lang w:val="en-US" w:eastAsia="zh-CN" w:bidi="ar-SA"/>
              </w:rPr>
              <w:t>年</w:t>
            </w:r>
            <w:r>
              <w:rPr>
                <w:rFonts w:hint="eastAsia" w:cstheme="minorBidi"/>
                <w:i w:val="0"/>
                <w:iCs w:val="0"/>
                <w:color w:val="auto"/>
                <w:kern w:val="2"/>
                <w:sz w:val="24"/>
                <w:szCs w:val="22"/>
                <w:highlight w:val="none"/>
                <w:u w:val="single"/>
                <w:lang w:val="en-US" w:eastAsia="zh-CN" w:bidi="ar-SA"/>
              </w:rPr>
              <w:t>05</w:t>
            </w:r>
            <w:r>
              <w:rPr>
                <w:rFonts w:hint="default" w:ascii="宋体" w:hAnsi="宋体" w:eastAsia="宋体" w:cstheme="minorBidi"/>
                <w:i w:val="0"/>
                <w:iCs w:val="0"/>
                <w:color w:val="auto"/>
                <w:kern w:val="2"/>
                <w:sz w:val="24"/>
                <w:szCs w:val="22"/>
                <w:highlight w:val="none"/>
                <w:u w:val="single"/>
                <w:lang w:val="en-US" w:eastAsia="zh-CN" w:bidi="ar-SA"/>
              </w:rPr>
              <w:t>月</w:t>
            </w:r>
            <w:r>
              <w:rPr>
                <w:rFonts w:hint="eastAsia" w:cstheme="minorBidi"/>
                <w:i w:val="0"/>
                <w:iCs w:val="0"/>
                <w:color w:val="auto"/>
                <w:kern w:val="2"/>
                <w:sz w:val="24"/>
                <w:szCs w:val="22"/>
                <w:highlight w:val="none"/>
                <w:u w:val="single"/>
                <w:lang w:val="en-US" w:eastAsia="zh-CN" w:bidi="ar-SA"/>
              </w:rPr>
              <w:t>11</w:t>
            </w:r>
            <w:r>
              <w:rPr>
                <w:rFonts w:hint="default" w:ascii="宋体" w:hAnsi="宋体" w:eastAsia="宋体" w:cstheme="minorBidi"/>
                <w:i w:val="0"/>
                <w:iCs w:val="0"/>
                <w:color w:val="auto"/>
                <w:kern w:val="2"/>
                <w:sz w:val="24"/>
                <w:szCs w:val="22"/>
                <w:highlight w:val="none"/>
                <w:u w:val="single"/>
                <w:lang w:val="en-US" w:eastAsia="zh-CN" w:bidi="ar-SA"/>
              </w:rPr>
              <w:t>日</w:t>
            </w:r>
            <w:r>
              <w:rPr>
                <w:rFonts w:hint="eastAsia" w:cstheme="minorBidi"/>
                <w:i w:val="0"/>
                <w:iCs w:val="0"/>
                <w:color w:val="auto"/>
                <w:kern w:val="2"/>
                <w:sz w:val="24"/>
                <w:szCs w:val="22"/>
                <w:highlight w:val="none"/>
                <w:u w:val="single"/>
                <w:lang w:val="en-US" w:eastAsia="zh-CN" w:bidi="ar-SA"/>
              </w:rPr>
              <w:t>16时00</w:t>
            </w:r>
            <w:r>
              <w:rPr>
                <w:rFonts w:hint="default" w:ascii="宋体" w:hAnsi="宋体" w:eastAsia="宋体" w:cstheme="minorBidi"/>
                <w:i w:val="0"/>
                <w:iCs w:val="0"/>
                <w:color w:val="auto"/>
                <w:kern w:val="2"/>
                <w:sz w:val="24"/>
                <w:szCs w:val="22"/>
                <w:highlight w:val="none"/>
                <w:u w:val="single"/>
                <w:lang w:val="en-US" w:eastAsia="zh-CN" w:bidi="ar-SA"/>
              </w:rPr>
              <w:t>分</w:t>
            </w:r>
            <w:r>
              <w:rPr>
                <w:rFonts w:hint="default" w:ascii="宋体" w:hAnsi="宋体" w:eastAsia="宋体" w:cstheme="minorBidi"/>
                <w:i w:val="0"/>
                <w:iCs w:val="0"/>
                <w:color w:val="auto"/>
                <w:kern w:val="2"/>
                <w:sz w:val="24"/>
                <w:szCs w:val="22"/>
                <w:highlight w:val="none"/>
                <w:u w:val="none"/>
                <w:lang w:val="en-US" w:eastAsia="zh-CN" w:bidi="ar-SA"/>
              </w:rPr>
              <w:t>（北京时间）前提交响应文件。</w:t>
            </w:r>
          </w:p>
        </w:tc>
      </w:tr>
    </w:tbl>
    <w:p w14:paraId="4072DEF0">
      <w:pPr>
        <w:pStyle w:val="4"/>
        <w:keepNext/>
        <w:keepLines/>
        <w:pageBreakBefore w:val="0"/>
        <w:widowControl w:val="0"/>
        <w:numPr>
          <w:ilvl w:val="0"/>
          <w:numId w:val="0"/>
        </w:numPr>
        <w:shd w:val="clea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color w:val="auto"/>
          <w:sz w:val="24"/>
          <w:szCs w:val="24"/>
          <w:highlight w:val="none"/>
          <w:lang w:val="hr-HR"/>
        </w:rPr>
      </w:pPr>
      <w:bookmarkStart w:id="16" w:name="_Toc7440"/>
      <w:bookmarkStart w:id="17" w:name="_Toc12894"/>
      <w:bookmarkStart w:id="18" w:name="_Toc13827"/>
      <w:r>
        <w:rPr>
          <w:rFonts w:hint="eastAsia" w:ascii="宋体" w:hAnsi="宋体" w:eastAsia="宋体" w:cs="宋体"/>
          <w:b/>
          <w:bCs/>
          <w:color w:val="auto"/>
          <w:kern w:val="2"/>
          <w:sz w:val="24"/>
          <w:szCs w:val="24"/>
          <w:highlight w:val="none"/>
          <w:lang w:val="hr-HR" w:eastAsia="zh-CN" w:bidi="ar-SA"/>
        </w:rPr>
        <w:t>一、</w:t>
      </w:r>
      <w:r>
        <w:rPr>
          <w:rFonts w:hint="eastAsia" w:ascii="宋体" w:hAnsi="宋体" w:eastAsia="宋体" w:cs="宋体"/>
          <w:color w:val="auto"/>
          <w:sz w:val="24"/>
          <w:szCs w:val="24"/>
          <w:highlight w:val="none"/>
          <w:lang w:val="hr-HR"/>
        </w:rPr>
        <w:t>项目基本情况</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5E3A1EB6">
      <w:pPr>
        <w:pStyle w:val="33"/>
        <w:shd w:val="clear"/>
        <w:rPr>
          <w:rFonts w:hint="eastAsia" w:ascii="宋体" w:hAnsi="宋体" w:eastAsia="宋体" w:cs="宋体"/>
          <w:color w:val="auto"/>
          <w:sz w:val="24"/>
          <w:szCs w:val="24"/>
          <w:highlight w:val="none"/>
          <w:lang w:val="hr-HR" w:eastAsia="zh-CN"/>
        </w:rPr>
      </w:pPr>
      <w:r>
        <w:rPr>
          <w:rFonts w:hint="eastAsia" w:ascii="宋体" w:hAnsi="宋体" w:eastAsia="宋体" w:cs="宋体"/>
          <w:color w:val="auto"/>
          <w:sz w:val="24"/>
          <w:szCs w:val="24"/>
          <w:highlight w:val="none"/>
          <w:lang w:val="hr-HR"/>
        </w:rPr>
        <w:t>1.项目编号</w:t>
      </w:r>
      <w:r>
        <w:rPr>
          <w:rFonts w:hint="eastAsia" w:ascii="宋体" w:hAnsi="宋体" w:eastAsia="宋体" w:cs="宋体"/>
          <w:color w:val="auto"/>
          <w:sz w:val="24"/>
          <w:szCs w:val="24"/>
          <w:highlight w:val="none"/>
          <w:lang w:val="hr-HR" w:eastAsia="zh-CN"/>
        </w:rPr>
        <w:t>/包号</w:t>
      </w:r>
      <w:r>
        <w:rPr>
          <w:rFonts w:hint="eastAsia" w:ascii="宋体" w:hAnsi="宋体" w:eastAsia="宋体" w:cs="宋体"/>
          <w:color w:val="auto"/>
          <w:sz w:val="24"/>
          <w:szCs w:val="24"/>
          <w:highlight w:val="none"/>
          <w:lang w:val="hr-HR"/>
        </w:rPr>
        <w:t>：</w:t>
      </w:r>
      <w:r>
        <w:rPr>
          <w:rFonts w:hint="eastAsia" w:cs="宋体"/>
          <w:i w:val="0"/>
          <w:iCs w:val="0"/>
          <w:color w:val="auto"/>
          <w:kern w:val="2"/>
          <w:sz w:val="24"/>
          <w:szCs w:val="24"/>
          <w:highlight w:val="none"/>
          <w:u w:val="single"/>
          <w:lang w:val="en-US" w:eastAsia="zh-CN" w:bidi="ar-SA"/>
        </w:rPr>
        <w:t>XJBTB[2026]676号（二次）</w:t>
      </w:r>
    </w:p>
    <w:p w14:paraId="544AA4B7">
      <w:pPr>
        <w:pStyle w:val="33"/>
        <w:shd w:val="clear"/>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hr-HR"/>
        </w:rPr>
        <w:t>.项目名称：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hr-HR" w:eastAsia="zh-CN"/>
        </w:rPr>
        <w:t>2026年兵团某单位警犬繁育及驯养项目</w:t>
      </w:r>
      <w:r>
        <w:rPr>
          <w:rFonts w:hint="eastAsia" w:cs="宋体"/>
          <w:color w:val="auto"/>
          <w:sz w:val="24"/>
          <w:szCs w:val="24"/>
          <w:highlight w:val="none"/>
          <w:u w:val="single"/>
          <w:lang w:val="hr-HR" w:eastAsia="zh-CN"/>
        </w:rPr>
        <w:t>（</w:t>
      </w:r>
      <w:r>
        <w:rPr>
          <w:rFonts w:hint="eastAsia" w:cs="宋体"/>
          <w:color w:val="auto"/>
          <w:sz w:val="24"/>
          <w:szCs w:val="24"/>
          <w:highlight w:val="none"/>
          <w:u w:val="single"/>
          <w:lang w:val="en-US" w:eastAsia="zh-CN"/>
        </w:rPr>
        <w:t>二次</w:t>
      </w:r>
      <w:r>
        <w:rPr>
          <w:rFonts w:hint="eastAsia" w:cs="宋体"/>
          <w:color w:val="auto"/>
          <w:sz w:val="24"/>
          <w:szCs w:val="24"/>
          <w:highlight w:val="none"/>
          <w:u w:val="single"/>
          <w:lang w:val="hr-HR"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hr-HR"/>
        </w:rPr>
        <w:t xml:space="preserve"> </w:t>
      </w:r>
    </w:p>
    <w:p w14:paraId="3CE35A7E">
      <w:pPr>
        <w:pStyle w:val="33"/>
        <w:shd w:val="clear"/>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.采购方式：</w:t>
      </w:r>
      <w:r>
        <w:rPr>
          <w:rFonts w:hint="eastAsia" w:ascii="宋体" w:hAnsi="宋体" w:eastAsia="宋体" w:cs="宋体"/>
          <w:color w:val="auto"/>
          <w:sz w:val="24"/>
          <w:szCs w:val="24"/>
          <w:highlight w:val="none"/>
          <w:u w:val="single"/>
          <w:lang w:val="en-US" w:eastAsia="zh-CN"/>
        </w:rPr>
        <w:t>竞争性</w:t>
      </w:r>
      <w:r>
        <w:rPr>
          <w:rFonts w:hint="eastAsia" w:cs="宋体"/>
          <w:color w:val="auto"/>
          <w:sz w:val="24"/>
          <w:szCs w:val="24"/>
          <w:highlight w:val="none"/>
          <w:u w:val="single"/>
          <w:lang w:val="en-US" w:eastAsia="zh-CN"/>
        </w:rPr>
        <w:t>谈判</w:t>
      </w:r>
    </w:p>
    <w:p w14:paraId="78A90596">
      <w:pPr>
        <w:pStyle w:val="33"/>
        <w:shd w:val="clear"/>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hr-HR"/>
        </w:rPr>
        <w:t>.预算金额：</w:t>
      </w:r>
      <w:r>
        <w:rPr>
          <w:rFonts w:hint="eastAsia" w:ascii="宋体" w:hAnsi="宋体" w:eastAsia="宋体" w:cs="宋体"/>
          <w:color w:val="auto"/>
          <w:sz w:val="24"/>
          <w:szCs w:val="24"/>
          <w:highlight w:val="none"/>
          <w:u w:val="single"/>
        </w:rPr>
        <w:t xml:space="preserve"> 172.6万元  </w:t>
      </w:r>
    </w:p>
    <w:p w14:paraId="7851BE2C">
      <w:pPr>
        <w:pStyle w:val="33"/>
        <w:shd w:val="clear"/>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rPr>
        <w:t>最高限价</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u w:val="single"/>
          <w:lang w:val="hr-HR"/>
        </w:rPr>
        <w:t xml:space="preserve"> 172.6万元 </w:t>
      </w:r>
    </w:p>
    <w:p w14:paraId="601A9C8F">
      <w:pPr>
        <w:shd w:val="clear"/>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hr-HR"/>
        </w:rPr>
        <w:t>.采购需求：</w:t>
      </w:r>
      <w:r>
        <w:rPr>
          <w:rFonts w:hint="eastAsia" w:ascii="宋体" w:hAnsi="宋体" w:eastAsia="宋体" w:cs="宋体"/>
          <w:i w:val="0"/>
          <w:iCs w:val="0"/>
          <w:color w:val="auto"/>
          <w:kern w:val="2"/>
          <w:sz w:val="24"/>
          <w:szCs w:val="24"/>
          <w:highlight w:val="none"/>
          <w:u w:val="single"/>
          <w:lang w:val="en-US" w:eastAsia="zh-CN" w:bidi="ar-SA"/>
        </w:rPr>
        <w:t>采购犬粮、药品、训练用品、犬用芯片一批，具体详见竞争性谈判文件。</w:t>
      </w:r>
    </w:p>
    <w:p w14:paraId="56FBF6DA">
      <w:pPr>
        <w:pStyle w:val="33"/>
        <w:keepNext w:val="0"/>
        <w:keepLines w:val="0"/>
        <w:pageBreakBefore w:val="0"/>
        <w:widowControl w:val="0"/>
        <w:shd w:val="clear"/>
        <w:kinsoku/>
        <w:wordWrap w:val="0"/>
        <w:overflowPunct/>
        <w:topLinePunct w:val="0"/>
        <w:autoSpaceDE/>
        <w:autoSpaceDN/>
        <w:bidi w:val="0"/>
        <w:adjustRightInd/>
        <w:snapToGrid/>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.合同履行期限：</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自合同签订之日起至质保期结束之日止</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hr-HR"/>
        </w:rPr>
        <w:t xml:space="preserve"> </w:t>
      </w:r>
    </w:p>
    <w:p w14:paraId="4B098642">
      <w:pPr>
        <w:pStyle w:val="33"/>
        <w:shd w:val="clear"/>
        <w:rPr>
          <w:rFonts w:hint="eastAsia" w:ascii="宋体" w:hAnsi="宋体" w:eastAsia="宋体" w:cs="宋体"/>
          <w:color w:val="auto"/>
          <w:sz w:val="24"/>
          <w:szCs w:val="24"/>
          <w:highlight w:val="none"/>
          <w:lang w:val="en-US" w:eastAsia="zh-CN"/>
        </w:rPr>
      </w:pPr>
      <w:bookmarkStart w:id="19" w:name="_Toc35393799"/>
      <w:bookmarkStart w:id="20" w:name="_Toc35393630"/>
      <w:bookmarkStart w:id="21" w:name="_Toc44583629"/>
      <w:bookmarkStart w:id="22" w:name="_Toc28359013"/>
      <w:bookmarkStart w:id="23" w:name="_Toc28359090"/>
      <w:r>
        <w:rPr>
          <w:rFonts w:hint="eastAsia" w:ascii="宋体" w:hAnsi="宋体" w:eastAsia="宋体" w:cs="宋体"/>
          <w:color w:val="auto"/>
          <w:sz w:val="24"/>
          <w:szCs w:val="24"/>
          <w:highlight w:val="none"/>
          <w:lang w:val="en-US" w:eastAsia="zh-CN"/>
        </w:rPr>
        <w:t>8.</w:t>
      </w:r>
      <w:bookmarkStart w:id="24" w:name="_Hlk162011358"/>
      <w:r>
        <w:rPr>
          <w:rFonts w:hint="eastAsia" w:ascii="宋体" w:hAnsi="宋体" w:eastAsia="宋体" w:cs="宋体"/>
          <w:color w:val="auto"/>
          <w:sz w:val="24"/>
          <w:szCs w:val="24"/>
          <w:highlight w:val="none"/>
          <w:lang w:val="en-US" w:eastAsia="zh-CN"/>
        </w:rPr>
        <w:t>本项目是否接受联合体：□是</w:t>
      </w:r>
      <w:bookmarkEnd w:id="24"/>
      <w:r>
        <w:rPr>
          <w:rFonts w:hint="eastAsia" w:ascii="宋体" w:hAnsi="宋体" w:eastAsia="宋体" w:cs="宋体"/>
          <w:color w:val="auto"/>
          <w:sz w:val="24"/>
          <w:szCs w:val="24"/>
          <w:highlight w:val="none"/>
          <w:lang w:val="en-US" w:eastAsia="zh-CN"/>
        </w:rPr>
        <w:t xml:space="preserve">   </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否</w:t>
      </w:r>
    </w:p>
    <w:p w14:paraId="1EEB1622">
      <w:pPr>
        <w:pStyle w:val="4"/>
        <w:keepNext/>
        <w:keepLines/>
        <w:pageBreakBefore w:val="0"/>
        <w:widowControl w:val="0"/>
        <w:numPr>
          <w:ilvl w:val="0"/>
          <w:numId w:val="0"/>
        </w:numPr>
        <w:shd w:val="clea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5" w:name="_Toc163492813"/>
      <w:bookmarkStart w:id="26" w:name="_Toc155185861"/>
      <w:bookmarkStart w:id="27" w:name="_Toc109899411"/>
      <w:bookmarkStart w:id="28" w:name="_Toc109900249"/>
      <w:bookmarkStart w:id="29" w:name="_Toc140132746"/>
      <w:bookmarkStart w:id="30" w:name="_Toc109899830"/>
      <w:bookmarkStart w:id="31" w:name="_Toc5661"/>
      <w:bookmarkStart w:id="32" w:name="_Toc18424"/>
      <w:bookmarkStart w:id="33" w:name="_Toc21076"/>
      <w:r>
        <w:rPr>
          <w:rFonts w:hint="eastAsia" w:ascii="宋体" w:hAnsi="宋体" w:eastAsia="宋体" w:cs="宋体"/>
          <w:b/>
          <w:bCs/>
          <w:color w:val="auto"/>
          <w:kern w:val="2"/>
          <w:sz w:val="24"/>
          <w:szCs w:val="24"/>
          <w:highlight w:val="none"/>
          <w:lang w:val="en-US" w:eastAsia="zh-CN" w:bidi="ar-SA"/>
        </w:rPr>
        <w:t>二、申请人的</w:t>
      </w:r>
      <w:r>
        <w:rPr>
          <w:rFonts w:hint="eastAsia" w:ascii="宋体" w:hAnsi="宋体" w:eastAsia="宋体" w:cs="宋体"/>
          <w:b/>
          <w:bCs/>
          <w:color w:val="auto"/>
          <w:kern w:val="2"/>
          <w:sz w:val="24"/>
          <w:szCs w:val="24"/>
          <w:highlight w:val="none"/>
          <w:lang w:val="hr-HR" w:eastAsia="zh-CN" w:bidi="ar-SA"/>
        </w:rPr>
        <w:t>资格要求</w:t>
      </w:r>
      <w:bookmarkEnd w:id="19"/>
      <w:bookmarkEnd w:id="20"/>
      <w:bookmarkEnd w:id="21"/>
      <w:bookmarkEnd w:id="22"/>
      <w:bookmarkEnd w:id="23"/>
      <w:bookmarkEnd w:id="25"/>
      <w:bookmarkEnd w:id="26"/>
      <w:bookmarkEnd w:id="27"/>
      <w:bookmarkEnd w:id="28"/>
      <w:bookmarkEnd w:id="29"/>
      <w:bookmarkEnd w:id="30"/>
      <w:bookmarkEnd w:id="31"/>
      <w:bookmarkEnd w:id="32"/>
      <w:bookmarkEnd w:id="33"/>
    </w:p>
    <w:p w14:paraId="5384018C">
      <w:pPr>
        <w:shd w:val="clear"/>
        <w:ind w:firstLine="480" w:firstLineChars="200"/>
        <w:rPr>
          <w:rFonts w:hint="eastAsia" w:ascii="宋体" w:hAnsi="宋体" w:eastAsia="宋体" w:cs="宋体"/>
          <w:strike/>
          <w:dstrike w:val="0"/>
          <w:color w:val="auto"/>
          <w:sz w:val="24"/>
          <w:szCs w:val="24"/>
          <w:highlight w:val="none"/>
          <w:lang w:val="en-US" w:eastAsia="zh-CN"/>
        </w:rPr>
      </w:pPr>
      <w:bookmarkStart w:id="34" w:name="_Toc35393631"/>
      <w:bookmarkStart w:id="35" w:name="_Toc35393800"/>
      <w:bookmarkStart w:id="36" w:name="_Toc28359014"/>
      <w:bookmarkStart w:id="37" w:name="_Toc28359091"/>
      <w:bookmarkStart w:id="38" w:name="_Toc44583630"/>
      <w:r>
        <w:rPr>
          <w:rFonts w:hint="eastAsia" w:ascii="宋体" w:hAnsi="宋体" w:eastAsia="宋体" w:cs="宋体"/>
          <w:color w:val="auto"/>
          <w:sz w:val="24"/>
          <w:szCs w:val="24"/>
          <w:highlight w:val="none"/>
          <w:lang w:val="en-US" w:eastAsia="zh-CN"/>
        </w:rPr>
        <w:t>1. 满足《中华人民共和国政府采购法》第二十二条规定；</w:t>
      </w:r>
    </w:p>
    <w:p w14:paraId="07998FA8">
      <w:pPr>
        <w:shd w:val="clear"/>
        <w:ind w:firstLine="480" w:firstLineChars="200"/>
        <w:rPr>
          <w:rFonts w:hint="eastAsia" w:ascii="宋体" w:hAnsi="宋体" w:eastAsia="宋体" w:cs="宋体"/>
          <w:color w:val="auto"/>
          <w:sz w:val="24"/>
          <w:szCs w:val="24"/>
          <w:highlight w:val="none"/>
          <w:u w:val="none"/>
          <w:lang w:val="en-US" w:eastAsia="zh-CN"/>
        </w:rPr>
      </w:pPr>
      <w:bookmarkStart w:id="39" w:name="_Hlk89807755"/>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.落实政府采购政策需满足的资格要求：</w:t>
      </w:r>
      <w:r>
        <w:rPr>
          <w:rFonts w:hint="eastAsia" w:ascii="宋体" w:hAnsi="宋体" w:eastAsia="宋体" w:cs="宋体"/>
          <w:i w:val="0"/>
          <w:iCs w:val="0"/>
          <w:color w:val="auto"/>
          <w:sz w:val="24"/>
          <w:szCs w:val="24"/>
          <w:highlight w:val="none"/>
          <w:u w:val="single"/>
          <w:lang w:eastAsia="zh-CN"/>
        </w:rPr>
        <w:t>本项目专门面向</w:t>
      </w:r>
      <w:r>
        <w:rPr>
          <w:rFonts w:hint="eastAsia" w:cs="宋体"/>
          <w:i w:val="0"/>
          <w:iCs w:val="0"/>
          <w:color w:val="auto"/>
          <w:sz w:val="24"/>
          <w:szCs w:val="24"/>
          <w:highlight w:val="none"/>
          <w:u w:val="single"/>
          <w:lang w:val="en-US" w:eastAsia="zh-CN"/>
        </w:rPr>
        <w:t>中小</w:t>
      </w:r>
      <w:r>
        <w:rPr>
          <w:rFonts w:hint="eastAsia" w:ascii="宋体" w:hAnsi="宋体" w:eastAsia="宋体" w:cs="宋体"/>
          <w:i w:val="0"/>
          <w:iCs w:val="0"/>
          <w:color w:val="auto"/>
          <w:sz w:val="24"/>
          <w:szCs w:val="24"/>
          <w:highlight w:val="none"/>
          <w:u w:val="single"/>
          <w:lang w:eastAsia="zh-CN"/>
        </w:rPr>
        <w:t>企业，货物的制造商应符合《政府采购促进中小企业发展管理办法》(财库〔2020〕46号) 第四条规定的情形，且应当提供《政府采购促进中小企业发展管理办法》(财库〔2020〕46号)规定的《中小企业声明函》</w:t>
      </w:r>
      <w:r>
        <w:rPr>
          <w:rFonts w:hint="eastAsia" w:ascii="宋体" w:hAnsi="宋体" w:eastAsia="宋体" w:cs="宋体"/>
          <w:color w:val="auto"/>
          <w:sz w:val="24"/>
          <w:szCs w:val="24"/>
          <w:highlight w:val="none"/>
          <w:u w:val="none"/>
          <w:lang w:val="en-US" w:eastAsia="zh-CN"/>
        </w:rPr>
        <w:t>。</w:t>
      </w:r>
    </w:p>
    <w:p w14:paraId="6B3ECAEB">
      <w:pPr>
        <w:shd w:val="clear"/>
        <w:ind w:firstLine="480" w:firstLineChars="200"/>
        <w:rPr>
          <w:rFonts w:hint="eastAsia" w:ascii="宋体" w:hAnsi="宋体" w:eastAsia="宋体" w:cs="宋体"/>
          <w:i w:val="0"/>
          <w:iCs w:val="0"/>
          <w:color w:val="auto"/>
          <w:sz w:val="24"/>
          <w:szCs w:val="24"/>
          <w:highlight w:val="none"/>
          <w:u w:val="single"/>
          <w:lang w:val="en-US" w:eastAsia="zh-CN"/>
        </w:rPr>
      </w:pPr>
      <w:r>
        <w:rPr>
          <w:rFonts w:hint="eastAsia" w:ascii="宋体" w:hAnsi="宋体" w:eastAsia="宋体" w:cs="宋体"/>
          <w:color w:val="auto"/>
          <w:sz w:val="24"/>
          <w:szCs w:val="24"/>
          <w:highlight w:val="none"/>
          <w:u w:val="none"/>
          <w:lang w:val="en-US" w:eastAsia="zh-CN"/>
        </w:rPr>
        <w:t>3.本项目的特定资格要求：</w:t>
      </w:r>
      <w:r>
        <w:rPr>
          <w:rFonts w:hint="eastAsia" w:cs="宋体"/>
          <w:i w:val="0"/>
          <w:iCs w:val="0"/>
          <w:color w:val="auto"/>
          <w:sz w:val="24"/>
          <w:szCs w:val="24"/>
          <w:highlight w:val="none"/>
          <w:u w:val="single"/>
          <w:lang w:val="en-US" w:eastAsia="zh-CN"/>
        </w:rPr>
        <w:t xml:space="preserve"> 供应商需具有有效的兽药经营许可证</w:t>
      </w:r>
      <w:r>
        <w:rPr>
          <w:rFonts w:hint="eastAsia" w:ascii="宋体" w:hAnsi="宋体" w:eastAsia="宋体" w:cs="宋体"/>
          <w:i w:val="0"/>
          <w:iCs w:val="0"/>
          <w:color w:val="auto"/>
          <w:sz w:val="24"/>
          <w:szCs w:val="24"/>
          <w:highlight w:val="none"/>
          <w:u w:val="none"/>
          <w:lang w:val="en-US" w:eastAsia="zh-CN"/>
        </w:rPr>
        <w:t>。</w:t>
      </w:r>
    </w:p>
    <w:p w14:paraId="69D2AB04">
      <w:pPr>
        <w:pStyle w:val="33"/>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 其他资格要求：</w:t>
      </w:r>
    </w:p>
    <w:p w14:paraId="040E7358">
      <w:pPr>
        <w:pStyle w:val="33"/>
        <w:shd w:val="clear"/>
        <w:rPr>
          <w:rFonts w:hint="eastAsia" w:ascii="宋体" w:hAnsi="宋体" w:eastAsia="宋体" w:cs="宋体"/>
          <w:color w:val="auto"/>
          <w:sz w:val="24"/>
          <w:szCs w:val="24"/>
          <w:highlight w:val="none"/>
          <w:lang w:val="hr-HR"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hr-HR"/>
        </w:rPr>
        <w:t>法定代表人或</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lang w:val="hr-HR"/>
        </w:rPr>
        <w:t>负责人为同一人或者存在</w:t>
      </w:r>
      <w:r>
        <w:rPr>
          <w:rFonts w:hint="eastAsia" w:ascii="宋体" w:hAnsi="宋体" w:eastAsia="宋体" w:cs="宋体"/>
          <w:color w:val="auto"/>
          <w:sz w:val="24"/>
          <w:szCs w:val="24"/>
          <w:highlight w:val="none"/>
          <w:lang w:val="en-US" w:eastAsia="zh-CN"/>
        </w:rPr>
        <w:t>直接</w:t>
      </w:r>
      <w:r>
        <w:rPr>
          <w:rFonts w:hint="eastAsia" w:ascii="宋体" w:hAnsi="宋体" w:eastAsia="宋体" w:cs="宋体"/>
          <w:color w:val="auto"/>
          <w:sz w:val="24"/>
          <w:szCs w:val="24"/>
          <w:highlight w:val="none"/>
          <w:lang w:val="hr-HR"/>
        </w:rPr>
        <w:t>控股、管理关系的</w:t>
      </w:r>
      <w:r>
        <w:rPr>
          <w:rFonts w:hint="eastAsia" w:ascii="宋体" w:hAnsi="宋体" w:eastAsia="宋体" w:cs="宋体"/>
          <w:color w:val="auto"/>
          <w:sz w:val="24"/>
          <w:szCs w:val="24"/>
          <w:highlight w:val="none"/>
          <w:lang w:val="en-US" w:eastAsia="zh-CN"/>
        </w:rPr>
        <w:t>不同供应商</w:t>
      </w:r>
      <w:r>
        <w:rPr>
          <w:rFonts w:hint="eastAsia" w:ascii="宋体" w:hAnsi="宋体" w:eastAsia="宋体" w:cs="宋体"/>
          <w:color w:val="auto"/>
          <w:sz w:val="24"/>
          <w:szCs w:val="24"/>
          <w:highlight w:val="none"/>
          <w:lang w:val="hr-HR"/>
        </w:rPr>
        <w:t>，不得参加同一合同项下的政府采购活动。</w:t>
      </w:r>
    </w:p>
    <w:p w14:paraId="68099EEC">
      <w:pPr>
        <w:pStyle w:val="33"/>
        <w:shd w:val="clear"/>
        <w:rPr>
          <w:rFonts w:hint="eastAsia" w:ascii="宋体" w:hAnsi="宋体" w:eastAsia="宋体" w:cs="宋体"/>
          <w:color w:val="auto"/>
          <w:sz w:val="24"/>
          <w:szCs w:val="24"/>
          <w:highlight w:val="none"/>
          <w:lang w:val="hr-HR"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hr-HR"/>
        </w:rPr>
        <w:t>除单一来源采购项目外，为采购项目提供整体设计、规范编制或者项目管理、监理、检测等服务的供应商，不得再参加该采购项目的其他采购活动。</w:t>
      </w:r>
    </w:p>
    <w:p w14:paraId="233A0AC8">
      <w:pPr>
        <w:shd w:val="clear"/>
        <w:ind w:firstLine="480" w:firstLineChars="200"/>
        <w:rPr>
          <w:rFonts w:hint="eastAsia" w:ascii="宋体" w:hAnsi="宋体" w:eastAsia="宋体" w:cs="宋体"/>
          <w:i w:val="0"/>
          <w:iCs w:val="0"/>
          <w:color w:val="auto"/>
          <w:sz w:val="24"/>
          <w:szCs w:val="24"/>
          <w:highlight w:val="none"/>
          <w:u w:val="single"/>
          <w:lang w:val="en-US" w:eastAsia="zh-CN"/>
        </w:rPr>
      </w:pPr>
      <w:r>
        <w:rPr>
          <w:rFonts w:hint="eastAsia" w:ascii="宋体" w:hAnsi="宋体" w:eastAsia="宋体" w:cs="宋体"/>
          <w:color w:val="auto"/>
          <w:sz w:val="24"/>
          <w:szCs w:val="24"/>
          <w:highlight w:val="none"/>
          <w:lang w:val="hr-HR"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hr-HR"/>
        </w:rPr>
        <w:t>供应商的信用行为</w:t>
      </w:r>
      <w:r>
        <w:rPr>
          <w:rFonts w:hint="eastAsia" w:ascii="宋体" w:hAnsi="宋体" w:eastAsia="宋体" w:cs="宋体"/>
          <w:color w:val="auto"/>
          <w:sz w:val="24"/>
          <w:szCs w:val="24"/>
          <w:highlight w:val="none"/>
          <w:lang w:val="hr-HR" w:eastAsia="zh-CN"/>
        </w:rPr>
        <w:t>：</w:t>
      </w:r>
      <w:r>
        <w:rPr>
          <w:rFonts w:hint="eastAsia" w:ascii="宋体" w:hAnsi="宋体" w:eastAsia="宋体" w:cs="宋体"/>
          <w:color w:val="auto"/>
          <w:sz w:val="24"/>
          <w:szCs w:val="24"/>
          <w:highlight w:val="none"/>
          <w:lang w:val="hr-HR"/>
        </w:rPr>
        <w:t>在</w:t>
      </w:r>
      <w:r>
        <w:rPr>
          <w:rFonts w:hint="eastAsia" w:ascii="宋体" w:hAnsi="宋体" w:eastAsia="宋体" w:cs="宋体"/>
          <w:color w:val="auto"/>
          <w:sz w:val="24"/>
          <w:szCs w:val="24"/>
          <w:highlight w:val="none"/>
          <w:lang w:val="en-US" w:eastAsia="zh-CN"/>
        </w:rPr>
        <w:t>资格审查阶段经查询</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eastAsia="zh-CN"/>
        </w:rPr>
        <w:t>未被列入“失信被执行人”、“重大税收违法失信主体”、“政府采购严重违法失信行为记录名单”</w:t>
      </w:r>
      <w:r>
        <w:rPr>
          <w:rFonts w:hint="eastAsia" w:ascii="宋体" w:hAnsi="宋体" w:eastAsia="宋体" w:cs="宋体"/>
          <w:color w:val="auto"/>
          <w:sz w:val="24"/>
          <w:szCs w:val="24"/>
          <w:highlight w:val="none"/>
          <w:lang w:val="hr-HR"/>
        </w:rPr>
        <w:t>其中之一。如有以上不良信用记录</w:t>
      </w:r>
      <w:r>
        <w:rPr>
          <w:rFonts w:hint="eastAsia" w:ascii="宋体" w:hAnsi="宋体" w:eastAsia="宋体" w:cs="宋体"/>
          <w:color w:val="auto"/>
          <w:sz w:val="24"/>
          <w:szCs w:val="24"/>
          <w:highlight w:val="none"/>
          <w:lang w:val="en-US" w:eastAsia="zh-CN"/>
        </w:rPr>
        <w:t>之一的，</w:t>
      </w:r>
      <w:r>
        <w:rPr>
          <w:rFonts w:hint="eastAsia" w:ascii="宋体" w:hAnsi="宋体" w:eastAsia="宋体" w:cs="宋体"/>
          <w:color w:val="auto"/>
          <w:sz w:val="24"/>
          <w:szCs w:val="24"/>
          <w:highlight w:val="none"/>
          <w:lang w:val="hr-HR"/>
        </w:rPr>
        <w:t>其</w:t>
      </w:r>
      <w:r>
        <w:rPr>
          <w:rFonts w:hint="eastAsia" w:ascii="宋体" w:hAnsi="宋体" w:eastAsia="宋体" w:cs="宋体"/>
          <w:b/>
          <w:bCs/>
          <w:color w:val="auto"/>
          <w:sz w:val="24"/>
          <w:szCs w:val="24"/>
          <w:highlight w:val="none"/>
          <w:lang w:val="en-US" w:eastAsia="zh-CN"/>
        </w:rPr>
        <w:t>响应无效</w:t>
      </w:r>
      <w:r>
        <w:rPr>
          <w:rFonts w:hint="eastAsia" w:ascii="宋体" w:hAnsi="宋体" w:eastAsia="宋体" w:cs="宋体"/>
          <w:color w:val="auto"/>
          <w:sz w:val="24"/>
          <w:szCs w:val="24"/>
          <w:highlight w:val="none"/>
          <w:lang w:val="hr-HR"/>
        </w:rPr>
        <w:t>。</w:t>
      </w:r>
    </w:p>
    <w:bookmarkEnd w:id="39"/>
    <w:p w14:paraId="17F1ED43">
      <w:pPr>
        <w:pStyle w:val="4"/>
        <w:keepNext/>
        <w:keepLines/>
        <w:pageBreakBefore w:val="0"/>
        <w:widowControl w:val="0"/>
        <w:numPr>
          <w:ilvl w:val="0"/>
          <w:numId w:val="0"/>
        </w:numPr>
        <w:shd w:val="clea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40" w:name="_Toc163492814"/>
      <w:bookmarkStart w:id="41" w:name="_Toc109900250"/>
      <w:bookmarkStart w:id="42" w:name="_Toc109899831"/>
      <w:bookmarkStart w:id="43" w:name="_Toc109899412"/>
      <w:bookmarkStart w:id="44" w:name="_Toc293"/>
      <w:bookmarkStart w:id="45" w:name="_Toc155185862"/>
      <w:bookmarkStart w:id="46" w:name="_Toc17020"/>
      <w:bookmarkStart w:id="47" w:name="_Toc24875"/>
      <w:bookmarkStart w:id="48" w:name="_Toc140132747"/>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w:t>
      </w:r>
      <w:r>
        <w:rPr>
          <w:rFonts w:hint="eastAsia" w:ascii="宋体" w:hAnsi="宋体" w:eastAsia="宋体" w:cs="宋体"/>
          <w:b/>
          <w:bCs/>
          <w:color w:val="auto"/>
          <w:kern w:val="2"/>
          <w:sz w:val="24"/>
          <w:szCs w:val="24"/>
          <w:highlight w:val="none"/>
          <w:lang w:val="en-US" w:eastAsia="zh-CN" w:bidi="ar-SA"/>
        </w:rPr>
        <w:t>采购</w:t>
      </w:r>
      <w:r>
        <w:rPr>
          <w:rFonts w:hint="eastAsia" w:ascii="宋体" w:hAnsi="宋体" w:eastAsia="宋体" w:cs="宋体"/>
          <w:b/>
          <w:bCs/>
          <w:color w:val="auto"/>
          <w:kern w:val="2"/>
          <w:sz w:val="24"/>
          <w:szCs w:val="24"/>
          <w:highlight w:val="none"/>
          <w:lang w:val="hr-HR" w:eastAsia="zh-CN" w:bidi="ar-SA"/>
        </w:rPr>
        <w:t>文件</w:t>
      </w:r>
      <w:bookmarkEnd w:id="34"/>
      <w:bookmarkEnd w:id="35"/>
      <w:bookmarkEnd w:id="36"/>
      <w:bookmarkEnd w:id="37"/>
      <w:bookmarkEnd w:id="38"/>
      <w:bookmarkEnd w:id="40"/>
      <w:bookmarkEnd w:id="41"/>
      <w:bookmarkEnd w:id="42"/>
      <w:bookmarkEnd w:id="43"/>
      <w:bookmarkEnd w:id="44"/>
      <w:bookmarkEnd w:id="45"/>
      <w:bookmarkEnd w:id="46"/>
      <w:bookmarkEnd w:id="47"/>
      <w:bookmarkEnd w:id="48"/>
      <w:r>
        <w:rPr>
          <w:rFonts w:hint="eastAsia" w:ascii="宋体" w:hAnsi="宋体" w:eastAsia="宋体" w:cs="宋体"/>
          <w:b/>
          <w:bCs/>
          <w:color w:val="auto"/>
          <w:kern w:val="2"/>
          <w:sz w:val="24"/>
          <w:szCs w:val="24"/>
          <w:highlight w:val="none"/>
          <w:lang w:val="hr-HR" w:eastAsia="zh-CN" w:bidi="ar-SA"/>
        </w:rPr>
        <w:t xml:space="preserve"> </w:t>
      </w:r>
    </w:p>
    <w:p w14:paraId="7F0135DE">
      <w:pPr>
        <w:shd w:val="clear"/>
        <w:spacing w:line="360" w:lineRule="auto"/>
        <w:ind w:firstLine="540"/>
        <w:rPr>
          <w:rFonts w:hint="eastAsia" w:ascii="宋体" w:hAnsi="宋体" w:eastAsia="宋体" w:cs="宋体"/>
          <w:i w:val="0"/>
          <w:iCs w:val="0"/>
          <w:color w:val="auto"/>
          <w:sz w:val="24"/>
          <w:szCs w:val="24"/>
          <w:highlight w:val="none"/>
          <w:lang w:val="hr-HR" w:eastAsia="zh-CN"/>
        </w:rPr>
      </w:pPr>
      <w:bookmarkStart w:id="49" w:name="_Hlk130457234"/>
      <w:bookmarkStart w:id="50" w:name="_Hlk130457261"/>
      <w:bookmarkStart w:id="51" w:name="_Toc35393632"/>
      <w:bookmarkStart w:id="52" w:name="_Toc28359015"/>
      <w:bookmarkStart w:id="53" w:name="_Hlk130457327"/>
      <w:bookmarkStart w:id="54" w:name="_Toc28359092"/>
      <w:bookmarkStart w:id="55" w:name="_Toc35393801"/>
      <w:r>
        <w:rPr>
          <w:rFonts w:hint="eastAsia" w:ascii="宋体" w:hAnsi="宋体" w:eastAsia="宋体" w:cs="宋体"/>
          <w:i w:val="0"/>
          <w:iCs w:val="0"/>
          <w:color w:val="auto"/>
          <w:sz w:val="24"/>
          <w:szCs w:val="24"/>
          <w:highlight w:val="none"/>
          <w:lang w:val="hr-HR"/>
        </w:rPr>
        <w:t>1.时间：</w:t>
      </w:r>
      <w:r>
        <w:rPr>
          <w:rFonts w:hint="eastAsia" w:cs="宋体"/>
          <w:i w:val="0"/>
          <w:iCs w:val="0"/>
          <w:color w:val="auto"/>
          <w:sz w:val="24"/>
          <w:szCs w:val="24"/>
          <w:highlight w:val="none"/>
          <w:u w:val="single"/>
          <w:lang w:val="en-US" w:eastAsia="zh-CN"/>
        </w:rPr>
        <w:t>2026</w:t>
      </w:r>
      <w:r>
        <w:rPr>
          <w:rFonts w:hint="eastAsia" w:ascii="宋体" w:hAnsi="宋体" w:eastAsia="宋体" w:cs="宋体"/>
          <w:i w:val="0"/>
          <w:iCs w:val="0"/>
          <w:color w:val="auto"/>
          <w:sz w:val="24"/>
          <w:szCs w:val="24"/>
          <w:highlight w:val="none"/>
          <w:u w:val="single"/>
        </w:rPr>
        <w:t xml:space="preserve"> 年</w:t>
      </w:r>
      <w:r>
        <w:rPr>
          <w:rFonts w:hint="eastAsia" w:cs="宋体"/>
          <w:i w:val="0"/>
          <w:iCs w:val="0"/>
          <w:color w:val="auto"/>
          <w:sz w:val="24"/>
          <w:szCs w:val="24"/>
          <w:highlight w:val="none"/>
          <w:u w:val="single"/>
          <w:lang w:val="en-US" w:eastAsia="zh-CN"/>
        </w:rPr>
        <w:t>05</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月</w:t>
      </w:r>
      <w:r>
        <w:rPr>
          <w:rFonts w:hint="eastAsia" w:cs="宋体"/>
          <w:i w:val="0"/>
          <w:iCs w:val="0"/>
          <w:color w:val="auto"/>
          <w:sz w:val="24"/>
          <w:szCs w:val="24"/>
          <w:highlight w:val="none"/>
          <w:u w:val="single"/>
          <w:lang w:val="en-US" w:eastAsia="zh-CN"/>
        </w:rPr>
        <w:t>06</w:t>
      </w:r>
      <w:r>
        <w:rPr>
          <w:rFonts w:hint="eastAsia" w:ascii="宋体" w:hAnsi="宋体" w:eastAsia="宋体" w:cs="宋体"/>
          <w:i w:val="0"/>
          <w:iCs w:val="0"/>
          <w:color w:val="auto"/>
          <w:sz w:val="24"/>
          <w:szCs w:val="24"/>
          <w:highlight w:val="none"/>
          <w:u w:val="single"/>
        </w:rPr>
        <w:t>日</w:t>
      </w:r>
      <w:r>
        <w:rPr>
          <w:rFonts w:hint="eastAsia" w:ascii="宋体" w:hAnsi="宋体" w:eastAsia="宋体" w:cs="宋体"/>
          <w:i w:val="0"/>
          <w:iCs w:val="0"/>
          <w:color w:val="auto"/>
          <w:sz w:val="24"/>
          <w:szCs w:val="24"/>
          <w:highlight w:val="none"/>
          <w:u w:val="none"/>
        </w:rPr>
        <w:t>至</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2026</w:t>
      </w:r>
      <w:r>
        <w:rPr>
          <w:rFonts w:hint="eastAsia" w:ascii="宋体" w:hAnsi="宋体" w:eastAsia="宋体" w:cs="宋体"/>
          <w:i w:val="0"/>
          <w:iCs w:val="0"/>
          <w:color w:val="auto"/>
          <w:sz w:val="24"/>
          <w:szCs w:val="24"/>
          <w:highlight w:val="none"/>
          <w:u w:val="single"/>
        </w:rPr>
        <w:t>年</w:t>
      </w:r>
      <w:r>
        <w:rPr>
          <w:rFonts w:hint="eastAsia" w:cs="宋体"/>
          <w:i w:val="0"/>
          <w:iCs w:val="0"/>
          <w:color w:val="auto"/>
          <w:sz w:val="24"/>
          <w:szCs w:val="24"/>
          <w:highlight w:val="none"/>
          <w:u w:val="single"/>
          <w:lang w:val="en-US" w:eastAsia="zh-CN"/>
        </w:rPr>
        <w:t>05</w:t>
      </w:r>
      <w:r>
        <w:rPr>
          <w:rFonts w:hint="eastAsia" w:ascii="宋体" w:hAnsi="宋体" w:eastAsia="宋体" w:cs="宋体"/>
          <w:i w:val="0"/>
          <w:iCs w:val="0"/>
          <w:color w:val="auto"/>
          <w:sz w:val="24"/>
          <w:szCs w:val="24"/>
          <w:highlight w:val="none"/>
          <w:u w:val="single"/>
        </w:rPr>
        <w:t>月</w:t>
      </w:r>
      <w:r>
        <w:rPr>
          <w:rFonts w:hint="eastAsia" w:cs="宋体"/>
          <w:i w:val="0"/>
          <w:iCs w:val="0"/>
          <w:color w:val="auto"/>
          <w:sz w:val="24"/>
          <w:szCs w:val="24"/>
          <w:highlight w:val="none"/>
          <w:u w:val="single"/>
          <w:lang w:val="en-US" w:eastAsia="zh-CN"/>
        </w:rPr>
        <w:t>09</w:t>
      </w:r>
      <w:r>
        <w:rPr>
          <w:rFonts w:hint="eastAsia" w:ascii="宋体" w:hAnsi="宋体" w:eastAsia="宋体" w:cs="宋体"/>
          <w:i w:val="0"/>
          <w:iCs w:val="0"/>
          <w:color w:val="auto"/>
          <w:sz w:val="24"/>
          <w:szCs w:val="24"/>
          <w:highlight w:val="none"/>
          <w:u w:val="single"/>
        </w:rPr>
        <w:t>日</w:t>
      </w:r>
      <w:r>
        <w:rPr>
          <w:rFonts w:hint="eastAsia" w:ascii="宋体" w:hAnsi="宋体" w:eastAsia="宋体" w:cs="宋体"/>
          <w:i w:val="0"/>
          <w:iCs w:val="0"/>
          <w:color w:val="auto"/>
          <w:sz w:val="24"/>
          <w:szCs w:val="24"/>
          <w:highlight w:val="none"/>
          <w:u w:val="none"/>
        </w:rPr>
        <w:t>，每天上午</w:t>
      </w:r>
      <w:r>
        <w:rPr>
          <w:rFonts w:hint="eastAsia" w:cs="宋体"/>
          <w:i w:val="0"/>
          <w:iCs w:val="0"/>
          <w:color w:val="auto"/>
          <w:sz w:val="24"/>
          <w:szCs w:val="24"/>
          <w:highlight w:val="none"/>
          <w:u w:val="single"/>
          <w:lang w:val="en-US" w:eastAsia="zh-CN"/>
        </w:rPr>
        <w:t>00：00</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none"/>
        </w:rPr>
        <w:t>至</w:t>
      </w:r>
      <w:r>
        <w:rPr>
          <w:rFonts w:hint="eastAsia" w:cs="宋体"/>
          <w:i w:val="0"/>
          <w:iCs w:val="0"/>
          <w:color w:val="auto"/>
          <w:sz w:val="24"/>
          <w:szCs w:val="24"/>
          <w:highlight w:val="none"/>
          <w:u w:val="single"/>
          <w:lang w:val="en-US" w:eastAsia="zh-CN"/>
        </w:rPr>
        <w:t>14:00</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none"/>
        </w:rPr>
        <w:t>，下午</w:t>
      </w:r>
      <w:r>
        <w:rPr>
          <w:rFonts w:hint="eastAsia" w:cs="宋体"/>
          <w:i w:val="0"/>
          <w:iCs w:val="0"/>
          <w:color w:val="auto"/>
          <w:sz w:val="24"/>
          <w:szCs w:val="24"/>
          <w:highlight w:val="none"/>
          <w:u w:val="single"/>
          <w:lang w:val="en-US" w:eastAsia="zh-CN"/>
        </w:rPr>
        <w:t>14:00</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none"/>
        </w:rPr>
        <w:t>至</w:t>
      </w:r>
      <w:r>
        <w:rPr>
          <w:rFonts w:hint="eastAsia" w:cs="宋体"/>
          <w:i w:val="0"/>
          <w:iCs w:val="0"/>
          <w:color w:val="auto"/>
          <w:sz w:val="24"/>
          <w:szCs w:val="24"/>
          <w:highlight w:val="none"/>
          <w:u w:val="single"/>
          <w:lang w:val="en-US" w:eastAsia="zh-CN"/>
        </w:rPr>
        <w:t>23:59</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none"/>
        </w:rPr>
        <w:t>（北京时间）</w:t>
      </w:r>
      <w:r>
        <w:rPr>
          <w:rFonts w:hint="eastAsia" w:ascii="宋体" w:hAnsi="宋体" w:eastAsia="宋体" w:cs="宋体"/>
          <w:i w:val="0"/>
          <w:iCs w:val="0"/>
          <w:color w:val="auto"/>
          <w:sz w:val="24"/>
          <w:szCs w:val="24"/>
          <w:highlight w:val="none"/>
          <w:lang w:eastAsia="zh-CN"/>
        </w:rPr>
        <w:t>。</w:t>
      </w:r>
    </w:p>
    <w:bookmarkEnd w:id="49"/>
    <w:p w14:paraId="34FD69CE">
      <w:pPr>
        <w:pStyle w:val="33"/>
        <w:shd w:val="clear"/>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hr-HR"/>
        </w:rPr>
        <w:t>2.</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val="hr-HR"/>
        </w:rPr>
        <w:t>：</w:t>
      </w:r>
      <w:bookmarkStart w:id="56" w:name="_Hlk89807779"/>
      <w:r>
        <w:rPr>
          <w:rFonts w:hint="eastAsia" w:ascii="宋体" w:hAnsi="宋体" w:eastAsia="宋体" w:cs="宋体"/>
          <w:color w:val="auto"/>
          <w:sz w:val="24"/>
          <w:szCs w:val="24"/>
          <w:highlight w:val="none"/>
          <w:lang w:val="en-US"/>
        </w:rPr>
        <w:t>兵团</w:t>
      </w:r>
      <w:r>
        <w:rPr>
          <w:rFonts w:hint="eastAsia" w:ascii="宋体" w:hAnsi="宋体" w:eastAsia="宋体" w:cs="宋体"/>
          <w:color w:val="auto"/>
          <w:sz w:val="24"/>
          <w:szCs w:val="24"/>
          <w:highlight w:val="none"/>
        </w:rPr>
        <w:t>政府采购</w:t>
      </w:r>
      <w:r>
        <w:rPr>
          <w:rFonts w:hint="eastAsia" w:ascii="宋体" w:hAnsi="宋体" w:eastAsia="宋体" w:cs="宋体"/>
          <w:color w:val="auto"/>
          <w:sz w:val="24"/>
          <w:szCs w:val="24"/>
          <w:highlight w:val="none"/>
          <w:lang w:val="en-US"/>
        </w:rPr>
        <w:t>电子交易云</w:t>
      </w:r>
      <w:r>
        <w:rPr>
          <w:rFonts w:hint="eastAsia" w:ascii="宋体" w:hAnsi="宋体" w:eastAsia="宋体" w:cs="宋体"/>
          <w:color w:val="auto"/>
          <w:sz w:val="24"/>
          <w:szCs w:val="24"/>
          <w:highlight w:val="none"/>
        </w:rPr>
        <w:t>平台</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rPr>
        <w:t>网址</w:t>
      </w:r>
      <w:r>
        <w:rPr>
          <w:rFonts w:hint="eastAsia" w:ascii="宋体" w:hAnsi="宋体" w:eastAsia="宋体" w:cs="宋体"/>
          <w:color w:val="auto"/>
          <w:sz w:val="24"/>
          <w:szCs w:val="24"/>
          <w:highlight w:val="none"/>
          <w:lang w:val="hr-HR"/>
        </w:rPr>
        <w:t>：https://www.zcygov.cn/）</w:t>
      </w:r>
      <w:r>
        <w:rPr>
          <w:rFonts w:hint="eastAsia" w:ascii="宋体" w:hAnsi="宋体" w:eastAsia="宋体" w:cs="宋体"/>
          <w:color w:val="auto"/>
          <w:sz w:val="24"/>
          <w:szCs w:val="24"/>
          <w:highlight w:val="none"/>
        </w:rPr>
        <w:t>。</w:t>
      </w:r>
      <w:bookmarkEnd w:id="56"/>
    </w:p>
    <w:p w14:paraId="42A40251">
      <w:pPr>
        <w:pStyle w:val="33"/>
        <w:shd w:val="clear"/>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hr-HR"/>
        </w:rPr>
        <w:t>3.</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供应商登录政采云平台</w:t>
      </w:r>
      <w:r>
        <w:rPr>
          <w:rFonts w:hint="eastAsia" w:ascii="宋体" w:hAnsi="宋体" w:eastAsia="宋体" w:cs="宋体"/>
          <w:color w:val="auto"/>
          <w:sz w:val="24"/>
          <w:szCs w:val="24"/>
          <w:highlight w:val="none"/>
          <w:lang w:val="hr-HR"/>
        </w:rPr>
        <w:t>https</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lang w:val="hr-HR"/>
        </w:rPr>
        <w:t>//www.zcygov.cn/</w:t>
      </w:r>
      <w:r>
        <w:rPr>
          <w:rFonts w:hint="eastAsia" w:ascii="宋体" w:hAnsi="宋体" w:eastAsia="宋体" w:cs="宋体"/>
          <w:color w:val="auto"/>
          <w:sz w:val="24"/>
          <w:szCs w:val="24"/>
          <w:highlight w:val="none"/>
          <w:lang w:val="en-US"/>
        </w:rPr>
        <w:t>在线申请</w:t>
      </w:r>
      <w:r>
        <w:rPr>
          <w:rFonts w:hint="eastAsia" w:ascii="宋体" w:hAnsi="宋体" w:eastAsia="宋体" w:cs="宋体"/>
          <w:color w:val="auto"/>
          <w:sz w:val="24"/>
          <w:szCs w:val="24"/>
          <w:highlight w:val="none"/>
          <w:lang w:val="en-US" w:eastAsia="zh-CN"/>
        </w:rPr>
        <w:t>，免费</w:t>
      </w:r>
      <w:r>
        <w:rPr>
          <w:rFonts w:hint="eastAsia" w:ascii="宋体" w:hAnsi="宋体" w:eastAsia="宋体" w:cs="宋体"/>
          <w:color w:val="auto"/>
          <w:sz w:val="24"/>
          <w:szCs w:val="24"/>
          <w:highlight w:val="none"/>
          <w:lang w:val="en-US"/>
        </w:rPr>
        <w:t>获取</w:t>
      </w:r>
      <w:r>
        <w:rPr>
          <w:rFonts w:hint="eastAsia" w:ascii="宋体" w:hAnsi="宋体" w:eastAsia="宋体" w:cs="宋体"/>
          <w:color w:val="auto"/>
          <w:sz w:val="24"/>
          <w:szCs w:val="24"/>
          <w:highlight w:val="none"/>
          <w:lang w:val="en-US" w:eastAsia="zh-CN"/>
        </w:rPr>
        <w:t>电子</w:t>
      </w:r>
      <w:r>
        <w:rPr>
          <w:rFonts w:hint="eastAsia" w:ascii="宋体" w:hAnsi="宋体" w:eastAsia="宋体" w:cs="宋体"/>
          <w:color w:val="auto"/>
          <w:sz w:val="24"/>
          <w:szCs w:val="24"/>
          <w:highlight w:val="none"/>
          <w:lang w:val="en-US"/>
        </w:rPr>
        <w:t>采购文件</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进入</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项目采购</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应用</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在获取采购文件菜单中选择项目</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申请获取采购文件</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hr-HR"/>
        </w:rPr>
        <w:t xml:space="preserve"> </w:t>
      </w:r>
    </w:p>
    <w:p w14:paraId="6565D40F">
      <w:pPr>
        <w:pStyle w:val="33"/>
        <w:shd w:val="clear"/>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售价：</w:t>
      </w:r>
      <w:r>
        <w:rPr>
          <w:rFonts w:hint="eastAsia" w:ascii="宋体" w:hAnsi="宋体" w:eastAsia="宋体" w:cs="宋体"/>
          <w:color w:val="auto"/>
          <w:sz w:val="24"/>
          <w:szCs w:val="24"/>
          <w:highlight w:val="none"/>
          <w:lang w:val="en-US" w:eastAsia="zh-CN"/>
        </w:rPr>
        <w:t>0元。</w:t>
      </w:r>
    </w:p>
    <w:bookmarkEnd w:id="50"/>
    <w:bookmarkEnd w:id="51"/>
    <w:bookmarkEnd w:id="52"/>
    <w:bookmarkEnd w:id="53"/>
    <w:bookmarkEnd w:id="54"/>
    <w:bookmarkEnd w:id="55"/>
    <w:p w14:paraId="66DADC54">
      <w:pPr>
        <w:pStyle w:val="4"/>
        <w:keepNext/>
        <w:keepLines/>
        <w:pageBreakBefore w:val="0"/>
        <w:widowControl w:val="0"/>
        <w:numPr>
          <w:ilvl w:val="0"/>
          <w:numId w:val="0"/>
        </w:numPr>
        <w:shd w:val="clea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57" w:name="_Toc109900251"/>
      <w:bookmarkStart w:id="58" w:name="_Toc155185863"/>
      <w:bookmarkStart w:id="59" w:name="_Toc109899832"/>
      <w:bookmarkStart w:id="60" w:name="_Toc140132748"/>
      <w:bookmarkStart w:id="61" w:name="_Toc109899413"/>
      <w:bookmarkStart w:id="62" w:name="_Toc163492815"/>
      <w:bookmarkStart w:id="63" w:name="_Toc5645"/>
      <w:bookmarkStart w:id="64" w:name="_Toc15058"/>
      <w:bookmarkStart w:id="65" w:name="_Toc26860"/>
      <w:r>
        <w:rPr>
          <w:rFonts w:hint="eastAsia" w:ascii="宋体" w:hAnsi="宋体" w:eastAsia="宋体" w:cs="宋体"/>
          <w:b/>
          <w:bCs/>
          <w:color w:val="auto"/>
          <w:kern w:val="2"/>
          <w:sz w:val="24"/>
          <w:szCs w:val="24"/>
          <w:highlight w:val="none"/>
          <w:lang w:val="en-US" w:eastAsia="zh-CN" w:bidi="ar-SA"/>
        </w:rPr>
        <w:t>四、</w:t>
      </w:r>
      <w:bookmarkEnd w:id="57"/>
      <w:bookmarkEnd w:id="58"/>
      <w:bookmarkEnd w:id="59"/>
      <w:bookmarkEnd w:id="60"/>
      <w:bookmarkEnd w:id="61"/>
      <w:bookmarkEnd w:id="62"/>
      <w:r>
        <w:rPr>
          <w:rFonts w:hint="eastAsia" w:ascii="宋体" w:hAnsi="宋体" w:eastAsia="宋体" w:cs="宋体"/>
          <w:b/>
          <w:bCs/>
          <w:color w:val="auto"/>
          <w:spacing w:val="-6"/>
          <w:kern w:val="2"/>
          <w:sz w:val="24"/>
          <w:szCs w:val="24"/>
          <w:highlight w:val="none"/>
          <w:lang w:val="hr-HR" w:eastAsia="zh-CN" w:bidi="ar-SA"/>
        </w:rPr>
        <w:t>响应文件提交</w:t>
      </w:r>
      <w:bookmarkEnd w:id="63"/>
      <w:bookmarkEnd w:id="64"/>
      <w:bookmarkEnd w:id="65"/>
    </w:p>
    <w:p w14:paraId="2D110B47">
      <w:pPr>
        <w:pStyle w:val="33"/>
        <w:shd w:val="clear"/>
        <w:rPr>
          <w:rFonts w:hint="eastAsia" w:ascii="宋体" w:hAnsi="宋体" w:eastAsia="宋体" w:cs="宋体"/>
          <w:color w:val="auto"/>
          <w:sz w:val="24"/>
          <w:szCs w:val="24"/>
          <w:highlight w:val="none"/>
        </w:rPr>
      </w:pPr>
      <w:bookmarkStart w:id="66" w:name="_Hlk130457395"/>
      <w:bookmarkStart w:id="67" w:name="_Toc44583633"/>
      <w:bookmarkStart w:id="68" w:name="_Toc35393803"/>
      <w:bookmarkStart w:id="69" w:name="_Toc28359094"/>
      <w:bookmarkStart w:id="70" w:name="_Toc35393634"/>
      <w:bookmarkStart w:id="71" w:name="_Toc28359017"/>
      <w:r>
        <w:rPr>
          <w:rFonts w:hint="eastAsia" w:ascii="宋体" w:hAnsi="宋体" w:eastAsia="宋体" w:cs="宋体"/>
          <w:color w:val="auto"/>
          <w:sz w:val="24"/>
          <w:szCs w:val="24"/>
          <w:highlight w:val="none"/>
        </w:rPr>
        <w:t>1.截止时间</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2026</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05</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val="en-US"/>
        </w:rPr>
        <w:t xml:space="preserve"> </w:t>
      </w:r>
      <w:r>
        <w:rPr>
          <w:rFonts w:hint="eastAsia" w:cs="宋体"/>
          <w:color w:val="auto"/>
          <w:sz w:val="24"/>
          <w:szCs w:val="24"/>
          <w:highlight w:val="none"/>
          <w:u w:val="single"/>
          <w:lang w:val="en-US" w:eastAsia="zh-CN"/>
        </w:rPr>
        <w:t>16</w:t>
      </w:r>
      <w:r>
        <w:rPr>
          <w:rFonts w:hint="eastAsia" w:ascii="宋体" w:hAnsi="宋体" w:eastAsia="宋体" w:cs="宋体"/>
          <w:color w:val="auto"/>
          <w:sz w:val="24"/>
          <w:szCs w:val="24"/>
          <w:highlight w:val="none"/>
          <w:u w:val="single"/>
        </w:rPr>
        <w:t>时</w:t>
      </w:r>
      <w:r>
        <w:rPr>
          <w:rFonts w:hint="eastAsia" w:ascii="宋体" w:hAnsi="宋体" w:eastAsia="宋体" w:cs="宋体"/>
          <w:color w:val="auto"/>
          <w:sz w:val="24"/>
          <w:szCs w:val="24"/>
          <w:highlight w:val="none"/>
          <w:u w:val="single"/>
          <w:lang w:val="en-US"/>
        </w:rPr>
        <w:t xml:space="preserve"> </w:t>
      </w:r>
      <w:r>
        <w:rPr>
          <w:rFonts w:hint="eastAsia"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szCs w:val="24"/>
          <w:highlight w:val="none"/>
        </w:rPr>
        <w:t>（北京时间）。</w:t>
      </w:r>
    </w:p>
    <w:p w14:paraId="63FC81BC">
      <w:pPr>
        <w:pStyle w:val="33"/>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地点</w:t>
      </w:r>
      <w:r>
        <w:rPr>
          <w:rFonts w:hint="eastAsia" w:ascii="宋体" w:hAnsi="宋体" w:eastAsia="宋体" w:cs="宋体"/>
          <w:color w:val="auto"/>
          <w:sz w:val="24"/>
          <w:szCs w:val="24"/>
          <w:highlight w:val="none"/>
        </w:rPr>
        <w:t>：通过</w:t>
      </w:r>
      <w:r>
        <w:rPr>
          <w:rFonts w:hint="eastAsia" w:ascii="宋体" w:hAnsi="宋体" w:eastAsia="宋体" w:cs="宋体"/>
          <w:color w:val="auto"/>
          <w:sz w:val="24"/>
          <w:szCs w:val="24"/>
          <w:highlight w:val="none"/>
          <w:lang w:val="en-US"/>
        </w:rPr>
        <w:t>政采云平台</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rPr>
        <w:t>投标</w:t>
      </w:r>
      <w:r>
        <w:rPr>
          <w:rFonts w:hint="eastAsia" w:ascii="宋体" w:hAnsi="宋体" w:eastAsia="宋体" w:cs="宋体"/>
          <w:color w:val="auto"/>
          <w:sz w:val="24"/>
          <w:szCs w:val="24"/>
          <w:highlight w:val="none"/>
        </w:rPr>
        <w:t>客户端</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选择项目分包文件递交页面进行递交（上传）。</w:t>
      </w:r>
    </w:p>
    <w:bookmarkEnd w:id="66"/>
    <w:p w14:paraId="6BAC9797">
      <w:pPr>
        <w:pStyle w:val="4"/>
        <w:keepNext/>
        <w:keepLines/>
        <w:pageBreakBefore w:val="0"/>
        <w:widowControl w:val="0"/>
        <w:numPr>
          <w:ilvl w:val="0"/>
          <w:numId w:val="0"/>
        </w:numPr>
        <w:shd w:val="clea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72" w:name="_Toc7125"/>
      <w:bookmarkStart w:id="73" w:name="_Toc19249"/>
      <w:bookmarkStart w:id="74" w:name="_Toc1822"/>
      <w:bookmarkStart w:id="75" w:name="_Toc109899833"/>
      <w:bookmarkStart w:id="76" w:name="_Toc155185864"/>
      <w:bookmarkStart w:id="77" w:name="_Toc109899414"/>
      <w:bookmarkStart w:id="78" w:name="_Toc163492816"/>
      <w:bookmarkStart w:id="79" w:name="_Toc109900252"/>
      <w:bookmarkStart w:id="80" w:name="_Toc140132749"/>
      <w:r>
        <w:rPr>
          <w:rFonts w:hint="eastAsia" w:ascii="宋体" w:hAnsi="宋体" w:eastAsia="宋体" w:cs="宋体"/>
          <w:b/>
          <w:bCs/>
          <w:color w:val="auto"/>
          <w:kern w:val="2"/>
          <w:sz w:val="24"/>
          <w:szCs w:val="24"/>
          <w:highlight w:val="none"/>
          <w:lang w:val="en-US" w:eastAsia="zh-CN" w:bidi="ar-SA"/>
        </w:rPr>
        <w:t>五、开启</w:t>
      </w:r>
      <w:bookmarkEnd w:id="72"/>
      <w:bookmarkEnd w:id="73"/>
      <w:bookmarkEnd w:id="74"/>
    </w:p>
    <w:p w14:paraId="508C6E16">
      <w:pPr>
        <w:pStyle w:val="33"/>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2026</w:t>
      </w:r>
      <w:r>
        <w:rPr>
          <w:rFonts w:hint="eastAsia" w:ascii="宋体" w:hAnsi="宋体" w:eastAsia="宋体" w:cs="宋体"/>
          <w:color w:val="auto"/>
          <w:sz w:val="24"/>
          <w:szCs w:val="24"/>
          <w:highlight w:val="none"/>
          <w:u w:val="single"/>
        </w:rPr>
        <w:t>年</w:t>
      </w:r>
      <w:r>
        <w:rPr>
          <w:rFonts w:hint="eastAsia" w:cs="宋体"/>
          <w:color w:val="auto"/>
          <w:sz w:val="24"/>
          <w:szCs w:val="24"/>
          <w:highlight w:val="none"/>
          <w:u w:val="single"/>
          <w:lang w:val="en-US" w:eastAsia="zh-CN"/>
        </w:rPr>
        <w:t>05</w:t>
      </w:r>
      <w:r>
        <w:rPr>
          <w:rFonts w:hint="eastAsia" w:ascii="宋体" w:hAnsi="宋体" w:eastAsia="宋体" w:cs="宋体"/>
          <w:color w:val="auto"/>
          <w:sz w:val="24"/>
          <w:szCs w:val="24"/>
          <w:highlight w:val="none"/>
          <w:u w:val="single"/>
        </w:rPr>
        <w:t>月</w:t>
      </w:r>
      <w:r>
        <w:rPr>
          <w:rFonts w:hint="eastAsia" w:cs="宋体"/>
          <w:color w:val="auto"/>
          <w:sz w:val="24"/>
          <w:szCs w:val="24"/>
          <w:highlight w:val="none"/>
          <w:u w:val="single"/>
          <w:lang w:val="en-US" w:eastAsia="zh-CN"/>
        </w:rPr>
        <w:t>11</w:t>
      </w:r>
      <w:r>
        <w:rPr>
          <w:rFonts w:hint="eastAsia" w:ascii="宋体" w:hAnsi="宋体" w:eastAsia="宋体" w:cs="宋体"/>
          <w:color w:val="auto"/>
          <w:sz w:val="24"/>
          <w:szCs w:val="24"/>
          <w:highlight w:val="none"/>
          <w:u w:val="single"/>
        </w:rPr>
        <w:t>日</w:t>
      </w:r>
      <w:r>
        <w:rPr>
          <w:rFonts w:hint="eastAsia" w:ascii="宋体" w:hAnsi="宋体" w:eastAsia="宋体" w:cs="宋体"/>
          <w:color w:val="auto"/>
          <w:sz w:val="24"/>
          <w:szCs w:val="24"/>
          <w:highlight w:val="none"/>
          <w:u w:val="single"/>
          <w:lang w:val="en-US"/>
        </w:rPr>
        <w:t xml:space="preserve"> </w:t>
      </w:r>
      <w:r>
        <w:rPr>
          <w:rFonts w:hint="eastAsia" w:cs="宋体"/>
          <w:color w:val="auto"/>
          <w:sz w:val="24"/>
          <w:szCs w:val="24"/>
          <w:highlight w:val="none"/>
          <w:u w:val="single"/>
          <w:lang w:val="en-US" w:eastAsia="zh-CN"/>
        </w:rPr>
        <w:t>16</w:t>
      </w:r>
      <w:r>
        <w:rPr>
          <w:rFonts w:hint="eastAsia" w:ascii="宋体" w:hAnsi="宋体" w:eastAsia="宋体" w:cs="宋体"/>
          <w:color w:val="auto"/>
          <w:sz w:val="24"/>
          <w:szCs w:val="24"/>
          <w:highlight w:val="none"/>
          <w:u w:val="single"/>
        </w:rPr>
        <w:t>时</w:t>
      </w:r>
      <w:r>
        <w:rPr>
          <w:rFonts w:hint="eastAsia" w:cs="宋体"/>
          <w:color w:val="auto"/>
          <w:sz w:val="24"/>
          <w:szCs w:val="24"/>
          <w:highlight w:val="none"/>
          <w:u w:val="single"/>
          <w:lang w:val="en-US" w:eastAsia="zh-CN"/>
        </w:rPr>
        <w:t>00</w:t>
      </w:r>
      <w:r>
        <w:rPr>
          <w:rFonts w:hint="eastAsia" w:ascii="宋体" w:hAnsi="宋体" w:eastAsia="宋体" w:cs="宋体"/>
          <w:color w:val="auto"/>
          <w:sz w:val="24"/>
          <w:szCs w:val="24"/>
          <w:highlight w:val="none"/>
          <w:u w:val="single"/>
        </w:rPr>
        <w:t>分</w:t>
      </w:r>
      <w:r>
        <w:rPr>
          <w:rFonts w:hint="eastAsia" w:ascii="宋体" w:hAnsi="宋体" w:eastAsia="宋体" w:cs="宋体"/>
          <w:color w:val="auto"/>
          <w:sz w:val="24"/>
          <w:szCs w:val="24"/>
          <w:highlight w:val="none"/>
        </w:rPr>
        <w:t>（北京时间）。</w:t>
      </w:r>
    </w:p>
    <w:p w14:paraId="71EF07E7">
      <w:pPr>
        <w:pStyle w:val="33"/>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地点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供应商登录政采云平台https</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lang w:val="en-US"/>
        </w:rPr>
        <w:t>//www.zcygov.cn/，进入“项目采购-开评标管理-右边选择对应项目点击“进入项目”进入开标大厅</w:t>
      </w:r>
      <w:r>
        <w:rPr>
          <w:rFonts w:hint="eastAsia" w:ascii="宋体" w:hAnsi="宋体" w:eastAsia="宋体" w:cs="宋体"/>
          <w:color w:val="auto"/>
          <w:sz w:val="24"/>
          <w:szCs w:val="24"/>
          <w:highlight w:val="none"/>
        </w:rPr>
        <w:t>。</w:t>
      </w:r>
    </w:p>
    <w:p w14:paraId="679A69E0">
      <w:pPr>
        <w:pStyle w:val="4"/>
        <w:keepNext/>
        <w:keepLines/>
        <w:pageBreakBefore w:val="0"/>
        <w:widowControl w:val="0"/>
        <w:numPr>
          <w:ilvl w:val="0"/>
          <w:numId w:val="0"/>
        </w:numPr>
        <w:shd w:val="clea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1" w:name="_Toc4915"/>
      <w:bookmarkStart w:id="82" w:name="_Toc11928"/>
      <w:bookmarkStart w:id="83" w:name="_Toc6105"/>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公告期限</w:t>
      </w:r>
      <w:bookmarkEnd w:id="67"/>
      <w:bookmarkEnd w:id="68"/>
      <w:bookmarkEnd w:id="69"/>
      <w:bookmarkEnd w:id="70"/>
      <w:bookmarkEnd w:id="71"/>
      <w:bookmarkEnd w:id="75"/>
      <w:bookmarkEnd w:id="76"/>
      <w:bookmarkEnd w:id="77"/>
      <w:bookmarkEnd w:id="78"/>
      <w:bookmarkEnd w:id="79"/>
      <w:bookmarkEnd w:id="80"/>
      <w:bookmarkEnd w:id="81"/>
      <w:bookmarkEnd w:id="82"/>
      <w:bookmarkEnd w:id="83"/>
    </w:p>
    <w:p w14:paraId="187C1FE3">
      <w:pPr>
        <w:pageBreakBefore w:val="0"/>
        <w:shd w:val="clear"/>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自本公告发布之日起3个工作日。</w:t>
      </w:r>
      <w:bookmarkStart w:id="84" w:name="_Toc44583634"/>
      <w:bookmarkStart w:id="85" w:name="_Toc109899834"/>
      <w:bookmarkStart w:id="86" w:name="_Toc155185865"/>
      <w:bookmarkStart w:id="87" w:name="_Toc35393635"/>
      <w:bookmarkStart w:id="88" w:name="_Toc140132750"/>
      <w:bookmarkStart w:id="89" w:name="_Toc109900253"/>
      <w:bookmarkStart w:id="90" w:name="_Toc109899415"/>
      <w:bookmarkStart w:id="91" w:name="_Toc35393804"/>
      <w:bookmarkStart w:id="92" w:name="_Toc163492817"/>
    </w:p>
    <w:p w14:paraId="20DD1AA0">
      <w:pPr>
        <w:pStyle w:val="4"/>
        <w:keepNext/>
        <w:keepLines/>
        <w:pageBreakBefore w:val="0"/>
        <w:widowControl w:val="0"/>
        <w:numPr>
          <w:ilvl w:val="0"/>
          <w:numId w:val="0"/>
        </w:numPr>
        <w:shd w:val="clea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val="0"/>
          <w:bCs w:val="0"/>
          <w:color w:val="auto"/>
          <w:kern w:val="2"/>
          <w:sz w:val="24"/>
          <w:szCs w:val="24"/>
          <w:highlight w:val="none"/>
          <w:lang w:val="hr-HR" w:eastAsia="zh-CN" w:bidi="ar-SA"/>
        </w:rPr>
      </w:pPr>
      <w:r>
        <w:rPr>
          <w:rFonts w:hint="eastAsia" w:ascii="宋体" w:hAnsi="宋体" w:eastAsia="宋体" w:cs="宋体"/>
          <w:b/>
          <w:bCs/>
          <w:color w:val="auto"/>
          <w:kern w:val="2"/>
          <w:sz w:val="24"/>
          <w:szCs w:val="24"/>
          <w:highlight w:val="none"/>
          <w:lang w:val="hr-HR" w:eastAsia="zh-CN" w:bidi="ar-SA"/>
        </w:rPr>
        <w:t>七、其他补充事宜</w:t>
      </w:r>
      <w:bookmarkEnd w:id="84"/>
      <w:bookmarkEnd w:id="85"/>
      <w:bookmarkEnd w:id="86"/>
      <w:bookmarkEnd w:id="87"/>
      <w:bookmarkEnd w:id="88"/>
      <w:bookmarkEnd w:id="89"/>
      <w:bookmarkEnd w:id="90"/>
      <w:bookmarkEnd w:id="91"/>
      <w:bookmarkEnd w:id="92"/>
    </w:p>
    <w:p w14:paraId="2043A8DF">
      <w:pPr>
        <w:widowControl/>
        <w:shd w:val="clear" w:color="auto"/>
        <w:spacing w:line="480" w:lineRule="exact"/>
        <w:ind w:firstLine="480" w:firstLineChars="200"/>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1、本项目实行网上</w:t>
      </w:r>
      <w:r>
        <w:rPr>
          <w:rFonts w:hint="eastAsia" w:ascii="宋体" w:hAnsi="宋体" w:eastAsia="宋体" w:cs="宋体"/>
          <w:bCs/>
          <w:color w:val="auto"/>
          <w:sz w:val="24"/>
          <w:szCs w:val="24"/>
          <w:highlight w:val="none"/>
          <w:lang w:val="en-US" w:eastAsia="zh-CN"/>
        </w:rPr>
        <w:t>响应</w:t>
      </w:r>
      <w:r>
        <w:rPr>
          <w:rFonts w:hint="eastAsia" w:ascii="宋体" w:hAnsi="宋体" w:eastAsia="宋体" w:cs="宋体"/>
          <w:bCs/>
          <w:color w:val="auto"/>
          <w:sz w:val="24"/>
          <w:szCs w:val="24"/>
          <w:highlight w:val="none"/>
        </w:rPr>
        <w:t>，采用电子</w:t>
      </w:r>
      <w:r>
        <w:rPr>
          <w:rFonts w:hint="eastAsia" w:ascii="宋体" w:hAnsi="宋体" w:eastAsia="宋体" w:cs="宋体"/>
          <w:bCs/>
          <w:color w:val="auto"/>
          <w:sz w:val="24"/>
          <w:szCs w:val="24"/>
          <w:highlight w:val="none"/>
          <w:lang w:eastAsia="zh-CN"/>
        </w:rPr>
        <w:t>响应</w:t>
      </w:r>
      <w:r>
        <w:rPr>
          <w:rFonts w:hint="eastAsia" w:ascii="宋体" w:hAnsi="宋体" w:eastAsia="宋体" w:cs="宋体"/>
          <w:bCs/>
          <w:color w:val="auto"/>
          <w:sz w:val="24"/>
          <w:szCs w:val="24"/>
          <w:highlight w:val="none"/>
        </w:rPr>
        <w:t>文件</w:t>
      </w:r>
      <w:r>
        <w:rPr>
          <w:rFonts w:hint="eastAsia" w:ascii="宋体" w:hAnsi="宋体" w:eastAsia="宋体" w:cs="宋体"/>
          <w:bCs/>
          <w:color w:val="auto"/>
          <w:sz w:val="24"/>
          <w:szCs w:val="24"/>
          <w:highlight w:val="none"/>
          <w:lang w:eastAsia="zh-CN"/>
        </w:rPr>
        <w:t>。</w:t>
      </w:r>
    </w:p>
    <w:p w14:paraId="7DFC1A41">
      <w:pPr>
        <w:keepNext w:val="0"/>
        <w:keepLines w:val="0"/>
        <w:pageBreakBefore w:val="0"/>
        <w:widowControl/>
        <w:shd w:val="clear" w:color="auto"/>
        <w:kinsoku/>
        <w:wordWrap w:val="0"/>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各供应商应在开标前应确保成为政采云平台供应商，并完成CA数字证书（符合国密标准）申领。因未注册入库、未办理CA数字证书等原因造成无法投标或投标失败等后果由供应商自行承担。有意向参与兵团区域电子开评标的供应商，可访问兵团政府采购网-办事指南-操作指南-CA证书办理操作指南或点击链接：http://ccgp-bingtuan.gov.cn/site/detail?parentId=189171&amp;articleId=CZ0bD526ZE+CHX5isJvt0w==&amp;utm=site.site-PC-4840.633-pc-websitegroup-secondlevelpage-front.1.2e96d52081d811eebbd67dd2372c0b9a自行进行申领。</w:t>
      </w:r>
    </w:p>
    <w:p w14:paraId="4B02550E">
      <w:pPr>
        <w:keepNext w:val="0"/>
        <w:keepLines w:val="0"/>
        <w:pageBreakBefore w:val="0"/>
        <w:widowControl/>
        <w:shd w:val="clear" w:color="auto"/>
        <w:kinsoku/>
        <w:wordWrap w:val="0"/>
        <w:overflowPunct/>
        <w:topLinePunct w:val="0"/>
        <w:autoSpaceDE/>
        <w:autoSpaceDN/>
        <w:bidi w:val="0"/>
        <w:adjustRightInd/>
        <w:snapToGrid/>
        <w:spacing w:line="480" w:lineRule="exact"/>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3、供应商将政采云电子交易客户端下载、安装完成后，可通过账号密码或CA登录客户端进行</w:t>
      </w:r>
      <w:r>
        <w:rPr>
          <w:rFonts w:hint="eastAsia" w:ascii="宋体" w:hAnsi="宋体" w:eastAsia="宋体" w:cs="宋体"/>
          <w:bCs/>
          <w:color w:val="auto"/>
          <w:sz w:val="24"/>
          <w:szCs w:val="24"/>
          <w:highlight w:val="none"/>
          <w:lang w:val="en-US" w:eastAsia="zh-CN"/>
        </w:rPr>
        <w:t>响应</w:t>
      </w:r>
      <w:r>
        <w:rPr>
          <w:rFonts w:hint="eastAsia" w:ascii="宋体" w:hAnsi="宋体" w:eastAsia="宋体" w:cs="宋体"/>
          <w:bCs/>
          <w:color w:val="auto"/>
          <w:sz w:val="24"/>
          <w:szCs w:val="24"/>
          <w:highlight w:val="none"/>
        </w:rPr>
        <w:t>文件的制作。在使用政采云投标客户端时，建议使用WIN7（64位）及以上操作系统。客户端请至兵团政府采购网（http://ccgp-bingtuan.gov.cn/）下载专区查看，如有问题可拨打政采云客户服务热线95763进行咨询。如因供应商自身原因导致在规定时间内无法正常解密的（如：浏览器故障、未安装相关驱动、网络故障、加密CA与解密CA不一致等），采购中心/代理机构不予异常处理，视为供应商自动弃标。</w:t>
      </w:r>
    </w:p>
    <w:p w14:paraId="45578236">
      <w:pPr>
        <w:pStyle w:val="4"/>
        <w:keepNext/>
        <w:keepLines/>
        <w:pageBreakBefore w:val="0"/>
        <w:widowControl w:val="0"/>
        <w:numPr>
          <w:ilvl w:val="0"/>
          <w:numId w:val="0"/>
        </w:numPr>
        <w:shd w:val="clea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93" w:name="_Toc17723"/>
      <w:bookmarkStart w:id="94" w:name="_Toc16732"/>
      <w:bookmarkStart w:id="95" w:name="_Toc3905"/>
    </w:p>
    <w:p w14:paraId="692B7884">
      <w:pPr>
        <w:pStyle w:val="4"/>
        <w:keepNext/>
        <w:keepLines/>
        <w:pageBreakBefore w:val="0"/>
        <w:widowControl w:val="0"/>
        <w:numPr>
          <w:ilvl w:val="0"/>
          <w:numId w:val="0"/>
        </w:numPr>
        <w:shd w:val="clea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color w:val="auto"/>
          <w:sz w:val="24"/>
          <w:szCs w:val="24"/>
          <w:highlight w:val="none"/>
          <w:lang w:val="hr-HR" w:eastAsia="zh-CN"/>
        </w:rPr>
      </w:pP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hr-HR" w:eastAsia="zh-CN" w:bidi="ar-SA"/>
        </w:rPr>
        <w:t>凡对本次采购提出询问，请按以下方式联系</w:t>
      </w:r>
      <w:bookmarkEnd w:id="93"/>
      <w:bookmarkEnd w:id="94"/>
      <w:bookmarkEnd w:id="95"/>
    </w:p>
    <w:p w14:paraId="5A067A00">
      <w:pPr>
        <w:pStyle w:val="33"/>
        <w:shd w:val="clear"/>
        <w:spacing w:line="400" w:lineRule="exact"/>
        <w:ind w:firstLine="480"/>
        <w:rPr>
          <w:rFonts w:hint="eastAsia" w:cs="宋体"/>
          <w:szCs w:val="24"/>
          <w:highlight w:val="none"/>
        </w:rPr>
      </w:pPr>
      <w:bookmarkStart w:id="96" w:name="_Toc28359019"/>
      <w:bookmarkStart w:id="97" w:name="_Toc35393806"/>
      <w:bookmarkStart w:id="98" w:name="_Toc28359096"/>
      <w:bookmarkStart w:id="99" w:name="_Toc35393637"/>
      <w:r>
        <w:rPr>
          <w:rFonts w:hint="eastAsia" w:cs="宋体"/>
          <w:szCs w:val="24"/>
          <w:highlight w:val="none"/>
        </w:rPr>
        <w:t>1.采购人信息</w:t>
      </w:r>
      <w:bookmarkEnd w:id="96"/>
      <w:bookmarkEnd w:id="97"/>
      <w:bookmarkEnd w:id="98"/>
      <w:bookmarkEnd w:id="99"/>
    </w:p>
    <w:p w14:paraId="42179DAE">
      <w:pPr>
        <w:pStyle w:val="33"/>
        <w:shd w:val="clear"/>
        <w:spacing w:line="400" w:lineRule="exact"/>
        <w:ind w:firstLine="480"/>
        <w:rPr>
          <w:rFonts w:hint="eastAsia" w:cs="宋体"/>
          <w:szCs w:val="24"/>
          <w:highlight w:val="none"/>
        </w:rPr>
      </w:pPr>
      <w:r>
        <w:rPr>
          <w:rFonts w:hint="eastAsia" w:cs="宋体"/>
          <w:szCs w:val="24"/>
          <w:highlight w:val="none"/>
        </w:rPr>
        <w:t>名称：</w:t>
      </w:r>
      <w:r>
        <w:rPr>
          <w:rFonts w:hint="eastAsia" w:cs="宋体"/>
          <w:szCs w:val="24"/>
          <w:highlight w:val="none"/>
          <w:u w:val="single"/>
        </w:rPr>
        <w:t xml:space="preserve">  新疆生产建设兵团某单位   </w:t>
      </w:r>
    </w:p>
    <w:p w14:paraId="05C27BB4">
      <w:pPr>
        <w:pStyle w:val="33"/>
        <w:shd w:val="clear"/>
        <w:spacing w:line="400" w:lineRule="exact"/>
        <w:ind w:firstLine="480"/>
        <w:rPr>
          <w:rFonts w:hint="eastAsia" w:cs="宋体"/>
          <w:szCs w:val="24"/>
          <w:highlight w:val="none"/>
        </w:rPr>
      </w:pPr>
      <w:r>
        <w:rPr>
          <w:rFonts w:hint="eastAsia" w:cs="宋体"/>
          <w:szCs w:val="24"/>
          <w:highlight w:val="none"/>
        </w:rPr>
        <w:t>地址：</w:t>
      </w:r>
      <w:r>
        <w:rPr>
          <w:rFonts w:hint="eastAsia" w:cs="宋体"/>
          <w:szCs w:val="24"/>
          <w:highlight w:val="none"/>
          <w:u w:val="single"/>
        </w:rPr>
        <w:t xml:space="preserve"> 新疆乌鲁木齐市  </w:t>
      </w:r>
    </w:p>
    <w:p w14:paraId="419E1787">
      <w:pPr>
        <w:pStyle w:val="33"/>
        <w:shd w:val="clear"/>
        <w:spacing w:line="400" w:lineRule="exact"/>
        <w:ind w:firstLine="480"/>
        <w:rPr>
          <w:rFonts w:hint="eastAsia" w:cs="宋体"/>
          <w:szCs w:val="24"/>
          <w:highlight w:val="none"/>
        </w:rPr>
      </w:pPr>
      <w:r>
        <w:rPr>
          <w:rFonts w:hint="eastAsia" w:cs="宋体"/>
          <w:szCs w:val="24"/>
          <w:highlight w:val="none"/>
        </w:rPr>
        <w:t>联系方式：</w:t>
      </w:r>
      <w:bookmarkStart w:id="100" w:name="_Hlk46775675"/>
      <w:r>
        <w:rPr>
          <w:rFonts w:hint="eastAsia" w:cs="宋体"/>
          <w:szCs w:val="24"/>
          <w:highlight w:val="none"/>
          <w:u w:val="single"/>
        </w:rPr>
        <w:t xml:space="preserve"> </w:t>
      </w:r>
      <w:r>
        <w:rPr>
          <w:rFonts w:hint="eastAsia" w:cs="宋体"/>
          <w:szCs w:val="24"/>
          <w:highlight w:val="none"/>
          <w:u w:val="single"/>
          <w:lang w:val="en-US" w:eastAsia="zh-CN"/>
        </w:rPr>
        <w:t xml:space="preserve">肖女士    13999287710  </w:t>
      </w:r>
      <w:r>
        <w:rPr>
          <w:rFonts w:hint="eastAsia" w:cs="宋体"/>
          <w:szCs w:val="24"/>
          <w:highlight w:val="none"/>
          <w:u w:val="single"/>
        </w:rPr>
        <w:t xml:space="preserve">  </w:t>
      </w:r>
    </w:p>
    <w:bookmarkEnd w:id="100"/>
    <w:p w14:paraId="57CE9D79">
      <w:pPr>
        <w:pStyle w:val="33"/>
        <w:shd w:val="clear"/>
        <w:spacing w:line="400" w:lineRule="exact"/>
        <w:ind w:firstLine="480"/>
        <w:rPr>
          <w:rFonts w:hint="eastAsia" w:cs="宋体"/>
          <w:szCs w:val="24"/>
          <w:highlight w:val="none"/>
        </w:rPr>
      </w:pPr>
      <w:bookmarkStart w:id="101" w:name="_Toc28359020"/>
      <w:bookmarkStart w:id="102" w:name="_Toc35393807"/>
      <w:bookmarkStart w:id="103" w:name="_Toc28359097"/>
      <w:bookmarkStart w:id="104" w:name="_Toc35393638"/>
      <w:r>
        <w:rPr>
          <w:rFonts w:hint="eastAsia" w:cs="宋体"/>
          <w:szCs w:val="24"/>
          <w:highlight w:val="none"/>
        </w:rPr>
        <w:t>2.采购代理机构信息</w:t>
      </w:r>
      <w:bookmarkEnd w:id="101"/>
      <w:bookmarkEnd w:id="102"/>
      <w:bookmarkEnd w:id="103"/>
      <w:bookmarkEnd w:id="104"/>
    </w:p>
    <w:p w14:paraId="5ABB974F">
      <w:pPr>
        <w:pStyle w:val="33"/>
        <w:shd w:val="clear"/>
        <w:spacing w:line="400" w:lineRule="exact"/>
        <w:ind w:firstLine="480"/>
        <w:rPr>
          <w:rFonts w:hint="eastAsia" w:cs="宋体"/>
          <w:szCs w:val="24"/>
          <w:highlight w:val="none"/>
        </w:rPr>
      </w:pPr>
      <w:r>
        <w:rPr>
          <w:rFonts w:hint="eastAsia" w:cs="宋体"/>
          <w:szCs w:val="24"/>
          <w:highlight w:val="none"/>
        </w:rPr>
        <w:t>名称：</w:t>
      </w:r>
      <w:r>
        <w:rPr>
          <w:rFonts w:hint="eastAsia" w:cs="宋体"/>
          <w:szCs w:val="24"/>
          <w:highlight w:val="none"/>
          <w:u w:val="single"/>
        </w:rPr>
        <w:t xml:space="preserve"> </w:t>
      </w:r>
      <w:r>
        <w:rPr>
          <w:rFonts w:hint="eastAsia" w:cs="宋体"/>
          <w:highlight w:val="none"/>
          <w:u w:val="single"/>
        </w:rPr>
        <w:t>新疆世纪星工程咨询有限公司</w:t>
      </w:r>
      <w:r>
        <w:rPr>
          <w:rFonts w:hint="eastAsia" w:cs="宋体"/>
          <w:szCs w:val="24"/>
          <w:highlight w:val="none"/>
          <w:u w:val="single"/>
        </w:rPr>
        <w:t xml:space="preserve"> </w:t>
      </w:r>
    </w:p>
    <w:p w14:paraId="2E80F9B6">
      <w:pPr>
        <w:pStyle w:val="33"/>
        <w:shd w:val="clear"/>
        <w:spacing w:line="400" w:lineRule="exact"/>
        <w:ind w:firstLine="480"/>
        <w:rPr>
          <w:rFonts w:hint="eastAsia" w:cs="宋体"/>
          <w:szCs w:val="24"/>
          <w:highlight w:val="none"/>
        </w:rPr>
      </w:pPr>
      <w:r>
        <w:rPr>
          <w:rFonts w:hint="eastAsia" w:cs="宋体"/>
          <w:szCs w:val="24"/>
          <w:highlight w:val="none"/>
        </w:rPr>
        <w:t>地址：</w:t>
      </w:r>
      <w:r>
        <w:rPr>
          <w:rFonts w:hint="eastAsia" w:cs="宋体"/>
          <w:szCs w:val="24"/>
          <w:highlight w:val="none"/>
          <w:u w:val="single"/>
        </w:rPr>
        <w:t xml:space="preserve"> </w:t>
      </w:r>
      <w:r>
        <w:rPr>
          <w:rFonts w:hint="eastAsia" w:cs="宋体"/>
          <w:highlight w:val="none"/>
          <w:u w:val="single"/>
        </w:rPr>
        <w:t>乌鲁木齐经济技术开发区二期黄山街一品九点阳光德港大厦B座20楼</w:t>
      </w:r>
      <w:r>
        <w:rPr>
          <w:rFonts w:hint="eastAsia" w:cs="宋体"/>
          <w:szCs w:val="24"/>
          <w:highlight w:val="none"/>
          <w:u w:val="single"/>
        </w:rPr>
        <w:t xml:space="preserve">  </w:t>
      </w:r>
    </w:p>
    <w:p w14:paraId="1786BCA5">
      <w:pPr>
        <w:pStyle w:val="33"/>
        <w:shd w:val="clear"/>
        <w:spacing w:line="400" w:lineRule="exact"/>
        <w:ind w:firstLine="480"/>
        <w:rPr>
          <w:rFonts w:hint="eastAsia" w:cs="宋体"/>
          <w:szCs w:val="24"/>
          <w:highlight w:val="none"/>
        </w:rPr>
      </w:pPr>
      <w:r>
        <w:rPr>
          <w:rFonts w:hint="eastAsia" w:cs="宋体"/>
          <w:szCs w:val="24"/>
          <w:highlight w:val="none"/>
        </w:rPr>
        <w:t>联系方式：</w:t>
      </w:r>
      <w:r>
        <w:rPr>
          <w:rFonts w:hint="eastAsia" w:cs="宋体"/>
          <w:szCs w:val="24"/>
          <w:highlight w:val="none"/>
          <w:u w:val="single"/>
        </w:rPr>
        <w:t xml:space="preserve"> 0991-3678303  </w:t>
      </w:r>
    </w:p>
    <w:p w14:paraId="26726E91">
      <w:pPr>
        <w:pStyle w:val="33"/>
        <w:shd w:val="clear"/>
        <w:spacing w:line="400" w:lineRule="exact"/>
        <w:ind w:firstLine="480"/>
        <w:rPr>
          <w:rFonts w:hint="eastAsia" w:cs="宋体"/>
          <w:szCs w:val="24"/>
          <w:highlight w:val="none"/>
        </w:rPr>
      </w:pPr>
      <w:bookmarkStart w:id="105" w:name="_Toc35393639"/>
      <w:bookmarkStart w:id="106" w:name="_Toc28359021"/>
      <w:bookmarkStart w:id="107" w:name="_Toc35393808"/>
      <w:bookmarkStart w:id="108" w:name="_Toc28359098"/>
      <w:r>
        <w:rPr>
          <w:rFonts w:hint="eastAsia" w:cs="宋体"/>
          <w:szCs w:val="24"/>
          <w:highlight w:val="none"/>
        </w:rPr>
        <w:t>3.项目联系方式</w:t>
      </w:r>
    </w:p>
    <w:p w14:paraId="0F232BDE">
      <w:pPr>
        <w:pStyle w:val="33"/>
        <w:shd w:val="clear"/>
        <w:spacing w:line="400" w:lineRule="exact"/>
        <w:ind w:firstLine="480"/>
        <w:rPr>
          <w:rFonts w:hint="eastAsia" w:cs="宋体"/>
          <w:szCs w:val="24"/>
          <w:highlight w:val="none"/>
        </w:rPr>
      </w:pPr>
      <w:r>
        <w:rPr>
          <w:rFonts w:hint="eastAsia" w:cs="宋体"/>
          <w:szCs w:val="24"/>
          <w:highlight w:val="none"/>
        </w:rPr>
        <w:t>项目联系人：</w:t>
      </w:r>
      <w:r>
        <w:rPr>
          <w:rFonts w:hint="eastAsia" w:cs="宋体"/>
          <w:szCs w:val="24"/>
          <w:highlight w:val="none"/>
          <w:u w:val="single"/>
        </w:rPr>
        <w:t xml:space="preserve"> 李梦媛、李航、范艳娥、龚凡 </w:t>
      </w:r>
    </w:p>
    <w:bookmarkEnd w:id="105"/>
    <w:bookmarkEnd w:id="106"/>
    <w:bookmarkEnd w:id="107"/>
    <w:bookmarkEnd w:id="108"/>
    <w:p w14:paraId="208E8AA6">
      <w:pPr>
        <w:pStyle w:val="33"/>
        <w:shd w:val="clear"/>
        <w:spacing w:line="400" w:lineRule="exact"/>
        <w:ind w:firstLine="480"/>
        <w:rPr>
          <w:rFonts w:hint="eastAsia" w:cs="宋体"/>
          <w:szCs w:val="24"/>
          <w:highlight w:val="none"/>
          <w:u w:val="single"/>
        </w:rPr>
      </w:pPr>
      <w:r>
        <w:rPr>
          <w:rFonts w:hint="eastAsia" w:cs="宋体"/>
          <w:szCs w:val="24"/>
          <w:highlight w:val="none"/>
        </w:rPr>
        <w:t>电话：</w:t>
      </w:r>
      <w:r>
        <w:rPr>
          <w:rFonts w:hint="eastAsia" w:cs="宋体"/>
          <w:szCs w:val="24"/>
          <w:highlight w:val="none"/>
          <w:u w:val="single"/>
        </w:rPr>
        <w:t xml:space="preserve">  </w:t>
      </w:r>
      <w:r>
        <w:rPr>
          <w:rFonts w:hint="eastAsia" w:cs="宋体"/>
          <w:highlight w:val="none"/>
          <w:u w:val="single"/>
        </w:rPr>
        <w:t>0991-3678303</w:t>
      </w:r>
      <w:r>
        <w:rPr>
          <w:rFonts w:hint="eastAsia" w:cs="宋体"/>
          <w:szCs w:val="24"/>
          <w:highlight w:val="none"/>
          <w:u w:val="single"/>
        </w:rPr>
        <w:t xml:space="preserve">  </w:t>
      </w:r>
    </w:p>
    <w:p w14:paraId="444E6A74">
      <w:pPr>
        <w:shd w:val="clear"/>
        <w:rPr>
          <w:color w:val="auto"/>
          <w:highlight w:val="none"/>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1E2C9AB2">
      <w:pPr>
        <w:pStyle w:val="3"/>
        <w:keepNext/>
        <w:keepLines/>
        <w:pageBreakBefore w:val="0"/>
        <w:widowControl w:val="0"/>
        <w:numPr>
          <w:ilvl w:val="0"/>
          <w:numId w:val="0"/>
        </w:numPr>
        <w:shd w:val="clea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09" w:name="_Toc28863"/>
      <w:bookmarkStart w:id="110" w:name="_Toc16855"/>
      <w:r>
        <w:rPr>
          <w:rFonts w:hint="eastAsia" w:ascii="宋体" w:hAnsi="宋体" w:eastAsia="宋体" w:cs="宋体"/>
          <w:b/>
          <w:bCs/>
          <w:color w:val="auto"/>
          <w:kern w:val="44"/>
          <w:sz w:val="36"/>
          <w:szCs w:val="36"/>
          <w:highlight w:val="none"/>
          <w:lang w:val="en-US" w:eastAsia="zh-CN" w:bidi="ar-SA"/>
        </w:rPr>
        <w:t>第二章 供应商须知</w:t>
      </w:r>
      <w:bookmarkEnd w:id="109"/>
      <w:bookmarkEnd w:id="110"/>
    </w:p>
    <w:p w14:paraId="224924B5">
      <w:pPr>
        <w:pStyle w:val="4"/>
        <w:keepNext/>
        <w:keepLines/>
        <w:pageBreakBefore w:val="0"/>
        <w:widowControl w:val="0"/>
        <w:numPr>
          <w:ilvl w:val="0"/>
          <w:numId w:val="0"/>
        </w:numPr>
        <w:shd w:val="clea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11" w:name="_Toc7178"/>
      <w:bookmarkStart w:id="112" w:name="_Toc1792"/>
      <w:r>
        <w:rPr>
          <w:rFonts w:hint="eastAsia" w:eastAsia="宋体" w:asciiTheme="majorHAnsi" w:hAnsiTheme="majorHAnsi" w:cstheme="majorBidi"/>
          <w:b/>
          <w:bCs/>
          <w:color w:val="auto"/>
          <w:kern w:val="2"/>
          <w:sz w:val="28"/>
          <w:szCs w:val="28"/>
          <w:highlight w:val="none"/>
          <w:lang w:val="en-US" w:eastAsia="zh-CN" w:bidi="ar-SA"/>
        </w:rPr>
        <w:t>一、供应商须知前附表</w:t>
      </w:r>
      <w:bookmarkEnd w:id="111"/>
      <w:bookmarkEnd w:id="112"/>
    </w:p>
    <w:p w14:paraId="016068EF">
      <w:pPr>
        <w:pStyle w:val="33"/>
        <w:shd w:val="clear"/>
        <w:ind w:firstLine="480"/>
        <w:rPr>
          <w:color w:val="auto"/>
          <w:highlight w:val="none"/>
        </w:rPr>
      </w:pPr>
      <w:r>
        <w:rPr>
          <w:rFonts w:hint="eastAsia"/>
          <w:color w:val="auto"/>
          <w:highlight w:val="none"/>
          <w:lang w:val="en-US" w:eastAsia="zh-CN"/>
        </w:rPr>
        <w:t>谈判</w:t>
      </w:r>
      <w:r>
        <w:rPr>
          <w:rFonts w:hint="eastAsia"/>
          <w:color w:val="auto"/>
          <w:highlight w:val="none"/>
        </w:rPr>
        <w:t>供应商应仔细阅读本</w:t>
      </w:r>
      <w:r>
        <w:rPr>
          <w:rFonts w:hint="eastAsia"/>
          <w:color w:val="auto"/>
          <w:highlight w:val="none"/>
          <w:lang w:val="en-US" w:eastAsia="zh-CN"/>
        </w:rPr>
        <w:t>谈判</w:t>
      </w:r>
      <w:r>
        <w:rPr>
          <w:rFonts w:hint="eastAsia"/>
          <w:color w:val="auto"/>
          <w:highlight w:val="none"/>
        </w:rPr>
        <w:t>文件的第二章“供应商须知”，下面所列资料是对“供应商须知”的具体补充和说明。如有矛盾，应以本表为准。</w:t>
      </w:r>
      <w:r>
        <w:rPr>
          <w:rFonts w:hint="eastAsia"/>
          <w:color w:val="auto"/>
          <w:highlight w:val="none"/>
          <w:lang w:val="en-US" w:eastAsia="zh-CN"/>
        </w:rPr>
        <w:t>标记“</w:t>
      </w:r>
      <w:r>
        <w:rPr>
          <w:rFonts w:hint="eastAsia" w:ascii="宋体" w:hAnsi="宋体" w:eastAsia="宋体"/>
          <w:color w:val="auto"/>
          <w:highlight w:val="none"/>
          <w:lang w:val="en-US" w:eastAsia="zh-CN"/>
        </w:rPr>
        <w:t>☑”的选项意为适用于本项目，标记“</w:t>
      </w:r>
      <w:r>
        <w:rPr>
          <w:rFonts w:hint="eastAsia" w:cs="宋体"/>
          <w:color w:val="auto"/>
          <w:sz w:val="24"/>
          <w:szCs w:val="24"/>
          <w:highlight w:val="none"/>
        </w:rPr>
        <w:sym w:font="Wingdings" w:char="00A8"/>
      </w:r>
      <w:r>
        <w:rPr>
          <w:rFonts w:hint="eastAsia" w:ascii="宋体" w:hAnsi="宋体" w:eastAsia="宋体"/>
          <w:color w:val="auto"/>
          <w:highlight w:val="none"/>
          <w:lang w:val="en-US" w:eastAsia="zh-CN"/>
        </w:rPr>
        <w:t>”的选项意为不适用于本项目。</w:t>
      </w:r>
    </w:p>
    <w:tbl>
      <w:tblPr>
        <w:tblStyle w:val="27"/>
        <w:tblW w:w="9391" w:type="dxa"/>
        <w:tblInd w:w="-456"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21"/>
        <w:gridCol w:w="6700"/>
      </w:tblGrid>
      <w:tr w14:paraId="5EEA9A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32"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5EA5529">
            <w:pPr>
              <w:pStyle w:val="44"/>
              <w:shd w:val="clear"/>
              <w:jc w:val="center"/>
              <w:rPr>
                <w:rFonts w:hint="eastAsia" w:ascii="宋体" w:hAnsi="宋体" w:eastAsia="宋体" w:cs="宋体"/>
                <w:b/>
                <w:bCs/>
                <w:color w:val="auto"/>
                <w:sz w:val="24"/>
                <w:szCs w:val="24"/>
                <w:highlight w:val="none"/>
              </w:rPr>
            </w:pPr>
            <w:bookmarkStart w:id="113" w:name="_Hlk161703381"/>
            <w:r>
              <w:rPr>
                <w:rFonts w:hint="eastAsia" w:ascii="宋体" w:hAnsi="宋体" w:eastAsia="宋体" w:cs="宋体"/>
                <w:b/>
                <w:bCs/>
                <w:color w:val="auto"/>
                <w:sz w:val="24"/>
                <w:szCs w:val="24"/>
                <w:highlight w:val="none"/>
              </w:rPr>
              <w:t>条款号</w:t>
            </w:r>
          </w:p>
        </w:tc>
        <w:tc>
          <w:tcPr>
            <w:tcW w:w="1721"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60503F1">
            <w:pPr>
              <w:pStyle w:val="44"/>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777820C">
            <w:pPr>
              <w:pStyle w:val="44"/>
              <w:shd w:val="clea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00CDAA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66D2FF53">
            <w:pPr>
              <w:pStyle w:val="44"/>
              <w:shd w:val="clea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721" w:type="dxa"/>
            <w:tcBorders>
              <w:top w:val="single" w:color="auto" w:sz="2" w:space="0"/>
              <w:left w:val="single" w:color="auto" w:sz="2" w:space="0"/>
              <w:bottom w:val="single" w:color="auto" w:sz="2" w:space="0"/>
              <w:right w:val="single" w:color="auto" w:sz="2" w:space="0"/>
            </w:tcBorders>
            <w:vAlign w:val="center"/>
          </w:tcPr>
          <w:p w14:paraId="551BCB83">
            <w:pPr>
              <w:pStyle w:val="44"/>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核心产品</w:t>
            </w:r>
          </w:p>
        </w:tc>
        <w:tc>
          <w:tcPr>
            <w:tcW w:w="6700" w:type="dxa"/>
            <w:tcBorders>
              <w:top w:val="single" w:color="auto" w:sz="2" w:space="0"/>
              <w:left w:val="single" w:color="auto" w:sz="2" w:space="0"/>
              <w:bottom w:val="single" w:color="auto" w:sz="2" w:space="0"/>
              <w:right w:val="single" w:color="auto" w:sz="2" w:space="0"/>
            </w:tcBorders>
            <w:vAlign w:val="center"/>
          </w:tcPr>
          <w:p w14:paraId="0A60E333">
            <w:pPr>
              <w:pStyle w:val="44"/>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 xml:space="preserve">本项目不适用。 </w:t>
            </w:r>
          </w:p>
          <w:p w14:paraId="603E08B8">
            <w:pPr>
              <w:pStyle w:val="44"/>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 xml:space="preserve">本项目为单一产品采购项目。 </w:t>
            </w:r>
          </w:p>
          <w:p w14:paraId="61FC74A4">
            <w:pPr>
              <w:pStyle w:val="44"/>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本项目为非单一产品采购项目，其中核心产品为：</w:t>
            </w:r>
            <w:r>
              <w:rPr>
                <w:rFonts w:hint="eastAsia" w:ascii="宋体" w:hAnsi="宋体" w:eastAsia="宋体" w:cs="宋体"/>
                <w:color w:val="auto"/>
                <w:sz w:val="24"/>
                <w:szCs w:val="24"/>
                <w:highlight w:val="none"/>
                <w:u w:val="single"/>
                <w:lang w:val="en-US" w:eastAsia="zh-CN"/>
              </w:rPr>
              <w:t xml:space="preserve"> 种犬粮</w:t>
            </w:r>
            <w:r>
              <w:rPr>
                <w:rFonts w:hint="eastAsia" w:cs="宋体"/>
                <w:color w:val="auto"/>
                <w:sz w:val="24"/>
                <w:szCs w:val="24"/>
                <w:highlight w:val="none"/>
                <w:u w:val="single"/>
                <w:lang w:val="en-US" w:eastAsia="zh-CN"/>
              </w:rPr>
              <w:t>、成犬粮、幼犬粮</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w:t>
            </w:r>
          </w:p>
        </w:tc>
      </w:tr>
      <w:tr w14:paraId="1D8B4A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648EF93E">
            <w:pPr>
              <w:pStyle w:val="44"/>
              <w:shd w:val="clea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w:t>
            </w:r>
          </w:p>
        </w:tc>
        <w:tc>
          <w:tcPr>
            <w:tcW w:w="1721" w:type="dxa"/>
            <w:tcBorders>
              <w:top w:val="single" w:color="auto" w:sz="2" w:space="0"/>
              <w:left w:val="single" w:color="auto" w:sz="2" w:space="0"/>
              <w:bottom w:val="single" w:color="auto" w:sz="2" w:space="0"/>
              <w:right w:val="single" w:color="auto" w:sz="2" w:space="0"/>
            </w:tcBorders>
            <w:vAlign w:val="center"/>
          </w:tcPr>
          <w:p w14:paraId="684D5D8B">
            <w:pPr>
              <w:keepNext w:val="0"/>
              <w:keepLines w:val="0"/>
              <w:widowControl/>
              <w:suppressLineNumbers w:val="0"/>
              <w:shd w:val="clear"/>
              <w:spacing w:line="240" w:lineRule="auto"/>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科研仪器设备</w:t>
            </w:r>
          </w:p>
        </w:tc>
        <w:tc>
          <w:tcPr>
            <w:tcW w:w="6700" w:type="dxa"/>
            <w:tcBorders>
              <w:top w:val="single" w:color="auto" w:sz="2" w:space="0"/>
              <w:left w:val="single" w:color="auto" w:sz="2" w:space="0"/>
              <w:bottom w:val="single" w:color="auto" w:sz="2" w:space="0"/>
              <w:right w:val="single" w:color="auto" w:sz="2" w:space="0"/>
            </w:tcBorders>
            <w:vAlign w:val="center"/>
          </w:tcPr>
          <w:p w14:paraId="19FDECD0">
            <w:pPr>
              <w:keepNext w:val="0"/>
              <w:keepLines w:val="0"/>
              <w:widowControl/>
              <w:suppressLineNumbers w:val="0"/>
              <w:shd w:val="clear"/>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是否属于科研仪器设备采购项目： </w:t>
            </w:r>
          </w:p>
          <w:p w14:paraId="341E7760">
            <w:pPr>
              <w:keepNext w:val="0"/>
              <w:keepLines w:val="0"/>
              <w:widowControl/>
              <w:suppressLineNumbers w:val="0"/>
              <w:shd w:val="clear"/>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 xml:space="preserve">是 </w:t>
            </w:r>
          </w:p>
          <w:p w14:paraId="2C80CB22">
            <w:pPr>
              <w:keepNext w:val="0"/>
              <w:keepLines w:val="0"/>
              <w:widowControl/>
              <w:suppressLineNumbers w:val="0"/>
              <w:shd w:val="clear"/>
              <w:spacing w:line="240" w:lineRule="auto"/>
              <w:jc w:val="left"/>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否</w:t>
            </w:r>
          </w:p>
        </w:tc>
      </w:tr>
      <w:tr w14:paraId="705471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2AEE4073">
            <w:pPr>
              <w:pStyle w:val="44"/>
              <w:shd w:val="clea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lang w:val="en-US" w:eastAsia="zh-CN"/>
              </w:rPr>
              <w:t>.1</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71CF8DC6">
            <w:pPr>
              <w:pStyle w:val="44"/>
              <w:shd w:val="clear"/>
              <w:rPr>
                <w:rFonts w:hint="eastAsia" w:ascii="宋体" w:hAnsi="宋体" w:eastAsia="宋体" w:cs="宋体"/>
                <w:color w:val="auto"/>
                <w:sz w:val="24"/>
                <w:szCs w:val="24"/>
                <w:highlight w:val="none"/>
              </w:rPr>
            </w:pPr>
            <w:bookmarkStart w:id="114" w:name="_Hlk143529175"/>
            <w:r>
              <w:rPr>
                <w:rFonts w:hint="eastAsia" w:ascii="宋体" w:hAnsi="宋体" w:eastAsia="宋体" w:cs="宋体"/>
                <w:color w:val="auto"/>
                <w:sz w:val="24"/>
                <w:szCs w:val="24"/>
                <w:highlight w:val="none"/>
              </w:rPr>
              <w:t>现场考察</w:t>
            </w:r>
            <w:bookmarkEnd w:id="114"/>
          </w:p>
        </w:tc>
        <w:tc>
          <w:tcPr>
            <w:tcW w:w="6700" w:type="dxa"/>
            <w:tcBorders>
              <w:top w:val="single" w:color="auto" w:sz="2" w:space="0"/>
              <w:left w:val="single" w:color="auto" w:sz="2" w:space="0"/>
              <w:bottom w:val="single" w:color="auto" w:sz="2" w:space="0"/>
              <w:right w:val="single" w:color="auto" w:sz="2" w:space="0"/>
            </w:tcBorders>
            <w:shd w:val="clear" w:color="auto" w:fill="auto"/>
            <w:vAlign w:val="center"/>
          </w:tcPr>
          <w:p w14:paraId="5E2B3EE4">
            <w:pPr>
              <w:pStyle w:val="44"/>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不组织，供应商自行前往</w:t>
            </w:r>
            <w:r>
              <w:rPr>
                <w:rFonts w:hint="eastAsia" w:ascii="宋体" w:hAnsi="宋体" w:eastAsia="宋体" w:cs="宋体"/>
                <w:color w:val="auto"/>
                <w:sz w:val="24"/>
                <w:szCs w:val="24"/>
                <w:highlight w:val="none"/>
                <w:lang w:eastAsia="zh-CN"/>
              </w:rPr>
              <w:t>。</w:t>
            </w:r>
          </w:p>
          <w:p w14:paraId="2238EF6A">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047A7004">
            <w:pPr>
              <w:pStyle w:val="44"/>
              <w:shd w:val="clea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520FC15">
            <w:pPr>
              <w:pStyle w:val="44"/>
              <w:shd w:val="clea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B8528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3AA490D3">
            <w:pPr>
              <w:pStyle w:val="44"/>
              <w:shd w:val="clea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9.5</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06B687FF">
            <w:pPr>
              <w:pStyle w:val="44"/>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答疑会</w:t>
            </w:r>
          </w:p>
        </w:tc>
        <w:tc>
          <w:tcPr>
            <w:tcW w:w="6700" w:type="dxa"/>
            <w:tcBorders>
              <w:top w:val="single" w:color="auto" w:sz="2" w:space="0"/>
              <w:left w:val="single" w:color="auto" w:sz="2" w:space="0"/>
              <w:bottom w:val="single" w:color="auto" w:sz="2" w:space="0"/>
              <w:right w:val="single" w:color="auto" w:sz="2" w:space="0"/>
            </w:tcBorders>
            <w:shd w:val="clear" w:color="auto" w:fill="auto"/>
            <w:vAlign w:val="center"/>
          </w:tcPr>
          <w:p w14:paraId="2311FEB9">
            <w:pPr>
              <w:pStyle w:val="44"/>
              <w:shd w:val="clea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0460CD8F">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0485F5E8">
            <w:pPr>
              <w:pStyle w:val="44"/>
              <w:shd w:val="clea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051C6642">
            <w:pPr>
              <w:pStyle w:val="44"/>
              <w:shd w:val="clear"/>
              <w:ind w:firstLine="240" w:firstLineChars="1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50FF56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6CBF1A30">
            <w:pPr>
              <w:pStyle w:val="44"/>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4A7BE250">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询问</w:t>
            </w:r>
          </w:p>
        </w:tc>
        <w:tc>
          <w:tcPr>
            <w:tcW w:w="6700" w:type="dxa"/>
            <w:tcBorders>
              <w:top w:val="single" w:color="auto" w:sz="2" w:space="0"/>
              <w:left w:val="single" w:color="auto" w:sz="2" w:space="0"/>
              <w:bottom w:val="single" w:color="auto" w:sz="2" w:space="0"/>
              <w:right w:val="single" w:color="auto" w:sz="2" w:space="0"/>
            </w:tcBorders>
            <w:vAlign w:val="center"/>
          </w:tcPr>
          <w:p w14:paraId="1A9C5B00">
            <w:pPr>
              <w:pStyle w:val="44"/>
              <w:shd w:val="clear"/>
              <w:rPr>
                <w:rFonts w:hint="eastAsia" w:cs="宋体"/>
                <w:sz w:val="24"/>
                <w:szCs w:val="24"/>
                <w:highlight w:val="none"/>
              </w:rPr>
            </w:pPr>
            <w:r>
              <w:rPr>
                <w:rFonts w:hint="eastAsia" w:cs="宋体"/>
                <w:sz w:val="24"/>
                <w:szCs w:val="24"/>
                <w:highlight w:val="none"/>
              </w:rPr>
              <w:t>1.方式：在供应商客户端中按照格式填写询问函，并在生成询问函后加盖电子印章提交；其他询问方式：</w:t>
            </w:r>
            <w:r>
              <w:rPr>
                <w:rFonts w:hint="eastAsia" w:cs="宋体"/>
                <w:sz w:val="24"/>
                <w:szCs w:val="24"/>
                <w:highlight w:val="none"/>
                <w:u w:val="single"/>
              </w:rPr>
              <w:t xml:space="preserve"> 书面形式递交至代理机构 </w:t>
            </w:r>
            <w:r>
              <w:rPr>
                <w:rFonts w:hint="eastAsia" w:cs="宋体"/>
                <w:sz w:val="24"/>
                <w:szCs w:val="24"/>
                <w:highlight w:val="none"/>
              </w:rPr>
              <w:t>。</w:t>
            </w:r>
          </w:p>
          <w:p w14:paraId="43AF5EAE">
            <w:pPr>
              <w:pStyle w:val="44"/>
              <w:shd w:val="clear"/>
              <w:rPr>
                <w:rFonts w:hint="eastAsia" w:cs="宋体"/>
                <w:sz w:val="24"/>
                <w:szCs w:val="24"/>
                <w:highlight w:val="none"/>
              </w:rPr>
            </w:pPr>
            <w:r>
              <w:rPr>
                <w:rFonts w:hint="eastAsia" w:cs="宋体"/>
                <w:sz w:val="24"/>
                <w:szCs w:val="24"/>
                <w:highlight w:val="none"/>
              </w:rPr>
              <w:t>2.时间要求： 每天上午10:00至14:00，下午16:00至19:00（北京时间，法定节假日除外） 。</w:t>
            </w:r>
          </w:p>
          <w:p w14:paraId="041C52C1">
            <w:pPr>
              <w:pStyle w:val="44"/>
              <w:shd w:val="clear"/>
              <w:rPr>
                <w:rFonts w:hint="eastAsia" w:cs="宋体"/>
                <w:sz w:val="24"/>
                <w:szCs w:val="24"/>
                <w:highlight w:val="none"/>
              </w:rPr>
            </w:pPr>
            <w:r>
              <w:rPr>
                <w:rFonts w:hint="eastAsia" w:cs="宋体"/>
                <w:sz w:val="24"/>
                <w:szCs w:val="24"/>
                <w:highlight w:val="none"/>
              </w:rPr>
              <w:t>注：澄清、修改文件发出后，供应商必须根据最新的澄清文件制作电子投标文件，否则将影响投标文件的完整性。</w:t>
            </w:r>
          </w:p>
        </w:tc>
      </w:tr>
      <w:tr w14:paraId="4571B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697CBDA8">
            <w:pPr>
              <w:pStyle w:val="44"/>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56E4A3E9">
            <w:pPr>
              <w:pStyle w:val="44"/>
              <w:shd w:val="clea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★响应文件有效期</w:t>
            </w:r>
          </w:p>
        </w:tc>
        <w:tc>
          <w:tcPr>
            <w:tcW w:w="6700" w:type="dxa"/>
            <w:tcBorders>
              <w:top w:val="single" w:color="auto" w:sz="2" w:space="0"/>
              <w:left w:val="single" w:color="auto" w:sz="2" w:space="0"/>
              <w:bottom w:val="single" w:color="auto" w:sz="2" w:space="0"/>
              <w:right w:val="single" w:color="auto" w:sz="2" w:space="0"/>
            </w:tcBorders>
            <w:vAlign w:val="center"/>
          </w:tcPr>
          <w:p w14:paraId="7A8404D2">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响应文件递交截止日期后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49C77E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26C48057">
            <w:pPr>
              <w:pStyle w:val="44"/>
              <w:shd w:val="clea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p>
        </w:tc>
        <w:tc>
          <w:tcPr>
            <w:tcW w:w="1721" w:type="dxa"/>
            <w:tcBorders>
              <w:top w:val="single" w:color="auto" w:sz="2" w:space="0"/>
              <w:left w:val="single" w:color="auto" w:sz="2" w:space="0"/>
              <w:bottom w:val="single" w:color="auto" w:sz="2" w:space="0"/>
              <w:right w:val="single" w:color="auto" w:sz="2" w:space="0"/>
            </w:tcBorders>
            <w:vAlign w:val="center"/>
          </w:tcPr>
          <w:p w14:paraId="60D2F551">
            <w:pPr>
              <w:pStyle w:val="44"/>
              <w:shd w:val="clea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保证金</w:t>
            </w:r>
          </w:p>
        </w:tc>
        <w:tc>
          <w:tcPr>
            <w:tcW w:w="6700" w:type="dxa"/>
            <w:tcBorders>
              <w:top w:val="single" w:color="auto" w:sz="2" w:space="0"/>
              <w:left w:val="single" w:color="auto" w:sz="2" w:space="0"/>
              <w:bottom w:val="single" w:color="auto" w:sz="2" w:space="0"/>
              <w:right w:val="single" w:color="auto" w:sz="2" w:space="0"/>
            </w:tcBorders>
            <w:vAlign w:val="center"/>
          </w:tcPr>
          <w:p w14:paraId="6A5BD78D">
            <w:pPr>
              <w:pStyle w:val="54"/>
              <w:keepNext w:val="0"/>
              <w:keepLines w:val="0"/>
              <w:pageBreakBefore w:val="0"/>
              <w:widowControl w:val="0"/>
              <w:shd w:val="clear" w:color="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1F705AC0">
            <w:pPr>
              <w:pStyle w:val="54"/>
              <w:keepNext w:val="0"/>
              <w:keepLines w:val="0"/>
              <w:pageBreakBefore w:val="0"/>
              <w:widowControl w:val="0"/>
              <w:shd w:val="clear" w:color="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5033BC8E">
            <w:pPr>
              <w:pStyle w:val="54"/>
              <w:keepNext w:val="0"/>
              <w:keepLines w:val="0"/>
              <w:pageBreakBefore w:val="0"/>
              <w:widowControl w:val="0"/>
              <w:shd w:val="clear" w:color="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lang w:eastAsia="zh-CN"/>
              </w:rPr>
              <w:t>。</w:t>
            </w:r>
          </w:p>
          <w:p w14:paraId="31FDD906">
            <w:pPr>
              <w:pStyle w:val="54"/>
              <w:keepNext w:val="0"/>
              <w:keepLines w:val="0"/>
              <w:pageBreakBefore w:val="0"/>
              <w:widowControl w:val="0"/>
              <w:shd w:val="clear" w:color="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定额收取：</w:t>
            </w:r>
            <w:r>
              <w:rPr>
                <w:rFonts w:hint="eastAsia" w:ascii="宋体" w:hAnsi="宋体" w:eastAsia="宋体" w:cs="宋体"/>
                <w:color w:val="auto"/>
                <w:sz w:val="24"/>
                <w:szCs w:val="24"/>
                <w:highlight w:val="none"/>
                <w:u w:val="single"/>
              </w:rPr>
              <w:t xml:space="preserve">人民币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元</w:t>
            </w:r>
            <w:r>
              <w:rPr>
                <w:rFonts w:hint="eastAsia" w:ascii="宋体" w:hAnsi="宋体" w:eastAsia="宋体" w:cs="宋体"/>
                <w:color w:val="auto"/>
                <w:sz w:val="24"/>
                <w:szCs w:val="24"/>
                <w:highlight w:val="none"/>
                <w:lang w:eastAsia="zh-CN"/>
              </w:rPr>
              <w:t>。</w:t>
            </w:r>
          </w:p>
          <w:p w14:paraId="73F09281">
            <w:pPr>
              <w:pStyle w:val="54"/>
              <w:keepNext w:val="0"/>
              <w:keepLines w:val="0"/>
              <w:pageBreakBefore w:val="0"/>
              <w:widowControl w:val="0"/>
              <w:shd w:val="clear" w:color="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4077D0C0">
            <w:pPr>
              <w:pStyle w:val="54"/>
              <w:keepNext w:val="0"/>
              <w:keepLines w:val="0"/>
              <w:pageBreakBefore w:val="0"/>
              <w:widowControl w:val="0"/>
              <w:shd w:val="clear" w:color="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供应商可自主选择以支票、汇票、本票、电汇、转账、网银、保函等非现金形式缴纳或提交保证金。</w:t>
            </w:r>
          </w:p>
          <w:p w14:paraId="3BF881EC">
            <w:pPr>
              <w:pStyle w:val="54"/>
              <w:keepNext w:val="0"/>
              <w:keepLines w:val="0"/>
              <w:pageBreakBefore w:val="0"/>
              <w:widowControl w:val="0"/>
              <w:shd w:val="clear" w:color="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收取单位：                            </w:t>
            </w:r>
          </w:p>
          <w:p w14:paraId="0D11824F">
            <w:pPr>
              <w:pStyle w:val="54"/>
              <w:keepNext w:val="0"/>
              <w:keepLines w:val="0"/>
              <w:pageBreakBefore w:val="0"/>
              <w:widowControl w:val="0"/>
              <w:shd w:val="clear" w:color="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4.收取账号：</w:t>
            </w:r>
            <w:r>
              <w:rPr>
                <w:rFonts w:hint="eastAsia" w:ascii="宋体" w:hAnsi="宋体" w:eastAsia="宋体" w:cs="宋体"/>
                <w:color w:val="auto"/>
                <w:sz w:val="24"/>
                <w:szCs w:val="24"/>
                <w:highlight w:val="none"/>
              </w:rPr>
              <w:t xml:space="preserve">              </w:t>
            </w:r>
          </w:p>
          <w:p w14:paraId="1F174ACF">
            <w:pPr>
              <w:pStyle w:val="54"/>
              <w:keepNext w:val="0"/>
              <w:keepLines w:val="0"/>
              <w:pageBreakBefore w:val="0"/>
              <w:widowControl w:val="0"/>
              <w:shd w:val="clear" w:color="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退还时间：                </w:t>
            </w:r>
          </w:p>
          <w:p w14:paraId="0C79EF6C">
            <w:pPr>
              <w:pStyle w:val="54"/>
              <w:keepNext w:val="0"/>
              <w:keepLines w:val="0"/>
              <w:pageBreakBefore w:val="0"/>
              <w:widowControl w:val="0"/>
              <w:shd w:val="clear" w:color="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注意事项：</w:t>
            </w:r>
          </w:p>
          <w:p w14:paraId="7CEAD366">
            <w:pPr>
              <w:pStyle w:val="54"/>
              <w:keepNext w:val="0"/>
              <w:keepLines w:val="0"/>
              <w:pageBreakBefore w:val="0"/>
              <w:widowControl w:val="0"/>
              <w:shd w:val="clear" w:color="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51E0176B">
            <w:pPr>
              <w:pStyle w:val="54"/>
              <w:keepNext w:val="0"/>
              <w:keepLines w:val="0"/>
              <w:pageBreakBefore w:val="0"/>
              <w:widowControl w:val="0"/>
              <w:shd w:val="clear" w:color="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以担保函、保证保险形式缴纳保证金的，受益人和收取单位须为采购人。</w:t>
            </w:r>
          </w:p>
        </w:tc>
      </w:tr>
      <w:tr w14:paraId="7111AC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5" w:hRule="atLeast"/>
        </w:trPr>
        <w:tc>
          <w:tcPr>
            <w:tcW w:w="970" w:type="dxa"/>
            <w:tcBorders>
              <w:top w:val="single" w:color="auto" w:sz="2" w:space="0"/>
              <w:left w:val="single" w:color="auto" w:sz="2" w:space="0"/>
              <w:bottom w:val="single" w:color="auto" w:sz="2" w:space="0"/>
              <w:right w:val="single" w:color="auto" w:sz="2" w:space="0"/>
            </w:tcBorders>
            <w:vAlign w:val="center"/>
          </w:tcPr>
          <w:p w14:paraId="61BD2EB4">
            <w:pPr>
              <w:pStyle w:val="44"/>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22.1</w:t>
            </w:r>
          </w:p>
        </w:tc>
        <w:tc>
          <w:tcPr>
            <w:tcW w:w="1721" w:type="dxa"/>
            <w:tcBorders>
              <w:top w:val="single" w:color="auto" w:sz="2" w:space="0"/>
              <w:left w:val="single" w:color="auto" w:sz="2" w:space="0"/>
              <w:bottom w:val="single" w:color="auto" w:sz="2" w:space="0"/>
              <w:right w:val="single" w:color="auto" w:sz="2" w:space="0"/>
            </w:tcBorders>
            <w:vAlign w:val="center"/>
          </w:tcPr>
          <w:p w14:paraId="5DF09144">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实物样品</w:t>
            </w:r>
          </w:p>
        </w:tc>
        <w:tc>
          <w:tcPr>
            <w:tcW w:w="6700" w:type="dxa"/>
            <w:tcBorders>
              <w:top w:val="single" w:color="auto" w:sz="2" w:space="0"/>
              <w:left w:val="single" w:color="auto" w:sz="2" w:space="0"/>
              <w:bottom w:val="single" w:color="auto" w:sz="2" w:space="0"/>
              <w:right w:val="single" w:color="auto" w:sz="2" w:space="0"/>
            </w:tcBorders>
            <w:vAlign w:val="center"/>
          </w:tcPr>
          <w:p w14:paraId="1A755E2A">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样品递交： </w:t>
            </w:r>
          </w:p>
          <w:p w14:paraId="2DA6B3DD">
            <w:pPr>
              <w:pStyle w:val="44"/>
              <w:shd w:val="clear"/>
              <w:ind w:firstLine="240" w:firstLineChars="100"/>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不需要 </w:t>
            </w:r>
          </w:p>
          <w:p w14:paraId="6CF1D977">
            <w:pPr>
              <w:pStyle w:val="44"/>
              <w:shd w:val="clear"/>
              <w:ind w:firstLine="240" w:firstLineChars="100"/>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需要，具体要求如下： </w:t>
            </w:r>
          </w:p>
          <w:p w14:paraId="057180A3">
            <w:pPr>
              <w:pStyle w:val="44"/>
              <w:shd w:val="clea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1.样品制作的标准和要求：_</w:t>
            </w:r>
            <w:r>
              <w:rPr>
                <w:rFonts w:hint="eastAsia" w:cs="宋体"/>
                <w:color w:val="auto"/>
                <w:sz w:val="24"/>
                <w:szCs w:val="24"/>
                <w:highlight w:val="none"/>
                <w:u w:val="single"/>
                <w:lang w:val="en-US" w:eastAsia="zh-CN"/>
              </w:rPr>
              <w:t>详见第三章项目采购需求参数要求，样品递交明细及数量详见三章项目采购需求</w:t>
            </w:r>
            <w:r>
              <w:rPr>
                <w:rFonts w:hint="eastAsia" w:ascii="宋体" w:hAnsi="宋体" w:eastAsia="宋体" w:cs="宋体"/>
                <w:color w:val="auto"/>
                <w:sz w:val="24"/>
                <w:szCs w:val="24"/>
                <w:highlight w:val="none"/>
                <w:lang w:val="en-US" w:eastAsia="zh-CN"/>
              </w:rPr>
              <w:t xml:space="preserve">__； </w:t>
            </w:r>
          </w:p>
          <w:p w14:paraId="23BD1F4B">
            <w:pPr>
              <w:pStyle w:val="44"/>
              <w:shd w:val="clea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2.是否需要随样品提交相关检测报告： </w:t>
            </w:r>
          </w:p>
          <w:p w14:paraId="1C722A75">
            <w:pPr>
              <w:pStyle w:val="44"/>
              <w:shd w:val="clea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□不需要 </w:t>
            </w:r>
          </w:p>
          <w:p w14:paraId="612E9C11">
            <w:pPr>
              <w:pStyle w:val="44"/>
              <w:shd w:val="clear"/>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需要 </w:t>
            </w:r>
          </w:p>
          <w:p w14:paraId="140A7E83">
            <w:pPr>
              <w:pStyle w:val="44"/>
              <w:shd w:val="clear"/>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3.样品递交要求：</w:t>
            </w:r>
          </w:p>
          <w:p w14:paraId="163503B2">
            <w:pPr>
              <w:pStyle w:val="44"/>
              <w:shd w:val="clea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递交时间：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响应</w:t>
            </w:r>
            <w:r>
              <w:rPr>
                <w:rFonts w:hint="eastAsia" w:ascii="宋体" w:hAnsi="宋体" w:eastAsia="宋体" w:cs="宋体"/>
                <w:color w:val="auto"/>
                <w:sz w:val="24"/>
                <w:szCs w:val="24"/>
                <w:highlight w:val="none"/>
                <w:u w:val="single"/>
                <w:lang w:val="en-US" w:eastAsia="zh-CN"/>
              </w:rPr>
              <w:t>截止时间前递交（并保证评审时可正常</w:t>
            </w:r>
            <w:r>
              <w:rPr>
                <w:rFonts w:hint="eastAsia" w:cs="宋体"/>
                <w:color w:val="auto"/>
                <w:sz w:val="24"/>
                <w:szCs w:val="24"/>
                <w:highlight w:val="none"/>
                <w:u w:val="single"/>
                <w:lang w:val="en-US" w:eastAsia="zh-CN"/>
              </w:rPr>
              <w:t>查看</w:t>
            </w:r>
            <w:r>
              <w:rPr>
                <w:rFonts w:hint="eastAsia" w:ascii="宋体" w:hAnsi="宋体" w:eastAsia="宋体" w:cs="宋体"/>
                <w:color w:val="auto"/>
                <w:sz w:val="24"/>
                <w:szCs w:val="24"/>
                <w:highlight w:val="none"/>
                <w:u w:val="single"/>
                <w:lang w:val="en-US" w:eastAsia="zh-CN"/>
              </w:rPr>
              <w:t xml:space="preserve">）未按规定时间递交样品的单位拒不接收。 </w:t>
            </w:r>
            <w:r>
              <w:rPr>
                <w:rFonts w:hint="eastAsia" w:ascii="宋体" w:hAnsi="宋体" w:eastAsia="宋体" w:cs="宋体"/>
                <w:color w:val="auto"/>
                <w:sz w:val="24"/>
                <w:szCs w:val="24"/>
                <w:highlight w:val="none"/>
                <w:lang w:val="en-US" w:eastAsia="zh-CN"/>
              </w:rPr>
              <w:t xml:space="preserve"> </w:t>
            </w:r>
          </w:p>
          <w:p w14:paraId="405BE77E">
            <w:pPr>
              <w:pStyle w:val="44"/>
              <w:shd w:val="clea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邮寄或到采购代理公司现场递交（</w:t>
            </w:r>
            <w:r>
              <w:rPr>
                <w:rFonts w:hint="eastAsia" w:cs="宋体"/>
                <w:color w:val="auto"/>
                <w:sz w:val="24"/>
                <w:szCs w:val="24"/>
                <w:highlight w:val="none"/>
                <w:u w:val="single"/>
                <w:lang w:val="en-US" w:eastAsia="zh-CN"/>
              </w:rPr>
              <w:t>响应供应商</w:t>
            </w:r>
            <w:r>
              <w:rPr>
                <w:rFonts w:hint="eastAsia" w:ascii="宋体" w:hAnsi="宋体" w:eastAsia="宋体" w:cs="宋体"/>
                <w:color w:val="auto"/>
                <w:sz w:val="24"/>
                <w:szCs w:val="24"/>
                <w:highlight w:val="none"/>
                <w:u w:val="single"/>
                <w:lang w:val="en-US" w:eastAsia="zh-CN"/>
              </w:rPr>
              <w:t>递交的样品均统一保存，直至评审时开启，因邮寄或现场递交前导致产品损坏或任何损失均由</w:t>
            </w:r>
            <w:r>
              <w:rPr>
                <w:rFonts w:hint="eastAsia" w:cs="宋体"/>
                <w:color w:val="auto"/>
                <w:sz w:val="24"/>
                <w:szCs w:val="24"/>
                <w:highlight w:val="none"/>
                <w:u w:val="single"/>
                <w:lang w:val="en-US" w:eastAsia="zh-CN"/>
              </w:rPr>
              <w:t>各响应供应商</w:t>
            </w:r>
            <w:r>
              <w:rPr>
                <w:rFonts w:hint="eastAsia" w:ascii="宋体" w:hAnsi="宋体" w:eastAsia="宋体" w:cs="宋体"/>
                <w:color w:val="auto"/>
                <w:sz w:val="24"/>
                <w:szCs w:val="24"/>
                <w:highlight w:val="none"/>
                <w:u w:val="single"/>
                <w:lang w:val="en-US" w:eastAsia="zh-CN"/>
              </w:rPr>
              <w:t>承担）</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，逾期提供的样品将不予接受。</w:t>
            </w:r>
            <w:r>
              <w:rPr>
                <w:rFonts w:hint="eastAsia" w:ascii="宋体" w:hAnsi="宋体" w:eastAsia="宋体" w:cs="宋体"/>
                <w:color w:val="auto"/>
                <w:sz w:val="24"/>
                <w:szCs w:val="24"/>
                <w:highlight w:val="none"/>
                <w:lang w:val="en-US" w:eastAsia="zh-CN"/>
              </w:rPr>
              <w:t xml:space="preserve"> </w:t>
            </w:r>
          </w:p>
          <w:p w14:paraId="66E8902D">
            <w:pPr>
              <w:pStyle w:val="44"/>
              <w:shd w:val="clea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4.未中标人样品退还：</w:t>
            </w:r>
            <w:r>
              <w:rPr>
                <w:rFonts w:hint="eastAsia" w:ascii="宋体" w:hAnsi="宋体" w:eastAsia="宋体" w:cs="宋体"/>
                <w:color w:val="auto"/>
                <w:sz w:val="24"/>
                <w:szCs w:val="24"/>
                <w:highlight w:val="none"/>
                <w:u w:val="single"/>
                <w:lang w:val="en-US" w:eastAsia="zh-CN"/>
              </w:rPr>
              <w:t xml:space="preserve"> 未中标供应商的样品，在收到通知后自行取回，当天未取回的，自行承担损坏、遗失等责任 </w:t>
            </w:r>
            <w:r>
              <w:rPr>
                <w:rFonts w:hint="eastAsia" w:ascii="宋体" w:hAnsi="宋体" w:eastAsia="宋体" w:cs="宋体"/>
                <w:color w:val="auto"/>
                <w:sz w:val="24"/>
                <w:szCs w:val="24"/>
                <w:highlight w:val="none"/>
                <w:lang w:val="en-US" w:eastAsia="zh-CN"/>
              </w:rPr>
              <w:t xml:space="preserve">； </w:t>
            </w:r>
          </w:p>
          <w:p w14:paraId="61DDB2E5">
            <w:pPr>
              <w:pStyle w:val="44"/>
              <w:shd w:val="clea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5.中标人样品保管、封存及退还：</w:t>
            </w:r>
            <w:r>
              <w:rPr>
                <w:rFonts w:hint="eastAsia" w:ascii="宋体" w:hAnsi="宋体" w:eastAsia="宋体" w:cs="宋体"/>
                <w:color w:val="auto"/>
                <w:sz w:val="24"/>
                <w:szCs w:val="24"/>
                <w:highlight w:val="none"/>
                <w:u w:val="single"/>
                <w:lang w:val="en-US" w:eastAsia="zh-CN"/>
              </w:rPr>
              <w:t xml:space="preserve"> 评标完成后，样品封存。中标单位样品封存在采购人指定地点，作为验收依据。所供货物不得低于样品质量  </w:t>
            </w:r>
            <w:r>
              <w:rPr>
                <w:rFonts w:hint="eastAsia" w:ascii="宋体" w:hAnsi="宋体" w:eastAsia="宋体" w:cs="宋体"/>
                <w:color w:val="auto"/>
                <w:sz w:val="24"/>
                <w:szCs w:val="24"/>
                <w:highlight w:val="none"/>
                <w:lang w:val="en-US" w:eastAsia="zh-CN"/>
              </w:rPr>
              <w:t xml:space="preserve">； </w:t>
            </w:r>
          </w:p>
          <w:p w14:paraId="6985B4A7">
            <w:pPr>
              <w:pStyle w:val="44"/>
              <w:shd w:val="clear"/>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6.其他要求：</w:t>
            </w:r>
          </w:p>
          <w:p w14:paraId="5FEDE8EB">
            <w:pPr>
              <w:pStyle w:val="44"/>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u w:val="single"/>
                <w:lang w:val="en-US" w:eastAsia="zh-CN"/>
              </w:rPr>
              <w:t>6.1 包装要求：</w:t>
            </w:r>
            <w:r>
              <w:rPr>
                <w:rFonts w:hint="eastAsia" w:ascii="宋体" w:hAnsi="宋体" w:eastAsia="宋体" w:cs="宋体"/>
                <w:color w:val="auto"/>
                <w:sz w:val="24"/>
                <w:szCs w:val="24"/>
                <w:highlight w:val="none"/>
                <w:lang w:val="en-US" w:eastAsia="zh-CN"/>
              </w:rPr>
              <w:t>①样品按采购标</w:t>
            </w:r>
            <w:r>
              <w:rPr>
                <w:rFonts w:hint="eastAsia" w:cs="宋体"/>
                <w:color w:val="auto"/>
                <w:sz w:val="24"/>
                <w:szCs w:val="24"/>
                <w:highlight w:val="none"/>
                <w:lang w:val="en-US" w:eastAsia="zh-CN"/>
              </w:rPr>
              <w:t>的</w:t>
            </w:r>
            <w:r>
              <w:rPr>
                <w:rFonts w:hint="eastAsia" w:ascii="宋体" w:hAnsi="宋体" w:eastAsia="宋体" w:cs="宋体"/>
                <w:color w:val="auto"/>
                <w:sz w:val="24"/>
                <w:szCs w:val="24"/>
                <w:highlight w:val="none"/>
                <w:lang w:val="en-US" w:eastAsia="zh-CN"/>
              </w:rPr>
              <w:t>分别密封包装，箱体加以密封，在外包装上注明</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名称、项目名称及项目编号、样品明细及货物名称，并在密封处加盖公章。箱体上均应贴上封条。②还需提供</w:t>
            </w:r>
            <w:r>
              <w:rPr>
                <w:rFonts w:hint="eastAsia" w:cs="宋体"/>
                <w:color w:val="auto"/>
                <w:sz w:val="24"/>
                <w:szCs w:val="24"/>
                <w:highlight w:val="none"/>
                <w:lang w:val="en-US" w:eastAsia="zh-CN"/>
              </w:rPr>
              <w:t>所投样</w:t>
            </w:r>
            <w:r>
              <w:rPr>
                <w:rFonts w:hint="eastAsia" w:ascii="宋体" w:hAnsi="宋体" w:eastAsia="宋体" w:cs="宋体"/>
                <w:color w:val="auto"/>
                <w:sz w:val="24"/>
                <w:szCs w:val="24"/>
                <w:highlight w:val="none"/>
                <w:lang w:val="en-US" w:eastAsia="zh-CN"/>
              </w:rPr>
              <w:t>品检测报告原件或复印件加盖公章，并单独密封（不得随箱一同密封）。</w:t>
            </w:r>
          </w:p>
          <w:p w14:paraId="676D72E4">
            <w:pPr>
              <w:pStyle w:val="44"/>
              <w:shd w:val="clear"/>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注：除可拆除的包装以外，样品本身不应有任何体现生产来源的标记、标签、标识及其标记、暗号（包括单位名称、</w:t>
            </w:r>
            <w:r>
              <w:rPr>
                <w:rFonts w:hint="eastAsia" w:cs="宋体"/>
                <w:color w:val="auto"/>
                <w:sz w:val="24"/>
                <w:szCs w:val="24"/>
                <w:highlight w:val="none"/>
                <w:lang w:val="en-US" w:eastAsia="zh-CN"/>
              </w:rPr>
              <w:t>品牌名称</w:t>
            </w:r>
            <w:r>
              <w:rPr>
                <w:rFonts w:hint="eastAsia" w:ascii="宋体" w:hAnsi="宋体" w:eastAsia="宋体" w:cs="宋体"/>
                <w:color w:val="auto"/>
                <w:sz w:val="24"/>
                <w:szCs w:val="24"/>
                <w:highlight w:val="none"/>
                <w:lang w:val="en-US" w:eastAsia="zh-CN"/>
              </w:rPr>
              <w:t>等任何标识均不得体现）。</w:t>
            </w:r>
          </w:p>
          <w:p w14:paraId="5117F840">
            <w:pPr>
              <w:pStyle w:val="44"/>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6.2评审方式：暗标评审。评审时，在相关监督人员的监督下拆封并用于评审时核验；供应商根据自身情况如实提供，如发现提供虚假材料，由此导致的一切后果均由供应商自行承担。</w:t>
            </w:r>
          </w:p>
          <w:p w14:paraId="1D740B8A">
            <w:pPr>
              <w:pStyle w:val="44"/>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6.3 评审要求：①</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递交的样品本身含有任何关于</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信息或品牌或标志性商标(图案)的标记、标识的、不符合前款要求的。②所递交样品种类不齐全</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③ 未提交样品。④样品评审不合格</w:t>
            </w:r>
            <w:r>
              <w:rPr>
                <w:rFonts w:hint="eastAsia" w:ascii="微软雅黑" w:hAnsi="微软雅黑" w:eastAsia="微软雅黑" w:cs="微软雅黑"/>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出现以上任意一种情形的，</w:t>
            </w:r>
            <w:r>
              <w:rPr>
                <w:rFonts w:hint="eastAsia" w:cs="宋体"/>
                <w:color w:val="auto"/>
                <w:sz w:val="24"/>
                <w:szCs w:val="24"/>
                <w:highlight w:val="none"/>
                <w:lang w:val="en-US" w:eastAsia="zh-CN"/>
              </w:rPr>
              <w:t>视为未实质性响应谈判文件</w:t>
            </w:r>
            <w:r>
              <w:rPr>
                <w:rFonts w:hint="eastAsia" w:ascii="宋体" w:hAnsi="宋体" w:eastAsia="宋体" w:cs="宋体"/>
                <w:color w:val="auto"/>
                <w:sz w:val="24"/>
                <w:szCs w:val="24"/>
                <w:highlight w:val="none"/>
                <w:lang w:val="en-US" w:eastAsia="zh-CN"/>
              </w:rPr>
              <w:t>。</w:t>
            </w:r>
          </w:p>
        </w:tc>
      </w:tr>
      <w:tr w14:paraId="0492E4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853" w:hRule="atLeast"/>
        </w:trPr>
        <w:tc>
          <w:tcPr>
            <w:tcW w:w="970" w:type="dxa"/>
            <w:tcBorders>
              <w:top w:val="single" w:color="auto" w:sz="2" w:space="0"/>
              <w:left w:val="single" w:color="auto" w:sz="2" w:space="0"/>
              <w:bottom w:val="single" w:color="auto" w:sz="2" w:space="0"/>
              <w:right w:val="single" w:color="auto" w:sz="2" w:space="0"/>
            </w:tcBorders>
            <w:vAlign w:val="center"/>
          </w:tcPr>
          <w:p w14:paraId="733F5245">
            <w:pPr>
              <w:pStyle w:val="44"/>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w:t>
            </w:r>
          </w:p>
        </w:tc>
        <w:tc>
          <w:tcPr>
            <w:tcW w:w="1721" w:type="dxa"/>
            <w:tcBorders>
              <w:top w:val="single" w:color="auto" w:sz="2" w:space="0"/>
              <w:left w:val="single" w:color="auto" w:sz="2" w:space="0"/>
              <w:bottom w:val="single" w:color="auto" w:sz="2" w:space="0"/>
              <w:right w:val="single" w:color="auto" w:sz="2" w:space="0"/>
            </w:tcBorders>
            <w:vAlign w:val="center"/>
          </w:tcPr>
          <w:p w14:paraId="4ABD3E07">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700" w:type="dxa"/>
            <w:tcBorders>
              <w:top w:val="single" w:color="auto" w:sz="2" w:space="0"/>
              <w:left w:val="single" w:color="auto" w:sz="2" w:space="0"/>
              <w:bottom w:val="single" w:color="auto" w:sz="2" w:space="0"/>
              <w:right w:val="single" w:color="auto" w:sz="2" w:space="0"/>
            </w:tcBorders>
            <w:vAlign w:val="center"/>
          </w:tcPr>
          <w:p w14:paraId="2F127983">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不进行</w:t>
            </w:r>
          </w:p>
          <w:p w14:paraId="3E1D5472">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进行，远程线上演示/现场演示</w:t>
            </w:r>
          </w:p>
          <w:p w14:paraId="78D358FD">
            <w:pPr>
              <w:pStyle w:val="44"/>
              <w:shd w:val="clea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1.演示时间不得超过</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分钟。</w:t>
            </w:r>
          </w:p>
          <w:p w14:paraId="4FF9BE53">
            <w:pPr>
              <w:pStyle w:val="44"/>
              <w:shd w:val="clea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2.进行远程线上演示的，供应商应提前自行准备好演示的软硬配置环境和网络环境，做好演示的各项准备工作。因供应商自身原因无法演示或者演示效果不理想的，导致的后果由供应商自行承担。</w:t>
            </w:r>
          </w:p>
          <w:p w14:paraId="727E4770">
            <w:pPr>
              <w:pStyle w:val="44"/>
              <w:shd w:val="clea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3.进行现场演示的，演示人员不得超过</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人，演示现场提供</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4181FF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19" w:hRule="atLeast"/>
        </w:trPr>
        <w:tc>
          <w:tcPr>
            <w:tcW w:w="970" w:type="dxa"/>
            <w:tcBorders>
              <w:top w:val="single" w:color="auto" w:sz="2" w:space="0"/>
              <w:left w:val="single" w:color="auto" w:sz="2" w:space="0"/>
              <w:bottom w:val="single" w:color="auto" w:sz="2" w:space="0"/>
              <w:right w:val="single" w:color="auto" w:sz="2" w:space="0"/>
            </w:tcBorders>
            <w:vAlign w:val="center"/>
          </w:tcPr>
          <w:p w14:paraId="75DCCD86">
            <w:pPr>
              <w:pStyle w:val="44"/>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w:t>
            </w:r>
          </w:p>
        </w:tc>
        <w:tc>
          <w:tcPr>
            <w:tcW w:w="1721" w:type="dxa"/>
            <w:tcBorders>
              <w:top w:val="single" w:color="auto" w:sz="2" w:space="0"/>
              <w:left w:val="single" w:color="auto" w:sz="2" w:space="0"/>
              <w:bottom w:val="single" w:color="auto" w:sz="2" w:space="0"/>
              <w:right w:val="single" w:color="auto" w:sz="2" w:space="0"/>
            </w:tcBorders>
            <w:vAlign w:val="center"/>
          </w:tcPr>
          <w:p w14:paraId="747E8F82">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解密响应文件的时限</w:t>
            </w:r>
          </w:p>
        </w:tc>
        <w:tc>
          <w:tcPr>
            <w:tcW w:w="6700" w:type="dxa"/>
            <w:tcBorders>
              <w:top w:val="single" w:color="auto" w:sz="2" w:space="0"/>
              <w:left w:val="single" w:color="auto" w:sz="2" w:space="0"/>
              <w:bottom w:val="single" w:color="auto" w:sz="2" w:space="0"/>
              <w:right w:val="single" w:color="auto" w:sz="2" w:space="0"/>
            </w:tcBorders>
            <w:vAlign w:val="center"/>
          </w:tcPr>
          <w:p w14:paraId="023E6148">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20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分钟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p w14:paraId="608EF5D4">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注：</w:t>
            </w:r>
            <w:r>
              <w:rPr>
                <w:rFonts w:hint="eastAsia" w:ascii="宋体" w:hAnsi="宋体" w:eastAsia="宋体" w:cs="宋体"/>
                <w:color w:val="auto"/>
                <w:sz w:val="24"/>
                <w:szCs w:val="24"/>
                <w:highlight w:val="none"/>
              </w:rPr>
              <w:t>除因交易平台发生故障导致响应文件无法按时解密外，响应文件未按时解密的，视为未按规定提交响应文件</w:t>
            </w:r>
            <w:r>
              <w:rPr>
                <w:rFonts w:hint="eastAsia" w:ascii="宋体" w:hAnsi="宋体" w:eastAsia="宋体" w:cs="宋体"/>
                <w:color w:val="auto"/>
                <w:sz w:val="24"/>
                <w:szCs w:val="24"/>
                <w:highlight w:val="none"/>
                <w:lang w:eastAsia="zh-CN"/>
              </w:rPr>
              <w:t>，响应无效。</w:t>
            </w:r>
          </w:p>
        </w:tc>
      </w:tr>
      <w:tr w14:paraId="550466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19"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45CEBC2C">
            <w:pPr>
              <w:pStyle w:val="44"/>
              <w:shd w:val="clear"/>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29.1</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79CB7E8C">
            <w:pPr>
              <w:pStyle w:val="44"/>
              <w:shd w:val="clea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谈判轮次及谈判顺序</w:t>
            </w:r>
          </w:p>
        </w:tc>
        <w:tc>
          <w:tcPr>
            <w:tcW w:w="6700" w:type="dxa"/>
            <w:tcBorders>
              <w:top w:val="single" w:color="auto" w:sz="2" w:space="0"/>
              <w:left w:val="single" w:color="auto" w:sz="2" w:space="0"/>
              <w:bottom w:val="single" w:color="auto" w:sz="2" w:space="0"/>
              <w:right w:val="single" w:color="auto" w:sz="2" w:space="0"/>
            </w:tcBorders>
            <w:shd w:val="clear" w:color="auto" w:fill="auto"/>
            <w:vAlign w:val="center"/>
          </w:tcPr>
          <w:p w14:paraId="2BBE5A5D">
            <w:pPr>
              <w:pStyle w:val="44"/>
              <w:shd w:val="clear"/>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谈判轮次：</w:t>
            </w:r>
          </w:p>
          <w:p w14:paraId="74F5ED1C">
            <w:pPr>
              <w:pStyle w:val="44"/>
              <w:shd w:val="clear"/>
              <w:ind w:firstLine="240" w:firstLineChars="100"/>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cs="宋体"/>
                <w:color w:val="auto"/>
                <w:sz w:val="24"/>
                <w:szCs w:val="24"/>
                <w:highlight w:val="none"/>
                <w:lang w:val="en-US" w:eastAsia="zh-CN"/>
              </w:rPr>
              <w:t>本项目共进行</w:t>
            </w:r>
            <w:r>
              <w:rPr>
                <w:rFonts w:hint="eastAsia" w:cs="宋体"/>
                <w:color w:val="auto"/>
                <w:sz w:val="24"/>
                <w:szCs w:val="24"/>
                <w:highlight w:val="none"/>
                <w:u w:val="single"/>
                <w:lang w:val="en-US" w:eastAsia="zh-CN"/>
              </w:rPr>
              <w:t xml:space="preserve">        </w:t>
            </w:r>
            <w:r>
              <w:rPr>
                <w:rFonts w:hint="eastAsia" w:cs="宋体"/>
                <w:color w:val="auto"/>
                <w:sz w:val="24"/>
                <w:szCs w:val="24"/>
                <w:highlight w:val="none"/>
                <w:lang w:val="en-US" w:eastAsia="zh-CN"/>
              </w:rPr>
              <w:t>轮谈判（不含最后报价）。</w:t>
            </w:r>
          </w:p>
          <w:p w14:paraId="204972B3">
            <w:pPr>
              <w:pStyle w:val="44"/>
              <w:shd w:val="clear"/>
              <w:ind w:firstLine="240" w:firstLineChars="100"/>
              <w:rPr>
                <w:rFonts w:hint="eastAsia"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eastAsia="zh-CN"/>
              </w:rPr>
              <w:t>本项目不事先确定</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eastAsia="zh-CN"/>
              </w:rPr>
              <w:t>轮次，</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eastAsia="zh-CN"/>
              </w:rPr>
              <w:t>小组根据</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eastAsia="zh-CN"/>
              </w:rPr>
              <w:t>情况确定，并在最后一轮</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eastAsia="zh-CN"/>
              </w:rPr>
              <w:t>前告知供应商</w:t>
            </w:r>
            <w:r>
              <w:rPr>
                <w:rFonts w:hint="eastAsia" w:cs="宋体"/>
                <w:color w:val="auto"/>
                <w:sz w:val="24"/>
                <w:szCs w:val="24"/>
                <w:highlight w:val="none"/>
                <w:lang w:eastAsia="zh-CN"/>
              </w:rPr>
              <w:t>。</w:t>
            </w:r>
          </w:p>
          <w:p w14:paraId="5231539D">
            <w:pPr>
              <w:pStyle w:val="44"/>
              <w:keepNext w:val="0"/>
              <w:keepLines w:val="0"/>
              <w:pageBreakBefore w:val="0"/>
              <w:widowControl w:val="0"/>
              <w:shd w:val="clear"/>
              <w:kinsoku/>
              <w:wordWrap/>
              <w:overflowPunct/>
              <w:topLinePunct w:val="0"/>
              <w:autoSpaceDE/>
              <w:autoSpaceDN/>
              <w:bidi w:val="0"/>
              <w:adjustRightInd/>
              <w:snapToGrid/>
              <w:spacing w:before="157" w:beforeLines="50"/>
              <w:textAlignment w:val="auto"/>
              <w:rPr>
                <w:rFonts w:hint="eastAsia" w:ascii="宋体" w:hAnsi="宋体" w:eastAsia="宋体" w:cs="宋体"/>
                <w:color w:val="auto"/>
                <w:kern w:val="2"/>
                <w:sz w:val="24"/>
                <w:szCs w:val="24"/>
                <w:highlight w:val="none"/>
                <w:u w:val="none"/>
                <w:lang w:val="en-US" w:eastAsia="zh-CN" w:bidi="ar-SA"/>
              </w:rPr>
            </w:pPr>
            <w:r>
              <w:rPr>
                <w:rFonts w:hint="eastAsia" w:cs="宋体"/>
                <w:color w:val="auto"/>
                <w:sz w:val="24"/>
                <w:szCs w:val="24"/>
                <w:highlight w:val="none"/>
                <w:lang w:val="en-US" w:eastAsia="zh-CN"/>
              </w:rPr>
              <w:t>谈判顺序：</w:t>
            </w:r>
            <w:r>
              <w:rPr>
                <w:rFonts w:hint="eastAsia" w:cs="宋体"/>
                <w:color w:val="auto"/>
                <w:sz w:val="24"/>
                <w:szCs w:val="24"/>
                <w:highlight w:val="none"/>
                <w:u w:val="single"/>
                <w:lang w:val="en-US" w:eastAsia="zh-CN"/>
              </w:rPr>
              <w:t xml:space="preserve">  随机 </w:t>
            </w:r>
            <w:r>
              <w:rPr>
                <w:rFonts w:hint="eastAsia" w:cs="宋体"/>
                <w:color w:val="auto"/>
                <w:sz w:val="24"/>
                <w:szCs w:val="24"/>
                <w:highlight w:val="none"/>
                <w:u w:val="none"/>
                <w:lang w:val="en-US" w:eastAsia="zh-CN"/>
              </w:rPr>
              <w:t>。</w:t>
            </w:r>
          </w:p>
        </w:tc>
      </w:tr>
      <w:tr w14:paraId="55F30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tcBorders>
              <w:top w:val="single" w:color="auto" w:sz="2" w:space="0"/>
              <w:left w:val="single" w:color="auto" w:sz="2" w:space="0"/>
              <w:bottom w:val="single" w:color="auto" w:sz="2" w:space="0"/>
              <w:right w:val="single" w:color="auto" w:sz="2" w:space="0"/>
            </w:tcBorders>
            <w:vAlign w:val="center"/>
          </w:tcPr>
          <w:p w14:paraId="0A512A01">
            <w:pPr>
              <w:pStyle w:val="44"/>
              <w:shd w:val="clea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29.2</w:t>
            </w:r>
          </w:p>
        </w:tc>
        <w:tc>
          <w:tcPr>
            <w:tcW w:w="1721" w:type="dxa"/>
            <w:tcBorders>
              <w:top w:val="single" w:color="auto" w:sz="2" w:space="0"/>
              <w:left w:val="single" w:color="auto" w:sz="2" w:space="0"/>
              <w:bottom w:val="single" w:color="auto" w:sz="2" w:space="0"/>
              <w:right w:val="single" w:color="auto" w:sz="2" w:space="0"/>
            </w:tcBorders>
            <w:vAlign w:val="center"/>
          </w:tcPr>
          <w:p w14:paraId="3B1D8DC9">
            <w:pPr>
              <w:pStyle w:val="44"/>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推荐成交候选供应商</w:t>
            </w:r>
          </w:p>
        </w:tc>
        <w:tc>
          <w:tcPr>
            <w:tcW w:w="6700" w:type="dxa"/>
            <w:tcBorders>
              <w:top w:val="single" w:color="auto" w:sz="2" w:space="0"/>
              <w:left w:val="single" w:color="auto" w:sz="2" w:space="0"/>
              <w:bottom w:val="single" w:color="auto" w:sz="2" w:space="0"/>
              <w:right w:val="single" w:color="auto" w:sz="2" w:space="0"/>
            </w:tcBorders>
            <w:vAlign w:val="center"/>
          </w:tcPr>
          <w:p w14:paraId="67201373">
            <w:pPr>
              <w:pStyle w:val="44"/>
              <w:shd w:val="clear"/>
              <w:rPr>
                <w:rFonts w:hint="eastAsia" w:ascii="宋体" w:hAnsi="宋体" w:eastAsia="宋体" w:cs="宋体"/>
                <w:color w:val="auto"/>
                <w:sz w:val="24"/>
                <w:szCs w:val="24"/>
                <w:highlight w:val="none"/>
                <w:u w:val="none"/>
                <w:lang w:val="en-US" w:eastAsia="zh-CN"/>
              </w:rPr>
            </w:pPr>
            <w:r>
              <w:rPr>
                <w:rFonts w:hint="eastAsia" w:cs="宋体"/>
                <w:color w:val="auto"/>
                <w:sz w:val="24"/>
                <w:szCs w:val="24"/>
                <w:highlight w:val="none"/>
                <w:lang w:val="en-US" w:eastAsia="zh-CN"/>
              </w:rPr>
              <w:t>推荐</w:t>
            </w:r>
            <w:r>
              <w:rPr>
                <w:rFonts w:hint="eastAsia" w:ascii="宋体" w:hAnsi="宋体" w:eastAsia="宋体" w:cs="宋体"/>
                <w:color w:val="auto"/>
                <w:sz w:val="24"/>
                <w:szCs w:val="24"/>
                <w:highlight w:val="none"/>
                <w:lang w:val="en-US" w:eastAsia="zh-CN"/>
              </w:rPr>
              <w:t>数量</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家</w:t>
            </w:r>
            <w:r>
              <w:rPr>
                <w:rFonts w:hint="eastAsia" w:cs="宋体"/>
                <w:color w:val="auto"/>
                <w:sz w:val="24"/>
                <w:szCs w:val="24"/>
                <w:highlight w:val="none"/>
                <w:u w:val="none"/>
                <w:lang w:val="en-US" w:eastAsia="zh-CN"/>
              </w:rPr>
              <w:t>。</w:t>
            </w:r>
          </w:p>
        </w:tc>
      </w:tr>
      <w:tr w14:paraId="15B57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060" w:hRule="atLeast"/>
        </w:trPr>
        <w:tc>
          <w:tcPr>
            <w:tcW w:w="970" w:type="dxa"/>
            <w:tcBorders>
              <w:top w:val="single" w:color="auto" w:sz="2" w:space="0"/>
              <w:left w:val="single" w:color="auto" w:sz="2" w:space="0"/>
              <w:bottom w:val="single" w:color="auto" w:sz="2" w:space="0"/>
              <w:right w:val="single" w:color="auto" w:sz="2" w:space="0"/>
            </w:tcBorders>
            <w:vAlign w:val="center"/>
          </w:tcPr>
          <w:p w14:paraId="37AC9C03">
            <w:pPr>
              <w:pStyle w:val="44"/>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7F769072">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确定成交供应商</w:t>
            </w:r>
          </w:p>
        </w:tc>
        <w:tc>
          <w:tcPr>
            <w:tcW w:w="6700" w:type="dxa"/>
            <w:tcBorders>
              <w:top w:val="single" w:color="auto" w:sz="2" w:space="0"/>
              <w:left w:val="single" w:color="auto" w:sz="2" w:space="0"/>
              <w:bottom w:val="single" w:color="auto" w:sz="2" w:space="0"/>
              <w:right w:val="single" w:color="auto" w:sz="2" w:space="0"/>
            </w:tcBorders>
            <w:vAlign w:val="center"/>
          </w:tcPr>
          <w:p w14:paraId="77284D4E">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lang w:eastAsia="zh-CN"/>
              </w:rPr>
              <w:t>在</w:t>
            </w:r>
            <w:r>
              <w:rPr>
                <w:rFonts w:hint="eastAsia" w:ascii="宋体" w:hAnsi="宋体" w:eastAsia="宋体" w:cs="宋体"/>
                <w:color w:val="auto"/>
                <w:sz w:val="24"/>
                <w:szCs w:val="24"/>
                <w:highlight w:val="none"/>
              </w:rPr>
              <w:t>收到评审报告后5个工作日内，按评审报告中推荐的成交候选人排序确定成交供应商。</w:t>
            </w:r>
          </w:p>
          <w:p w14:paraId="20F6D23A">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小组直接确定成交供应商。</w:t>
            </w:r>
          </w:p>
          <w:p w14:paraId="7CD921DD">
            <w:pPr>
              <w:pStyle w:val="44"/>
              <w:shd w:val="clear"/>
              <w:rPr>
                <w:rFonts w:hint="default" w:ascii="宋体" w:hAnsi="宋体" w:eastAsia="宋体" w:cs="宋体"/>
                <w:color w:val="auto"/>
                <w:sz w:val="24"/>
                <w:szCs w:val="24"/>
                <w:highlight w:val="none"/>
                <w:u w:val="none"/>
                <w:lang w:val="en-US" w:eastAsia="zh-CN"/>
              </w:rPr>
            </w:pPr>
            <w:r>
              <w:rPr>
                <w:rFonts w:hint="eastAsia" w:cs="宋体"/>
                <w:color w:val="auto"/>
                <w:sz w:val="24"/>
                <w:szCs w:val="24"/>
                <w:highlight w:val="none"/>
                <w:lang w:val="en-US" w:eastAsia="zh-CN"/>
              </w:rPr>
              <w:t>成交候选人并列的，按照以下方式确定成交供应商：</w:t>
            </w:r>
            <w:r>
              <w:rPr>
                <w:rFonts w:hint="eastAsia" w:cs="宋体"/>
                <w:color w:val="auto"/>
                <w:sz w:val="24"/>
                <w:szCs w:val="24"/>
                <w:highlight w:val="none"/>
                <w:u w:val="single"/>
                <w:lang w:val="en-US" w:eastAsia="zh-CN"/>
              </w:rPr>
              <w:t xml:space="preserve">       </w:t>
            </w:r>
            <w:r>
              <w:rPr>
                <w:rFonts w:hint="eastAsia" w:cs="宋体"/>
                <w:color w:val="auto"/>
                <w:sz w:val="24"/>
                <w:szCs w:val="24"/>
                <w:highlight w:val="none"/>
                <w:u w:val="none"/>
                <w:lang w:val="en-US" w:eastAsia="zh-CN"/>
              </w:rPr>
              <w:t>。</w:t>
            </w:r>
          </w:p>
        </w:tc>
      </w:tr>
      <w:tr w14:paraId="024268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027ED33D">
            <w:pPr>
              <w:pStyle w:val="44"/>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6AB44AED">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700" w:type="dxa"/>
            <w:tcBorders>
              <w:top w:val="single" w:color="auto" w:sz="2" w:space="0"/>
              <w:left w:val="single" w:color="auto" w:sz="2" w:space="0"/>
              <w:bottom w:val="single" w:color="auto" w:sz="2" w:space="0"/>
              <w:right w:val="single" w:color="auto" w:sz="2" w:space="0"/>
            </w:tcBorders>
            <w:vAlign w:val="center"/>
          </w:tcPr>
          <w:p w14:paraId="790E0B45">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31157547">
            <w:pPr>
              <w:pStyle w:val="44"/>
              <w:shd w:val="clear"/>
              <w:ind w:firstLine="240" w:firstLineChars="1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1B5A19AA">
            <w:pPr>
              <w:pStyle w:val="44"/>
              <w:shd w:val="clea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□合同价的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p>
          <w:p w14:paraId="49B6D208">
            <w:pPr>
              <w:pStyle w:val="44"/>
              <w:shd w:val="clear"/>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□定额收取：</w:t>
            </w:r>
            <w:r>
              <w:rPr>
                <w:rFonts w:hint="eastAsia" w:ascii="宋体" w:hAnsi="宋体" w:eastAsia="宋体" w:cs="宋体"/>
                <w:color w:val="auto"/>
                <w:sz w:val="24"/>
                <w:szCs w:val="24"/>
                <w:highlight w:val="none"/>
                <w:u w:val="single"/>
              </w:rPr>
              <w:t>人民币           元</w:t>
            </w:r>
          </w:p>
          <w:p w14:paraId="52DC4B48">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63ACCF21">
            <w:pPr>
              <w:pStyle w:val="54"/>
              <w:keepNext w:val="0"/>
              <w:keepLines w:val="0"/>
              <w:pageBreakBefore w:val="0"/>
              <w:widowControl w:val="0"/>
              <w:shd w:val="clear" w:color="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供应商可自主选择以支票、汇票、本票、电汇、转账、网银、保函等非现金形式缴纳或提交保证金。</w:t>
            </w:r>
          </w:p>
          <w:p w14:paraId="412117C6">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收取单位：                            </w:t>
            </w:r>
          </w:p>
          <w:p w14:paraId="2664878C">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4.收取账号：</w:t>
            </w:r>
            <w:r>
              <w:rPr>
                <w:rFonts w:hint="eastAsia" w:ascii="宋体" w:hAnsi="宋体" w:eastAsia="宋体" w:cs="宋体"/>
                <w:color w:val="auto"/>
                <w:sz w:val="24"/>
                <w:szCs w:val="24"/>
                <w:highlight w:val="none"/>
              </w:rPr>
              <w:t xml:space="preserve">              </w:t>
            </w:r>
          </w:p>
          <w:p w14:paraId="70C3B21D">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退还时间：              </w:t>
            </w:r>
          </w:p>
          <w:p w14:paraId="22C7C956">
            <w:pPr>
              <w:pStyle w:val="44"/>
              <w:shd w:val="clear"/>
              <w:rPr>
                <w:rFonts w:hint="eastAsia" w:ascii="宋体" w:hAnsi="宋体" w:eastAsia="宋体" w:cs="宋体"/>
                <w:b/>
                <w:bCs/>
                <w:color w:val="auto"/>
                <w:sz w:val="24"/>
                <w:szCs w:val="24"/>
                <w:highlight w:val="none"/>
              </w:rPr>
            </w:pPr>
          </w:p>
          <w:p w14:paraId="151176AB">
            <w:pPr>
              <w:pStyle w:val="44"/>
              <w:shd w:val="clea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64BE45E6">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28DC084A">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以担保函、保证保险形式缴纳履约保证金的，受益人和收取单位须为采购人。</w:t>
            </w:r>
          </w:p>
        </w:tc>
      </w:tr>
      <w:tr w14:paraId="64B5E4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0861755C">
            <w:pPr>
              <w:pStyle w:val="44"/>
              <w:shd w:val="clea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34.5</w:t>
            </w:r>
          </w:p>
        </w:tc>
        <w:tc>
          <w:tcPr>
            <w:tcW w:w="1721" w:type="dxa"/>
            <w:tcBorders>
              <w:top w:val="single" w:color="auto" w:sz="2" w:space="0"/>
              <w:left w:val="single" w:color="auto" w:sz="2" w:space="0"/>
              <w:bottom w:val="single" w:color="auto" w:sz="2" w:space="0"/>
              <w:right w:val="single" w:color="auto" w:sz="2" w:space="0"/>
            </w:tcBorders>
            <w:vAlign w:val="center"/>
          </w:tcPr>
          <w:p w14:paraId="04D9510B">
            <w:pPr>
              <w:pStyle w:val="44"/>
              <w:shd w:val="clea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合同分包</w:t>
            </w:r>
          </w:p>
        </w:tc>
        <w:tc>
          <w:tcPr>
            <w:tcW w:w="6700" w:type="dxa"/>
            <w:tcBorders>
              <w:top w:val="single" w:color="auto" w:sz="2" w:space="0"/>
              <w:left w:val="single" w:color="auto" w:sz="2" w:space="0"/>
              <w:bottom w:val="single" w:color="auto" w:sz="2" w:space="0"/>
              <w:right w:val="single" w:color="auto" w:sz="2" w:space="0"/>
            </w:tcBorders>
            <w:vAlign w:val="center"/>
          </w:tcPr>
          <w:p w14:paraId="4344EC45">
            <w:pPr>
              <w:pStyle w:val="44"/>
              <w:shd w:val="clea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3D901FC0">
            <w:pPr>
              <w:pStyle w:val="44"/>
              <w:shd w:val="clear"/>
              <w:ind w:firstLine="240" w:firstLineChars="100"/>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56DFA0F7">
            <w:pPr>
              <w:pStyle w:val="44"/>
              <w:shd w:val="clear"/>
              <w:ind w:firstLine="240" w:firstLineChars="1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6C445FF2">
            <w:pPr>
              <w:pStyle w:val="44"/>
              <w:shd w:val="clea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1.可以分包履行的具体内容：</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 xml:space="preserve">； </w:t>
            </w:r>
          </w:p>
          <w:p w14:paraId="71BE067E">
            <w:pPr>
              <w:pStyle w:val="44"/>
              <w:shd w:val="clea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2.允许分包的金额或者比例：</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 xml:space="preserve">； </w:t>
            </w:r>
          </w:p>
          <w:p w14:paraId="3628979B">
            <w:pPr>
              <w:pStyle w:val="44"/>
              <w:shd w:val="clea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3.其他要求：</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w:t>
            </w:r>
          </w:p>
        </w:tc>
      </w:tr>
      <w:tr w14:paraId="749FBC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1F3EF9C4">
            <w:pPr>
              <w:pStyle w:val="44"/>
              <w:shd w:val="clea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35.1</w:t>
            </w:r>
          </w:p>
        </w:tc>
        <w:tc>
          <w:tcPr>
            <w:tcW w:w="1721" w:type="dxa"/>
            <w:tcBorders>
              <w:top w:val="single" w:color="auto" w:sz="2" w:space="0"/>
              <w:left w:val="single" w:color="auto" w:sz="2" w:space="0"/>
              <w:bottom w:val="single" w:color="auto" w:sz="2" w:space="0"/>
              <w:right w:val="single" w:color="auto" w:sz="2" w:space="0"/>
            </w:tcBorders>
            <w:vAlign w:val="center"/>
          </w:tcPr>
          <w:p w14:paraId="66EBB004">
            <w:pPr>
              <w:pStyle w:val="44"/>
              <w:shd w:val="clea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质疑</w:t>
            </w:r>
          </w:p>
        </w:tc>
        <w:tc>
          <w:tcPr>
            <w:tcW w:w="6700" w:type="dxa"/>
            <w:tcBorders>
              <w:top w:val="single" w:color="auto" w:sz="2" w:space="0"/>
              <w:left w:val="single" w:color="auto" w:sz="2" w:space="0"/>
              <w:bottom w:val="single" w:color="auto" w:sz="2" w:space="0"/>
              <w:right w:val="single" w:color="auto" w:sz="2" w:space="0"/>
            </w:tcBorders>
            <w:vAlign w:val="center"/>
          </w:tcPr>
          <w:p w14:paraId="32DBDE95">
            <w:pPr>
              <w:pStyle w:val="52"/>
              <w:shd w:val="clear"/>
              <w:autoSpaceDE w:val="0"/>
              <w:autoSpaceDN w:val="0"/>
              <w:adjustRightInd w:val="0"/>
              <w:rPr>
                <w:rFonts w:hint="eastAsia" w:ascii="宋体" w:hAnsi="宋体" w:cs="宋体"/>
                <w:sz w:val="24"/>
                <w:highlight w:val="none"/>
                <w:lang w:val="zh-CN"/>
              </w:rPr>
            </w:pPr>
            <w:r>
              <w:rPr>
                <w:rFonts w:hint="eastAsia" w:ascii="宋体" w:hAnsi="宋体" w:cs="宋体"/>
                <w:sz w:val="24"/>
                <w:highlight w:val="none"/>
                <w:lang w:val="zh-CN"/>
              </w:rPr>
              <w:t>递交方式：</w:t>
            </w:r>
            <w:r>
              <w:rPr>
                <w:rFonts w:hint="eastAsia" w:ascii="宋体" w:hAnsi="宋体" w:cs="宋体"/>
                <w:sz w:val="24"/>
                <w:highlight w:val="none"/>
                <w:u w:val="single"/>
              </w:rPr>
              <w:t xml:space="preserve"> </w:t>
            </w:r>
            <w:r>
              <w:rPr>
                <w:rFonts w:hint="eastAsia" w:ascii="宋体" w:hAnsi="宋体" w:cs="宋体"/>
                <w:sz w:val="24"/>
                <w:highlight w:val="none"/>
                <w:u w:val="single"/>
                <w:lang w:val="en-US" w:eastAsia="zh-CN"/>
              </w:rPr>
              <w:t>质疑函、授权委托书及报名成功截图PDF扫描件发送至代理机构邮箱，以上资料原件邮寄或送至代理机构。</w:t>
            </w:r>
            <w:r>
              <w:rPr>
                <w:rFonts w:hint="eastAsia" w:ascii="宋体" w:hAnsi="宋体" w:cs="宋体"/>
                <w:sz w:val="24"/>
                <w:highlight w:val="none"/>
                <w:u w:val="single"/>
              </w:rPr>
              <w:t xml:space="preserve">    </w:t>
            </w:r>
            <w:r>
              <w:rPr>
                <w:rFonts w:hint="eastAsia" w:ascii="宋体" w:hAnsi="宋体" w:cs="宋体"/>
                <w:sz w:val="24"/>
                <w:highlight w:val="none"/>
                <w:lang w:val="zh-CN"/>
              </w:rPr>
              <w:t xml:space="preserve">              </w:t>
            </w:r>
          </w:p>
          <w:p w14:paraId="59148D4B">
            <w:pPr>
              <w:pStyle w:val="52"/>
              <w:shd w:val="clear"/>
              <w:autoSpaceDE w:val="0"/>
              <w:autoSpaceDN w:val="0"/>
              <w:adjustRightInd w:val="0"/>
              <w:rPr>
                <w:rFonts w:hint="eastAsia" w:ascii="宋体" w:hAnsi="宋体" w:cs="宋体"/>
                <w:sz w:val="24"/>
                <w:highlight w:val="none"/>
                <w:lang w:val="zh-CN"/>
              </w:rPr>
            </w:pPr>
            <w:r>
              <w:rPr>
                <w:rFonts w:hint="eastAsia" w:ascii="宋体" w:hAnsi="宋体" w:cs="宋体"/>
                <w:sz w:val="24"/>
                <w:highlight w:val="none"/>
                <w:lang w:val="zh-CN"/>
              </w:rPr>
              <w:t>接收部门：</w:t>
            </w:r>
            <w:r>
              <w:rPr>
                <w:rFonts w:hint="eastAsia" w:ascii="宋体" w:hAnsi="宋体" w:cs="宋体"/>
                <w:sz w:val="24"/>
                <w:highlight w:val="none"/>
                <w:u w:val="single"/>
              </w:rPr>
              <w:t xml:space="preserve"> 新疆世纪星工程咨询有限公司  </w:t>
            </w:r>
            <w:r>
              <w:rPr>
                <w:rFonts w:hint="eastAsia" w:ascii="宋体" w:hAnsi="宋体" w:cs="宋体"/>
                <w:sz w:val="24"/>
                <w:highlight w:val="none"/>
                <w:lang w:val="zh-CN"/>
              </w:rPr>
              <w:t xml:space="preserve">              </w:t>
            </w:r>
          </w:p>
          <w:p w14:paraId="28E3C5FD">
            <w:pPr>
              <w:pStyle w:val="52"/>
              <w:shd w:val="clear"/>
              <w:autoSpaceDE w:val="0"/>
              <w:autoSpaceDN w:val="0"/>
              <w:adjustRightInd w:val="0"/>
              <w:rPr>
                <w:rFonts w:hint="eastAsia" w:ascii="宋体" w:hAnsi="宋体" w:cs="宋体"/>
                <w:sz w:val="24"/>
                <w:highlight w:val="none"/>
                <w:lang w:val="zh-CN"/>
              </w:rPr>
            </w:pPr>
            <w:r>
              <w:rPr>
                <w:rFonts w:hint="eastAsia" w:ascii="宋体" w:hAnsi="宋体" w:cs="宋体"/>
                <w:sz w:val="24"/>
                <w:highlight w:val="none"/>
                <w:lang w:val="zh-CN"/>
              </w:rPr>
              <w:t>联系电话：</w:t>
            </w:r>
            <w:r>
              <w:rPr>
                <w:rFonts w:hint="eastAsia" w:ascii="宋体" w:hAnsi="宋体" w:cs="宋体"/>
                <w:sz w:val="24"/>
                <w:highlight w:val="none"/>
                <w:u w:val="single"/>
              </w:rPr>
              <w:t xml:space="preserve"> 0991-3678303            </w:t>
            </w:r>
            <w:r>
              <w:rPr>
                <w:rFonts w:hint="eastAsia" w:ascii="宋体" w:hAnsi="宋体" w:cs="宋体"/>
                <w:sz w:val="24"/>
                <w:highlight w:val="none"/>
                <w:lang w:val="zh-CN"/>
              </w:rPr>
              <w:t xml:space="preserve">              </w:t>
            </w:r>
          </w:p>
          <w:p w14:paraId="0E4E76C7">
            <w:pPr>
              <w:pStyle w:val="52"/>
              <w:keepNext w:val="0"/>
              <w:keepLines w:val="0"/>
              <w:pageBreakBefore w:val="0"/>
              <w:widowControl w:val="0"/>
              <w:shd w:val="clear"/>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sz w:val="24"/>
                <w:highlight w:val="none"/>
                <w:lang w:val="zh-CN"/>
              </w:rPr>
              <w:t>通讯地址：</w:t>
            </w:r>
            <w:r>
              <w:rPr>
                <w:rFonts w:hint="eastAsia" w:ascii="宋体" w:hAnsi="宋体" w:cs="宋体"/>
                <w:sz w:val="24"/>
                <w:highlight w:val="none"/>
                <w:u w:val="single"/>
              </w:rPr>
              <w:t xml:space="preserve"> 乌鲁木齐市黄山街81号一品九点阳光B座九源酒店20楼            </w:t>
            </w:r>
            <w:r>
              <w:rPr>
                <w:rFonts w:hint="eastAsia" w:ascii="宋体" w:hAnsi="宋体" w:cs="宋体"/>
                <w:sz w:val="24"/>
                <w:highlight w:val="none"/>
                <w:lang w:val="zh-CN"/>
              </w:rPr>
              <w:t xml:space="preserve"> </w:t>
            </w:r>
          </w:p>
        </w:tc>
      </w:tr>
      <w:tr w14:paraId="33386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465" w:hRule="atLeast"/>
        </w:trPr>
        <w:tc>
          <w:tcPr>
            <w:tcW w:w="970" w:type="dxa"/>
            <w:tcBorders>
              <w:top w:val="single" w:color="auto" w:sz="2" w:space="0"/>
              <w:left w:val="single" w:color="auto" w:sz="2" w:space="0"/>
              <w:bottom w:val="single" w:color="auto" w:sz="2" w:space="0"/>
              <w:right w:val="single" w:color="auto" w:sz="2" w:space="0"/>
            </w:tcBorders>
            <w:vAlign w:val="center"/>
          </w:tcPr>
          <w:p w14:paraId="0B4B8253">
            <w:pPr>
              <w:pStyle w:val="44"/>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vAlign w:val="center"/>
          </w:tcPr>
          <w:p w14:paraId="620FF725">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采购代理服务费收取方式和标准</w:t>
            </w:r>
          </w:p>
        </w:tc>
        <w:tc>
          <w:tcPr>
            <w:tcW w:w="6700" w:type="dxa"/>
            <w:tcBorders>
              <w:top w:val="single" w:color="auto" w:sz="2" w:space="0"/>
              <w:left w:val="single" w:color="auto" w:sz="2" w:space="0"/>
              <w:bottom w:val="single" w:color="auto" w:sz="2" w:space="0"/>
              <w:right w:val="single" w:color="auto" w:sz="2" w:space="0"/>
            </w:tcBorders>
            <w:vAlign w:val="center"/>
          </w:tcPr>
          <w:p w14:paraId="0C3F9893">
            <w:pPr>
              <w:pStyle w:val="44"/>
              <w:shd w:val="clear"/>
              <w:rPr>
                <w:rFonts w:hint="eastAsia" w:cs="宋体"/>
                <w:sz w:val="24"/>
                <w:szCs w:val="24"/>
                <w:highlight w:val="none"/>
              </w:rPr>
            </w:pPr>
            <w:r>
              <w:rPr>
                <w:rFonts w:hint="eastAsia" w:cs="宋体"/>
                <w:sz w:val="24"/>
                <w:szCs w:val="24"/>
                <w:highlight w:val="none"/>
              </w:rPr>
              <w:t>1.收费对象：</w:t>
            </w:r>
            <w:r>
              <w:rPr>
                <w:rFonts w:hint="eastAsia" w:cs="宋体"/>
                <w:sz w:val="24"/>
                <w:szCs w:val="24"/>
                <w:highlight w:val="none"/>
              </w:rPr>
              <w:sym w:font="Wingdings" w:char="00A8"/>
            </w:r>
            <w:r>
              <w:rPr>
                <w:rFonts w:hint="eastAsia" w:cs="宋体"/>
                <w:sz w:val="24"/>
                <w:szCs w:val="24"/>
                <w:highlight w:val="none"/>
              </w:rPr>
              <w:t xml:space="preserve">采购人支付 </w:t>
            </w:r>
            <w:r>
              <w:rPr>
                <w:rFonts w:hint="eastAsia" w:cs="宋体"/>
                <w:sz w:val="24"/>
                <w:szCs w:val="24"/>
                <w:highlight w:val="none"/>
              </w:rPr>
              <w:sym w:font="Wingdings" w:char="00FE"/>
            </w:r>
            <w:r>
              <w:rPr>
                <w:rFonts w:hint="eastAsia" w:cs="宋体"/>
                <w:sz w:val="24"/>
                <w:szCs w:val="24"/>
                <w:highlight w:val="none"/>
              </w:rPr>
              <w:t xml:space="preserve">成交人支付 </w:t>
            </w:r>
          </w:p>
          <w:p w14:paraId="22BC1BC4">
            <w:pPr>
              <w:pStyle w:val="44"/>
              <w:shd w:val="clear"/>
              <w:rPr>
                <w:rFonts w:hint="eastAsia" w:cs="宋体"/>
                <w:sz w:val="24"/>
                <w:szCs w:val="24"/>
                <w:highlight w:val="none"/>
                <w:u w:val="single"/>
              </w:rPr>
            </w:pPr>
            <w:r>
              <w:rPr>
                <w:rFonts w:hint="eastAsia" w:cs="宋体"/>
                <w:sz w:val="24"/>
                <w:szCs w:val="24"/>
                <w:highlight w:val="none"/>
              </w:rPr>
              <w:t>2.收费标准：</w:t>
            </w:r>
            <w:r>
              <w:rPr>
                <w:rFonts w:hint="eastAsia" w:cs="宋体"/>
                <w:sz w:val="24"/>
                <w:szCs w:val="24"/>
                <w:highlight w:val="none"/>
                <w:u w:val="single"/>
              </w:rPr>
              <w:t xml:space="preserve"> 固定金额：6895.80元  </w:t>
            </w:r>
          </w:p>
          <w:p w14:paraId="52518C9F">
            <w:pPr>
              <w:pStyle w:val="44"/>
              <w:shd w:val="clear"/>
              <w:rPr>
                <w:rFonts w:hint="eastAsia" w:cs="宋体"/>
                <w:sz w:val="24"/>
                <w:szCs w:val="24"/>
                <w:highlight w:val="none"/>
              </w:rPr>
            </w:pPr>
            <w:r>
              <w:rPr>
                <w:rFonts w:hint="eastAsia" w:cs="宋体"/>
                <w:sz w:val="24"/>
                <w:szCs w:val="24"/>
                <w:highlight w:val="none"/>
              </w:rPr>
              <w:t>3.收取时间：</w:t>
            </w:r>
            <w:r>
              <w:rPr>
                <w:rFonts w:hint="eastAsia" w:cs="宋体"/>
                <w:sz w:val="24"/>
                <w:szCs w:val="24"/>
                <w:highlight w:val="none"/>
                <w:u w:val="single"/>
              </w:rPr>
              <w:t xml:space="preserve"> 领取中标通知书的同时  </w:t>
            </w:r>
          </w:p>
          <w:p w14:paraId="3135B3FA">
            <w:pPr>
              <w:pStyle w:val="44"/>
              <w:shd w:val="clear"/>
              <w:rPr>
                <w:rFonts w:hint="eastAsia" w:cs="宋体"/>
                <w:sz w:val="24"/>
                <w:szCs w:val="24"/>
                <w:highlight w:val="none"/>
                <w:u w:val="single"/>
              </w:rPr>
            </w:pPr>
            <w:r>
              <w:rPr>
                <w:rFonts w:hint="eastAsia" w:cs="宋体"/>
                <w:sz w:val="24"/>
                <w:szCs w:val="24"/>
                <w:highlight w:val="none"/>
              </w:rPr>
              <w:t>4.收取方式：</w:t>
            </w:r>
            <w:r>
              <w:rPr>
                <w:rFonts w:hint="eastAsia" w:cs="宋体"/>
                <w:sz w:val="24"/>
                <w:szCs w:val="24"/>
                <w:highlight w:val="none"/>
                <w:u w:val="single"/>
              </w:rPr>
              <w:t xml:space="preserve">  转账、电汇等形式     </w:t>
            </w:r>
          </w:p>
          <w:p w14:paraId="07B4B141">
            <w:pPr>
              <w:pStyle w:val="44"/>
              <w:shd w:val="clear"/>
              <w:rPr>
                <w:rFonts w:hint="eastAsia" w:cs="宋体"/>
                <w:sz w:val="24"/>
                <w:szCs w:val="24"/>
                <w:highlight w:val="none"/>
                <w:u w:val="single"/>
                <w:lang w:val="en-US" w:eastAsia="zh-CN"/>
              </w:rPr>
            </w:pPr>
            <w:r>
              <w:rPr>
                <w:rFonts w:hint="eastAsia" w:cs="宋体"/>
                <w:sz w:val="24"/>
                <w:szCs w:val="24"/>
                <w:highlight w:val="none"/>
                <w:u w:val="single"/>
                <w:lang w:val="en-US" w:eastAsia="zh-CN"/>
              </w:rPr>
              <w:t>单位全称：新疆世纪星工程咨询有限公司</w:t>
            </w:r>
          </w:p>
          <w:p w14:paraId="104EFDB0">
            <w:pPr>
              <w:pStyle w:val="44"/>
              <w:shd w:val="clear"/>
              <w:rPr>
                <w:rFonts w:hint="eastAsia" w:cs="宋体"/>
                <w:sz w:val="24"/>
                <w:szCs w:val="24"/>
                <w:highlight w:val="none"/>
                <w:u w:val="single"/>
                <w:lang w:val="en-US" w:eastAsia="zh-CN"/>
              </w:rPr>
            </w:pPr>
            <w:r>
              <w:rPr>
                <w:rFonts w:hint="eastAsia" w:cs="宋体"/>
                <w:sz w:val="24"/>
                <w:szCs w:val="24"/>
                <w:highlight w:val="none"/>
                <w:u w:val="single"/>
                <w:lang w:val="en-US" w:eastAsia="zh-CN"/>
              </w:rPr>
              <w:t>开 户 行：交通银行股份有限公司乌鲁木齐卫星路支行</w:t>
            </w:r>
          </w:p>
          <w:p w14:paraId="4EAE91EB">
            <w:pPr>
              <w:pStyle w:val="44"/>
              <w:shd w:val="clear"/>
              <w:rPr>
                <w:rFonts w:hint="eastAsia" w:cs="宋体"/>
                <w:sz w:val="24"/>
                <w:szCs w:val="24"/>
                <w:highlight w:val="none"/>
                <w:u w:val="single"/>
                <w:lang w:val="en-US" w:eastAsia="zh-CN"/>
              </w:rPr>
            </w:pPr>
            <w:r>
              <w:rPr>
                <w:rFonts w:hint="eastAsia" w:cs="宋体"/>
                <w:sz w:val="24"/>
                <w:szCs w:val="24"/>
                <w:highlight w:val="none"/>
                <w:u w:val="single"/>
                <w:lang w:val="en-US" w:eastAsia="zh-CN"/>
              </w:rPr>
              <w:t>帐    号：651651056018800020157</w:t>
            </w:r>
          </w:p>
          <w:p w14:paraId="09D36FFB">
            <w:pPr>
              <w:pStyle w:val="44"/>
              <w:shd w:val="clear"/>
              <w:rPr>
                <w:rFonts w:hint="eastAsia" w:cs="宋体"/>
                <w:sz w:val="24"/>
                <w:szCs w:val="24"/>
                <w:highlight w:val="none"/>
                <w:u w:val="single"/>
              </w:rPr>
            </w:pPr>
            <w:r>
              <w:rPr>
                <w:rFonts w:hint="eastAsia" w:cs="宋体"/>
                <w:sz w:val="24"/>
                <w:szCs w:val="24"/>
                <w:highlight w:val="none"/>
                <w:u w:val="single"/>
                <w:lang w:val="en-US" w:eastAsia="zh-CN"/>
              </w:rPr>
              <w:t>行    号：301881000569</w:t>
            </w:r>
          </w:p>
        </w:tc>
      </w:tr>
      <w:tr w14:paraId="01ADAD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14"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4C62DB7D">
            <w:pPr>
              <w:pStyle w:val="44"/>
              <w:shd w:val="clear"/>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41.1</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246287AB">
            <w:pPr>
              <w:pStyle w:val="44"/>
              <w:shd w:val="clear"/>
              <w:jc w:val="center"/>
              <w:rPr>
                <w:rFonts w:hint="eastAsia" w:ascii="宋体" w:hAnsi="宋体" w:eastAsia="宋体" w:cs="宋体"/>
                <w:color w:val="auto"/>
                <w:kern w:val="2"/>
                <w:sz w:val="24"/>
                <w:szCs w:val="24"/>
                <w:highlight w:val="none"/>
                <w:lang w:val="zh-CN" w:eastAsia="zh-CN" w:bidi="ar-SA"/>
              </w:rPr>
            </w:pPr>
            <w:r>
              <w:rPr>
                <w:rFonts w:hint="eastAsia" w:cs="宋体"/>
                <w:color w:val="auto"/>
                <w:sz w:val="24"/>
                <w:szCs w:val="24"/>
                <w:highlight w:val="none"/>
                <w:lang w:eastAsia="zh-CN"/>
              </w:rPr>
              <w:t>支持本国产品政策</w:t>
            </w:r>
          </w:p>
        </w:tc>
        <w:tc>
          <w:tcPr>
            <w:tcW w:w="6700" w:type="dxa"/>
            <w:tcBorders>
              <w:top w:val="single" w:color="auto" w:sz="2" w:space="0"/>
              <w:left w:val="single" w:color="auto" w:sz="2" w:space="0"/>
              <w:bottom w:val="single" w:color="auto" w:sz="2" w:space="0"/>
              <w:right w:val="single" w:color="auto" w:sz="2" w:space="0"/>
            </w:tcBorders>
            <w:shd w:val="clear" w:color="auto" w:fill="auto"/>
            <w:vAlign w:val="center"/>
          </w:tcPr>
          <w:p w14:paraId="064293A1">
            <w:pPr>
              <w:pStyle w:val="57"/>
              <w:widowControl w:val="0"/>
              <w:shd w:val="clear"/>
              <w:spacing w:before="0" w:beforeAutospacing="0" w:after="0" w:afterAutospacing="0" w:line="240" w:lineRule="auto"/>
              <w:jc w:val="both"/>
              <w:rPr>
                <w:rFonts w:hint="eastAsia" w:ascii="宋体" w:hAnsi="宋体" w:eastAsia="宋体" w:cs="宋体"/>
                <w:b/>
                <w:bCs/>
                <w:color w:val="auto"/>
                <w:kern w:val="0"/>
                <w:sz w:val="24"/>
                <w:szCs w:val="24"/>
                <w:highlight w:val="none"/>
                <w:lang w:val="en-US" w:eastAsia="zh-CN" w:bidi="ar-SA"/>
              </w:rPr>
            </w:pPr>
            <w:r>
              <w:rPr>
                <w:rFonts w:hint="eastAsia" w:cs="宋体"/>
                <w:b w:val="0"/>
                <w:bCs/>
                <w:color w:val="auto"/>
                <w:kern w:val="0"/>
                <w:sz w:val="24"/>
                <w:szCs w:val="24"/>
                <w:highlight w:val="none"/>
                <w:lang w:val="en-US" w:eastAsia="zh-CN" w:bidi="ar-SA"/>
              </w:rPr>
              <w:t>对符合本国产品标准的，依法对本国产品给予价格评审优惠，用扣除后的价格参与评审。</w:t>
            </w:r>
          </w:p>
        </w:tc>
      </w:tr>
      <w:tr w14:paraId="399E08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14" w:hRule="atLeast"/>
        </w:trPr>
        <w:tc>
          <w:tcPr>
            <w:tcW w:w="970" w:type="dxa"/>
            <w:tcBorders>
              <w:top w:val="single" w:color="auto" w:sz="2" w:space="0"/>
              <w:left w:val="single" w:color="auto" w:sz="2" w:space="0"/>
              <w:bottom w:val="single" w:color="auto" w:sz="2" w:space="0"/>
              <w:right w:val="single" w:color="auto" w:sz="2" w:space="0"/>
            </w:tcBorders>
            <w:vAlign w:val="center"/>
          </w:tcPr>
          <w:p w14:paraId="0A071A53">
            <w:pPr>
              <w:pStyle w:val="44"/>
              <w:shd w:val="clea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41</w:t>
            </w:r>
            <w:r>
              <w:rPr>
                <w:rFonts w:hint="eastAsia" w:ascii="宋体" w:hAnsi="宋体" w:eastAsia="宋体" w:cs="宋体"/>
                <w:color w:val="auto"/>
                <w:sz w:val="24"/>
                <w:szCs w:val="24"/>
                <w:highlight w:val="none"/>
              </w:rPr>
              <w:t>.</w:t>
            </w:r>
            <w:r>
              <w:rPr>
                <w:rFonts w:hint="eastAsia" w:cs="宋体"/>
                <w:color w:val="auto"/>
                <w:sz w:val="24"/>
                <w:szCs w:val="24"/>
                <w:highlight w:val="none"/>
                <w:lang w:val="en-US" w:eastAsia="zh-CN"/>
              </w:rPr>
              <w:t>2</w:t>
            </w:r>
          </w:p>
        </w:tc>
        <w:tc>
          <w:tcPr>
            <w:tcW w:w="1721" w:type="dxa"/>
            <w:tcBorders>
              <w:top w:val="single" w:color="auto" w:sz="2" w:space="0"/>
              <w:left w:val="single" w:color="auto" w:sz="2" w:space="0"/>
              <w:bottom w:val="single" w:color="auto" w:sz="2" w:space="0"/>
              <w:right w:val="single" w:color="auto" w:sz="2" w:space="0"/>
            </w:tcBorders>
            <w:vAlign w:val="center"/>
          </w:tcPr>
          <w:p w14:paraId="1785FF1B">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6700" w:type="dxa"/>
            <w:tcBorders>
              <w:top w:val="single" w:color="auto" w:sz="2" w:space="0"/>
              <w:left w:val="single" w:color="auto" w:sz="2" w:space="0"/>
              <w:bottom w:val="single" w:color="auto" w:sz="2" w:space="0"/>
              <w:right w:val="single" w:color="auto" w:sz="2" w:space="0"/>
            </w:tcBorders>
            <w:vAlign w:val="center"/>
          </w:tcPr>
          <w:p w14:paraId="3B4D5E17">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p>
          <w:p w14:paraId="77F5BFD2">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F0A8"/>
            </w:r>
            <w:r>
              <w:rPr>
                <w:rFonts w:hint="eastAsia" w:ascii="宋体" w:hAnsi="宋体" w:eastAsia="宋体" w:cs="宋体"/>
                <w:color w:val="auto"/>
                <w:sz w:val="24"/>
                <w:szCs w:val="24"/>
                <w:highlight w:val="none"/>
                <w:lang w:val="zh-CN"/>
              </w:rPr>
              <w:t>接受</w:t>
            </w:r>
          </w:p>
        </w:tc>
      </w:tr>
      <w:tr w14:paraId="6F701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15EB639A">
            <w:pPr>
              <w:pStyle w:val="44"/>
              <w:shd w:val="clear"/>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42</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p>
        </w:tc>
        <w:tc>
          <w:tcPr>
            <w:tcW w:w="1721" w:type="dxa"/>
            <w:tcBorders>
              <w:top w:val="single" w:color="auto" w:sz="2" w:space="0"/>
              <w:left w:val="single" w:color="auto" w:sz="2" w:space="0"/>
              <w:bottom w:val="single" w:color="auto" w:sz="2" w:space="0"/>
              <w:right w:val="single" w:color="auto" w:sz="2" w:space="0"/>
            </w:tcBorders>
            <w:vAlign w:val="center"/>
          </w:tcPr>
          <w:p w14:paraId="623E81DC">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Fonts w:hint="eastAsia" w:ascii="宋体" w:hAnsi="宋体" w:eastAsia="宋体" w:cs="宋体"/>
                <w:b w:val="0"/>
                <w:bCs/>
                <w:i w:val="0"/>
                <w:iCs/>
                <w:color w:val="auto"/>
                <w:kern w:val="0"/>
                <w:sz w:val="24"/>
                <w:szCs w:val="24"/>
                <w:highlight w:val="none"/>
                <w:lang w:val="en-US" w:eastAsia="zh-CN" w:bidi="ar-SA"/>
              </w:rPr>
              <w:t>（非专门面向中小企业采购项目适用）</w:t>
            </w:r>
          </w:p>
        </w:tc>
        <w:tc>
          <w:tcPr>
            <w:tcW w:w="6700" w:type="dxa"/>
            <w:tcBorders>
              <w:top w:val="single" w:color="auto" w:sz="2" w:space="0"/>
              <w:left w:val="single" w:color="auto" w:sz="2" w:space="0"/>
              <w:bottom w:val="single" w:color="auto" w:sz="2" w:space="0"/>
              <w:right w:val="single" w:color="auto" w:sz="2" w:space="0"/>
            </w:tcBorders>
            <w:vAlign w:val="center"/>
          </w:tcPr>
          <w:p w14:paraId="494A9BAF">
            <w:pPr>
              <w:pStyle w:val="57"/>
              <w:widowControl w:val="0"/>
              <w:shd w:val="clear"/>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1EC73829">
            <w:pPr>
              <w:pStyle w:val="57"/>
              <w:widowControl w:val="0"/>
              <w:shd w:val="clear"/>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498559E5">
            <w:pPr>
              <w:pStyle w:val="57"/>
              <w:widowControl w:val="0"/>
              <w:shd w:val="clear"/>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6AB8547">
            <w:pPr>
              <w:pStyle w:val="57"/>
              <w:widowControl w:val="0"/>
              <w:shd w:val="clear"/>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083F702C">
            <w:pPr>
              <w:pStyle w:val="57"/>
              <w:widowControl w:val="0"/>
              <w:shd w:val="clear"/>
              <w:spacing w:before="0" w:beforeAutospacing="0" w:after="0" w:afterAutospacing="0" w:line="240" w:lineRule="auto"/>
              <w:jc w:val="both"/>
              <w:rPr>
                <w:rFonts w:hint="eastAsia" w:ascii="宋体" w:hAnsi="宋体" w:eastAsia="宋体" w:cs="宋体"/>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color w:val="auto"/>
                <w:sz w:val="24"/>
                <w:szCs w:val="24"/>
                <w:highlight w:val="none"/>
                <w:u w:val="single"/>
                <w:lang w:val="en-US" w:eastAsia="zh-CN"/>
              </w:rPr>
              <w:t>/</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016051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89" w:hRule="atLeast"/>
        </w:trPr>
        <w:tc>
          <w:tcPr>
            <w:tcW w:w="970" w:type="dxa"/>
            <w:tcBorders>
              <w:top w:val="single" w:color="auto" w:sz="2" w:space="0"/>
              <w:left w:val="single" w:color="auto" w:sz="2" w:space="0"/>
              <w:bottom w:val="single" w:color="auto" w:sz="2" w:space="0"/>
              <w:right w:val="single" w:color="auto" w:sz="2" w:space="0"/>
            </w:tcBorders>
            <w:vAlign w:val="center"/>
          </w:tcPr>
          <w:p w14:paraId="790F1479">
            <w:pPr>
              <w:pStyle w:val="44"/>
              <w:shd w:val="clea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42.9</w:t>
            </w:r>
          </w:p>
        </w:tc>
        <w:tc>
          <w:tcPr>
            <w:tcW w:w="1721" w:type="dxa"/>
            <w:tcBorders>
              <w:top w:val="single" w:color="auto" w:sz="2" w:space="0"/>
              <w:left w:val="single" w:color="auto" w:sz="2" w:space="0"/>
              <w:bottom w:val="single" w:color="auto" w:sz="2" w:space="0"/>
              <w:right w:val="single" w:color="auto" w:sz="2" w:space="0"/>
            </w:tcBorders>
            <w:vAlign w:val="center"/>
          </w:tcPr>
          <w:p w14:paraId="46C03D62">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标的所属行业</w:t>
            </w:r>
          </w:p>
          <w:p w14:paraId="10DBCCB6">
            <w:pPr>
              <w:pStyle w:val="44"/>
              <w:shd w:val="clear"/>
              <w:rPr>
                <w:rFonts w:hint="eastAsia" w:ascii="宋体" w:hAnsi="宋体" w:eastAsia="宋体" w:cs="宋体"/>
                <w:color w:val="auto"/>
                <w:sz w:val="24"/>
                <w:szCs w:val="24"/>
                <w:highlight w:val="none"/>
              </w:rPr>
            </w:pPr>
            <w:r>
              <w:rPr>
                <w:rFonts w:hint="eastAsia" w:ascii="宋体" w:hAnsi="宋体" w:eastAsia="宋体" w:cs="宋体"/>
                <w:b w:val="0"/>
                <w:bCs/>
                <w:i w:val="0"/>
                <w:iCs/>
                <w:color w:val="auto"/>
                <w:kern w:val="0"/>
                <w:sz w:val="24"/>
                <w:szCs w:val="24"/>
                <w:highlight w:val="none"/>
                <w:lang w:val="en-US" w:eastAsia="zh-CN" w:bidi="ar-SA"/>
              </w:rPr>
              <w:t>（参照后附《工信部联企业〔2011〕300号》文件规定）</w:t>
            </w:r>
          </w:p>
        </w:tc>
        <w:tc>
          <w:tcPr>
            <w:tcW w:w="6700" w:type="dxa"/>
            <w:tcBorders>
              <w:top w:val="single" w:color="auto" w:sz="2" w:space="0"/>
              <w:left w:val="single" w:color="auto" w:sz="2" w:space="0"/>
              <w:bottom w:val="single" w:color="auto" w:sz="2" w:space="0"/>
              <w:right w:val="single" w:color="auto" w:sz="2" w:space="0"/>
            </w:tcBorders>
            <w:vAlign w:val="center"/>
          </w:tcPr>
          <w:p w14:paraId="73639D39">
            <w:pPr>
              <w:keepNext w:val="0"/>
              <w:keepLines w:val="0"/>
              <w:widowControl/>
              <w:suppressLineNumbers w:val="0"/>
              <w:shd w:val="clear"/>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本项目采购标的对应的中小企业划分标准所属行业： </w:t>
            </w:r>
          </w:p>
          <w:tbl>
            <w:tblPr>
              <w:tblStyle w:val="28"/>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385E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A664177">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包号</w:t>
                  </w:r>
                </w:p>
              </w:tc>
              <w:tc>
                <w:tcPr>
                  <w:tcW w:w="1824" w:type="dxa"/>
                  <w:vAlign w:val="center"/>
                </w:tcPr>
                <w:p w14:paraId="0AD36816">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标的名称</w:t>
                  </w:r>
                </w:p>
              </w:tc>
              <w:tc>
                <w:tcPr>
                  <w:tcW w:w="3245" w:type="dxa"/>
                  <w:vAlign w:val="center"/>
                </w:tcPr>
                <w:p w14:paraId="2C78D772">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中小企业划分标准所属行业</w:t>
                  </w:r>
                </w:p>
              </w:tc>
            </w:tr>
            <w:tr w14:paraId="531A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restart"/>
                  <w:vAlign w:val="center"/>
                </w:tcPr>
                <w:p w14:paraId="45DA92CB">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第1包</w:t>
                  </w:r>
                </w:p>
              </w:tc>
              <w:tc>
                <w:tcPr>
                  <w:tcW w:w="1824" w:type="dxa"/>
                  <w:vAlign w:val="center"/>
                </w:tcPr>
                <w:p w14:paraId="7B94C3FE">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种犬粮</w:t>
                  </w:r>
                </w:p>
              </w:tc>
              <w:tc>
                <w:tcPr>
                  <w:tcW w:w="3245" w:type="dxa"/>
                  <w:vAlign w:val="center"/>
                </w:tcPr>
                <w:p w14:paraId="33535D95">
                  <w:pPr>
                    <w:keepNext w:val="0"/>
                    <w:keepLines w:val="0"/>
                    <w:widowControl/>
                    <w:suppressLineNumbers w:val="0"/>
                    <w:shd w:val="clear"/>
                    <w:jc w:val="center"/>
                    <w:rPr>
                      <w:rFonts w:hint="default"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1F29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2C9D194E">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3794AD36">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成犬粮</w:t>
                  </w:r>
                </w:p>
              </w:tc>
              <w:tc>
                <w:tcPr>
                  <w:tcW w:w="3245" w:type="dxa"/>
                  <w:vAlign w:val="center"/>
                </w:tcPr>
                <w:p w14:paraId="7C05E7D3">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7FD09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3E5DE21A">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06F698E3">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幼犬粮</w:t>
                  </w:r>
                </w:p>
              </w:tc>
              <w:tc>
                <w:tcPr>
                  <w:tcW w:w="3245" w:type="dxa"/>
                  <w:vAlign w:val="center"/>
                </w:tcPr>
                <w:p w14:paraId="43449218">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52E1E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57CA28E5">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3954E11C">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牛</w:t>
                  </w:r>
                  <w:r>
                    <w:rPr>
                      <w:rStyle w:val="63"/>
                      <w:rFonts w:hint="eastAsia" w:ascii="宋体" w:hAnsi="宋体" w:eastAsia="宋体" w:cs="宋体"/>
                      <w:sz w:val="24"/>
                      <w:szCs w:val="24"/>
                      <w:highlight w:val="none"/>
                      <w:lang w:val="en-US" w:eastAsia="zh-CN" w:bidi="ar"/>
                    </w:rPr>
                    <w:t xml:space="preserve">  </w:t>
                  </w:r>
                  <w:r>
                    <w:rPr>
                      <w:rStyle w:val="62"/>
                      <w:rFonts w:hint="eastAsia" w:ascii="宋体" w:hAnsi="宋体" w:eastAsia="宋体" w:cs="宋体"/>
                      <w:sz w:val="24"/>
                      <w:szCs w:val="24"/>
                      <w:highlight w:val="none"/>
                      <w:lang w:val="en-US" w:eastAsia="zh-CN" w:bidi="ar"/>
                    </w:rPr>
                    <w:t>肉</w:t>
                  </w:r>
                </w:p>
              </w:tc>
              <w:tc>
                <w:tcPr>
                  <w:tcW w:w="3245" w:type="dxa"/>
                  <w:vAlign w:val="center"/>
                </w:tcPr>
                <w:p w14:paraId="593C93EF">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21657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169C0AFA">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7B3BE8E9">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犬用奶粉</w:t>
                  </w:r>
                </w:p>
              </w:tc>
              <w:tc>
                <w:tcPr>
                  <w:tcW w:w="3245" w:type="dxa"/>
                  <w:vAlign w:val="center"/>
                </w:tcPr>
                <w:p w14:paraId="275C3000">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17A7D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741A8FB2">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6C6D1A5F">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鸡</w:t>
                  </w:r>
                  <w:r>
                    <w:rPr>
                      <w:rStyle w:val="63"/>
                      <w:rFonts w:hint="eastAsia" w:ascii="宋体" w:hAnsi="宋体" w:eastAsia="宋体" w:cs="宋体"/>
                      <w:sz w:val="24"/>
                      <w:szCs w:val="24"/>
                      <w:highlight w:val="none"/>
                      <w:lang w:val="en-US" w:eastAsia="zh-CN" w:bidi="ar"/>
                    </w:rPr>
                    <w:t xml:space="preserve">  </w:t>
                  </w:r>
                  <w:r>
                    <w:rPr>
                      <w:rStyle w:val="62"/>
                      <w:rFonts w:hint="eastAsia" w:ascii="宋体" w:hAnsi="宋体" w:eastAsia="宋体" w:cs="宋体"/>
                      <w:sz w:val="24"/>
                      <w:szCs w:val="24"/>
                      <w:highlight w:val="none"/>
                      <w:lang w:val="en-US" w:eastAsia="zh-CN" w:bidi="ar"/>
                    </w:rPr>
                    <w:t>蛋</w:t>
                  </w:r>
                </w:p>
              </w:tc>
              <w:tc>
                <w:tcPr>
                  <w:tcW w:w="3245" w:type="dxa"/>
                  <w:vAlign w:val="center"/>
                </w:tcPr>
                <w:p w14:paraId="1B493D72">
                  <w:pPr>
                    <w:keepNext w:val="0"/>
                    <w:keepLines w:val="0"/>
                    <w:widowControl/>
                    <w:suppressLineNumbers w:val="0"/>
                    <w:shd w:val="clear"/>
                    <w:jc w:val="center"/>
                    <w:rPr>
                      <w:rFonts w:hint="default"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畜牧业</w:t>
                  </w:r>
                </w:p>
              </w:tc>
            </w:tr>
            <w:tr w14:paraId="7EAC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720AE1F8">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5A2A40A3">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犬罐头</w:t>
                  </w:r>
                </w:p>
              </w:tc>
              <w:tc>
                <w:tcPr>
                  <w:tcW w:w="3245" w:type="dxa"/>
                  <w:vAlign w:val="center"/>
                </w:tcPr>
                <w:p w14:paraId="6C55F733">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17C28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1CA53829">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266442EA">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复方非班太尔片</w:t>
                  </w:r>
                </w:p>
              </w:tc>
              <w:tc>
                <w:tcPr>
                  <w:tcW w:w="3245" w:type="dxa"/>
                  <w:vAlign w:val="center"/>
                </w:tcPr>
                <w:p w14:paraId="77CB07AF">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40E1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55AE2F3B">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280FD048">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二氯苯醚菊脂吡虫啉滴剂（幼犬）</w:t>
                  </w:r>
                </w:p>
              </w:tc>
              <w:tc>
                <w:tcPr>
                  <w:tcW w:w="3245" w:type="dxa"/>
                  <w:vAlign w:val="center"/>
                </w:tcPr>
                <w:p w14:paraId="585E4F24">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079E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0762E441">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759D2CE0">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胺菊酯氯菊酯喷剂（环境驱虫）</w:t>
                  </w:r>
                </w:p>
              </w:tc>
              <w:tc>
                <w:tcPr>
                  <w:tcW w:w="3245" w:type="dxa"/>
                  <w:vAlign w:val="center"/>
                </w:tcPr>
                <w:p w14:paraId="38CFA286">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5BBC9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0203896E">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4918E879">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二氯苯醚菊脂吡虫啉滴剂（成犬）</w:t>
                  </w:r>
                </w:p>
              </w:tc>
              <w:tc>
                <w:tcPr>
                  <w:tcW w:w="3245" w:type="dxa"/>
                  <w:vAlign w:val="center"/>
                </w:tcPr>
                <w:p w14:paraId="006C4DE3">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07E7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47D414CC">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6B855CC5">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双羟萘酸噻嘧啶咀嚼片</w:t>
                  </w:r>
                </w:p>
              </w:tc>
              <w:tc>
                <w:tcPr>
                  <w:tcW w:w="3245" w:type="dxa"/>
                  <w:vAlign w:val="center"/>
                </w:tcPr>
                <w:p w14:paraId="491D4B8C">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33AC5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2C4B121F">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01AAD214">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稀戊二醛溶液</w:t>
                  </w:r>
                  <w:r>
                    <w:rPr>
                      <w:rStyle w:val="63"/>
                      <w:rFonts w:hint="eastAsia" w:ascii="宋体" w:hAnsi="宋体" w:eastAsia="宋体" w:cs="宋体"/>
                      <w:sz w:val="24"/>
                      <w:szCs w:val="24"/>
                      <w:highlight w:val="none"/>
                      <w:lang w:val="en-US" w:eastAsia="zh-CN" w:bidi="ar"/>
                    </w:rPr>
                    <w:t>(</w:t>
                  </w:r>
                  <w:r>
                    <w:rPr>
                      <w:rStyle w:val="62"/>
                      <w:rFonts w:hint="eastAsia" w:ascii="宋体" w:hAnsi="宋体" w:eastAsia="宋体" w:cs="宋体"/>
                      <w:sz w:val="24"/>
                      <w:szCs w:val="24"/>
                      <w:highlight w:val="none"/>
                      <w:lang w:val="en-US" w:eastAsia="zh-CN" w:bidi="ar"/>
                    </w:rPr>
                    <w:t>环境消毒</w:t>
                  </w:r>
                  <w:r>
                    <w:rPr>
                      <w:rStyle w:val="63"/>
                      <w:rFonts w:hint="eastAsia" w:ascii="宋体" w:hAnsi="宋体" w:eastAsia="宋体" w:cs="宋体"/>
                      <w:sz w:val="24"/>
                      <w:szCs w:val="24"/>
                      <w:highlight w:val="none"/>
                      <w:lang w:val="en-US" w:eastAsia="zh-CN" w:bidi="ar"/>
                    </w:rPr>
                    <w:t>)</w:t>
                  </w:r>
                </w:p>
              </w:tc>
              <w:tc>
                <w:tcPr>
                  <w:tcW w:w="3245" w:type="dxa"/>
                  <w:vAlign w:val="center"/>
                </w:tcPr>
                <w:p w14:paraId="7ED2CDB8">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1274A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62442612">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60685B26">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聚维酮碘溶液</w:t>
                  </w:r>
                </w:p>
              </w:tc>
              <w:tc>
                <w:tcPr>
                  <w:tcW w:w="3245" w:type="dxa"/>
                  <w:vAlign w:val="center"/>
                </w:tcPr>
                <w:p w14:paraId="04E72018">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1B762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195FD2C2">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11950AFF">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伊维菌素注射液</w:t>
                  </w:r>
                </w:p>
              </w:tc>
              <w:tc>
                <w:tcPr>
                  <w:tcW w:w="3245" w:type="dxa"/>
                  <w:vAlign w:val="center"/>
                </w:tcPr>
                <w:p w14:paraId="462E5696">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442D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6CA69BFC">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61BC947D">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氯苯甲咪唑注射液</w:t>
                  </w:r>
                </w:p>
              </w:tc>
              <w:tc>
                <w:tcPr>
                  <w:tcW w:w="3245" w:type="dxa"/>
                  <w:vAlign w:val="center"/>
                </w:tcPr>
                <w:p w14:paraId="0822FF6A">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196DE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53595703">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07F042C5">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犬用疫苗</w:t>
                  </w:r>
                </w:p>
              </w:tc>
              <w:tc>
                <w:tcPr>
                  <w:tcW w:w="3245" w:type="dxa"/>
                  <w:vAlign w:val="center"/>
                </w:tcPr>
                <w:p w14:paraId="66CBD17F">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2666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0BAB4440">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4E8D7B04">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肠道益生菌补充剂</w:t>
                  </w:r>
                </w:p>
              </w:tc>
              <w:tc>
                <w:tcPr>
                  <w:tcW w:w="3245" w:type="dxa"/>
                  <w:vAlign w:val="center"/>
                </w:tcPr>
                <w:p w14:paraId="67F4850C">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229C0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777FF4ED">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29B3B48B">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复方锌微量元素</w:t>
                  </w:r>
                </w:p>
              </w:tc>
              <w:tc>
                <w:tcPr>
                  <w:tcW w:w="3245" w:type="dxa"/>
                  <w:vAlign w:val="center"/>
                </w:tcPr>
                <w:p w14:paraId="31D24E9A">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56D89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7446233A">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7FBCB1A8">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注射用恩诺沙星针剂（成犬用抗生素）</w:t>
                  </w:r>
                </w:p>
              </w:tc>
              <w:tc>
                <w:tcPr>
                  <w:tcW w:w="3245" w:type="dxa"/>
                  <w:vAlign w:val="center"/>
                </w:tcPr>
                <w:p w14:paraId="2E403FC9">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1792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7561C330">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54AD5FCC">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注射用硫酸头孢喹肟（成犬用抗生素）</w:t>
                  </w:r>
                </w:p>
              </w:tc>
              <w:tc>
                <w:tcPr>
                  <w:tcW w:w="3245" w:type="dxa"/>
                  <w:vAlign w:val="center"/>
                </w:tcPr>
                <w:p w14:paraId="41EE67FA">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695A3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58D061ED">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2D7F28FE">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注射用硫酸头孢喹肟（幼犬用抗生素）</w:t>
                  </w:r>
                </w:p>
              </w:tc>
              <w:tc>
                <w:tcPr>
                  <w:tcW w:w="3245" w:type="dxa"/>
                  <w:vAlign w:val="center"/>
                </w:tcPr>
                <w:p w14:paraId="22059CED">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35FC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1BDDB03C">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6BCF1B51">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复方溶菌酶抗菌凝胶</w:t>
                  </w:r>
                </w:p>
              </w:tc>
              <w:tc>
                <w:tcPr>
                  <w:tcW w:w="3245" w:type="dxa"/>
                  <w:vAlign w:val="center"/>
                </w:tcPr>
                <w:p w14:paraId="740F4691">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12BF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0F37897B">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318DED68">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复方溶菌酶消毒喷剂</w:t>
                  </w:r>
                </w:p>
              </w:tc>
              <w:tc>
                <w:tcPr>
                  <w:tcW w:w="3245" w:type="dxa"/>
                  <w:vAlign w:val="center"/>
                </w:tcPr>
                <w:p w14:paraId="2B8A242A">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4A9C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113874C8">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4AF4E80E">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中药、维生素复方抗病毒口服用药</w:t>
                  </w:r>
                </w:p>
              </w:tc>
              <w:tc>
                <w:tcPr>
                  <w:tcW w:w="3245" w:type="dxa"/>
                  <w:vAlign w:val="center"/>
                </w:tcPr>
                <w:p w14:paraId="6CE8FC10">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2A79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682E4176">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5D061BB2">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复合维生素消化道胰腺抗炎口服用药</w:t>
                  </w:r>
                </w:p>
              </w:tc>
              <w:tc>
                <w:tcPr>
                  <w:tcW w:w="3245" w:type="dxa"/>
                  <w:vAlign w:val="center"/>
                </w:tcPr>
                <w:p w14:paraId="6A008D9E">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1CAD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3D52E608">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29245711">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复合维生素皮肤病辅助治疗口服用药</w:t>
                  </w:r>
                </w:p>
              </w:tc>
              <w:tc>
                <w:tcPr>
                  <w:tcW w:w="3245" w:type="dxa"/>
                  <w:vAlign w:val="center"/>
                </w:tcPr>
                <w:p w14:paraId="249645B4">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1F69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4286287F">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2B113A0E">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警犬</w:t>
                  </w:r>
                  <w:r>
                    <w:rPr>
                      <w:rStyle w:val="63"/>
                      <w:rFonts w:hint="eastAsia" w:ascii="宋体" w:hAnsi="宋体" w:eastAsia="宋体" w:cs="宋体"/>
                      <w:sz w:val="24"/>
                      <w:szCs w:val="24"/>
                      <w:highlight w:val="none"/>
                      <w:lang w:val="en-US" w:eastAsia="zh-CN" w:bidi="ar"/>
                    </w:rPr>
                    <w:t>DNA</w:t>
                  </w:r>
                  <w:r>
                    <w:rPr>
                      <w:rStyle w:val="62"/>
                      <w:rFonts w:hint="eastAsia" w:ascii="宋体" w:hAnsi="宋体" w:eastAsia="宋体" w:cs="宋体"/>
                      <w:sz w:val="24"/>
                      <w:szCs w:val="24"/>
                      <w:highlight w:val="none"/>
                      <w:lang w:val="en-US" w:eastAsia="zh-CN" w:bidi="ar"/>
                    </w:rPr>
                    <w:t>试剂盒</w:t>
                  </w:r>
                </w:p>
              </w:tc>
              <w:tc>
                <w:tcPr>
                  <w:tcW w:w="3245" w:type="dxa"/>
                  <w:vAlign w:val="center"/>
                </w:tcPr>
                <w:p w14:paraId="51C52C9A">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51C2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18581C6A">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3AF5DF21">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虫草多糖（抗病毒）</w:t>
                  </w:r>
                </w:p>
              </w:tc>
              <w:tc>
                <w:tcPr>
                  <w:tcW w:w="3245" w:type="dxa"/>
                  <w:vAlign w:val="center"/>
                </w:tcPr>
                <w:p w14:paraId="63BC6366">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35E9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3DDA0561">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5A32B0E4">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氯化钠</w:t>
                  </w:r>
                </w:p>
              </w:tc>
              <w:tc>
                <w:tcPr>
                  <w:tcW w:w="3245" w:type="dxa"/>
                  <w:vAlign w:val="center"/>
                </w:tcPr>
                <w:p w14:paraId="0794A0A6">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3539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4023492B">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34AA18C7">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葡萄糖</w:t>
                  </w:r>
                </w:p>
              </w:tc>
              <w:tc>
                <w:tcPr>
                  <w:tcW w:w="3245" w:type="dxa"/>
                  <w:vAlign w:val="center"/>
                </w:tcPr>
                <w:p w14:paraId="09E7BE56">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16C8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218C323E">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3F037B6D">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复方氢化可的松醋丙酯耳道消炎用药</w:t>
                  </w:r>
                </w:p>
              </w:tc>
              <w:tc>
                <w:tcPr>
                  <w:tcW w:w="3245" w:type="dxa"/>
                  <w:vAlign w:val="center"/>
                </w:tcPr>
                <w:p w14:paraId="36585901">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5ABC8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6F27A193">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6188FDCD">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复方</w:t>
                  </w:r>
                  <w:r>
                    <w:rPr>
                      <w:rStyle w:val="63"/>
                      <w:rFonts w:hint="eastAsia" w:ascii="宋体" w:hAnsi="宋体" w:eastAsia="宋体" w:cs="宋体"/>
                      <w:sz w:val="24"/>
                      <w:szCs w:val="24"/>
                      <w:highlight w:val="none"/>
                      <w:lang w:val="en-US" w:eastAsia="zh-CN" w:bidi="ar"/>
                    </w:rPr>
                    <w:t>EDTA</w:t>
                  </w:r>
                  <w:r>
                    <w:rPr>
                      <w:rStyle w:val="62"/>
                      <w:rFonts w:hint="eastAsia" w:ascii="宋体" w:hAnsi="宋体" w:eastAsia="宋体" w:cs="宋体"/>
                      <w:sz w:val="24"/>
                      <w:szCs w:val="24"/>
                      <w:highlight w:val="none"/>
                      <w:lang w:val="en-US" w:eastAsia="zh-CN" w:bidi="ar"/>
                    </w:rPr>
                    <w:t>耳道清洗液</w:t>
                  </w:r>
                </w:p>
              </w:tc>
              <w:tc>
                <w:tcPr>
                  <w:tcW w:w="3245" w:type="dxa"/>
                  <w:vAlign w:val="center"/>
                </w:tcPr>
                <w:p w14:paraId="397D91CD">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7376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0E3134A8">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30CFC646">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复方水杨酸眼部用药</w:t>
                  </w:r>
                </w:p>
              </w:tc>
              <w:tc>
                <w:tcPr>
                  <w:tcW w:w="3245" w:type="dxa"/>
                  <w:vAlign w:val="center"/>
                </w:tcPr>
                <w:p w14:paraId="5EA38D71">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0D4E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49960792">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5E3FDAED">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注射器</w:t>
                  </w:r>
                </w:p>
              </w:tc>
              <w:tc>
                <w:tcPr>
                  <w:tcW w:w="3245" w:type="dxa"/>
                  <w:vAlign w:val="center"/>
                </w:tcPr>
                <w:p w14:paraId="654F5105">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6059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16759775">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44F4BA6B">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输液器</w:t>
                  </w:r>
                </w:p>
              </w:tc>
              <w:tc>
                <w:tcPr>
                  <w:tcW w:w="3245" w:type="dxa"/>
                  <w:vAlign w:val="center"/>
                </w:tcPr>
                <w:p w14:paraId="663137E5">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2498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19B1E607">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7F9D0550">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动物弹性绷带</w:t>
                  </w:r>
                </w:p>
              </w:tc>
              <w:tc>
                <w:tcPr>
                  <w:tcW w:w="3245" w:type="dxa"/>
                  <w:vAlign w:val="center"/>
                </w:tcPr>
                <w:p w14:paraId="30D043CE">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3C13E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24B668BB">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24B914C8">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纱布块</w:t>
                  </w:r>
                </w:p>
              </w:tc>
              <w:tc>
                <w:tcPr>
                  <w:tcW w:w="3245" w:type="dxa"/>
                  <w:vAlign w:val="center"/>
                </w:tcPr>
                <w:p w14:paraId="5F3084B6">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520B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63925D61">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72B63EB3">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专业麻软棒</w:t>
                  </w:r>
                </w:p>
              </w:tc>
              <w:tc>
                <w:tcPr>
                  <w:tcW w:w="3245" w:type="dxa"/>
                  <w:vAlign w:val="center"/>
                </w:tcPr>
                <w:p w14:paraId="666A5E17">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48152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4D272CF1">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1CACDAB8">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扑咬快放带</w:t>
                  </w:r>
                </w:p>
              </w:tc>
              <w:tc>
                <w:tcPr>
                  <w:tcW w:w="3245" w:type="dxa"/>
                  <w:vAlign w:val="center"/>
                </w:tcPr>
                <w:p w14:paraId="1AA486B5">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4234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5AC5CC6C">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06E8B613">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扑咬台</w:t>
                  </w:r>
                </w:p>
              </w:tc>
              <w:tc>
                <w:tcPr>
                  <w:tcW w:w="3245" w:type="dxa"/>
                  <w:vAlign w:val="center"/>
                </w:tcPr>
                <w:p w14:paraId="0BC00104">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553C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1622F30B">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4BEEFFF3">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木哑铃</w:t>
                  </w:r>
                </w:p>
              </w:tc>
              <w:tc>
                <w:tcPr>
                  <w:tcW w:w="3245" w:type="dxa"/>
                  <w:vAlign w:val="center"/>
                </w:tcPr>
                <w:p w14:paraId="44DE7683">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75BD5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170519B8">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416CE6CB">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耐咬训练绳球</w:t>
                  </w:r>
                </w:p>
              </w:tc>
              <w:tc>
                <w:tcPr>
                  <w:tcW w:w="3245" w:type="dxa"/>
                  <w:vAlign w:val="center"/>
                </w:tcPr>
                <w:p w14:paraId="4E0149D8">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531B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1C54C348">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5CE00017">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公安专用牵引带</w:t>
                  </w:r>
                </w:p>
              </w:tc>
              <w:tc>
                <w:tcPr>
                  <w:tcW w:w="3245" w:type="dxa"/>
                  <w:vAlign w:val="center"/>
                </w:tcPr>
                <w:p w14:paraId="1BEAB68A">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2B6FB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06621C94">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5103515D">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专业助训马甲</w:t>
                  </w:r>
                </w:p>
              </w:tc>
              <w:tc>
                <w:tcPr>
                  <w:tcW w:w="3245" w:type="dxa"/>
                  <w:vAlign w:val="center"/>
                </w:tcPr>
                <w:p w14:paraId="0788A459">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019A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2A59A4A9">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1F868F67">
                  <w:pPr>
                    <w:keepNext w:val="0"/>
                    <w:keepLines w:val="0"/>
                    <w:widowControl/>
                    <w:suppressLineNumbers w:val="0"/>
                    <w:shd w:val="clear"/>
                    <w:jc w:val="center"/>
                    <w:textAlignment w:val="center"/>
                    <w:rPr>
                      <w:rFonts w:hint="eastAsia" w:ascii="宋体" w:hAnsi="宋体" w:eastAsia="宋体" w:cs="宋体"/>
                      <w:color w:val="auto"/>
                      <w:kern w:val="0"/>
                      <w:sz w:val="24"/>
                      <w:szCs w:val="24"/>
                      <w:highlight w:val="none"/>
                      <w:vertAlign w:val="baseline"/>
                      <w:lang w:val="en-US" w:eastAsia="zh-CN" w:bidi="ar"/>
                    </w:rPr>
                  </w:pPr>
                  <w:r>
                    <w:rPr>
                      <w:rStyle w:val="62"/>
                      <w:rFonts w:hint="eastAsia" w:ascii="宋体" w:hAnsi="宋体" w:eastAsia="宋体" w:cs="宋体"/>
                      <w:sz w:val="24"/>
                      <w:szCs w:val="24"/>
                      <w:highlight w:val="none"/>
                      <w:lang w:val="en-US" w:eastAsia="zh-CN" w:bidi="ar"/>
                    </w:rPr>
                    <w:t>专业训练腰包</w:t>
                  </w:r>
                </w:p>
              </w:tc>
              <w:tc>
                <w:tcPr>
                  <w:tcW w:w="3245" w:type="dxa"/>
                  <w:vAlign w:val="center"/>
                </w:tcPr>
                <w:p w14:paraId="53C9A106">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0C948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0FE1787C">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0E83FCCE">
                  <w:pPr>
                    <w:keepNext w:val="0"/>
                    <w:keepLines w:val="0"/>
                    <w:widowControl/>
                    <w:suppressLineNumbers w:val="0"/>
                    <w:shd w:val="clear"/>
                    <w:jc w:val="center"/>
                    <w:textAlignment w:val="center"/>
                    <w:rPr>
                      <w:rStyle w:val="62"/>
                      <w:rFonts w:hint="eastAsia" w:ascii="宋体" w:hAnsi="宋体" w:eastAsia="宋体" w:cs="宋体"/>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护袖</w:t>
                  </w:r>
                </w:p>
              </w:tc>
              <w:tc>
                <w:tcPr>
                  <w:tcW w:w="3245" w:type="dxa"/>
                  <w:vAlign w:val="center"/>
                </w:tcPr>
                <w:p w14:paraId="254B93A9">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2D01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64FA3862">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43E12C4D">
                  <w:pPr>
                    <w:keepNext w:val="0"/>
                    <w:keepLines w:val="0"/>
                    <w:widowControl/>
                    <w:suppressLineNumbers w:val="0"/>
                    <w:shd w:val="clear"/>
                    <w:jc w:val="center"/>
                    <w:textAlignment w:val="center"/>
                    <w:rPr>
                      <w:rStyle w:val="62"/>
                      <w:rFonts w:hint="eastAsia" w:ascii="宋体" w:hAnsi="宋体" w:eastAsia="宋体" w:cs="宋体"/>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沐浴液</w:t>
                  </w:r>
                </w:p>
              </w:tc>
              <w:tc>
                <w:tcPr>
                  <w:tcW w:w="3245" w:type="dxa"/>
                  <w:vAlign w:val="center"/>
                </w:tcPr>
                <w:p w14:paraId="33FEBF74">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62F04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4AB5A041">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67BD9AF5">
                  <w:pPr>
                    <w:keepNext w:val="0"/>
                    <w:keepLines w:val="0"/>
                    <w:widowControl/>
                    <w:suppressLineNumbers w:val="0"/>
                    <w:shd w:val="clear"/>
                    <w:jc w:val="center"/>
                    <w:textAlignment w:val="center"/>
                    <w:rPr>
                      <w:rStyle w:val="62"/>
                      <w:rFonts w:hint="eastAsia" w:ascii="宋体" w:hAnsi="宋体" w:eastAsia="宋体" w:cs="宋体"/>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训练假肢</w:t>
                  </w:r>
                </w:p>
              </w:tc>
              <w:tc>
                <w:tcPr>
                  <w:tcW w:w="3245" w:type="dxa"/>
                  <w:vAlign w:val="center"/>
                </w:tcPr>
                <w:p w14:paraId="4112785D">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3C2DB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4C4C3374">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01F114B8">
                  <w:pPr>
                    <w:keepNext w:val="0"/>
                    <w:keepLines w:val="0"/>
                    <w:widowControl/>
                    <w:suppressLineNumbers w:val="0"/>
                    <w:shd w:val="clear"/>
                    <w:jc w:val="center"/>
                    <w:textAlignment w:val="center"/>
                    <w:rPr>
                      <w:rStyle w:val="62"/>
                      <w:rFonts w:hint="eastAsia" w:ascii="宋体" w:hAnsi="宋体" w:eastAsia="宋体" w:cs="宋体"/>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调引杆</w:t>
                  </w:r>
                </w:p>
              </w:tc>
              <w:tc>
                <w:tcPr>
                  <w:tcW w:w="3245" w:type="dxa"/>
                  <w:vAlign w:val="center"/>
                </w:tcPr>
                <w:p w14:paraId="03FAD7B2">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135A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50934385">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528211DC">
                  <w:pPr>
                    <w:keepNext w:val="0"/>
                    <w:keepLines w:val="0"/>
                    <w:widowControl/>
                    <w:suppressLineNumbers w:val="0"/>
                    <w:shd w:val="clear"/>
                    <w:jc w:val="center"/>
                    <w:textAlignment w:val="center"/>
                    <w:rPr>
                      <w:rStyle w:val="62"/>
                      <w:rFonts w:hint="eastAsia" w:ascii="宋体" w:hAnsi="宋体" w:eastAsia="宋体" w:cs="宋体"/>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警犬头盔</w:t>
                  </w:r>
                </w:p>
              </w:tc>
              <w:tc>
                <w:tcPr>
                  <w:tcW w:w="3245" w:type="dxa"/>
                  <w:vAlign w:val="center"/>
                </w:tcPr>
                <w:p w14:paraId="567E4F5D">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278DB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6FFBF787">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78C082EA">
                  <w:pPr>
                    <w:keepNext w:val="0"/>
                    <w:keepLines w:val="0"/>
                    <w:widowControl/>
                    <w:suppressLineNumbers w:val="0"/>
                    <w:shd w:val="clear"/>
                    <w:jc w:val="center"/>
                    <w:textAlignment w:val="center"/>
                    <w:rPr>
                      <w:rStyle w:val="62"/>
                      <w:rFonts w:hint="eastAsia" w:ascii="宋体" w:hAnsi="宋体" w:eastAsia="宋体" w:cs="宋体"/>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警犬马甲</w:t>
                  </w:r>
                </w:p>
              </w:tc>
              <w:tc>
                <w:tcPr>
                  <w:tcW w:w="3245" w:type="dxa"/>
                  <w:vAlign w:val="center"/>
                </w:tcPr>
                <w:p w14:paraId="166677D2">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3B83D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5963C0D5">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451777F4">
                  <w:pPr>
                    <w:keepNext w:val="0"/>
                    <w:keepLines w:val="0"/>
                    <w:widowControl/>
                    <w:suppressLineNumbers w:val="0"/>
                    <w:shd w:val="clear"/>
                    <w:jc w:val="center"/>
                    <w:textAlignment w:val="center"/>
                    <w:rPr>
                      <w:rStyle w:val="62"/>
                      <w:rFonts w:hint="eastAsia" w:ascii="宋体" w:hAnsi="宋体" w:eastAsia="宋体" w:cs="宋体"/>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咬枕</w:t>
                  </w:r>
                </w:p>
              </w:tc>
              <w:tc>
                <w:tcPr>
                  <w:tcW w:w="3245" w:type="dxa"/>
                  <w:vAlign w:val="center"/>
                </w:tcPr>
                <w:p w14:paraId="49479B8E">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76CED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287DCF7B">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221A14A8">
                  <w:pPr>
                    <w:keepNext w:val="0"/>
                    <w:keepLines w:val="0"/>
                    <w:widowControl/>
                    <w:suppressLineNumbers w:val="0"/>
                    <w:shd w:val="clear"/>
                    <w:jc w:val="center"/>
                    <w:textAlignment w:val="center"/>
                    <w:rPr>
                      <w:rStyle w:val="62"/>
                      <w:rFonts w:hint="eastAsia" w:ascii="宋体" w:hAnsi="宋体" w:eastAsia="宋体" w:cs="宋体"/>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青年扑咬袖</w:t>
                  </w:r>
                </w:p>
              </w:tc>
              <w:tc>
                <w:tcPr>
                  <w:tcW w:w="3245" w:type="dxa"/>
                  <w:vAlign w:val="center"/>
                </w:tcPr>
                <w:p w14:paraId="75F48E0B">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4507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3C95B9BC">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1846D294">
                  <w:pPr>
                    <w:keepNext w:val="0"/>
                    <w:keepLines w:val="0"/>
                    <w:widowControl/>
                    <w:suppressLineNumbers w:val="0"/>
                    <w:shd w:val="clear"/>
                    <w:jc w:val="center"/>
                    <w:textAlignment w:val="center"/>
                    <w:rPr>
                      <w:rStyle w:val="62"/>
                      <w:rFonts w:hint="eastAsia" w:ascii="宋体" w:hAnsi="宋体" w:eastAsia="宋体" w:cs="宋体"/>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动物皮咬棒</w:t>
                  </w:r>
                </w:p>
              </w:tc>
              <w:tc>
                <w:tcPr>
                  <w:tcW w:w="3245" w:type="dxa"/>
                  <w:vAlign w:val="center"/>
                </w:tcPr>
                <w:p w14:paraId="535ADAFA">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68CE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70331D25">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41200DBC">
                  <w:pPr>
                    <w:keepNext w:val="0"/>
                    <w:keepLines w:val="0"/>
                    <w:widowControl/>
                    <w:suppressLineNumbers w:val="0"/>
                    <w:shd w:val="clear"/>
                    <w:jc w:val="center"/>
                    <w:textAlignment w:val="center"/>
                    <w:rPr>
                      <w:rStyle w:val="62"/>
                      <w:rFonts w:hint="eastAsia" w:ascii="宋体" w:hAnsi="宋体" w:eastAsia="宋体" w:cs="宋体"/>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 训练用箱包</w:t>
                  </w:r>
                </w:p>
              </w:tc>
              <w:tc>
                <w:tcPr>
                  <w:tcW w:w="3245" w:type="dxa"/>
                  <w:vAlign w:val="center"/>
                </w:tcPr>
                <w:p w14:paraId="7ED7E7C6">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r w14:paraId="4FD35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Merge w:val="continue"/>
                  <w:vAlign w:val="center"/>
                </w:tcPr>
                <w:p w14:paraId="1BBF32CD">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p>
              </w:tc>
              <w:tc>
                <w:tcPr>
                  <w:tcW w:w="1824" w:type="dxa"/>
                  <w:vAlign w:val="center"/>
                </w:tcPr>
                <w:p w14:paraId="4965AE61">
                  <w:pPr>
                    <w:keepNext w:val="0"/>
                    <w:keepLines w:val="0"/>
                    <w:widowControl/>
                    <w:suppressLineNumbers w:val="0"/>
                    <w:shd w:val="clear"/>
                    <w:jc w:val="center"/>
                    <w:textAlignment w:val="center"/>
                    <w:rPr>
                      <w:rStyle w:val="62"/>
                      <w:rFonts w:hint="eastAsia" w:ascii="宋体" w:hAnsi="宋体" w:eastAsia="宋体" w:cs="宋体"/>
                      <w:sz w:val="24"/>
                      <w:szCs w:val="24"/>
                      <w:highlight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犬用芯片</w:t>
                  </w:r>
                </w:p>
              </w:tc>
              <w:tc>
                <w:tcPr>
                  <w:tcW w:w="3245" w:type="dxa"/>
                  <w:vAlign w:val="center"/>
                </w:tcPr>
                <w:p w14:paraId="03F11A95">
                  <w:pPr>
                    <w:keepNext w:val="0"/>
                    <w:keepLines w:val="0"/>
                    <w:widowControl/>
                    <w:suppressLineNumbers w:val="0"/>
                    <w:shd w:val="clear"/>
                    <w:jc w:val="center"/>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工业</w:t>
                  </w:r>
                </w:p>
              </w:tc>
            </w:tr>
          </w:tbl>
          <w:p w14:paraId="7AD9C123">
            <w:pPr>
              <w:pStyle w:val="44"/>
              <w:shd w:val="clear"/>
              <w:rPr>
                <w:rFonts w:hint="eastAsia" w:ascii="宋体" w:hAnsi="宋体" w:eastAsia="宋体" w:cs="宋体"/>
                <w:color w:val="auto"/>
                <w:sz w:val="24"/>
                <w:szCs w:val="24"/>
                <w:highlight w:val="none"/>
              </w:rPr>
            </w:pPr>
          </w:p>
        </w:tc>
      </w:tr>
      <w:tr w14:paraId="05BF20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89" w:hRule="atLeast"/>
        </w:trPr>
        <w:tc>
          <w:tcPr>
            <w:tcW w:w="970" w:type="dxa"/>
            <w:tcBorders>
              <w:top w:val="single" w:color="auto" w:sz="2" w:space="0"/>
              <w:left w:val="single" w:color="auto" w:sz="2" w:space="0"/>
              <w:bottom w:val="single" w:color="auto" w:sz="2" w:space="0"/>
              <w:right w:val="single" w:color="auto" w:sz="2" w:space="0"/>
            </w:tcBorders>
            <w:vAlign w:val="center"/>
          </w:tcPr>
          <w:p w14:paraId="369A7B1B">
            <w:pPr>
              <w:pStyle w:val="44"/>
              <w:shd w:val="clea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43.5</w:t>
            </w:r>
          </w:p>
        </w:tc>
        <w:tc>
          <w:tcPr>
            <w:tcW w:w="1721" w:type="dxa"/>
            <w:tcBorders>
              <w:top w:val="single" w:color="auto" w:sz="2" w:space="0"/>
              <w:left w:val="single" w:color="auto" w:sz="2" w:space="0"/>
              <w:bottom w:val="single" w:color="auto" w:sz="2" w:space="0"/>
              <w:right w:val="single" w:color="auto" w:sz="2" w:space="0"/>
            </w:tcBorders>
            <w:vAlign w:val="center"/>
          </w:tcPr>
          <w:p w14:paraId="7250B4B7">
            <w:pPr>
              <w:pStyle w:val="44"/>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优先采购创新节能环保产品</w:t>
            </w:r>
          </w:p>
        </w:tc>
        <w:tc>
          <w:tcPr>
            <w:tcW w:w="6700" w:type="dxa"/>
            <w:tcBorders>
              <w:top w:val="single" w:color="auto" w:sz="2" w:space="0"/>
              <w:left w:val="single" w:color="auto" w:sz="2" w:space="0"/>
              <w:bottom w:val="single" w:color="auto" w:sz="2" w:space="0"/>
              <w:right w:val="single" w:color="auto" w:sz="2" w:space="0"/>
            </w:tcBorders>
            <w:vAlign w:val="center"/>
          </w:tcPr>
          <w:p w14:paraId="09930298">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所</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产品纳入创新产品应用示范推荐目录内企业、所</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产品获得节能产品或环境标志产品认证证书的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给予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lang w:val="en-US" w:eastAsia="zh-CN"/>
              </w:rPr>
              <w:t>评审优惠</w:t>
            </w:r>
            <w:r>
              <w:rPr>
                <w:rFonts w:hint="eastAsia" w:ascii="宋体" w:hAnsi="宋体" w:eastAsia="宋体" w:cs="宋体"/>
                <w:color w:val="auto"/>
                <w:sz w:val="24"/>
                <w:szCs w:val="24"/>
                <w:highlight w:val="none"/>
              </w:rPr>
              <w:t>。</w:t>
            </w:r>
          </w:p>
        </w:tc>
      </w:tr>
      <w:tr w14:paraId="5DE88C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2786DB02">
            <w:pPr>
              <w:pStyle w:val="44"/>
              <w:shd w:val="clear"/>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2" w:space="0"/>
            </w:tcBorders>
            <w:shd w:val="clear" w:color="auto" w:fill="auto"/>
            <w:vAlign w:val="center"/>
          </w:tcPr>
          <w:p w14:paraId="47B74754">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21C72458">
            <w:pPr>
              <w:pStyle w:val="44"/>
              <w:shd w:val="clea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合同融资政策</w:t>
            </w:r>
          </w:p>
        </w:tc>
        <w:tc>
          <w:tcPr>
            <w:tcW w:w="6700" w:type="dxa"/>
            <w:tcBorders>
              <w:top w:val="single" w:color="auto" w:sz="2" w:space="0"/>
              <w:left w:val="single" w:color="auto" w:sz="2" w:space="0"/>
              <w:bottom w:val="single" w:color="auto" w:sz="2" w:space="0"/>
              <w:right w:val="single" w:color="auto" w:sz="2" w:space="0"/>
            </w:tcBorders>
            <w:shd w:val="clear" w:color="auto" w:fill="auto"/>
            <w:vAlign w:val="center"/>
          </w:tcPr>
          <w:p w14:paraId="3558E669">
            <w:pPr>
              <w:pStyle w:val="44"/>
              <w:shd w:val="clear"/>
              <w:rPr>
                <w:rFonts w:hint="eastAsia" w:cs="宋体"/>
                <w:sz w:val="24"/>
                <w:szCs w:val="24"/>
                <w:highlight w:val="none"/>
              </w:rPr>
            </w:pPr>
            <w:r>
              <w:rPr>
                <w:rFonts w:hint="eastAsia" w:ascii="宋体" w:hAnsi="宋体" w:eastAsia="宋体" w:cs="宋体"/>
                <w:color w:val="auto"/>
                <w:sz w:val="24"/>
                <w:szCs w:val="24"/>
                <w:highlight w:val="none"/>
              </w:rPr>
              <w:t xml:space="preserve"> </w:t>
            </w:r>
            <w:r>
              <w:rPr>
                <w:rFonts w:hint="eastAsia" w:cs="宋体"/>
                <w:sz w:val="24"/>
                <w:szCs w:val="24"/>
                <w:highlight w:val="none"/>
              </w:rPr>
              <w:t>（1）有融资需求的中标人在获得政府采购中标通知书后，即可向开展“政采贷”业务的金融机构提出申请，金融机构依据政府采购中标通知书和政府采购合同，为中小微企业提供融资服务。</w:t>
            </w:r>
          </w:p>
          <w:p w14:paraId="57117015">
            <w:pPr>
              <w:pStyle w:val="44"/>
              <w:shd w:val="clear"/>
              <w:rPr>
                <w:rFonts w:hint="eastAsia" w:cs="宋体"/>
                <w:sz w:val="24"/>
                <w:szCs w:val="24"/>
                <w:highlight w:val="none"/>
              </w:rPr>
            </w:pPr>
            <w:r>
              <w:rPr>
                <w:rFonts w:hint="eastAsia" w:cs="宋体"/>
                <w:sz w:val="24"/>
                <w:szCs w:val="24"/>
                <w:highlight w:val="none"/>
              </w:rPr>
              <w:t>渠道和方式：</w:t>
            </w:r>
            <w:r>
              <w:rPr>
                <w:rFonts w:hint="eastAsia" w:cs="宋体"/>
                <w:sz w:val="24"/>
                <w:szCs w:val="24"/>
                <w:highlight w:val="none"/>
                <w:u w:val="single"/>
              </w:rPr>
              <w:t>详见《关于开展政府采购合同信用融资工作的通知》（兵财库【2022】31 号）文件</w:t>
            </w:r>
            <w:r>
              <w:rPr>
                <w:rFonts w:hint="eastAsia" w:cs="宋体"/>
                <w:sz w:val="24"/>
                <w:szCs w:val="24"/>
                <w:highlight w:val="none"/>
              </w:rPr>
              <w:t>。</w:t>
            </w:r>
          </w:p>
          <w:p w14:paraId="25B13EC4">
            <w:pPr>
              <w:pStyle w:val="44"/>
              <w:shd w:val="clear"/>
              <w:rPr>
                <w:rFonts w:hint="eastAsia" w:ascii="宋体" w:hAnsi="宋体" w:eastAsia="宋体" w:cs="宋体"/>
                <w:color w:val="auto"/>
                <w:kern w:val="2"/>
                <w:sz w:val="24"/>
                <w:szCs w:val="24"/>
                <w:highlight w:val="none"/>
                <w:lang w:val="en-US" w:eastAsia="zh-CN" w:bidi="ar-SA"/>
              </w:rPr>
            </w:pPr>
            <w:r>
              <w:rPr>
                <w:rFonts w:hint="eastAsia" w:cs="宋体"/>
                <w:sz w:val="24"/>
                <w:szCs w:val="24"/>
                <w:highlight w:val="none"/>
              </w:rPr>
              <w:t>（2）“政采贷”融资指引：在取得政府采购中标通知书后，可访问“兵团政采贷融资服务平台”，查看和联系第三方平台或者金融机构，商洽融资事项，确定融资意向。中标人签署政府采购中标合同后，登录“兵团政采贷融资服务平台”，选择意向产品进行申请，并填写相关信息，“兵团政采贷融资服务平台”将中标人融资申请信息推送第三方平台、意向金融机构。</w:t>
            </w:r>
          </w:p>
        </w:tc>
      </w:tr>
      <w:tr w14:paraId="54F8D0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8" w:hRule="atLeast"/>
        </w:trPr>
        <w:tc>
          <w:tcPr>
            <w:tcW w:w="970" w:type="dxa"/>
            <w:tcBorders>
              <w:top w:val="single" w:color="auto" w:sz="2" w:space="0"/>
              <w:left w:val="single" w:color="auto" w:sz="2" w:space="0"/>
              <w:bottom w:val="single" w:color="auto" w:sz="2" w:space="0"/>
              <w:right w:val="single" w:color="auto" w:sz="4" w:space="0"/>
            </w:tcBorders>
            <w:vAlign w:val="center"/>
          </w:tcPr>
          <w:p w14:paraId="342D37A4">
            <w:pPr>
              <w:pStyle w:val="44"/>
              <w:shd w:val="clea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21" w:type="dxa"/>
            <w:tcBorders>
              <w:top w:val="single" w:color="auto" w:sz="2" w:space="0"/>
              <w:left w:val="single" w:color="auto" w:sz="2" w:space="0"/>
              <w:bottom w:val="single" w:color="auto" w:sz="2" w:space="0"/>
              <w:right w:val="single" w:color="auto" w:sz="4" w:space="0"/>
            </w:tcBorders>
            <w:vAlign w:val="center"/>
          </w:tcPr>
          <w:p w14:paraId="57A459C3">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c>
          <w:tcPr>
            <w:tcW w:w="6700" w:type="dxa"/>
            <w:tcBorders>
              <w:top w:val="single" w:color="auto" w:sz="2" w:space="0"/>
              <w:left w:val="single" w:color="auto" w:sz="4" w:space="0"/>
              <w:bottom w:val="single" w:color="auto" w:sz="2" w:space="0"/>
              <w:right w:val="single" w:color="auto" w:sz="2" w:space="0"/>
            </w:tcBorders>
            <w:vAlign w:val="center"/>
          </w:tcPr>
          <w:p w14:paraId="4871F3C8">
            <w:pPr>
              <w:pStyle w:val="44"/>
              <w:shd w:val="clear"/>
              <w:rPr>
                <w:rFonts w:hint="eastAsia" w:cs="宋体"/>
                <w:sz w:val="24"/>
                <w:szCs w:val="24"/>
                <w:highlight w:val="none"/>
              </w:rPr>
            </w:pPr>
            <w:r>
              <w:rPr>
                <w:rFonts w:hint="eastAsia" w:cs="宋体"/>
                <w:szCs w:val="24"/>
                <w:highlight w:val="none"/>
              </w:rPr>
              <w:t>（</w:t>
            </w:r>
            <w:r>
              <w:rPr>
                <w:rFonts w:hint="eastAsia" w:cs="宋体"/>
                <w:sz w:val="24"/>
                <w:szCs w:val="24"/>
                <w:highlight w:val="none"/>
              </w:rPr>
              <w:t>1）本次招标过程中，供应商若存在提供虚假材料应标或参数造假谋取中标等违规行为，按照《政府采购法》第七十七条规定，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0984EBD6">
            <w:pPr>
              <w:pStyle w:val="44"/>
              <w:shd w:val="clear"/>
              <w:rPr>
                <w:rFonts w:hint="eastAsia" w:cs="宋体"/>
                <w:sz w:val="24"/>
                <w:szCs w:val="24"/>
                <w:highlight w:val="none"/>
              </w:rPr>
            </w:pPr>
            <w:r>
              <w:rPr>
                <w:rFonts w:hint="eastAsia" w:cs="宋体"/>
                <w:sz w:val="24"/>
                <w:szCs w:val="24"/>
                <w:highlight w:val="none"/>
              </w:rPr>
              <w:t>（2）采购方与中标供应商应于《中标通知书》发出之日起25日内，按照采购文件确定的事项签订采购合同，合同签订之日起2个工作日内进行公示。成交供应商须于合同签订当日将本项目《政府采购合同》扫描件发送至采购代理机构邮箱415485763@qq.com，便于及时公示以及办理投标保证金（如收</w:t>
            </w:r>
          </w:p>
          <w:p w14:paraId="0D9C9750">
            <w:pPr>
              <w:pStyle w:val="44"/>
              <w:shd w:val="clear"/>
              <w:rPr>
                <w:rFonts w:hint="eastAsia" w:cs="宋体"/>
                <w:sz w:val="24"/>
                <w:szCs w:val="24"/>
                <w:highlight w:val="none"/>
              </w:rPr>
            </w:pPr>
            <w:r>
              <w:rPr>
                <w:rFonts w:hint="eastAsia" w:cs="宋体"/>
                <w:sz w:val="24"/>
                <w:szCs w:val="24"/>
                <w:highlight w:val="none"/>
              </w:rPr>
              <w:t>取）退还手续。</w:t>
            </w:r>
          </w:p>
          <w:p w14:paraId="21068050">
            <w:pPr>
              <w:pStyle w:val="44"/>
              <w:numPr>
                <w:ilvl w:val="0"/>
                <w:numId w:val="1"/>
              </w:numPr>
              <w:shd w:val="clear"/>
              <w:rPr>
                <w:rFonts w:hint="eastAsia" w:cs="宋体"/>
                <w:sz w:val="24"/>
                <w:szCs w:val="24"/>
                <w:highlight w:val="none"/>
              </w:rPr>
            </w:pPr>
            <w:r>
              <w:rPr>
                <w:rFonts w:hint="eastAsia" w:cs="宋体"/>
                <w:sz w:val="24"/>
                <w:szCs w:val="24"/>
                <w:highlight w:val="none"/>
              </w:rPr>
              <w:t>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4417C681">
            <w:pPr>
              <w:pStyle w:val="44"/>
              <w:numPr>
                <w:ilvl w:val="0"/>
                <w:numId w:val="1"/>
              </w:numPr>
              <w:shd w:val="clear"/>
              <w:rPr>
                <w:rFonts w:hint="eastAsia" w:cs="宋体"/>
                <w:sz w:val="24"/>
                <w:szCs w:val="24"/>
                <w:highlight w:val="none"/>
              </w:rPr>
            </w:pPr>
            <w:r>
              <w:rPr>
                <w:rFonts w:hint="eastAsia" w:cs="宋体"/>
                <w:sz w:val="24"/>
                <w:szCs w:val="24"/>
                <w:highlight w:val="none"/>
              </w:rPr>
              <w:t>供应商在开标前须提前配置好电脑浏览器（建议使用360浏览器或谷歌浏览器），开标时请使用制作加密电子响应文件的CA锁进行解密及报价确认。本项目投标文件解密时间定为30分钟，如供应商因自身原因导致在规定的时间无法正常解密，视为开标后撤销其投标文件，投标保证金招标人有权不予退还。</w:t>
            </w:r>
          </w:p>
          <w:p w14:paraId="55127169">
            <w:pPr>
              <w:pStyle w:val="44"/>
              <w:numPr>
                <w:ilvl w:val="0"/>
                <w:numId w:val="1"/>
              </w:numPr>
              <w:shd w:val="clear"/>
              <w:rPr>
                <w:rFonts w:hint="eastAsia" w:ascii="宋体" w:hAnsi="宋体" w:eastAsia="宋体" w:cs="宋体"/>
                <w:color w:val="auto"/>
                <w:sz w:val="24"/>
                <w:szCs w:val="24"/>
                <w:highlight w:val="none"/>
              </w:rPr>
            </w:pPr>
            <w:r>
              <w:rPr>
                <w:rFonts w:hint="eastAsia" w:cs="宋体"/>
                <w:b/>
                <w:bCs/>
                <w:sz w:val="24"/>
                <w:szCs w:val="24"/>
                <w:highlight w:val="none"/>
              </w:rPr>
              <w:t>供应商在法定质疑期内一次性提出针对同一采购程序环节的质疑，本项目不接受供应商多次/反复质疑</w:t>
            </w:r>
            <w:r>
              <w:rPr>
                <w:rFonts w:hint="eastAsia" w:cs="宋体"/>
                <w:b/>
                <w:bCs/>
                <w:szCs w:val="24"/>
                <w:highlight w:val="none"/>
              </w:rPr>
              <w:t>。</w:t>
            </w:r>
          </w:p>
        </w:tc>
      </w:tr>
      <w:tr w14:paraId="1707FD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391" w:type="dxa"/>
            <w:gridSpan w:val="3"/>
            <w:tcBorders>
              <w:top w:val="single" w:color="auto" w:sz="2" w:space="0"/>
              <w:left w:val="single" w:color="auto" w:sz="2" w:space="0"/>
              <w:bottom w:val="single" w:color="auto" w:sz="2" w:space="0"/>
              <w:right w:val="single" w:color="auto" w:sz="2" w:space="0"/>
            </w:tcBorders>
            <w:vAlign w:val="center"/>
          </w:tcPr>
          <w:p w14:paraId="45AC7FA3">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除本竞争性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文件另有规定外，竞争性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文件中出现的类似于“近三年”或“前三年”、“近五年”或“前五年”均指递交响应文件时间以前三年或前五年，以此类推。如：递交响应文件时间为  年  月  日，则“近三年”是指  年  月  日至  年  月  日。</w:t>
            </w:r>
          </w:p>
          <w:p w14:paraId="27269E57">
            <w:pPr>
              <w:pStyle w:val="44"/>
              <w:shd w:val="clea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文件所称的“以上”、“以下”、“内”、“以内”，包括本数；所称的“不足”，不包括本数。</w:t>
            </w:r>
          </w:p>
        </w:tc>
      </w:tr>
      <w:bookmarkEnd w:id="113"/>
    </w:tbl>
    <w:p w14:paraId="3C80B303">
      <w:pPr>
        <w:shd w:val="clear"/>
        <w:rPr>
          <w:rFonts w:hint="eastAsia" w:eastAsia="宋体" w:asciiTheme="majorHAnsi" w:hAnsiTheme="majorHAnsi" w:cstheme="majorBidi"/>
          <w:b/>
          <w:bCs/>
          <w:color w:val="auto"/>
          <w:kern w:val="2"/>
          <w:sz w:val="28"/>
          <w:szCs w:val="28"/>
          <w:highlight w:val="none"/>
          <w:lang w:val="en-US" w:eastAsia="zh-CN" w:bidi="ar-SA"/>
        </w:rPr>
      </w:pPr>
      <w:bookmarkStart w:id="115" w:name="_Toc20713"/>
      <w:r>
        <w:rPr>
          <w:rFonts w:hint="eastAsia" w:eastAsia="宋体" w:asciiTheme="majorHAnsi" w:hAnsiTheme="majorHAnsi" w:cstheme="majorBidi"/>
          <w:b/>
          <w:bCs/>
          <w:color w:val="auto"/>
          <w:kern w:val="2"/>
          <w:sz w:val="28"/>
          <w:szCs w:val="28"/>
          <w:highlight w:val="none"/>
          <w:lang w:val="en-US" w:eastAsia="zh-CN" w:bidi="ar-SA"/>
        </w:rPr>
        <w:br w:type="page"/>
      </w:r>
    </w:p>
    <w:p w14:paraId="1CF0D4F4">
      <w:pPr>
        <w:pStyle w:val="4"/>
        <w:keepNext/>
        <w:keepLines/>
        <w:pageBreakBefore w:val="0"/>
        <w:widowControl w:val="0"/>
        <w:numPr>
          <w:ilvl w:val="0"/>
          <w:numId w:val="0"/>
        </w:numPr>
        <w:shd w:val="clea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16" w:name="_Toc30862"/>
      <w:r>
        <w:rPr>
          <w:rFonts w:hint="eastAsia" w:eastAsia="宋体" w:asciiTheme="majorHAnsi" w:hAnsiTheme="majorHAnsi" w:cstheme="majorBidi"/>
          <w:b/>
          <w:bCs/>
          <w:color w:val="auto"/>
          <w:kern w:val="2"/>
          <w:sz w:val="28"/>
          <w:szCs w:val="28"/>
          <w:highlight w:val="none"/>
          <w:lang w:val="en-US" w:eastAsia="zh-CN" w:bidi="ar-SA"/>
        </w:rPr>
        <w:t>二、供应商须知</w:t>
      </w:r>
      <w:bookmarkEnd w:id="115"/>
      <w:bookmarkEnd w:id="116"/>
    </w:p>
    <w:p w14:paraId="04978FCD">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17" w:name="_Toc163493611"/>
      <w:bookmarkStart w:id="118" w:name="_Toc109900370"/>
      <w:bookmarkStart w:id="119" w:name="_Toc109899532"/>
      <w:bookmarkStart w:id="120" w:name="_Toc109899951"/>
      <w:bookmarkStart w:id="121" w:name="_Toc109897433"/>
      <w:bookmarkStart w:id="122" w:name="_Toc8053"/>
      <w:bookmarkStart w:id="123" w:name="_Toc46771638"/>
      <w:bookmarkStart w:id="124" w:name="_Toc470172694"/>
      <w:r>
        <w:rPr>
          <w:rFonts w:hint="eastAsia" w:ascii="宋体" w:hAnsi="宋体" w:eastAsia="宋体" w:cs="宋体"/>
          <w:b/>
          <w:bCs/>
          <w:color w:val="auto"/>
          <w:kern w:val="2"/>
          <w:sz w:val="24"/>
          <w:szCs w:val="24"/>
          <w:highlight w:val="none"/>
          <w:lang w:val="en-US" w:eastAsia="zh-CN" w:bidi="ar-SA"/>
        </w:rPr>
        <w:t>（一）总则</w:t>
      </w:r>
      <w:bookmarkEnd w:id="117"/>
      <w:bookmarkEnd w:id="118"/>
      <w:bookmarkEnd w:id="119"/>
      <w:bookmarkEnd w:id="120"/>
      <w:bookmarkEnd w:id="121"/>
      <w:bookmarkEnd w:id="122"/>
      <w:bookmarkEnd w:id="123"/>
    </w:p>
    <w:p w14:paraId="18977FAF">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25" w:name="_Toc470172664"/>
      <w:bookmarkStart w:id="126" w:name="_Toc109899952"/>
      <w:bookmarkStart w:id="127" w:name="_Toc48688788"/>
      <w:bookmarkStart w:id="128" w:name="_Toc46771639"/>
      <w:bookmarkStart w:id="129" w:name="_Toc51674210"/>
      <w:bookmarkStart w:id="130" w:name="_Toc109899533"/>
      <w:bookmarkStart w:id="131" w:name="_Toc46772240"/>
      <w:bookmarkStart w:id="132" w:name="_Toc52962726"/>
      <w:bookmarkStart w:id="133" w:name="_Toc27243"/>
      <w:bookmarkStart w:id="134" w:name="_Toc109897434"/>
      <w:bookmarkStart w:id="135" w:name="_Toc109900371"/>
      <w:bookmarkStart w:id="136" w:name="_Toc52960552"/>
      <w:bookmarkStart w:id="137" w:name="_Toc48846108"/>
      <w:r>
        <w:rPr>
          <w:rFonts w:hint="eastAsia" w:ascii="宋体" w:hAnsi="宋体" w:eastAsia="宋体" w:cs="宋体"/>
          <w:b/>
          <w:bCs/>
          <w:color w:val="auto"/>
          <w:kern w:val="2"/>
          <w:sz w:val="24"/>
          <w:szCs w:val="24"/>
          <w:highlight w:val="none"/>
          <w:lang w:val="en-US" w:eastAsia="zh-CN" w:bidi="ar-SA"/>
        </w:rPr>
        <w:t>1.适用范围</w:t>
      </w:r>
      <w:bookmarkEnd w:id="125"/>
      <w:bookmarkEnd w:id="126"/>
      <w:bookmarkEnd w:id="127"/>
      <w:bookmarkEnd w:id="128"/>
      <w:bookmarkEnd w:id="129"/>
      <w:bookmarkEnd w:id="130"/>
      <w:bookmarkEnd w:id="131"/>
      <w:bookmarkEnd w:id="132"/>
      <w:bookmarkEnd w:id="133"/>
      <w:bookmarkEnd w:id="134"/>
      <w:bookmarkEnd w:id="135"/>
      <w:bookmarkEnd w:id="136"/>
      <w:bookmarkEnd w:id="137"/>
    </w:p>
    <w:p w14:paraId="3FAC17DD">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1.1本竞争性</w:t>
      </w:r>
      <w:r>
        <w:rPr>
          <w:rFonts w:hint="eastAsia" w:cs="宋体"/>
          <w:snapToGrid w:val="0"/>
          <w:color w:val="auto"/>
          <w:sz w:val="24"/>
          <w:szCs w:val="24"/>
          <w:highlight w:val="none"/>
          <w:lang w:val="en-US" w:eastAsia="zh-CN"/>
        </w:rPr>
        <w:t>谈判</w:t>
      </w:r>
      <w:r>
        <w:rPr>
          <w:rFonts w:hint="eastAsia" w:ascii="宋体" w:hAnsi="宋体" w:eastAsia="宋体" w:cs="宋体"/>
          <w:snapToGrid w:val="0"/>
          <w:color w:val="auto"/>
          <w:sz w:val="24"/>
          <w:szCs w:val="24"/>
          <w:highlight w:val="none"/>
        </w:rPr>
        <w:t>文件（也称</w:t>
      </w:r>
      <w:r>
        <w:rPr>
          <w:rFonts w:hint="eastAsia" w:cs="宋体"/>
          <w:snapToGrid w:val="0"/>
          <w:color w:val="auto"/>
          <w:sz w:val="24"/>
          <w:szCs w:val="24"/>
          <w:highlight w:val="none"/>
          <w:lang w:val="en-US" w:eastAsia="zh-CN"/>
        </w:rPr>
        <w:t>谈判</w:t>
      </w:r>
      <w:r>
        <w:rPr>
          <w:rFonts w:hint="eastAsia" w:ascii="宋体" w:hAnsi="宋体" w:eastAsia="宋体" w:cs="宋体"/>
          <w:snapToGrid w:val="0"/>
          <w:color w:val="auto"/>
          <w:sz w:val="24"/>
          <w:szCs w:val="24"/>
          <w:highlight w:val="none"/>
        </w:rPr>
        <w:t>文件或采购文件）仅适用于本次竞争性</w:t>
      </w:r>
      <w:r>
        <w:rPr>
          <w:rFonts w:hint="eastAsia" w:cs="宋体"/>
          <w:snapToGrid w:val="0"/>
          <w:color w:val="auto"/>
          <w:sz w:val="24"/>
          <w:szCs w:val="24"/>
          <w:highlight w:val="none"/>
          <w:lang w:val="en-US" w:eastAsia="zh-CN"/>
        </w:rPr>
        <w:t>谈判</w:t>
      </w:r>
      <w:r>
        <w:rPr>
          <w:rFonts w:hint="eastAsia" w:ascii="宋体" w:hAnsi="宋体" w:eastAsia="宋体" w:cs="宋体"/>
          <w:snapToGrid w:val="0"/>
          <w:color w:val="auto"/>
          <w:sz w:val="24"/>
          <w:szCs w:val="24"/>
          <w:highlight w:val="none"/>
        </w:rPr>
        <w:t>中所述项目的采购活动。</w:t>
      </w:r>
    </w:p>
    <w:p w14:paraId="34F08411">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38" w:name="_Toc163492824"/>
      <w:r>
        <w:rPr>
          <w:rFonts w:hint="eastAsia" w:ascii="宋体" w:hAnsi="宋体" w:eastAsia="宋体" w:cs="宋体"/>
          <w:b/>
          <w:bCs/>
          <w:color w:val="auto"/>
          <w:kern w:val="2"/>
          <w:sz w:val="24"/>
          <w:szCs w:val="24"/>
          <w:highlight w:val="none"/>
          <w:lang w:val="en-US" w:eastAsia="zh-CN" w:bidi="ar-SA"/>
        </w:rPr>
        <w:t>2.基本定义</w:t>
      </w:r>
      <w:bookmarkEnd w:id="138"/>
    </w:p>
    <w:p w14:paraId="768D70C2">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2.1根据《中华人民共和国政府采购法》及其实施条例等有关法律、法规和规章的规定，制定本竞争性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w:t>
      </w:r>
    </w:p>
    <w:p w14:paraId="342EC44E">
      <w:pPr>
        <w:keepNext w:val="0"/>
        <w:keepLines w:val="0"/>
        <w:pageBreakBefore w:val="0"/>
        <w:widowControl w:val="0"/>
        <w:suppressLineNumbers w:val="0"/>
        <w:shd w:val="clear"/>
        <w:kinsoku/>
        <w:overflowPunct/>
        <w:topLinePunct w:val="0"/>
        <w:autoSpaceDE/>
        <w:autoSpaceDN/>
        <w:bidi w:val="0"/>
        <w:adjustRightInd/>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ascii="宋体" w:hAnsi="宋体" w:eastAsia="宋体" w:cs="宋体"/>
          <w:color w:val="auto"/>
          <w:sz w:val="24"/>
          <w:szCs w:val="24"/>
          <w:highlight w:val="none"/>
        </w:rPr>
        <w:t>。</w:t>
      </w:r>
    </w:p>
    <w:p w14:paraId="429A3EF6">
      <w:pPr>
        <w:keepNext w:val="0"/>
        <w:keepLines w:val="0"/>
        <w:pageBreakBefore w:val="0"/>
        <w:widowControl w:val="0"/>
        <w:suppressLineNumbers w:val="0"/>
        <w:shd w:val="clear"/>
        <w:kinsoku/>
        <w:overflowPunct/>
        <w:topLinePunct w:val="0"/>
        <w:autoSpaceDE/>
        <w:autoSpaceDN/>
        <w:bidi w:val="0"/>
        <w:adjustRightInd/>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ascii="宋体" w:hAnsi="宋体" w:eastAsia="宋体" w:cs="宋体"/>
          <w:color w:val="auto"/>
          <w:sz w:val="24"/>
          <w:szCs w:val="24"/>
          <w:highlight w:val="none"/>
          <w:lang w:val="en-US" w:eastAsia="zh-CN"/>
        </w:rPr>
        <w:t>委托的采购代理机构</w:t>
      </w:r>
      <w:r>
        <w:rPr>
          <w:rFonts w:hint="eastAsia" w:ascii="宋体" w:hAnsi="宋体" w:eastAsia="宋体" w:cs="宋体"/>
          <w:color w:val="auto"/>
          <w:sz w:val="24"/>
          <w:szCs w:val="24"/>
          <w:highlight w:val="none"/>
        </w:rPr>
        <w:t>。</w:t>
      </w:r>
    </w:p>
    <w:p w14:paraId="26D50742">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2.5核心产品见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须知前附表”</w:t>
      </w:r>
      <w:r>
        <w:rPr>
          <w:rFonts w:hint="eastAsia" w:ascii="宋体" w:hAnsi="宋体" w:eastAsia="宋体" w:cs="宋体"/>
          <w:color w:val="auto"/>
          <w:sz w:val="24"/>
          <w:szCs w:val="24"/>
          <w:highlight w:val="none"/>
          <w:lang w:val="en-US" w:eastAsia="zh-CN"/>
        </w:rPr>
        <w:t>。</w:t>
      </w:r>
    </w:p>
    <w:p w14:paraId="6557BF30">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2.6是否属于</w:t>
      </w:r>
      <w:r>
        <w:rPr>
          <w:rFonts w:hint="eastAsia" w:ascii="宋体" w:hAnsi="宋体" w:eastAsia="宋体" w:cs="宋体"/>
          <w:color w:val="auto"/>
          <w:kern w:val="0"/>
          <w:sz w:val="24"/>
          <w:szCs w:val="24"/>
          <w:highlight w:val="none"/>
          <w:lang w:val="en-US" w:eastAsia="zh-CN" w:bidi="ar"/>
        </w:rPr>
        <w:t>科研仪器设备采购</w:t>
      </w:r>
      <w:r>
        <w:rPr>
          <w:rFonts w:hint="eastAsia" w:ascii="宋体" w:hAnsi="宋体" w:eastAsia="宋体" w:cs="宋体"/>
          <w:color w:val="auto"/>
          <w:sz w:val="24"/>
          <w:szCs w:val="24"/>
          <w:highlight w:val="none"/>
          <w:lang w:val="en-US" w:eastAsia="zh-CN"/>
        </w:rPr>
        <w:t>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须知前附表”</w:t>
      </w:r>
      <w:r>
        <w:rPr>
          <w:rFonts w:hint="eastAsia" w:ascii="宋体" w:hAnsi="宋体" w:eastAsia="宋体" w:cs="宋体"/>
          <w:color w:val="auto"/>
          <w:sz w:val="24"/>
          <w:szCs w:val="24"/>
          <w:highlight w:val="none"/>
          <w:lang w:val="en-US" w:eastAsia="zh-CN"/>
        </w:rPr>
        <w:t>。</w:t>
      </w:r>
    </w:p>
    <w:p w14:paraId="65E6A6BB">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2.7供应商（也称“申请人”）：指向采购人提供货物、工程或者服务的法人、其他组织或者自然人。</w:t>
      </w:r>
      <w:r>
        <w:rPr>
          <w:rFonts w:hint="eastAsia" w:ascii="宋体" w:hAnsi="宋体" w:eastAsia="宋体" w:cs="宋体"/>
          <w:color w:val="auto"/>
          <w:sz w:val="24"/>
          <w:szCs w:val="24"/>
          <w:highlight w:val="none"/>
        </w:rPr>
        <w:t>分支机构不得参加政府采购活动，但银行、保险、石油石化、电力、电信等</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行业特殊</w:t>
      </w:r>
      <w:r>
        <w:rPr>
          <w:rFonts w:hint="eastAsia" w:ascii="宋体" w:hAnsi="宋体" w:eastAsia="宋体" w:cs="宋体"/>
          <w:color w:val="auto"/>
          <w:sz w:val="24"/>
          <w:szCs w:val="24"/>
          <w:highlight w:val="none"/>
          <w:lang w:val="en-US" w:eastAsia="zh-CN"/>
        </w:rPr>
        <w:t>情况的</w:t>
      </w:r>
      <w:r>
        <w:rPr>
          <w:rFonts w:hint="eastAsia" w:ascii="宋体" w:hAnsi="宋体" w:eastAsia="宋体" w:cs="宋体"/>
          <w:color w:val="auto"/>
          <w:sz w:val="24"/>
          <w:szCs w:val="24"/>
          <w:highlight w:val="none"/>
        </w:rPr>
        <w:t>除外。本项目的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须满足以下条件：</w:t>
      </w:r>
    </w:p>
    <w:p w14:paraId="211E9155">
      <w:pPr>
        <w:shd w:val="clea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具备《中华人民共和国政府采购法》第二十二条规定的</w:t>
      </w:r>
      <w:r>
        <w:rPr>
          <w:rFonts w:hint="eastAsia" w:ascii="宋体" w:hAnsi="宋体" w:eastAsia="宋体" w:cs="宋体"/>
          <w:color w:val="auto"/>
          <w:sz w:val="24"/>
          <w:szCs w:val="24"/>
          <w:highlight w:val="none"/>
          <w:lang w:val="en-US" w:eastAsia="zh-CN"/>
        </w:rPr>
        <w:t>条件</w:t>
      </w:r>
      <w:r>
        <w:rPr>
          <w:rFonts w:hint="eastAsia" w:ascii="宋体" w:hAnsi="宋体" w:eastAsia="宋体" w:cs="宋体"/>
          <w:color w:val="auto"/>
          <w:sz w:val="24"/>
          <w:szCs w:val="24"/>
          <w:highlight w:val="none"/>
        </w:rPr>
        <w:t>，遵守本项目采购人本级和上级财政部门政府采购的有关规定。</w:t>
      </w:r>
    </w:p>
    <w:p w14:paraId="323DC0B9">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以</w:t>
      </w:r>
      <w:r>
        <w:rPr>
          <w:rFonts w:hint="eastAsia" w:ascii="宋体" w:hAnsi="宋体" w:eastAsia="宋体" w:cs="宋体"/>
          <w:color w:val="auto"/>
          <w:sz w:val="24"/>
          <w:szCs w:val="24"/>
          <w:highlight w:val="none"/>
          <w:lang w:val="en-US" w:eastAsia="zh-CN"/>
        </w:rPr>
        <w:t>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公告中发布</w:t>
      </w:r>
      <w:r>
        <w:rPr>
          <w:rFonts w:hint="eastAsia" w:ascii="宋体" w:hAnsi="宋体" w:eastAsia="宋体" w:cs="宋体"/>
          <w:color w:val="auto"/>
          <w:sz w:val="24"/>
          <w:szCs w:val="24"/>
          <w:highlight w:val="none"/>
        </w:rPr>
        <w:t>的方式</w:t>
      </w:r>
      <w:r>
        <w:rPr>
          <w:rFonts w:hint="eastAsia" w:ascii="宋体" w:hAnsi="宋体" w:eastAsia="宋体" w:cs="宋体"/>
          <w:color w:val="auto"/>
          <w:sz w:val="24"/>
          <w:szCs w:val="24"/>
          <w:highlight w:val="none"/>
          <w:lang w:eastAsia="zh-CN"/>
        </w:rPr>
        <w:t>依法</w:t>
      </w:r>
      <w:r>
        <w:rPr>
          <w:rFonts w:hint="eastAsia" w:ascii="宋体" w:hAnsi="宋体" w:eastAsia="宋体" w:cs="宋体"/>
          <w:color w:val="auto"/>
          <w:sz w:val="24"/>
          <w:szCs w:val="24"/>
          <w:highlight w:val="none"/>
        </w:rPr>
        <w:t>获得了本项目的</w:t>
      </w:r>
      <w:r>
        <w:rPr>
          <w:rFonts w:hint="eastAsia" w:ascii="宋体" w:hAnsi="宋体" w:eastAsia="宋体" w:cs="宋体"/>
          <w:color w:val="auto"/>
          <w:sz w:val="24"/>
          <w:szCs w:val="24"/>
          <w:highlight w:val="none"/>
          <w:lang w:val="en-US" w:eastAsia="zh-CN"/>
        </w:rPr>
        <w:t>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w:t>
      </w:r>
    </w:p>
    <w:p w14:paraId="07B83632">
      <w:pPr>
        <w:shd w:val="clea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2.7.3符合本</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文件规定并参加</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的供应商。</w:t>
      </w:r>
    </w:p>
    <w:p w14:paraId="3098B7A0">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iCs/>
          <w:color w:val="auto"/>
          <w:sz w:val="24"/>
          <w:szCs w:val="24"/>
          <w:highlight w:val="none"/>
          <w:shd w:val="clear" w:color="auto" w:fill="FFFFFF" w:themeFill="background1"/>
        </w:rPr>
        <w:t>潜在供应商</w:t>
      </w:r>
      <w:r>
        <w:rPr>
          <w:rFonts w:hint="eastAsia" w:ascii="宋体" w:hAnsi="宋体" w:eastAsia="宋体" w:cs="宋体"/>
          <w:iCs/>
          <w:color w:val="auto"/>
          <w:sz w:val="24"/>
          <w:szCs w:val="24"/>
          <w:highlight w:val="none"/>
          <w:shd w:val="clear" w:color="auto" w:fill="FFFFFF" w:themeFill="background1"/>
          <w:lang w:eastAsia="zh-CN"/>
        </w:rPr>
        <w:t>：</w:t>
      </w:r>
      <w:r>
        <w:rPr>
          <w:rFonts w:hint="eastAsia" w:ascii="宋体" w:hAnsi="宋体" w:eastAsia="宋体" w:cs="宋体"/>
          <w:iCs/>
          <w:color w:val="auto"/>
          <w:sz w:val="24"/>
          <w:szCs w:val="24"/>
          <w:highlight w:val="none"/>
          <w:shd w:val="clear" w:color="auto" w:fill="FFFFFF" w:themeFill="background1"/>
          <w:lang w:val="en-US" w:eastAsia="zh-CN"/>
        </w:rPr>
        <w:t>指</w:t>
      </w:r>
      <w:r>
        <w:rPr>
          <w:rFonts w:hint="eastAsia" w:ascii="宋体" w:hAnsi="宋体" w:eastAsia="宋体" w:cs="宋体"/>
          <w:color w:val="auto"/>
          <w:sz w:val="24"/>
          <w:szCs w:val="24"/>
          <w:highlight w:val="none"/>
          <w:lang w:val="en-US" w:eastAsia="zh-CN"/>
        </w:rPr>
        <w:t>符合本</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文件规定的供应商</w:t>
      </w:r>
      <w:r>
        <w:rPr>
          <w:rFonts w:hint="eastAsia" w:ascii="宋体" w:hAnsi="宋体" w:eastAsia="宋体" w:cs="宋体"/>
          <w:color w:val="auto"/>
          <w:sz w:val="24"/>
          <w:szCs w:val="24"/>
          <w:highlight w:val="none"/>
        </w:rPr>
        <w:t>。</w:t>
      </w:r>
    </w:p>
    <w:p w14:paraId="4FFEB4B0">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39" w:name="_Toc46771642"/>
      <w:bookmarkStart w:id="140" w:name="_Toc48846111"/>
      <w:bookmarkStart w:id="141" w:name="_Toc52962729"/>
      <w:bookmarkStart w:id="142" w:name="_Toc109897437"/>
      <w:bookmarkStart w:id="143" w:name="_Toc109900374"/>
      <w:bookmarkStart w:id="144" w:name="_Toc9974"/>
      <w:bookmarkStart w:id="145" w:name="_Toc46772243"/>
      <w:bookmarkStart w:id="146" w:name="_Toc52960555"/>
      <w:bookmarkStart w:id="147" w:name="_Toc51674213"/>
      <w:bookmarkStart w:id="148" w:name="_Toc109899955"/>
      <w:bookmarkStart w:id="149" w:name="_Toc109899536"/>
      <w:bookmarkStart w:id="150" w:name="_Toc470172667"/>
      <w:bookmarkStart w:id="151" w:name="_Toc48688791"/>
      <w:r>
        <w:rPr>
          <w:rFonts w:hint="eastAsia" w:ascii="宋体" w:hAnsi="宋体" w:eastAsia="宋体" w:cs="宋体"/>
          <w:b/>
          <w:bCs/>
          <w:color w:val="auto"/>
          <w:kern w:val="2"/>
          <w:sz w:val="24"/>
          <w:szCs w:val="24"/>
          <w:highlight w:val="none"/>
          <w:lang w:val="en-US" w:eastAsia="zh-CN" w:bidi="ar-SA"/>
        </w:rPr>
        <w:t>3.资金来源</w:t>
      </w:r>
    </w:p>
    <w:p w14:paraId="7E10FE0B">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3.1资金来源：</w:t>
      </w:r>
      <w:r>
        <w:rPr>
          <w:rFonts w:hint="eastAsia" w:ascii="宋体" w:hAnsi="宋体" w:eastAsia="宋体" w:cs="宋体"/>
          <w:color w:val="auto"/>
          <w:sz w:val="24"/>
          <w:szCs w:val="24"/>
          <w:highlight w:val="none"/>
          <w:lang w:val="en-US" w:eastAsia="zh-CN"/>
        </w:rPr>
        <w:t>为财政性资金即</w:t>
      </w:r>
      <w:r>
        <w:rPr>
          <w:rFonts w:hint="eastAsia" w:ascii="宋体" w:hAnsi="宋体" w:eastAsia="宋体" w:cs="宋体"/>
          <w:color w:val="auto"/>
          <w:sz w:val="24"/>
          <w:szCs w:val="24"/>
          <w:highlight w:val="none"/>
        </w:rPr>
        <w:t>纳入预算管理的资金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以财政性资金作为还款来源的借贷资金，视同财政性资金。财政性资金与非财政性资金无法分割采购的，统一适用《中华人民共和国政府采购法》及其实施条例。</w:t>
      </w:r>
    </w:p>
    <w:p w14:paraId="5B4402E6">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4.供应商资格要求</w:t>
      </w:r>
    </w:p>
    <w:p w14:paraId="522AD9C1">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资格要求：见“</w:t>
      </w:r>
      <w:r>
        <w:rPr>
          <w:rFonts w:hint="eastAsia" w:ascii="宋体" w:hAnsi="宋体" w:eastAsia="宋体" w:cs="宋体"/>
          <w:color w:val="auto"/>
          <w:sz w:val="24"/>
          <w:szCs w:val="24"/>
          <w:highlight w:val="none"/>
          <w:lang w:val="en-US" w:eastAsia="zh-CN"/>
        </w:rPr>
        <w:t>第一章 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公告</w:t>
      </w:r>
      <w:r>
        <w:rPr>
          <w:rFonts w:hint="eastAsia" w:ascii="宋体" w:hAnsi="宋体" w:eastAsia="宋体" w:cs="宋体"/>
          <w:color w:val="auto"/>
          <w:sz w:val="24"/>
          <w:szCs w:val="24"/>
          <w:highlight w:val="none"/>
        </w:rPr>
        <w:t>”；</w:t>
      </w:r>
    </w:p>
    <w:p w14:paraId="3B57853B">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第一章 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公告</w:t>
      </w:r>
      <w:r>
        <w:rPr>
          <w:rFonts w:hint="eastAsia" w:ascii="宋体" w:hAnsi="宋体" w:eastAsia="宋体" w:cs="宋体"/>
          <w:color w:val="auto"/>
          <w:sz w:val="24"/>
          <w:szCs w:val="24"/>
          <w:highlight w:val="none"/>
          <w:lang w:val="zh-CN" w:eastAsia="zh-CN"/>
        </w:rPr>
        <w:t>”规定接受联合体</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eastAsia="zh-CN"/>
        </w:rPr>
        <w:t>的，还应遵守以下规定：</w:t>
      </w:r>
    </w:p>
    <w:p w14:paraId="512308FF">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1两个以上的自然人、法人或者其他组织可以组成一个联合体，以一个供应商的身份共同参加政府采购。</w:t>
      </w:r>
      <w:r>
        <w:rPr>
          <w:rFonts w:hint="eastAsia" w:ascii="宋体" w:hAnsi="宋体" w:eastAsia="宋体" w:cs="宋体"/>
          <w:iCs/>
          <w:color w:val="auto"/>
          <w:kern w:val="2"/>
          <w:sz w:val="24"/>
          <w:szCs w:val="24"/>
          <w:highlight w:val="none"/>
          <w:shd w:val="clear" w:color="auto" w:fill="FFFFFF" w:themeFill="background1"/>
          <w:lang w:val="zh-CN" w:eastAsia="zh-CN" w:bidi="ar-SA"/>
        </w:rPr>
        <w:t>以联合体形式进行政府采购的，参加联合体的供应商均应当具备《政府采购法》第二十二条规定的条件。</w:t>
      </w:r>
    </w:p>
    <w:p w14:paraId="7EFB49B3">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2.2</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联合体各方应按竞争性</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zh-CN" w:eastAsia="zh-CN" w:bidi="ar-SA"/>
        </w:rPr>
        <w:t>文件提供的格式签订联合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协议</w:t>
      </w:r>
      <w:r>
        <w:rPr>
          <w:rFonts w:hint="eastAsia" w:ascii="宋体" w:hAnsi="宋体" w:eastAsia="宋体" w:cs="宋体"/>
          <w:iCs/>
          <w:color w:val="auto"/>
          <w:kern w:val="2"/>
          <w:sz w:val="24"/>
          <w:szCs w:val="24"/>
          <w:highlight w:val="none"/>
          <w:shd w:val="clear" w:color="auto" w:fill="FFFFFF" w:themeFill="background1"/>
          <w:lang w:val="en-US" w:eastAsia="zh-CN" w:bidi="ar-SA"/>
        </w:rPr>
        <w:t>书</w:t>
      </w:r>
      <w:r>
        <w:rPr>
          <w:rFonts w:hint="eastAsia" w:ascii="宋体" w:hAnsi="宋体" w:eastAsia="宋体" w:cs="宋体"/>
          <w:iCs/>
          <w:color w:val="auto"/>
          <w:kern w:val="2"/>
          <w:sz w:val="24"/>
          <w:szCs w:val="24"/>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协议</w:t>
      </w:r>
      <w:r>
        <w:rPr>
          <w:rFonts w:hint="eastAsia" w:ascii="宋体" w:hAnsi="宋体" w:eastAsia="宋体" w:cs="宋体"/>
          <w:iCs/>
          <w:color w:val="auto"/>
          <w:kern w:val="2"/>
          <w:sz w:val="24"/>
          <w:szCs w:val="24"/>
          <w:highlight w:val="none"/>
          <w:shd w:val="clear" w:color="auto" w:fill="FFFFFF" w:themeFill="background1"/>
          <w:lang w:val="en-US" w:eastAsia="zh-CN" w:bidi="ar-SA"/>
        </w:rPr>
        <w:t>书</w:t>
      </w:r>
      <w:r>
        <w:rPr>
          <w:rFonts w:hint="eastAsia" w:ascii="宋体" w:hAnsi="宋体" w:eastAsia="宋体" w:cs="宋体"/>
          <w:iCs/>
          <w:color w:val="auto"/>
          <w:kern w:val="2"/>
          <w:sz w:val="24"/>
          <w:szCs w:val="24"/>
          <w:highlight w:val="none"/>
          <w:shd w:val="clear" w:color="auto" w:fill="FFFFFF" w:themeFill="background1"/>
          <w:lang w:val="zh-CN" w:eastAsia="zh-CN" w:bidi="ar-SA"/>
        </w:rPr>
        <w:t>作为</w:t>
      </w:r>
      <w:r>
        <w:rPr>
          <w:rFonts w:hint="eastAsia" w:ascii="宋体" w:hAnsi="宋体" w:eastAsia="宋体" w:cs="宋体"/>
          <w:iCs/>
          <w:color w:val="auto"/>
          <w:kern w:val="2"/>
          <w:sz w:val="24"/>
          <w:szCs w:val="24"/>
          <w:highlight w:val="none"/>
          <w:shd w:val="clear" w:color="auto" w:fill="FFFFFF" w:themeFill="background1"/>
          <w:lang w:val="en-US" w:eastAsia="zh-CN" w:bidi="ar-SA"/>
        </w:rPr>
        <w:t>响应</w:t>
      </w:r>
      <w:r>
        <w:rPr>
          <w:rFonts w:hint="eastAsia" w:ascii="宋体" w:hAnsi="宋体" w:eastAsia="宋体" w:cs="宋体"/>
          <w:iCs/>
          <w:color w:val="auto"/>
          <w:kern w:val="2"/>
          <w:sz w:val="24"/>
          <w:szCs w:val="24"/>
          <w:highlight w:val="none"/>
          <w:shd w:val="clear" w:color="auto" w:fill="FFFFFF" w:themeFill="background1"/>
          <w:lang w:val="zh-CN" w:eastAsia="zh-CN" w:bidi="ar-SA"/>
        </w:rPr>
        <w:t>文件的一部分提交，该协议书对联合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体所有成员</w:t>
      </w:r>
      <w:r>
        <w:rPr>
          <w:rFonts w:hint="eastAsia" w:ascii="宋体" w:hAnsi="宋体" w:eastAsia="宋体" w:cs="宋体"/>
          <w:iCs/>
          <w:color w:val="auto"/>
          <w:kern w:val="2"/>
          <w:sz w:val="24"/>
          <w:szCs w:val="24"/>
          <w:highlight w:val="none"/>
          <w:shd w:val="clear" w:color="auto" w:fill="FFFFFF" w:themeFill="background1"/>
          <w:lang w:val="zh-CN" w:eastAsia="zh-CN" w:bidi="ar-SA"/>
        </w:rPr>
        <w:t>均具有法律约束力。</w:t>
      </w:r>
    </w:p>
    <w:p w14:paraId="5343E5B5">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4.2.3</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21D444C4">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4</w:t>
      </w:r>
      <w:r>
        <w:rPr>
          <w:rFonts w:hint="eastAsia" w:ascii="宋体" w:hAnsi="宋体" w:eastAsia="宋体" w:cs="宋体"/>
          <w:iCs/>
          <w:color w:val="auto"/>
          <w:kern w:val="2"/>
          <w:sz w:val="24"/>
          <w:szCs w:val="24"/>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ascii="宋体" w:hAnsi="宋体" w:eastAsia="宋体" w:cs="宋体"/>
          <w:iCs/>
          <w:color w:val="auto"/>
          <w:kern w:val="2"/>
          <w:sz w:val="24"/>
          <w:szCs w:val="24"/>
          <w:highlight w:val="none"/>
          <w:shd w:val="clear" w:color="auto" w:fill="FFFFFF" w:themeFill="background1"/>
          <w:lang w:val="en-US" w:eastAsia="zh-CN" w:bidi="ar-SA"/>
        </w:rPr>
        <w:t>同一合同项下的</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zh-CN" w:eastAsia="zh-CN" w:bidi="ar-SA"/>
        </w:rPr>
        <w:t>，否则相关</w:t>
      </w:r>
      <w:r>
        <w:rPr>
          <w:rFonts w:hint="eastAsia" w:ascii="宋体" w:hAnsi="宋体" w:eastAsia="宋体" w:cs="宋体"/>
          <w:iCs/>
          <w:color w:val="auto"/>
          <w:kern w:val="2"/>
          <w:sz w:val="24"/>
          <w:szCs w:val="24"/>
          <w:highlight w:val="none"/>
          <w:shd w:val="clear" w:color="auto" w:fill="FFFFFF" w:themeFill="background1"/>
          <w:lang w:val="en-US" w:eastAsia="zh-CN" w:bidi="ar-SA"/>
        </w:rPr>
        <w:t>响应</w:t>
      </w:r>
      <w:r>
        <w:rPr>
          <w:rFonts w:hint="eastAsia" w:ascii="宋体" w:hAnsi="宋体" w:eastAsia="宋体" w:cs="宋体"/>
          <w:iCs/>
          <w:color w:val="auto"/>
          <w:kern w:val="2"/>
          <w:sz w:val="24"/>
          <w:szCs w:val="24"/>
          <w:highlight w:val="none"/>
          <w:shd w:val="clear" w:color="auto" w:fill="FFFFFF" w:themeFill="background1"/>
          <w:lang w:val="zh-CN" w:eastAsia="zh-CN" w:bidi="ar-SA"/>
        </w:rPr>
        <w:t>将被认定为</w:t>
      </w:r>
      <w:r>
        <w:rPr>
          <w:rFonts w:hint="eastAsia" w:ascii="宋体" w:hAnsi="宋体" w:eastAsia="宋体" w:cs="宋体"/>
          <w:b/>
          <w:bCs/>
          <w:iCs/>
          <w:color w:val="auto"/>
          <w:kern w:val="2"/>
          <w:sz w:val="24"/>
          <w:szCs w:val="24"/>
          <w:highlight w:val="none"/>
          <w:shd w:val="clear" w:color="auto" w:fill="FFFFFF" w:themeFill="background1"/>
          <w:lang w:val="en-US" w:eastAsia="zh-CN" w:bidi="ar-SA"/>
        </w:rPr>
        <w:t>响应</w:t>
      </w:r>
      <w:r>
        <w:rPr>
          <w:rFonts w:hint="eastAsia" w:ascii="宋体" w:hAnsi="宋体" w:eastAsia="宋体" w:cs="宋体"/>
          <w:b/>
          <w:bCs/>
          <w:iCs/>
          <w:color w:val="auto"/>
          <w:kern w:val="2"/>
          <w:sz w:val="24"/>
          <w:szCs w:val="24"/>
          <w:highlight w:val="none"/>
          <w:shd w:val="clear" w:color="auto" w:fill="FFFFFF" w:themeFill="background1"/>
          <w:lang w:val="zh-CN" w:eastAsia="zh-CN" w:bidi="ar-SA"/>
        </w:rPr>
        <w:t>无效</w:t>
      </w:r>
      <w:r>
        <w:rPr>
          <w:rFonts w:hint="eastAsia" w:ascii="宋体" w:hAnsi="宋体" w:eastAsia="宋体" w:cs="宋体"/>
          <w:iCs/>
          <w:color w:val="auto"/>
          <w:kern w:val="2"/>
          <w:sz w:val="24"/>
          <w:szCs w:val="24"/>
          <w:highlight w:val="none"/>
          <w:shd w:val="clear" w:color="auto" w:fill="FFFFFF" w:themeFill="background1"/>
          <w:lang w:val="zh-CN" w:eastAsia="zh-CN" w:bidi="ar-SA"/>
        </w:rPr>
        <w:t>。</w:t>
      </w:r>
    </w:p>
    <w:p w14:paraId="2E60D00D">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w:t>
      </w:r>
      <w:r>
        <w:rPr>
          <w:rFonts w:hint="eastAsia" w:ascii="宋体" w:hAnsi="宋体" w:eastAsia="宋体" w:cs="宋体"/>
          <w:iCs/>
          <w:color w:val="auto"/>
          <w:kern w:val="2"/>
          <w:sz w:val="24"/>
          <w:szCs w:val="24"/>
          <w:highlight w:val="none"/>
          <w:shd w:val="clear" w:color="auto" w:fill="FFFFFF" w:themeFill="background1"/>
          <w:lang w:val="zh-CN" w:eastAsia="zh-CN" w:bidi="ar-SA"/>
        </w:rPr>
        <w:t>.5大中型企业、其他自然人、法人或者非法人组织与小型、微型企业组成联合体共同参加</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的</w:t>
      </w:r>
      <w:r>
        <w:rPr>
          <w:rFonts w:hint="eastAsia" w:ascii="宋体" w:hAnsi="宋体" w:eastAsia="宋体" w:cs="宋体"/>
          <w:iCs/>
          <w:color w:val="auto"/>
          <w:kern w:val="2"/>
          <w:sz w:val="24"/>
          <w:szCs w:val="24"/>
          <w:highlight w:val="none"/>
          <w:shd w:val="clear" w:color="auto" w:fill="FFFFFF" w:themeFill="background1"/>
          <w:lang w:val="zh-CN" w:eastAsia="zh-CN" w:bidi="ar-SA"/>
        </w:rPr>
        <w:t>，联合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协议</w:t>
      </w:r>
      <w:r>
        <w:rPr>
          <w:rFonts w:hint="eastAsia" w:ascii="宋体" w:hAnsi="宋体" w:eastAsia="宋体" w:cs="宋体"/>
          <w:iCs/>
          <w:color w:val="auto"/>
          <w:kern w:val="2"/>
          <w:sz w:val="24"/>
          <w:szCs w:val="24"/>
          <w:highlight w:val="none"/>
          <w:shd w:val="clear" w:color="auto" w:fill="FFFFFF" w:themeFill="background1"/>
          <w:lang w:val="en-US" w:eastAsia="zh-CN" w:bidi="ar-SA"/>
        </w:rPr>
        <w:t>书</w:t>
      </w:r>
      <w:r>
        <w:rPr>
          <w:rFonts w:hint="eastAsia" w:ascii="宋体" w:hAnsi="宋体" w:eastAsia="宋体" w:cs="宋体"/>
          <w:iCs/>
          <w:color w:val="auto"/>
          <w:kern w:val="2"/>
          <w:sz w:val="24"/>
          <w:szCs w:val="24"/>
          <w:highlight w:val="none"/>
          <w:shd w:val="clear" w:color="auto" w:fill="FFFFFF" w:themeFill="background1"/>
          <w:lang w:val="zh-CN" w:eastAsia="zh-CN" w:bidi="ar-SA"/>
        </w:rPr>
        <w:t>中应写明小型、微型企业的合同金额占到联合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合同</w:t>
      </w:r>
      <w:r>
        <w:rPr>
          <w:rFonts w:hint="eastAsia" w:ascii="宋体" w:hAnsi="宋体" w:eastAsia="宋体" w:cs="宋体"/>
          <w:iCs/>
          <w:color w:val="auto"/>
          <w:kern w:val="2"/>
          <w:sz w:val="24"/>
          <w:szCs w:val="24"/>
          <w:highlight w:val="none"/>
          <w:shd w:val="clear" w:color="auto" w:fill="FFFFFF" w:themeFill="background1"/>
          <w:lang w:val="zh-CN" w:eastAsia="zh-CN" w:bidi="ar-SA"/>
        </w:rPr>
        <w:t>总金额的比例。</w:t>
      </w:r>
    </w:p>
    <w:p w14:paraId="7127D169">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zh-CN" w:eastAsia="zh-CN" w:bidi="ar-SA"/>
        </w:rPr>
        <w:t>4.2</w:t>
      </w:r>
      <w:r>
        <w:rPr>
          <w:rFonts w:hint="eastAsia" w:ascii="宋体" w:hAnsi="宋体" w:eastAsia="宋体" w:cs="宋体"/>
          <w:iCs/>
          <w:color w:val="auto"/>
          <w:kern w:val="2"/>
          <w:sz w:val="24"/>
          <w:szCs w:val="24"/>
          <w:highlight w:val="none"/>
          <w:shd w:val="clear" w:color="auto" w:fill="FFFFFF" w:themeFill="background1"/>
          <w:lang w:val="en-US" w:eastAsia="zh-CN" w:bidi="ar-SA"/>
        </w:rPr>
        <w:t>.6</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w:t>
      </w:r>
      <w:r>
        <w:rPr>
          <w:rFonts w:hint="eastAsia" w:ascii="宋体" w:hAnsi="宋体" w:eastAsia="宋体" w:cs="宋体"/>
          <w:iCs/>
          <w:color w:val="auto"/>
          <w:kern w:val="2"/>
          <w:sz w:val="24"/>
          <w:szCs w:val="24"/>
          <w:highlight w:val="none"/>
          <w:shd w:val="clear" w:color="auto" w:fill="FFFFFF" w:themeFill="background1"/>
          <w:lang w:val="en-US" w:eastAsia="zh-CN" w:bidi="ar-SA"/>
        </w:rPr>
        <w:t>成交的</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采购</w:t>
      </w:r>
      <w:r>
        <w:rPr>
          <w:rFonts w:hint="eastAsia" w:ascii="宋体" w:hAnsi="宋体" w:eastAsia="宋体" w:cs="宋体"/>
          <w:iCs/>
          <w:color w:val="auto"/>
          <w:kern w:val="2"/>
          <w:sz w:val="24"/>
          <w:szCs w:val="24"/>
          <w:highlight w:val="none"/>
          <w:shd w:val="clear" w:color="auto" w:fill="FFFFFF" w:themeFill="background1"/>
          <w:lang w:val="zh-CN" w:eastAsia="zh-CN" w:bidi="ar-SA"/>
        </w:rPr>
        <w:t>合同应由</w:t>
      </w:r>
      <w:r>
        <w:rPr>
          <w:rFonts w:hint="eastAsia" w:ascii="宋体" w:hAnsi="宋体" w:eastAsia="宋体" w:cs="宋体"/>
          <w:iCs/>
          <w:color w:val="auto"/>
          <w:kern w:val="2"/>
          <w:sz w:val="24"/>
          <w:szCs w:val="24"/>
          <w:highlight w:val="none"/>
          <w:shd w:val="clear" w:color="auto" w:fill="FFFFFF" w:themeFill="background1"/>
          <w:lang w:val="en-US" w:eastAsia="zh-CN" w:bidi="ar-SA"/>
        </w:rPr>
        <w:t>联合体</w:t>
      </w:r>
      <w:r>
        <w:rPr>
          <w:rFonts w:hint="eastAsia" w:ascii="宋体" w:hAnsi="宋体" w:eastAsia="宋体" w:cs="宋体"/>
          <w:iCs/>
          <w:color w:val="auto"/>
          <w:kern w:val="2"/>
          <w:sz w:val="24"/>
          <w:szCs w:val="24"/>
          <w:highlight w:val="none"/>
          <w:shd w:val="clear" w:color="auto" w:fill="FFFFFF" w:themeFill="background1"/>
          <w:lang w:val="zh-CN" w:eastAsia="zh-CN" w:bidi="ar-SA"/>
        </w:rPr>
        <w:t>各成员的合法授权代表签字</w:t>
      </w:r>
      <w:r>
        <w:rPr>
          <w:rFonts w:hint="eastAsia" w:ascii="宋体" w:hAnsi="宋体" w:eastAsia="宋体" w:cs="宋体"/>
          <w:iCs/>
          <w:color w:val="auto"/>
          <w:kern w:val="2"/>
          <w:sz w:val="24"/>
          <w:szCs w:val="24"/>
          <w:highlight w:val="none"/>
          <w:shd w:val="clear" w:color="auto" w:fill="FFFFFF" w:themeFill="background1"/>
          <w:lang w:val="en-US" w:eastAsia="zh-CN" w:bidi="ar-SA"/>
        </w:rPr>
        <w:t>及</w:t>
      </w:r>
      <w:r>
        <w:rPr>
          <w:rFonts w:hint="eastAsia" w:ascii="宋体" w:hAnsi="宋体" w:eastAsia="宋体" w:cs="宋体"/>
          <w:iCs/>
          <w:color w:val="auto"/>
          <w:kern w:val="2"/>
          <w:sz w:val="24"/>
          <w:szCs w:val="24"/>
          <w:highlight w:val="none"/>
          <w:shd w:val="clear" w:color="auto" w:fill="FFFFFF" w:themeFill="background1"/>
          <w:lang w:val="zh-CN" w:eastAsia="zh-CN" w:bidi="ar-SA"/>
        </w:rPr>
        <w:t>加盖</w:t>
      </w:r>
      <w:r>
        <w:rPr>
          <w:rFonts w:hint="eastAsia" w:ascii="宋体" w:hAnsi="宋体" w:eastAsia="宋体" w:cs="宋体"/>
          <w:iCs/>
          <w:color w:val="auto"/>
          <w:kern w:val="2"/>
          <w:sz w:val="24"/>
          <w:szCs w:val="24"/>
          <w:highlight w:val="none"/>
          <w:shd w:val="clear" w:color="auto" w:fill="FFFFFF" w:themeFill="background1"/>
          <w:lang w:val="en-US" w:eastAsia="zh-CN" w:bidi="ar-SA"/>
        </w:rPr>
        <w:t>联合体</w:t>
      </w:r>
      <w:r>
        <w:rPr>
          <w:rFonts w:hint="eastAsia" w:ascii="宋体" w:hAnsi="宋体" w:eastAsia="宋体" w:cs="宋体"/>
          <w:iCs/>
          <w:color w:val="auto"/>
          <w:kern w:val="2"/>
          <w:sz w:val="24"/>
          <w:szCs w:val="24"/>
          <w:highlight w:val="none"/>
          <w:shd w:val="clear" w:color="auto" w:fill="FFFFFF" w:themeFill="background1"/>
          <w:lang w:val="zh-CN" w:eastAsia="zh-CN" w:bidi="ar-SA"/>
        </w:rPr>
        <w:t>各成员公章，</w:t>
      </w:r>
      <w:r>
        <w:rPr>
          <w:rFonts w:hint="eastAsia" w:ascii="宋体" w:hAnsi="宋体" w:eastAsia="宋体" w:cs="宋体"/>
          <w:iCs/>
          <w:color w:val="auto"/>
          <w:kern w:val="2"/>
          <w:sz w:val="24"/>
          <w:szCs w:val="24"/>
          <w:highlight w:val="none"/>
          <w:shd w:val="clear" w:color="auto" w:fill="FFFFFF" w:themeFill="background1"/>
          <w:lang w:val="en-US" w:eastAsia="zh-CN" w:bidi="ar-SA"/>
        </w:rPr>
        <w:t>并</w:t>
      </w:r>
      <w:r>
        <w:rPr>
          <w:rFonts w:hint="eastAsia" w:ascii="宋体" w:hAnsi="宋体" w:eastAsia="宋体" w:cs="宋体"/>
          <w:iCs/>
          <w:color w:val="auto"/>
          <w:kern w:val="2"/>
          <w:sz w:val="24"/>
          <w:szCs w:val="24"/>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2C3CFE0">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zh-CN" w:eastAsia="zh-CN" w:bidi="ar-SA"/>
        </w:rPr>
        <w:t>4.2</w:t>
      </w:r>
      <w:r>
        <w:rPr>
          <w:rFonts w:hint="eastAsia" w:ascii="宋体" w:hAnsi="宋体" w:eastAsia="宋体" w:cs="宋体"/>
          <w:iCs/>
          <w:color w:val="auto"/>
          <w:kern w:val="2"/>
          <w:sz w:val="24"/>
          <w:szCs w:val="24"/>
          <w:highlight w:val="none"/>
          <w:shd w:val="clear" w:color="auto" w:fill="FFFFFF" w:themeFill="background1"/>
          <w:lang w:val="en-US" w:eastAsia="zh-CN" w:bidi="ar-SA"/>
        </w:rPr>
        <w:t>.7</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宋体"/>
          <w:iCs/>
          <w:color w:val="auto"/>
          <w:kern w:val="2"/>
          <w:sz w:val="24"/>
          <w:szCs w:val="24"/>
          <w:highlight w:val="none"/>
          <w:shd w:val="clear" w:color="auto" w:fill="FFFFFF" w:themeFill="background1"/>
          <w:lang w:val="en-US" w:eastAsia="zh-CN" w:bidi="ar-SA"/>
        </w:rPr>
        <w:t>人</w:t>
      </w:r>
      <w:r>
        <w:rPr>
          <w:rFonts w:hint="eastAsia" w:ascii="宋体" w:hAnsi="宋体" w:eastAsia="宋体" w:cs="宋体"/>
          <w:iCs/>
          <w:color w:val="auto"/>
          <w:kern w:val="2"/>
          <w:sz w:val="24"/>
          <w:szCs w:val="24"/>
          <w:highlight w:val="none"/>
          <w:shd w:val="clear" w:color="auto" w:fill="FFFFFF" w:themeFill="background1"/>
          <w:lang w:val="zh-CN" w:eastAsia="zh-CN" w:bidi="ar-SA"/>
        </w:rPr>
        <w:t>书面同意并且须遵守相关法律、法规、本次</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zh-CN" w:eastAsia="zh-CN" w:bidi="ar-SA"/>
        </w:rPr>
        <w:t>的全部相关规定。</w:t>
      </w:r>
    </w:p>
    <w:p w14:paraId="1C0E489A">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8</w:t>
      </w:r>
      <w:r>
        <w:rPr>
          <w:rFonts w:hint="eastAsia" w:ascii="宋体" w:hAnsi="宋体" w:eastAsia="宋体" w:cs="宋体"/>
          <w:iCs/>
          <w:color w:val="auto"/>
          <w:kern w:val="2"/>
          <w:sz w:val="24"/>
          <w:szCs w:val="24"/>
          <w:highlight w:val="none"/>
          <w:shd w:val="clear" w:color="auto" w:fill="FFFFFF" w:themeFill="background1"/>
          <w:lang w:val="zh-CN" w:eastAsia="zh-CN" w:bidi="ar-SA"/>
        </w:rPr>
        <w:t>对联合体</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zh-CN" w:eastAsia="zh-CN" w:bidi="ar-SA"/>
        </w:rPr>
        <w:t>的其他资格要求见“</w:t>
      </w:r>
      <w:r>
        <w:rPr>
          <w:rFonts w:hint="eastAsia" w:ascii="宋体" w:hAnsi="宋体" w:eastAsia="宋体" w:cs="宋体"/>
          <w:iCs/>
          <w:color w:val="auto"/>
          <w:kern w:val="2"/>
          <w:sz w:val="24"/>
          <w:szCs w:val="24"/>
          <w:highlight w:val="none"/>
          <w:shd w:val="clear" w:color="auto" w:fill="FFFFFF" w:themeFill="background1"/>
          <w:lang w:val="en-US" w:eastAsia="zh-CN" w:bidi="ar-SA"/>
        </w:rPr>
        <w:t>第一章 竞争性</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公告</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中的“二、供应商的</w:t>
      </w:r>
      <w:r>
        <w:rPr>
          <w:rFonts w:hint="eastAsia" w:ascii="宋体" w:hAnsi="宋体" w:eastAsia="宋体" w:cs="宋体"/>
          <w:iCs/>
          <w:color w:val="auto"/>
          <w:kern w:val="2"/>
          <w:sz w:val="24"/>
          <w:szCs w:val="24"/>
          <w:highlight w:val="none"/>
          <w:shd w:val="clear" w:color="auto" w:fill="FFFFFF" w:themeFill="background1"/>
          <w:lang w:val="zh-CN" w:eastAsia="zh-CN" w:bidi="ar-SA"/>
        </w:rPr>
        <w:t>资格</w:t>
      </w:r>
      <w:r>
        <w:rPr>
          <w:rFonts w:hint="eastAsia" w:ascii="宋体" w:hAnsi="宋体" w:eastAsia="宋体" w:cs="宋体"/>
          <w:iCs/>
          <w:color w:val="auto"/>
          <w:kern w:val="2"/>
          <w:sz w:val="24"/>
          <w:szCs w:val="24"/>
          <w:highlight w:val="none"/>
          <w:shd w:val="clear" w:color="auto" w:fill="FFFFFF" w:themeFill="background1"/>
          <w:lang w:val="en-US" w:eastAsia="zh-CN" w:bidi="ar-SA"/>
        </w:rPr>
        <w:t>要求”</w:t>
      </w:r>
      <w:r>
        <w:rPr>
          <w:rFonts w:hint="eastAsia" w:ascii="宋体" w:hAnsi="宋体" w:eastAsia="宋体" w:cs="宋体"/>
          <w:iCs/>
          <w:color w:val="auto"/>
          <w:kern w:val="2"/>
          <w:sz w:val="24"/>
          <w:szCs w:val="24"/>
          <w:highlight w:val="none"/>
          <w:shd w:val="clear" w:color="auto" w:fill="FFFFFF" w:themeFill="background1"/>
          <w:lang w:val="zh-CN" w:eastAsia="zh-CN" w:bidi="ar-SA"/>
        </w:rPr>
        <w:t>。</w:t>
      </w:r>
    </w:p>
    <w:p w14:paraId="485F4964">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5.费用</w:t>
      </w:r>
      <w:bookmarkEnd w:id="139"/>
      <w:bookmarkEnd w:id="140"/>
      <w:bookmarkEnd w:id="141"/>
      <w:bookmarkEnd w:id="142"/>
      <w:bookmarkEnd w:id="143"/>
      <w:bookmarkEnd w:id="144"/>
      <w:bookmarkEnd w:id="145"/>
      <w:bookmarkEnd w:id="146"/>
      <w:bookmarkEnd w:id="147"/>
      <w:bookmarkEnd w:id="148"/>
      <w:bookmarkEnd w:id="149"/>
      <w:bookmarkEnd w:id="150"/>
      <w:bookmarkEnd w:id="151"/>
      <w:r>
        <w:rPr>
          <w:rFonts w:hint="eastAsia" w:ascii="宋体" w:hAnsi="宋体" w:eastAsia="宋体" w:cs="宋体"/>
          <w:b/>
          <w:bCs/>
          <w:color w:val="auto"/>
          <w:kern w:val="2"/>
          <w:sz w:val="24"/>
          <w:szCs w:val="24"/>
          <w:highlight w:val="none"/>
          <w:lang w:val="en-US" w:eastAsia="zh-CN" w:bidi="ar-SA"/>
        </w:rPr>
        <w:t>承担</w:t>
      </w:r>
    </w:p>
    <w:p w14:paraId="3C6741ED">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5.1</w:t>
      </w:r>
      <w:r>
        <w:rPr>
          <w:rFonts w:hint="eastAsia" w:ascii="宋体" w:hAnsi="宋体" w:eastAsia="宋体" w:cs="宋体"/>
          <w:snapToGrid w:val="0"/>
          <w:color w:val="auto"/>
          <w:sz w:val="24"/>
          <w:szCs w:val="24"/>
          <w:highlight w:val="none"/>
          <w:lang w:val="zh-CN" w:eastAsia="zh-CN"/>
        </w:rPr>
        <w:t>不论</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eastAsia="zh-CN"/>
        </w:rPr>
        <w:t>的结果如何，</w:t>
      </w:r>
      <w:r>
        <w:rPr>
          <w:rFonts w:hint="eastAsia" w:ascii="宋体" w:hAnsi="宋体" w:eastAsia="宋体" w:cs="宋体"/>
          <w:snapToGrid w:val="0"/>
          <w:color w:val="auto"/>
          <w:sz w:val="24"/>
          <w:szCs w:val="24"/>
          <w:highlight w:val="none"/>
          <w:lang w:val="en-US" w:eastAsia="zh-CN"/>
        </w:rPr>
        <w:t>供应商</w:t>
      </w:r>
      <w:r>
        <w:rPr>
          <w:rFonts w:hint="eastAsia" w:ascii="宋体" w:hAnsi="宋体" w:eastAsia="宋体" w:cs="宋体"/>
          <w:snapToGrid w:val="0"/>
          <w:color w:val="auto"/>
          <w:sz w:val="24"/>
          <w:szCs w:val="24"/>
          <w:highlight w:val="none"/>
          <w:lang w:val="zh-CN" w:eastAsia="zh-CN"/>
        </w:rPr>
        <w:t>应承担所有与准备和参加</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eastAsia="zh-CN"/>
        </w:rPr>
        <w:t>有关的费用。</w:t>
      </w:r>
    </w:p>
    <w:p w14:paraId="6DDD89BA">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52" w:name="_Toc140132761"/>
      <w:bookmarkStart w:id="153" w:name="_Toc161600293"/>
      <w:r>
        <w:rPr>
          <w:rFonts w:hint="eastAsia" w:ascii="宋体" w:hAnsi="宋体" w:eastAsia="宋体" w:cs="宋体"/>
          <w:b/>
          <w:bCs/>
          <w:color w:val="auto"/>
          <w:kern w:val="2"/>
          <w:sz w:val="24"/>
          <w:szCs w:val="24"/>
          <w:highlight w:val="none"/>
          <w:lang w:val="en-US" w:eastAsia="zh-CN" w:bidi="ar-SA"/>
        </w:rPr>
        <w:t>6.保密</w:t>
      </w:r>
      <w:bookmarkEnd w:id="152"/>
      <w:bookmarkEnd w:id="153"/>
    </w:p>
    <w:p w14:paraId="1361C439">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参与</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活动的各方应对竞争</w:t>
      </w:r>
      <w:r>
        <w:rPr>
          <w:rFonts w:hint="eastAsia" w:ascii="宋体" w:hAnsi="宋体" w:eastAsia="宋体" w:cs="宋体"/>
          <w:color w:val="auto"/>
          <w:sz w:val="24"/>
          <w:szCs w:val="24"/>
          <w:highlight w:val="none"/>
          <w:lang w:val="en-US" w:eastAsia="zh-CN"/>
        </w:rPr>
        <w:t>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文件和响应文件中的商业和技术等秘密保密，否则应承担相应的法律责任。</w:t>
      </w:r>
    </w:p>
    <w:p w14:paraId="0F89755A">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2 供应商</w:t>
      </w:r>
      <w:r>
        <w:rPr>
          <w:rFonts w:hint="eastAsia" w:ascii="宋体" w:hAnsi="宋体" w:eastAsia="宋体" w:cs="宋体"/>
          <w:color w:val="auto"/>
          <w:kern w:val="2"/>
          <w:sz w:val="24"/>
          <w:szCs w:val="24"/>
          <w:highlight w:val="none"/>
        </w:rPr>
        <w:t>自领取竞争</w:t>
      </w:r>
      <w:r>
        <w:rPr>
          <w:rFonts w:hint="eastAsia" w:ascii="宋体" w:hAnsi="宋体" w:eastAsia="宋体" w:cs="宋体"/>
          <w:color w:val="auto"/>
          <w:kern w:val="2"/>
          <w:sz w:val="24"/>
          <w:szCs w:val="24"/>
          <w:highlight w:val="none"/>
          <w:lang w:val="en-US" w:eastAsia="zh-CN"/>
        </w:rPr>
        <w:t>性</w:t>
      </w:r>
      <w:r>
        <w:rPr>
          <w:rFonts w:hint="eastAsia" w:cs="宋体"/>
          <w:color w:val="auto"/>
          <w:sz w:val="24"/>
          <w:szCs w:val="24"/>
          <w:highlight w:val="none"/>
          <w:lang w:val="en-US" w:eastAsia="zh-CN"/>
        </w:rPr>
        <w:t>谈判</w:t>
      </w:r>
      <w:r>
        <w:rPr>
          <w:rFonts w:hint="eastAsia" w:ascii="宋体" w:hAnsi="宋体" w:eastAsia="宋体" w:cs="宋体"/>
          <w:color w:val="auto"/>
          <w:kern w:val="2"/>
          <w:sz w:val="24"/>
          <w:szCs w:val="24"/>
          <w:highlight w:val="none"/>
        </w:rPr>
        <w:t>文件之日起，须承担本竞争</w:t>
      </w:r>
      <w:r>
        <w:rPr>
          <w:rFonts w:hint="eastAsia" w:ascii="宋体" w:hAnsi="宋体" w:eastAsia="宋体" w:cs="宋体"/>
          <w:color w:val="auto"/>
          <w:kern w:val="2"/>
          <w:sz w:val="24"/>
          <w:szCs w:val="24"/>
          <w:highlight w:val="none"/>
          <w:lang w:val="en-US" w:eastAsia="zh-CN"/>
        </w:rPr>
        <w:t>性</w:t>
      </w:r>
      <w:r>
        <w:rPr>
          <w:rFonts w:hint="eastAsia" w:cs="宋体"/>
          <w:color w:val="auto"/>
          <w:sz w:val="24"/>
          <w:szCs w:val="24"/>
          <w:highlight w:val="none"/>
          <w:lang w:val="en-US" w:eastAsia="zh-CN"/>
        </w:rPr>
        <w:t>谈判</w:t>
      </w:r>
      <w:r>
        <w:rPr>
          <w:rFonts w:hint="eastAsia" w:ascii="宋体" w:hAnsi="宋体" w:eastAsia="宋体" w:cs="宋体"/>
          <w:color w:val="auto"/>
          <w:kern w:val="2"/>
          <w:sz w:val="24"/>
          <w:szCs w:val="24"/>
          <w:highlight w:val="none"/>
        </w:rPr>
        <w:t>项目保密义务，不得将因本次竞争</w:t>
      </w:r>
      <w:r>
        <w:rPr>
          <w:rFonts w:hint="eastAsia" w:ascii="宋体" w:hAnsi="宋体" w:eastAsia="宋体" w:cs="宋体"/>
          <w:color w:val="auto"/>
          <w:kern w:val="2"/>
          <w:sz w:val="24"/>
          <w:szCs w:val="24"/>
          <w:highlight w:val="none"/>
          <w:lang w:val="en-US" w:eastAsia="zh-CN"/>
        </w:rPr>
        <w:t>性</w:t>
      </w:r>
      <w:r>
        <w:rPr>
          <w:rFonts w:hint="eastAsia" w:cs="宋体"/>
          <w:color w:val="auto"/>
          <w:sz w:val="24"/>
          <w:szCs w:val="24"/>
          <w:highlight w:val="none"/>
          <w:lang w:val="en-US" w:eastAsia="zh-CN"/>
        </w:rPr>
        <w:t>谈判</w:t>
      </w:r>
      <w:r>
        <w:rPr>
          <w:rFonts w:hint="eastAsia" w:ascii="宋体" w:hAnsi="宋体" w:eastAsia="宋体" w:cs="宋体"/>
          <w:color w:val="auto"/>
          <w:kern w:val="2"/>
          <w:sz w:val="24"/>
          <w:szCs w:val="24"/>
          <w:highlight w:val="none"/>
        </w:rPr>
        <w:t>获得的信息向第三人外传。由采购人向</w:t>
      </w:r>
      <w:r>
        <w:rPr>
          <w:rFonts w:hint="eastAsia" w:ascii="宋体" w:hAnsi="宋体" w:eastAsia="宋体" w:cs="宋体"/>
          <w:color w:val="auto"/>
          <w:kern w:val="2"/>
          <w:sz w:val="24"/>
          <w:szCs w:val="24"/>
          <w:highlight w:val="none"/>
          <w:lang w:val="en-US" w:eastAsia="zh-CN"/>
        </w:rPr>
        <w:t>供应商</w:t>
      </w:r>
      <w:r>
        <w:rPr>
          <w:rFonts w:hint="eastAsia" w:ascii="宋体" w:hAnsi="宋体" w:eastAsia="宋体" w:cs="宋体"/>
          <w:color w:val="auto"/>
          <w:kern w:val="2"/>
          <w:sz w:val="24"/>
          <w:szCs w:val="24"/>
          <w:highlight w:val="none"/>
        </w:rPr>
        <w:t>提供的图纸、详细资料、样品、模型、模件和所有其它资料，被视为保密资料，仅被用于它所规定的用途。除非得到采购人的同意，不能向任何第三方透露。竞争</w:t>
      </w:r>
      <w:r>
        <w:rPr>
          <w:rFonts w:hint="eastAsia" w:ascii="宋体" w:hAnsi="宋体" w:eastAsia="宋体" w:cs="宋体"/>
          <w:color w:val="auto"/>
          <w:kern w:val="2"/>
          <w:sz w:val="24"/>
          <w:szCs w:val="24"/>
          <w:highlight w:val="none"/>
          <w:lang w:val="en-US" w:eastAsia="zh-CN"/>
        </w:rPr>
        <w:t>性</w:t>
      </w:r>
      <w:r>
        <w:rPr>
          <w:rFonts w:hint="eastAsia" w:cs="宋体"/>
          <w:color w:val="auto"/>
          <w:sz w:val="24"/>
          <w:szCs w:val="24"/>
          <w:highlight w:val="none"/>
          <w:lang w:val="en-US" w:eastAsia="zh-CN"/>
        </w:rPr>
        <w:t>谈判</w:t>
      </w:r>
      <w:r>
        <w:rPr>
          <w:rFonts w:hint="eastAsia" w:ascii="宋体" w:hAnsi="宋体" w:eastAsia="宋体" w:cs="宋体"/>
          <w:color w:val="auto"/>
          <w:kern w:val="2"/>
          <w:sz w:val="24"/>
          <w:szCs w:val="24"/>
          <w:highlight w:val="none"/>
        </w:rPr>
        <w:t>结束后，应采购人要求，</w:t>
      </w:r>
      <w:r>
        <w:rPr>
          <w:rFonts w:hint="eastAsia" w:ascii="宋体" w:hAnsi="宋体" w:eastAsia="宋体" w:cs="宋体"/>
          <w:color w:val="auto"/>
          <w:kern w:val="2"/>
          <w:sz w:val="24"/>
          <w:szCs w:val="24"/>
          <w:highlight w:val="none"/>
          <w:lang w:val="en-US" w:eastAsia="zh-CN"/>
        </w:rPr>
        <w:t>供应商</w:t>
      </w:r>
      <w:r>
        <w:rPr>
          <w:rFonts w:hint="eastAsia" w:ascii="宋体" w:hAnsi="宋体" w:eastAsia="宋体" w:cs="宋体"/>
          <w:color w:val="auto"/>
          <w:kern w:val="2"/>
          <w:sz w:val="24"/>
          <w:szCs w:val="24"/>
          <w:highlight w:val="none"/>
        </w:rPr>
        <w:t>应归还所有从采购人处获得的保密资料。</w:t>
      </w:r>
    </w:p>
    <w:p w14:paraId="67E49FDD">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3 </w:t>
      </w:r>
      <w:r>
        <w:rPr>
          <w:rFonts w:hint="eastAsia" w:ascii="宋体" w:hAnsi="宋体" w:eastAsia="宋体" w:cs="宋体"/>
          <w:color w:val="auto"/>
          <w:kern w:val="2"/>
          <w:sz w:val="24"/>
          <w:szCs w:val="24"/>
          <w:highlight w:val="none"/>
        </w:rPr>
        <w:t>采购代理机构有权将</w:t>
      </w:r>
      <w:r>
        <w:rPr>
          <w:rFonts w:hint="eastAsia" w:ascii="宋体" w:hAnsi="宋体" w:eastAsia="宋体" w:cs="宋体"/>
          <w:color w:val="auto"/>
          <w:kern w:val="2"/>
          <w:sz w:val="24"/>
          <w:szCs w:val="24"/>
          <w:highlight w:val="none"/>
          <w:lang w:val="en-US" w:eastAsia="zh-CN"/>
        </w:rPr>
        <w:t>供应商</w:t>
      </w:r>
      <w:r>
        <w:rPr>
          <w:rFonts w:hint="eastAsia" w:ascii="宋体" w:hAnsi="宋体" w:eastAsia="宋体" w:cs="宋体"/>
          <w:color w:val="auto"/>
          <w:kern w:val="2"/>
          <w:sz w:val="24"/>
          <w:szCs w:val="24"/>
          <w:highlight w:val="none"/>
        </w:rPr>
        <w:t>提供的所有资料向有关政府部门或竞争</w:t>
      </w:r>
      <w:r>
        <w:rPr>
          <w:rFonts w:hint="eastAsia" w:ascii="宋体" w:hAnsi="宋体" w:eastAsia="宋体" w:cs="宋体"/>
          <w:color w:val="auto"/>
          <w:kern w:val="2"/>
          <w:sz w:val="24"/>
          <w:szCs w:val="24"/>
          <w:highlight w:val="none"/>
          <w:lang w:val="en-US" w:eastAsia="zh-CN"/>
        </w:rPr>
        <w:t>性</w:t>
      </w:r>
      <w:r>
        <w:rPr>
          <w:rFonts w:hint="eastAsia" w:cs="宋体"/>
          <w:color w:val="auto"/>
          <w:sz w:val="24"/>
          <w:szCs w:val="24"/>
          <w:highlight w:val="none"/>
          <w:lang w:val="en-US" w:eastAsia="zh-CN"/>
        </w:rPr>
        <w:t>谈判</w:t>
      </w:r>
      <w:r>
        <w:rPr>
          <w:rFonts w:hint="eastAsia" w:ascii="宋体" w:hAnsi="宋体" w:eastAsia="宋体" w:cs="宋体"/>
          <w:color w:val="auto"/>
          <w:kern w:val="2"/>
          <w:sz w:val="24"/>
          <w:szCs w:val="24"/>
          <w:highlight w:val="none"/>
        </w:rPr>
        <w:t>的有关人员披露。</w:t>
      </w:r>
    </w:p>
    <w:p w14:paraId="232A1AD6">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4 各级人民政府财政部门对政府采购活动进行监督检查，有权查阅、复制有关文件、资料，相关单位和人员应当予以配合</w:t>
      </w:r>
      <w:r>
        <w:rPr>
          <w:rFonts w:hint="eastAsia" w:ascii="宋体" w:hAnsi="宋体" w:eastAsia="宋体" w:cs="宋体"/>
          <w:color w:val="auto"/>
          <w:kern w:val="2"/>
          <w:sz w:val="24"/>
          <w:szCs w:val="24"/>
          <w:highlight w:val="none"/>
        </w:rPr>
        <w:t>。</w:t>
      </w:r>
      <w:r>
        <w:rPr>
          <w:rFonts w:hint="eastAsia" w:ascii="宋体" w:hAnsi="宋体" w:eastAsia="宋体" w:cs="宋体"/>
          <w:color w:val="auto"/>
          <w:sz w:val="24"/>
          <w:szCs w:val="24"/>
          <w:highlight w:val="none"/>
        </w:rPr>
        <w:t xml:space="preserve"> </w:t>
      </w:r>
    </w:p>
    <w:p w14:paraId="47EBAEFC">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54" w:name="_Toc161600294"/>
      <w:bookmarkStart w:id="155" w:name="_Toc140132762"/>
      <w:r>
        <w:rPr>
          <w:rFonts w:hint="eastAsia" w:ascii="宋体" w:hAnsi="宋体" w:eastAsia="宋体" w:cs="宋体"/>
          <w:b/>
          <w:bCs/>
          <w:color w:val="auto"/>
          <w:kern w:val="2"/>
          <w:sz w:val="24"/>
          <w:szCs w:val="24"/>
          <w:highlight w:val="none"/>
          <w:lang w:val="en-US" w:eastAsia="zh-CN" w:bidi="ar-SA"/>
        </w:rPr>
        <w:t>7.语言文字</w:t>
      </w:r>
      <w:bookmarkEnd w:id="154"/>
      <w:bookmarkEnd w:id="155"/>
    </w:p>
    <w:p w14:paraId="3121AAFC">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7.1竞争</w:t>
      </w:r>
      <w:r>
        <w:rPr>
          <w:rFonts w:hint="eastAsia" w:ascii="宋体" w:hAnsi="宋体" w:eastAsia="宋体" w:cs="宋体"/>
          <w:color w:val="auto"/>
          <w:sz w:val="24"/>
          <w:szCs w:val="24"/>
          <w:highlight w:val="none"/>
          <w:lang w:val="en-US" w:eastAsia="zh-CN"/>
        </w:rPr>
        <w:t>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文件及响应</w:t>
      </w:r>
      <w:r>
        <w:rPr>
          <w:rFonts w:hint="eastAsia" w:ascii="宋体" w:hAnsi="宋体" w:eastAsia="宋体" w:cs="宋体"/>
          <w:color w:val="auto"/>
          <w:sz w:val="24"/>
          <w:szCs w:val="24"/>
          <w:highlight w:val="none"/>
        </w:rPr>
        <w:t>文件使用的语言文字为中文。专用术语使用外文的，应附有中文注释。</w:t>
      </w:r>
      <w:r>
        <w:rPr>
          <w:rFonts w:hint="eastAsia" w:ascii="宋体" w:hAnsi="宋体" w:eastAsia="宋体" w:cs="宋体"/>
          <w:color w:val="auto"/>
          <w:sz w:val="24"/>
          <w:szCs w:val="24"/>
          <w:highlight w:val="none"/>
          <w:lang w:val="en-US" w:eastAsia="zh-CN"/>
        </w:rPr>
        <w:t>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670762F">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56" w:name="_Toc140132763"/>
      <w:bookmarkStart w:id="157" w:name="_Toc161600295"/>
      <w:r>
        <w:rPr>
          <w:rFonts w:hint="eastAsia" w:ascii="宋体" w:hAnsi="宋体" w:eastAsia="宋体" w:cs="宋体"/>
          <w:b/>
          <w:bCs/>
          <w:color w:val="auto"/>
          <w:kern w:val="2"/>
          <w:sz w:val="24"/>
          <w:szCs w:val="24"/>
          <w:highlight w:val="none"/>
          <w:lang w:val="en-US" w:eastAsia="zh-CN" w:bidi="ar-SA"/>
        </w:rPr>
        <w:t>8.计量单位</w:t>
      </w:r>
      <w:bookmarkEnd w:id="156"/>
      <w:bookmarkEnd w:id="157"/>
    </w:p>
    <w:p w14:paraId="0DC441D4">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8.1所有计量均采用中华人民共和国法定计量单位。</w:t>
      </w:r>
    </w:p>
    <w:p w14:paraId="37E10A03">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58" w:name="_Toc140132764"/>
      <w:bookmarkStart w:id="159" w:name="_Toc161600296"/>
      <w:r>
        <w:rPr>
          <w:rFonts w:hint="eastAsia" w:ascii="宋体" w:hAnsi="宋体" w:eastAsia="宋体" w:cs="宋体"/>
          <w:b/>
          <w:bCs/>
          <w:color w:val="auto"/>
          <w:kern w:val="2"/>
          <w:sz w:val="24"/>
          <w:szCs w:val="24"/>
          <w:highlight w:val="none"/>
          <w:lang w:val="en-US" w:eastAsia="zh-CN" w:bidi="ar-SA"/>
        </w:rPr>
        <w:t>9.现场考察和答疑会</w:t>
      </w:r>
      <w:bookmarkEnd w:id="158"/>
      <w:bookmarkEnd w:id="159"/>
    </w:p>
    <w:p w14:paraId="70E7733A">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bookmarkStart w:id="160" w:name="_Hlk143529198"/>
      <w:r>
        <w:rPr>
          <w:rFonts w:hint="eastAsia" w:ascii="宋体" w:hAnsi="宋体" w:eastAsia="宋体" w:cs="宋体"/>
          <w:color w:val="auto"/>
          <w:sz w:val="24"/>
          <w:szCs w:val="24"/>
          <w:highlight w:val="none"/>
        </w:rPr>
        <w:t xml:space="preserve">9.1 “供应商须知前附表”规定组织现场考察的，采购代理机构按“供应商须知前附表”规定的时间、地点组织供应商项目现场考察。 </w:t>
      </w:r>
    </w:p>
    <w:p w14:paraId="473C15DA">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供应商现场考察发生的费用自理。</w:t>
      </w:r>
    </w:p>
    <w:p w14:paraId="417B1E0B">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在现场考察中，因供应商自身原因发生的人员伤亡和财产损失，由供应商自行负责。</w:t>
      </w:r>
    </w:p>
    <w:p w14:paraId="2BF7B5CD">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 采购人在现场考察中介绍的项目场地和相关的周边环境情况，仅供供应商在编制响应文件时参考，采购人和采购代理机构不对供应商据此作出的判断和决策负责。</w:t>
      </w:r>
    </w:p>
    <w:p w14:paraId="521951E4">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9.5 “供应商须知前附表”规定召开答疑会的，采购代理机构按“供应商须知前附表”规定的时间和地点召开答疑会，澄清供应商提出的问题。</w:t>
      </w:r>
    </w:p>
    <w:p w14:paraId="7BC8ED9F">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9.6 由于未参加现场考察或未参加答疑会而导致对项目实际情况不了解，影响响应文件编制、</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报价准确性、综合因素响应不全面等问题的，由供应商自行承担不利评审后果。</w:t>
      </w:r>
    </w:p>
    <w:bookmarkEnd w:id="160"/>
    <w:p w14:paraId="020D8BF4">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1" w:name="_Toc161600298"/>
      <w:bookmarkStart w:id="162" w:name="_Toc155185858"/>
      <w:r>
        <w:rPr>
          <w:rFonts w:hint="eastAsia" w:ascii="宋体" w:hAnsi="宋体" w:eastAsia="宋体" w:cs="宋体"/>
          <w:b/>
          <w:bCs/>
          <w:color w:val="auto"/>
          <w:kern w:val="2"/>
          <w:sz w:val="24"/>
          <w:szCs w:val="24"/>
          <w:highlight w:val="none"/>
          <w:lang w:val="en-US" w:eastAsia="zh-CN" w:bidi="ar-SA"/>
        </w:rPr>
        <w:t>10.电子标说明</w:t>
      </w:r>
      <w:bookmarkEnd w:id="161"/>
      <w:bookmarkEnd w:id="162"/>
    </w:p>
    <w:p w14:paraId="111A1565">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10.1 本次采购采用电子交易方式，电子交易平台为兵团政府采购电子交易云平台（网址：https://www.zcygov.cn/）。供应商参与本项目电子交易活动前，</w:t>
      </w:r>
      <w:r>
        <w:rPr>
          <w:rFonts w:hint="eastAsia" w:ascii="宋体" w:hAnsi="宋体" w:eastAsia="宋体" w:cs="宋体"/>
          <w:color w:val="auto"/>
          <w:sz w:val="24"/>
          <w:szCs w:val="24"/>
          <w:highlight w:val="none"/>
        </w:rPr>
        <w:t>应</w:t>
      </w:r>
      <w:r>
        <w:rPr>
          <w:rFonts w:hint="eastAsia" w:ascii="宋体" w:hAnsi="宋体" w:eastAsia="宋体" w:cs="宋体"/>
          <w:color w:val="auto"/>
          <w:sz w:val="24"/>
          <w:szCs w:val="24"/>
          <w:highlight w:val="none"/>
          <w:lang w:val="en-US" w:eastAsia="zh-CN"/>
        </w:rPr>
        <w:t>在</w:t>
      </w:r>
      <w:r>
        <w:rPr>
          <w:rFonts w:hint="eastAsia" w:ascii="宋体" w:hAnsi="宋体" w:eastAsia="宋体" w:cs="宋体"/>
          <w:color w:val="auto"/>
          <w:sz w:val="24"/>
          <w:szCs w:val="24"/>
          <w:highlight w:val="none"/>
        </w:rPr>
        <w:t>政</w:t>
      </w:r>
      <w:r>
        <w:rPr>
          <w:rFonts w:hint="eastAsia" w:ascii="宋体" w:hAnsi="宋体" w:eastAsia="宋体" w:cs="宋体"/>
          <w:color w:val="auto"/>
          <w:sz w:val="24"/>
          <w:szCs w:val="24"/>
          <w:highlight w:val="none"/>
          <w:lang w:val="en-US" w:eastAsia="zh-CN"/>
        </w:rPr>
        <w:t>采</w:t>
      </w:r>
      <w:r>
        <w:rPr>
          <w:rFonts w:hint="eastAsia" w:ascii="宋体" w:hAnsi="宋体" w:eastAsia="宋体" w:cs="宋体"/>
          <w:color w:val="auto"/>
          <w:sz w:val="24"/>
          <w:szCs w:val="24"/>
          <w:highlight w:val="none"/>
          <w:lang w:val="en-US"/>
        </w:rPr>
        <w:t>云</w:t>
      </w:r>
      <w:r>
        <w:rPr>
          <w:rFonts w:hint="eastAsia" w:ascii="宋体" w:hAnsi="宋体" w:eastAsia="宋体" w:cs="宋体"/>
          <w:color w:val="auto"/>
          <w:sz w:val="24"/>
          <w:szCs w:val="24"/>
          <w:highlight w:val="none"/>
        </w:rPr>
        <w:t>平台</w:t>
      </w:r>
      <w:r>
        <w:rPr>
          <w:rFonts w:hint="eastAsia" w:ascii="宋体" w:hAnsi="宋体" w:eastAsia="宋体" w:cs="宋体"/>
          <w:color w:val="auto"/>
          <w:sz w:val="24"/>
          <w:szCs w:val="24"/>
          <w:highlight w:val="none"/>
          <w:lang w:val="en-US" w:eastAsia="zh-CN"/>
        </w:rPr>
        <w:t>上</w:t>
      </w:r>
      <w:r>
        <w:rPr>
          <w:rFonts w:hint="eastAsia" w:ascii="宋体" w:hAnsi="宋体" w:eastAsia="宋体" w:cs="宋体"/>
          <w:color w:val="auto"/>
          <w:sz w:val="24"/>
          <w:szCs w:val="24"/>
          <w:highlight w:val="none"/>
        </w:rPr>
        <w:t>注册</w:t>
      </w:r>
      <w:r>
        <w:rPr>
          <w:rFonts w:hint="eastAsia" w:ascii="宋体" w:hAnsi="宋体" w:eastAsia="宋体" w:cs="宋体"/>
          <w:color w:val="auto"/>
          <w:sz w:val="24"/>
          <w:szCs w:val="24"/>
          <w:highlight w:val="none"/>
          <w:lang w:val="en-US" w:eastAsia="zh-CN"/>
        </w:rPr>
        <w:t>供应商账号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编制电子响应文件前还需申领CA证书并绑定帐号。供应商应充分考虑完成平台注册、申领CA证书等所需的时间。潜在供应商领取文件须提前完成注册、CA证书和电子签章申领和绑定、下载投标客户端。因未办理CA数字证书、CA证书故障、操作不当等原因造成无法</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或</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失败等后果由供应商自行承担。供应商登录兵团政府采购网“供应商注册”—“新疆生产建设兵团政府采购供应商入驻登记”—“立即登记”进行自助注册绑定。</w:t>
      </w:r>
    </w:p>
    <w:p w14:paraId="18ECC266">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 供应商将兵团政府采购电子交易云平台电子交易客户端下载、安装完成后，可通过账号密码或CA登录客户端进行响应文件制作。在使用政采云投标客户端时，建议使用WIN7及以上操作系统。供应商登录兵团政府采购网“下载专区”—“电子招投标客户端下载”下载相关客户端，如有问题可拨打政采云客户服务热线95763进行咨询。</w:t>
      </w:r>
    </w:p>
    <w:p w14:paraId="1E16A3EF">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10.3 加密的电子响应文件应在响应文件递交截止时间前通过政采云平台上传完成。逾期上传或者未上传指定地点的响应文件，不予受理。</w:t>
      </w:r>
    </w:p>
    <w:p w14:paraId="53B28965">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10.4 供应商在</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前须提前配置好电脑及浏览器，</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时请使用制作加密电子响应文件的CA锁进行解密及报价确认。本项目响应文件解密时间详“供应商须知前附表”，如因自身原因导致无法正常解密，后果由供应商自行承担。</w:t>
      </w:r>
    </w:p>
    <w:p w14:paraId="469768F0">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10.5 如遇“兵团政府采购电子交易云平台（网址：https://www.zcygov.cn/）”电子交易规则调整，以最新要求为准。</w:t>
      </w:r>
    </w:p>
    <w:p w14:paraId="08AA0ABB">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10.6 电子交易系统咨询：供应商应当充分考虑到电子响应可能会发生的各种问题和风险，特别是响应文件签署、提交等问题，可按照“第一章 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公告”的联系方式咨询相关人员。</w:t>
      </w:r>
    </w:p>
    <w:p w14:paraId="39CA1037">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10.7 由于本项目采用电子</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方式，潜在供应商的名单将在递交响应文件截止时间后才会解密。因此，采购人或采购代理机构无法通过传统的传真或邮件方式，将竞争性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文件的澄清或修改内容逐一通知到每位已获取竞争性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文件的潜在供应商。为确保信息的及时性和准确性，澄清或修改的内容将仅在政采云平台以更正公告的形式发布。潜在供应商需密切关注该网站，及时查看并下载相关更正公告。若因潜在供应商未能及时查看或下载相关更正公告，而导致的一切后果，将由潜在供应商自行承担。</w:t>
      </w:r>
    </w:p>
    <w:p w14:paraId="17FBA29F">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3" w:name="_Toc163493612"/>
      <w:bookmarkStart w:id="164" w:name="_Toc1455"/>
      <w:bookmarkStart w:id="165" w:name="_Toc109900375"/>
      <w:bookmarkStart w:id="166" w:name="_Toc46771643"/>
      <w:bookmarkStart w:id="167" w:name="_Toc109899956"/>
      <w:bookmarkStart w:id="168" w:name="_Toc109897438"/>
      <w:bookmarkStart w:id="169" w:name="_Toc109899537"/>
      <w:bookmarkStart w:id="170" w:name="_Toc470172668"/>
      <w:r>
        <w:rPr>
          <w:rFonts w:hint="eastAsia" w:ascii="宋体" w:hAnsi="宋体" w:eastAsia="宋体" w:cs="宋体"/>
          <w:b/>
          <w:bCs/>
          <w:color w:val="auto"/>
          <w:kern w:val="2"/>
          <w:sz w:val="24"/>
          <w:szCs w:val="24"/>
          <w:highlight w:val="none"/>
          <w:lang w:val="en-US" w:eastAsia="zh-CN" w:bidi="ar-SA"/>
        </w:rPr>
        <w:t>（二）谈判文件</w:t>
      </w:r>
      <w:bookmarkEnd w:id="163"/>
      <w:bookmarkEnd w:id="164"/>
      <w:bookmarkEnd w:id="165"/>
      <w:bookmarkEnd w:id="166"/>
      <w:bookmarkEnd w:id="167"/>
      <w:bookmarkEnd w:id="168"/>
      <w:bookmarkEnd w:id="169"/>
      <w:bookmarkEnd w:id="170"/>
    </w:p>
    <w:p w14:paraId="02C74752">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71" w:name="_Toc109897439"/>
      <w:bookmarkStart w:id="172" w:name="_Toc470172669"/>
      <w:bookmarkStart w:id="173" w:name="_Toc109900376"/>
      <w:bookmarkStart w:id="174" w:name="_Toc52962731"/>
      <w:bookmarkStart w:id="175" w:name="_Toc46772245"/>
      <w:bookmarkStart w:id="176" w:name="_Toc109899957"/>
      <w:bookmarkStart w:id="177" w:name="_Toc48846113"/>
      <w:bookmarkStart w:id="178" w:name="_Toc4547"/>
      <w:bookmarkStart w:id="179" w:name="_Toc51674215"/>
      <w:bookmarkStart w:id="180" w:name="_Toc48688793"/>
      <w:bookmarkStart w:id="181" w:name="_Toc109899538"/>
      <w:bookmarkStart w:id="182" w:name="_Toc46771644"/>
      <w:bookmarkStart w:id="183" w:name="_Toc52960557"/>
      <w:r>
        <w:rPr>
          <w:rFonts w:hint="eastAsia" w:ascii="宋体" w:hAnsi="宋体" w:eastAsia="宋体" w:cs="宋体"/>
          <w:b/>
          <w:bCs/>
          <w:color w:val="auto"/>
          <w:kern w:val="2"/>
          <w:sz w:val="24"/>
          <w:szCs w:val="24"/>
          <w:highlight w:val="none"/>
          <w:lang w:val="en-US" w:eastAsia="zh-CN" w:bidi="ar-SA"/>
        </w:rPr>
        <w:t>11.谈判文件的构成</w:t>
      </w:r>
      <w:bookmarkEnd w:id="171"/>
      <w:bookmarkEnd w:id="172"/>
      <w:bookmarkEnd w:id="173"/>
      <w:bookmarkEnd w:id="174"/>
      <w:bookmarkEnd w:id="175"/>
      <w:bookmarkEnd w:id="176"/>
      <w:bookmarkEnd w:id="177"/>
      <w:bookmarkEnd w:id="178"/>
      <w:bookmarkEnd w:id="179"/>
      <w:bookmarkEnd w:id="180"/>
      <w:bookmarkEnd w:id="181"/>
      <w:bookmarkEnd w:id="182"/>
      <w:bookmarkEnd w:id="183"/>
    </w:p>
    <w:p w14:paraId="54909DE4">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lang w:eastAsia="zh-CN"/>
        </w:rPr>
      </w:pPr>
      <w:bookmarkStart w:id="184" w:name="_Toc52960558"/>
      <w:bookmarkStart w:id="185" w:name="_Toc109899539"/>
      <w:bookmarkStart w:id="186" w:name="_Toc48688794"/>
      <w:bookmarkStart w:id="187" w:name="_Toc109900377"/>
      <w:bookmarkStart w:id="188" w:name="_Toc109899958"/>
      <w:bookmarkStart w:id="189" w:name="_Toc46771645"/>
      <w:bookmarkStart w:id="190" w:name="_Toc48846114"/>
      <w:bookmarkStart w:id="191" w:name="_Toc52962732"/>
      <w:bookmarkStart w:id="192" w:name="_Toc109897440"/>
      <w:bookmarkStart w:id="193" w:name="_Toc478415174"/>
      <w:bookmarkStart w:id="194" w:name="_Toc51674216"/>
      <w:bookmarkStart w:id="195" w:name="_Toc46772246"/>
      <w:r>
        <w:rPr>
          <w:rFonts w:hint="eastAsia" w:ascii="宋体" w:hAnsi="宋体" w:eastAsia="宋体" w:cs="宋体"/>
          <w:color w:val="auto"/>
          <w:sz w:val="24"/>
          <w:szCs w:val="24"/>
          <w:highlight w:val="none"/>
        </w:rPr>
        <w:t>第一章 竞争性</w:t>
      </w:r>
      <w:r>
        <w:rPr>
          <w:rFonts w:hint="eastAsia" w:ascii="宋体" w:hAnsi="宋体" w:eastAsia="宋体" w:cs="宋体"/>
          <w:color w:val="auto"/>
          <w:sz w:val="24"/>
          <w:szCs w:val="24"/>
          <w:highlight w:val="none"/>
          <w:lang w:val="en-US" w:eastAsia="zh-CN"/>
        </w:rPr>
        <w:t>谈判公告</w:t>
      </w:r>
    </w:p>
    <w:p w14:paraId="7147E8B4">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供应商须知</w:t>
      </w:r>
    </w:p>
    <w:p w14:paraId="61D89D76">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第三章 </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采购需求</w:t>
      </w:r>
    </w:p>
    <w:p w14:paraId="6D7BF4EF">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评审</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47AC85E7">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合同草案</w:t>
      </w:r>
    </w:p>
    <w:p w14:paraId="5706B4C2">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第六章 响应文件的格式</w:t>
      </w:r>
    </w:p>
    <w:p w14:paraId="2FA3C6F3">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12.谈判文件的澄清或修改</w:t>
      </w:r>
      <w:bookmarkEnd w:id="184"/>
      <w:bookmarkEnd w:id="185"/>
      <w:bookmarkEnd w:id="186"/>
      <w:bookmarkEnd w:id="187"/>
      <w:bookmarkEnd w:id="188"/>
      <w:bookmarkEnd w:id="189"/>
      <w:bookmarkEnd w:id="190"/>
      <w:bookmarkEnd w:id="191"/>
      <w:bookmarkEnd w:id="192"/>
      <w:bookmarkEnd w:id="193"/>
      <w:bookmarkEnd w:id="194"/>
      <w:bookmarkEnd w:id="195"/>
    </w:p>
    <w:p w14:paraId="2E6BAA48">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1供应商</w:t>
      </w:r>
      <w:r>
        <w:rPr>
          <w:rFonts w:eastAsia="宋体" w:cs="仿宋_GB2312"/>
          <w:color w:val="auto"/>
          <w:sz w:val="24"/>
          <w:szCs w:val="24"/>
          <w:highlight w:val="none"/>
        </w:rPr>
        <w:t>如对</w:t>
      </w:r>
      <w:r>
        <w:rPr>
          <w:rFonts w:hint="eastAsia" w:eastAsia="宋体" w:cs="仿宋_GB2312"/>
          <w:color w:val="auto"/>
          <w:sz w:val="24"/>
          <w:szCs w:val="24"/>
          <w:highlight w:val="none"/>
        </w:rPr>
        <w:t>竞争性</w:t>
      </w:r>
      <w:r>
        <w:rPr>
          <w:rFonts w:hint="eastAsia" w:cs="仿宋_GB2312"/>
          <w:color w:val="auto"/>
          <w:sz w:val="24"/>
          <w:szCs w:val="24"/>
          <w:highlight w:val="none"/>
          <w:lang w:val="en-US" w:eastAsia="zh-CN"/>
        </w:rPr>
        <w:t>谈判</w:t>
      </w:r>
      <w:r>
        <w:rPr>
          <w:rFonts w:hint="eastAsia" w:eastAsia="宋体" w:cs="仿宋_GB2312"/>
          <w:color w:val="auto"/>
          <w:sz w:val="24"/>
          <w:szCs w:val="24"/>
          <w:highlight w:val="none"/>
        </w:rPr>
        <w:t>文件</w:t>
      </w:r>
      <w:r>
        <w:rPr>
          <w:rFonts w:eastAsia="宋体" w:cs="仿宋_GB2312"/>
          <w:color w:val="auto"/>
          <w:sz w:val="24"/>
          <w:szCs w:val="24"/>
          <w:highlight w:val="none"/>
        </w:rPr>
        <w:t>内容有疑问，须在</w:t>
      </w:r>
      <w:r>
        <w:rPr>
          <w:rFonts w:hint="eastAsia" w:cs="仿宋_GB2312"/>
          <w:color w:val="auto"/>
          <w:sz w:val="24"/>
          <w:szCs w:val="24"/>
          <w:highlight w:val="none"/>
          <w:lang w:eastAsia="zh-CN"/>
        </w:rPr>
        <w:t>“</w:t>
      </w:r>
      <w:r>
        <w:rPr>
          <w:rFonts w:hint="eastAsia" w:eastAsia="宋体" w:cs="仿宋_GB2312"/>
          <w:color w:val="auto"/>
          <w:sz w:val="24"/>
          <w:szCs w:val="24"/>
          <w:highlight w:val="none"/>
        </w:rPr>
        <w:t>供应商</w:t>
      </w:r>
      <w:r>
        <w:rPr>
          <w:rFonts w:eastAsia="宋体" w:cs="仿宋_GB2312"/>
          <w:color w:val="auto"/>
          <w:sz w:val="24"/>
          <w:szCs w:val="24"/>
          <w:highlight w:val="none"/>
        </w:rPr>
        <w:t>须知前附表</w:t>
      </w:r>
      <w:r>
        <w:rPr>
          <w:rFonts w:hint="eastAsia" w:cs="仿宋_GB2312"/>
          <w:color w:val="auto"/>
          <w:sz w:val="24"/>
          <w:szCs w:val="24"/>
          <w:highlight w:val="none"/>
          <w:lang w:eastAsia="zh-CN"/>
        </w:rPr>
        <w:t>”</w:t>
      </w:r>
      <w:r>
        <w:rPr>
          <w:rFonts w:eastAsia="宋体" w:cs="仿宋_GB2312"/>
          <w:color w:val="auto"/>
          <w:sz w:val="24"/>
          <w:szCs w:val="24"/>
          <w:highlight w:val="none"/>
        </w:rPr>
        <w:t>规定的</w:t>
      </w:r>
      <w:r>
        <w:rPr>
          <w:rFonts w:hint="eastAsia" w:eastAsia="宋体" w:cs="仿宋_GB2312"/>
          <w:color w:val="auto"/>
          <w:sz w:val="24"/>
          <w:szCs w:val="24"/>
          <w:highlight w:val="none"/>
        </w:rPr>
        <w:t>询问</w:t>
      </w:r>
      <w:r>
        <w:rPr>
          <w:rFonts w:hint="eastAsia" w:cs="仿宋_GB2312"/>
          <w:color w:val="auto"/>
          <w:sz w:val="24"/>
          <w:szCs w:val="24"/>
          <w:highlight w:val="none"/>
          <w:lang w:val="en-US" w:eastAsia="zh-CN"/>
        </w:rPr>
        <w:t>方式和</w:t>
      </w:r>
      <w:r>
        <w:rPr>
          <w:rFonts w:eastAsia="宋体" w:cs="仿宋_GB2312"/>
          <w:color w:val="auto"/>
          <w:sz w:val="24"/>
          <w:szCs w:val="24"/>
          <w:highlight w:val="none"/>
        </w:rPr>
        <w:t>时间提交给</w:t>
      </w:r>
      <w:r>
        <w:rPr>
          <w:rFonts w:hint="eastAsia" w:cs="仿宋_GB2312"/>
          <w:color w:val="auto"/>
          <w:sz w:val="24"/>
          <w:szCs w:val="24"/>
          <w:highlight w:val="none"/>
          <w:lang w:val="en-US" w:eastAsia="zh-CN"/>
        </w:rPr>
        <w:t>采购人或</w:t>
      </w:r>
      <w:r>
        <w:rPr>
          <w:rFonts w:eastAsia="宋体" w:cs="仿宋_GB2312"/>
          <w:color w:val="auto"/>
          <w:sz w:val="24"/>
          <w:szCs w:val="24"/>
          <w:highlight w:val="none"/>
        </w:rPr>
        <w:t>采购代理机构。</w:t>
      </w:r>
    </w:p>
    <w:p w14:paraId="6D964354">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2采购人可主动地或在</w:t>
      </w:r>
      <w:r>
        <w:rPr>
          <w:rFonts w:hint="eastAsia" w:eastAsia="宋体" w:cs="仿宋_GB2312"/>
          <w:color w:val="auto"/>
          <w:sz w:val="24"/>
          <w:szCs w:val="24"/>
          <w:highlight w:val="none"/>
          <w:lang w:val="en-US" w:eastAsia="zh-CN"/>
        </w:rPr>
        <w:t>答复</w:t>
      </w:r>
      <w:r>
        <w:rPr>
          <w:rFonts w:hint="eastAsia" w:eastAsia="宋体" w:cs="仿宋_GB2312"/>
          <w:color w:val="auto"/>
          <w:sz w:val="24"/>
          <w:szCs w:val="24"/>
          <w:highlight w:val="none"/>
        </w:rPr>
        <w:t>供应商提出的</w:t>
      </w:r>
      <w:r>
        <w:rPr>
          <w:rFonts w:hint="eastAsia" w:eastAsia="宋体" w:cs="仿宋_GB2312"/>
          <w:color w:val="auto"/>
          <w:sz w:val="24"/>
          <w:szCs w:val="24"/>
          <w:highlight w:val="none"/>
          <w:lang w:val="en-US" w:eastAsia="zh-CN"/>
        </w:rPr>
        <w:t>询问</w:t>
      </w:r>
      <w:r>
        <w:rPr>
          <w:rFonts w:hint="eastAsia" w:eastAsia="宋体" w:cs="仿宋_GB2312"/>
          <w:color w:val="auto"/>
          <w:sz w:val="24"/>
          <w:szCs w:val="24"/>
          <w:highlight w:val="none"/>
        </w:rPr>
        <w:t>时对竞争性</w:t>
      </w:r>
      <w:r>
        <w:rPr>
          <w:rFonts w:hint="eastAsia" w:cs="仿宋_GB2312"/>
          <w:color w:val="auto"/>
          <w:sz w:val="24"/>
          <w:szCs w:val="24"/>
          <w:highlight w:val="none"/>
          <w:lang w:val="en-US" w:eastAsia="zh-CN"/>
        </w:rPr>
        <w:t>谈判</w:t>
      </w:r>
      <w:r>
        <w:rPr>
          <w:rFonts w:hint="eastAsia" w:eastAsia="宋体" w:cs="仿宋_GB2312"/>
          <w:color w:val="auto"/>
          <w:sz w:val="24"/>
          <w:szCs w:val="24"/>
          <w:highlight w:val="none"/>
        </w:rPr>
        <w:t>文件进行澄清与修改。</w:t>
      </w:r>
      <w:r>
        <w:rPr>
          <w:rFonts w:eastAsia="宋体" w:cs="仿宋_GB2312"/>
          <w:color w:val="auto"/>
          <w:sz w:val="24"/>
          <w:szCs w:val="24"/>
          <w:highlight w:val="none"/>
        </w:rPr>
        <w:t>采购代理机构将</w:t>
      </w:r>
      <w:r>
        <w:rPr>
          <w:rFonts w:hint="eastAsia" w:eastAsia="宋体" w:cs="仿宋_GB2312"/>
          <w:color w:val="auto"/>
          <w:sz w:val="24"/>
          <w:szCs w:val="24"/>
          <w:highlight w:val="none"/>
        </w:rPr>
        <w:t>在</w:t>
      </w:r>
      <w:r>
        <w:rPr>
          <w:rFonts w:hint="eastAsia" w:cs="仿宋_GB2312"/>
          <w:color w:val="auto"/>
          <w:sz w:val="24"/>
          <w:szCs w:val="24"/>
          <w:highlight w:val="none"/>
          <w:lang w:val="en-US" w:eastAsia="zh-CN"/>
        </w:rPr>
        <w:t>兵团政府采购云平台</w:t>
      </w:r>
      <w:r>
        <w:rPr>
          <w:rFonts w:hint="eastAsia" w:eastAsia="宋体" w:cs="仿宋_GB2312"/>
          <w:color w:val="auto"/>
          <w:sz w:val="24"/>
          <w:szCs w:val="24"/>
          <w:highlight w:val="none"/>
        </w:rPr>
        <w:t>以发布更正公告的方式澄清或修改竞争性</w:t>
      </w:r>
      <w:r>
        <w:rPr>
          <w:rFonts w:hint="eastAsia" w:cs="仿宋_GB2312"/>
          <w:color w:val="auto"/>
          <w:sz w:val="24"/>
          <w:szCs w:val="24"/>
          <w:highlight w:val="none"/>
          <w:lang w:val="en-US" w:eastAsia="zh-CN"/>
        </w:rPr>
        <w:t>谈判</w:t>
      </w:r>
      <w:r>
        <w:rPr>
          <w:rFonts w:hint="eastAsia" w:eastAsia="宋体" w:cs="仿宋_GB2312"/>
          <w:color w:val="auto"/>
          <w:sz w:val="24"/>
          <w:szCs w:val="24"/>
          <w:highlight w:val="none"/>
        </w:rPr>
        <w:t>文件，更正公告的</w:t>
      </w:r>
      <w:r>
        <w:rPr>
          <w:rFonts w:eastAsia="宋体" w:cs="仿宋_GB2312"/>
          <w:color w:val="auto"/>
          <w:sz w:val="24"/>
          <w:szCs w:val="24"/>
          <w:highlight w:val="none"/>
        </w:rPr>
        <w:t>内容</w:t>
      </w:r>
      <w:r>
        <w:rPr>
          <w:rFonts w:hint="eastAsia" w:eastAsia="宋体" w:cs="仿宋_GB2312"/>
          <w:color w:val="auto"/>
          <w:sz w:val="24"/>
          <w:szCs w:val="24"/>
          <w:highlight w:val="none"/>
        </w:rPr>
        <w:t>作</w:t>
      </w:r>
      <w:r>
        <w:rPr>
          <w:rFonts w:eastAsia="宋体" w:cs="仿宋_GB2312"/>
          <w:color w:val="auto"/>
          <w:sz w:val="24"/>
          <w:szCs w:val="24"/>
          <w:highlight w:val="none"/>
        </w:rPr>
        <w:t>为</w:t>
      </w:r>
      <w:r>
        <w:rPr>
          <w:rFonts w:hint="eastAsia" w:eastAsia="宋体" w:cs="仿宋_GB2312"/>
          <w:color w:val="auto"/>
          <w:sz w:val="24"/>
          <w:szCs w:val="24"/>
          <w:highlight w:val="none"/>
        </w:rPr>
        <w:t>竞争性</w:t>
      </w:r>
      <w:r>
        <w:rPr>
          <w:rFonts w:hint="eastAsia" w:cs="仿宋_GB2312"/>
          <w:color w:val="auto"/>
          <w:sz w:val="24"/>
          <w:szCs w:val="24"/>
          <w:highlight w:val="none"/>
          <w:lang w:val="en-US" w:eastAsia="zh-CN"/>
        </w:rPr>
        <w:t>谈判</w:t>
      </w:r>
      <w:r>
        <w:rPr>
          <w:rFonts w:hint="eastAsia" w:eastAsia="宋体" w:cs="仿宋_GB2312"/>
          <w:color w:val="auto"/>
          <w:sz w:val="24"/>
          <w:szCs w:val="24"/>
          <w:highlight w:val="none"/>
        </w:rPr>
        <w:t>文件的</w:t>
      </w:r>
      <w:r>
        <w:rPr>
          <w:rFonts w:eastAsia="宋体" w:cs="仿宋_GB2312"/>
          <w:color w:val="auto"/>
          <w:sz w:val="24"/>
          <w:szCs w:val="24"/>
          <w:highlight w:val="none"/>
        </w:rPr>
        <w:t>组成部分，对</w:t>
      </w:r>
      <w:r>
        <w:rPr>
          <w:rFonts w:hint="eastAsia" w:eastAsia="宋体" w:cs="仿宋_GB2312"/>
          <w:color w:val="auto"/>
          <w:sz w:val="24"/>
          <w:szCs w:val="24"/>
          <w:highlight w:val="none"/>
        </w:rPr>
        <w:t>供应商</w:t>
      </w:r>
      <w:r>
        <w:rPr>
          <w:rFonts w:eastAsia="宋体" w:cs="仿宋_GB2312"/>
          <w:color w:val="auto"/>
          <w:sz w:val="24"/>
          <w:szCs w:val="24"/>
          <w:highlight w:val="none"/>
        </w:rPr>
        <w:t>起约束作用</w:t>
      </w:r>
      <w:r>
        <w:rPr>
          <w:rFonts w:hint="eastAsia" w:eastAsia="宋体" w:cs="仿宋_GB2312"/>
          <w:color w:val="auto"/>
          <w:sz w:val="24"/>
          <w:szCs w:val="24"/>
          <w:highlight w:val="none"/>
        </w:rPr>
        <w:t>。供应商应主动上网查询。采购代理机构不承担供应商未及时关注相关信息引发的相关责任。</w:t>
      </w:r>
    </w:p>
    <w:p w14:paraId="3418D08E">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cs="仿宋_GB2312"/>
          <w:color w:val="auto"/>
          <w:sz w:val="24"/>
          <w:szCs w:val="24"/>
          <w:highlight w:val="none"/>
          <w:lang w:val="en-US" w:eastAsia="zh-CN"/>
        </w:rPr>
      </w:pPr>
      <w:r>
        <w:rPr>
          <w:rFonts w:hint="eastAsia" w:cs="仿宋_GB2312"/>
          <w:color w:val="auto"/>
          <w:sz w:val="24"/>
          <w:szCs w:val="24"/>
          <w:highlight w:val="none"/>
          <w:lang w:val="en-US" w:eastAsia="zh-CN"/>
        </w:rPr>
        <w:t xml:space="preserve">12.3 </w:t>
      </w:r>
      <w:r>
        <w:rPr>
          <w:rFonts w:hint="eastAsia" w:cs="仿宋_GB2312"/>
          <w:color w:val="auto"/>
          <w:sz w:val="24"/>
          <w:szCs w:val="24"/>
          <w:highlight w:val="none"/>
          <w:lang w:val="zh-CN" w:eastAsia="zh-CN"/>
        </w:rPr>
        <w:t>对</w:t>
      </w:r>
      <w:r>
        <w:rPr>
          <w:rFonts w:hint="eastAsia" w:cs="仿宋_GB2312"/>
          <w:color w:val="auto"/>
          <w:sz w:val="24"/>
          <w:szCs w:val="24"/>
          <w:highlight w:val="none"/>
          <w:lang w:val="en-US" w:eastAsia="zh-CN"/>
        </w:rPr>
        <w:t>竞争性谈判</w:t>
      </w:r>
      <w:r>
        <w:rPr>
          <w:rFonts w:hint="eastAsia" w:cs="仿宋_GB2312"/>
          <w:color w:val="auto"/>
          <w:sz w:val="24"/>
          <w:szCs w:val="24"/>
          <w:highlight w:val="none"/>
          <w:lang w:val="zh-CN" w:eastAsia="zh-CN"/>
        </w:rPr>
        <w:t>文件澄清或者修改的内容可能影响响应文件编制的，采购人、采购代理机构或者</w:t>
      </w:r>
      <w:r>
        <w:rPr>
          <w:rFonts w:hint="eastAsia" w:cs="仿宋_GB2312"/>
          <w:color w:val="auto"/>
          <w:sz w:val="24"/>
          <w:szCs w:val="24"/>
          <w:highlight w:val="none"/>
          <w:lang w:val="en-US" w:eastAsia="zh-CN"/>
        </w:rPr>
        <w:t>谈判</w:t>
      </w:r>
      <w:r>
        <w:rPr>
          <w:rFonts w:hint="eastAsia" w:cs="仿宋_GB2312"/>
          <w:color w:val="auto"/>
          <w:sz w:val="24"/>
          <w:szCs w:val="24"/>
          <w:highlight w:val="none"/>
          <w:lang w:val="zh-CN" w:eastAsia="zh-CN"/>
        </w:rPr>
        <w:t>小组应当在提交首次响应文件截止之日</w:t>
      </w:r>
      <w:r>
        <w:rPr>
          <w:rFonts w:hint="eastAsia" w:cs="仿宋_GB2312"/>
          <w:color w:val="auto"/>
          <w:sz w:val="24"/>
          <w:szCs w:val="24"/>
          <w:highlight w:val="none"/>
          <w:lang w:val="en-US" w:eastAsia="zh-CN"/>
        </w:rPr>
        <w:t>3个工作</w:t>
      </w:r>
      <w:r>
        <w:rPr>
          <w:rFonts w:hint="eastAsia" w:cs="仿宋_GB2312"/>
          <w:color w:val="auto"/>
          <w:sz w:val="24"/>
          <w:szCs w:val="24"/>
          <w:highlight w:val="none"/>
          <w:lang w:val="zh-CN" w:eastAsia="zh-CN"/>
        </w:rPr>
        <w:t>日前，以书面形式通知所有接收</w:t>
      </w:r>
      <w:r>
        <w:rPr>
          <w:rFonts w:hint="eastAsia" w:cs="仿宋_GB2312"/>
          <w:color w:val="auto"/>
          <w:sz w:val="24"/>
          <w:szCs w:val="24"/>
          <w:highlight w:val="none"/>
          <w:lang w:val="en-US" w:eastAsia="zh-CN"/>
        </w:rPr>
        <w:t>竞争性谈判</w:t>
      </w:r>
      <w:r>
        <w:rPr>
          <w:rFonts w:hint="eastAsia" w:cs="仿宋_GB2312"/>
          <w:color w:val="auto"/>
          <w:sz w:val="24"/>
          <w:szCs w:val="24"/>
          <w:highlight w:val="none"/>
          <w:lang w:val="zh-CN" w:eastAsia="zh-CN"/>
        </w:rPr>
        <w:t>文件的供应商，不足</w:t>
      </w:r>
      <w:r>
        <w:rPr>
          <w:rFonts w:hint="eastAsia" w:cs="仿宋_GB2312"/>
          <w:color w:val="auto"/>
          <w:sz w:val="24"/>
          <w:szCs w:val="24"/>
          <w:highlight w:val="none"/>
          <w:lang w:val="en-US" w:eastAsia="zh-CN"/>
        </w:rPr>
        <w:t>3个工作</w:t>
      </w:r>
      <w:r>
        <w:rPr>
          <w:rFonts w:hint="eastAsia" w:cs="仿宋_GB2312"/>
          <w:color w:val="auto"/>
          <w:sz w:val="24"/>
          <w:szCs w:val="24"/>
          <w:highlight w:val="none"/>
          <w:lang w:val="zh-CN" w:eastAsia="zh-CN"/>
        </w:rPr>
        <w:t>日的，应当顺延提交首次响应文件</w:t>
      </w:r>
      <w:r>
        <w:rPr>
          <w:rFonts w:hint="eastAsia" w:cs="仿宋_GB2312"/>
          <w:color w:val="auto"/>
          <w:sz w:val="24"/>
          <w:szCs w:val="24"/>
          <w:highlight w:val="none"/>
          <w:lang w:val="en-US" w:eastAsia="zh-CN"/>
        </w:rPr>
        <w:t>的</w:t>
      </w:r>
      <w:r>
        <w:rPr>
          <w:rFonts w:hint="eastAsia" w:cs="仿宋_GB2312"/>
          <w:color w:val="auto"/>
          <w:sz w:val="24"/>
          <w:szCs w:val="24"/>
          <w:highlight w:val="none"/>
          <w:lang w:val="zh-CN" w:eastAsia="zh-CN"/>
        </w:rPr>
        <w:t>截止时间</w:t>
      </w:r>
      <w:r>
        <w:rPr>
          <w:rFonts w:hint="eastAsia" w:cs="仿宋_GB2312"/>
          <w:color w:val="auto"/>
          <w:sz w:val="24"/>
          <w:szCs w:val="24"/>
          <w:highlight w:val="none"/>
          <w:lang w:val="en-US" w:eastAsia="zh-CN"/>
        </w:rPr>
        <w:t>。</w:t>
      </w:r>
    </w:p>
    <w:p w14:paraId="593F433F">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hint="eastAsia" w:eastAsia="宋体" w:cs="仿宋_GB2312"/>
          <w:color w:val="auto"/>
          <w:sz w:val="24"/>
          <w:szCs w:val="24"/>
          <w:highlight w:val="none"/>
        </w:rPr>
        <w:t>.</w:t>
      </w:r>
      <w:r>
        <w:rPr>
          <w:rFonts w:hint="eastAsia" w:cs="仿宋_GB2312"/>
          <w:color w:val="auto"/>
          <w:sz w:val="24"/>
          <w:szCs w:val="24"/>
          <w:highlight w:val="none"/>
          <w:lang w:val="en-US" w:eastAsia="zh-CN"/>
        </w:rPr>
        <w:t>4</w:t>
      </w:r>
      <w:r>
        <w:rPr>
          <w:rFonts w:hint="eastAsia" w:eastAsia="宋体" w:cs="仿宋_GB2312"/>
          <w:color w:val="auto"/>
          <w:sz w:val="24"/>
          <w:szCs w:val="24"/>
          <w:highlight w:val="none"/>
        </w:rPr>
        <w:t>任何人或任何组织向</w:t>
      </w:r>
      <w:r>
        <w:rPr>
          <w:rFonts w:hint="eastAsia" w:cs="仿宋_GB2312"/>
          <w:color w:val="auto"/>
          <w:sz w:val="24"/>
          <w:szCs w:val="24"/>
          <w:highlight w:val="none"/>
          <w:lang w:val="en-US" w:eastAsia="zh-CN"/>
        </w:rPr>
        <w:t>供应商</w:t>
      </w:r>
      <w:r>
        <w:rPr>
          <w:rFonts w:hint="eastAsia" w:eastAsia="宋体" w:cs="仿宋_GB2312"/>
          <w:color w:val="auto"/>
          <w:sz w:val="24"/>
          <w:szCs w:val="24"/>
          <w:highlight w:val="none"/>
        </w:rPr>
        <w:t>提供的任何书面或口头资料，未经采购代理机构在网上发布或书面通知，均作无效处理，不得作为竞争性</w:t>
      </w:r>
      <w:r>
        <w:rPr>
          <w:rFonts w:hint="eastAsia" w:cs="仿宋_GB2312"/>
          <w:color w:val="auto"/>
          <w:sz w:val="24"/>
          <w:szCs w:val="24"/>
          <w:highlight w:val="none"/>
          <w:lang w:val="en-US" w:eastAsia="zh-CN"/>
        </w:rPr>
        <w:t>谈判</w:t>
      </w:r>
      <w:r>
        <w:rPr>
          <w:rFonts w:hint="eastAsia" w:eastAsia="宋体" w:cs="仿宋_GB2312"/>
          <w:color w:val="auto"/>
          <w:sz w:val="24"/>
          <w:szCs w:val="24"/>
          <w:highlight w:val="none"/>
        </w:rPr>
        <w:t>文件的组成部分。采购代理机构对</w:t>
      </w:r>
      <w:r>
        <w:rPr>
          <w:rFonts w:hint="eastAsia" w:cs="仿宋_GB2312"/>
          <w:color w:val="auto"/>
          <w:sz w:val="24"/>
          <w:szCs w:val="24"/>
          <w:highlight w:val="none"/>
          <w:lang w:val="en-US" w:eastAsia="zh-CN"/>
        </w:rPr>
        <w:t>供应商</w:t>
      </w:r>
      <w:r>
        <w:rPr>
          <w:rFonts w:hint="eastAsia" w:eastAsia="宋体" w:cs="仿宋_GB2312"/>
          <w:color w:val="auto"/>
          <w:sz w:val="24"/>
          <w:szCs w:val="24"/>
          <w:highlight w:val="none"/>
        </w:rPr>
        <w:t>由此而做出的推论、理解和结论概不负责。</w:t>
      </w:r>
    </w:p>
    <w:p w14:paraId="715B8664">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12.5</w:t>
      </w:r>
      <w:r>
        <w:rPr>
          <w:rFonts w:eastAsia="宋体" w:cs="仿宋_GB2312"/>
          <w:color w:val="auto"/>
          <w:sz w:val="24"/>
          <w:szCs w:val="24"/>
          <w:highlight w:val="none"/>
        </w:rPr>
        <w:t>对于没有提出</w:t>
      </w:r>
      <w:r>
        <w:rPr>
          <w:rFonts w:hint="eastAsia" w:eastAsia="宋体" w:cs="仿宋_GB2312"/>
          <w:color w:val="auto"/>
          <w:sz w:val="24"/>
          <w:szCs w:val="24"/>
          <w:highlight w:val="none"/>
        </w:rPr>
        <w:t>疑问</w:t>
      </w:r>
      <w:r>
        <w:rPr>
          <w:rFonts w:eastAsia="宋体" w:cs="仿宋_GB2312"/>
          <w:color w:val="auto"/>
          <w:sz w:val="24"/>
          <w:szCs w:val="24"/>
          <w:highlight w:val="none"/>
        </w:rPr>
        <w:t>又参与了</w:t>
      </w:r>
      <w:r>
        <w:rPr>
          <w:rFonts w:hint="eastAsia" w:eastAsia="宋体" w:cs="仿宋_GB2312"/>
          <w:color w:val="auto"/>
          <w:sz w:val="24"/>
          <w:szCs w:val="24"/>
          <w:highlight w:val="none"/>
        </w:rPr>
        <w:t>本</w:t>
      </w:r>
      <w:r>
        <w:rPr>
          <w:rFonts w:eastAsia="宋体" w:cs="仿宋_GB2312"/>
          <w:color w:val="auto"/>
          <w:sz w:val="24"/>
          <w:szCs w:val="24"/>
          <w:highlight w:val="none"/>
        </w:rPr>
        <w:t>项目</w:t>
      </w:r>
      <w:r>
        <w:rPr>
          <w:rFonts w:hint="eastAsia" w:cs="仿宋_GB2312"/>
          <w:color w:val="auto"/>
          <w:sz w:val="24"/>
          <w:szCs w:val="24"/>
          <w:highlight w:val="none"/>
          <w:lang w:val="en-US" w:eastAsia="zh-CN"/>
        </w:rPr>
        <w:t>谈判</w:t>
      </w:r>
      <w:r>
        <w:rPr>
          <w:rFonts w:eastAsia="宋体" w:cs="仿宋_GB2312"/>
          <w:color w:val="auto"/>
          <w:sz w:val="24"/>
          <w:szCs w:val="24"/>
          <w:highlight w:val="none"/>
        </w:rPr>
        <w:t>的</w:t>
      </w:r>
      <w:r>
        <w:rPr>
          <w:rFonts w:hint="eastAsia" w:eastAsia="宋体" w:cs="仿宋_GB2312"/>
          <w:color w:val="auto"/>
          <w:sz w:val="24"/>
          <w:szCs w:val="24"/>
          <w:highlight w:val="none"/>
        </w:rPr>
        <w:t>供应商</w:t>
      </w:r>
      <w:r>
        <w:rPr>
          <w:rFonts w:eastAsia="宋体" w:cs="仿宋_GB2312"/>
          <w:color w:val="auto"/>
          <w:sz w:val="24"/>
          <w:szCs w:val="24"/>
          <w:highlight w:val="none"/>
        </w:rPr>
        <w:t>将被视为完全认同</w:t>
      </w:r>
      <w:r>
        <w:rPr>
          <w:rFonts w:hint="eastAsia" w:eastAsia="宋体" w:cs="仿宋_GB2312"/>
          <w:color w:val="auto"/>
          <w:sz w:val="24"/>
          <w:szCs w:val="24"/>
          <w:highlight w:val="none"/>
        </w:rPr>
        <w:t>本竞争性</w:t>
      </w:r>
      <w:r>
        <w:rPr>
          <w:rFonts w:hint="eastAsia" w:cs="仿宋_GB2312"/>
          <w:color w:val="auto"/>
          <w:sz w:val="24"/>
          <w:szCs w:val="24"/>
          <w:highlight w:val="none"/>
          <w:lang w:val="en-US" w:eastAsia="zh-CN"/>
        </w:rPr>
        <w:t>谈判</w:t>
      </w:r>
      <w:r>
        <w:rPr>
          <w:rFonts w:hint="eastAsia" w:eastAsia="宋体" w:cs="仿宋_GB2312"/>
          <w:color w:val="auto"/>
          <w:sz w:val="24"/>
          <w:szCs w:val="24"/>
          <w:highlight w:val="none"/>
        </w:rPr>
        <w:t>文件</w:t>
      </w:r>
      <w:r>
        <w:rPr>
          <w:rFonts w:eastAsia="宋体" w:cs="仿宋_GB2312"/>
          <w:color w:val="auto"/>
          <w:sz w:val="24"/>
          <w:szCs w:val="24"/>
          <w:highlight w:val="none"/>
        </w:rPr>
        <w:t>（含</w:t>
      </w:r>
      <w:r>
        <w:rPr>
          <w:rFonts w:hint="eastAsia" w:eastAsia="宋体" w:cs="仿宋_GB2312"/>
          <w:color w:val="auto"/>
          <w:sz w:val="24"/>
          <w:szCs w:val="24"/>
          <w:highlight w:val="none"/>
        </w:rPr>
        <w:t>更正公告的</w:t>
      </w:r>
      <w:r>
        <w:rPr>
          <w:rFonts w:eastAsia="宋体" w:cs="仿宋_GB2312"/>
          <w:color w:val="auto"/>
          <w:sz w:val="24"/>
          <w:szCs w:val="24"/>
          <w:highlight w:val="none"/>
        </w:rPr>
        <w:t>内容）</w:t>
      </w:r>
      <w:r>
        <w:rPr>
          <w:rFonts w:hint="eastAsia" w:eastAsia="宋体" w:cs="仿宋_GB2312"/>
          <w:color w:val="auto"/>
          <w:sz w:val="24"/>
          <w:szCs w:val="24"/>
          <w:highlight w:val="none"/>
        </w:rPr>
        <w:t>。</w:t>
      </w:r>
    </w:p>
    <w:p w14:paraId="6F274E6E">
      <w:pPr>
        <w:pStyle w:val="33"/>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color w:val="auto"/>
          <w:sz w:val="24"/>
          <w:highlight w:val="none"/>
          <w:lang w:val="en-US" w:eastAsia="zh-CN"/>
        </w:rPr>
        <w:t>6</w:t>
      </w:r>
      <w:r>
        <w:rPr>
          <w:rFonts w:hint="eastAsia" w:eastAsia="宋体"/>
          <w:color w:val="auto"/>
          <w:sz w:val="24"/>
          <w:highlight w:val="none"/>
        </w:rPr>
        <w:t xml:space="preserve">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供应商须知”所称“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571CE514">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2"/>
          <w:highlight w:val="none"/>
          <w:lang w:val="en-US" w:eastAsia="zh-CN"/>
        </w:rPr>
        <w:t>12.7</w:t>
      </w:r>
      <w:r>
        <w:rPr>
          <w:rFonts w:hint="eastAsia" w:ascii="宋体" w:hAnsi="宋体" w:eastAsia="宋体" w:cs="宋体"/>
          <w:color w:val="auto"/>
          <w:kern w:val="2"/>
          <w:sz w:val="24"/>
          <w:szCs w:val="22"/>
          <w:highlight w:val="none"/>
        </w:rPr>
        <w:t>当竞争性</w:t>
      </w:r>
      <w:r>
        <w:rPr>
          <w:rFonts w:hint="eastAsia" w:cs="仿宋_GB2312"/>
          <w:color w:val="auto"/>
          <w:sz w:val="24"/>
          <w:szCs w:val="24"/>
          <w:highlight w:val="none"/>
          <w:lang w:val="en-US" w:eastAsia="zh-CN"/>
        </w:rPr>
        <w:t>谈判</w:t>
      </w:r>
      <w:r>
        <w:rPr>
          <w:rFonts w:hint="eastAsia" w:ascii="宋体" w:hAnsi="宋体" w:eastAsia="宋体" w:cs="宋体"/>
          <w:color w:val="auto"/>
          <w:kern w:val="2"/>
          <w:sz w:val="24"/>
          <w:szCs w:val="22"/>
          <w:highlight w:val="none"/>
        </w:rPr>
        <w:t>文件的澄清、修改及其他答复等就同一内容的表述不一致时，以最后发布的内容为准。</w:t>
      </w:r>
    </w:p>
    <w:p w14:paraId="7D17D0F6">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96" w:name="_Toc109899960"/>
      <w:bookmarkStart w:id="197" w:name="_Toc163493613"/>
      <w:bookmarkStart w:id="198" w:name="_Toc109900379"/>
      <w:bookmarkStart w:id="199" w:name="_Toc46771647"/>
      <w:bookmarkStart w:id="200" w:name="_Toc109897442"/>
      <w:bookmarkStart w:id="201" w:name="_Toc470172672"/>
      <w:bookmarkStart w:id="202" w:name="_Toc109899541"/>
      <w:bookmarkStart w:id="203" w:name="_Toc6486"/>
      <w:r>
        <w:rPr>
          <w:rFonts w:hint="eastAsia" w:ascii="宋体" w:hAnsi="宋体" w:eastAsia="宋体" w:cs="宋体"/>
          <w:b/>
          <w:bCs/>
          <w:color w:val="auto"/>
          <w:kern w:val="2"/>
          <w:sz w:val="24"/>
          <w:szCs w:val="24"/>
          <w:highlight w:val="none"/>
          <w:lang w:val="en-US" w:eastAsia="zh-CN" w:bidi="ar-SA"/>
        </w:rPr>
        <w:t>（三）响应文件</w:t>
      </w:r>
      <w:bookmarkEnd w:id="196"/>
      <w:bookmarkEnd w:id="197"/>
      <w:bookmarkEnd w:id="198"/>
      <w:bookmarkEnd w:id="199"/>
      <w:bookmarkEnd w:id="200"/>
      <w:bookmarkEnd w:id="201"/>
      <w:bookmarkEnd w:id="202"/>
      <w:bookmarkEnd w:id="203"/>
    </w:p>
    <w:p w14:paraId="3A231C5B">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04" w:name="_Toc46771649"/>
      <w:bookmarkStart w:id="205" w:name="_Toc109899543"/>
      <w:bookmarkStart w:id="206" w:name="_Toc46772250"/>
      <w:bookmarkStart w:id="207" w:name="_Toc470172674"/>
      <w:bookmarkStart w:id="208" w:name="_Toc32272"/>
      <w:bookmarkStart w:id="209" w:name="_Toc52960562"/>
      <w:bookmarkStart w:id="210" w:name="_Toc48846118"/>
      <w:bookmarkStart w:id="211" w:name="_Toc51674220"/>
      <w:bookmarkStart w:id="212" w:name="_Toc109897444"/>
      <w:bookmarkStart w:id="213" w:name="_Toc109899962"/>
      <w:bookmarkStart w:id="214" w:name="_Toc109900381"/>
      <w:bookmarkStart w:id="215" w:name="_Toc52962736"/>
      <w:bookmarkStart w:id="216" w:name="_Toc48688798"/>
      <w:r>
        <w:rPr>
          <w:rFonts w:hint="eastAsia" w:ascii="宋体" w:hAnsi="宋体" w:eastAsia="宋体" w:cs="宋体"/>
          <w:b/>
          <w:bCs/>
          <w:color w:val="auto"/>
          <w:kern w:val="2"/>
          <w:sz w:val="24"/>
          <w:szCs w:val="24"/>
          <w:highlight w:val="none"/>
          <w:lang w:val="en-US" w:eastAsia="zh-CN" w:bidi="ar-SA"/>
        </w:rPr>
        <w:t>13.响应文件的</w:t>
      </w:r>
      <w:bookmarkEnd w:id="204"/>
      <w:bookmarkEnd w:id="205"/>
      <w:bookmarkEnd w:id="206"/>
      <w:bookmarkEnd w:id="207"/>
      <w:bookmarkEnd w:id="208"/>
      <w:bookmarkEnd w:id="209"/>
      <w:bookmarkEnd w:id="210"/>
      <w:bookmarkEnd w:id="211"/>
      <w:bookmarkEnd w:id="212"/>
      <w:bookmarkEnd w:id="213"/>
      <w:bookmarkEnd w:id="214"/>
      <w:bookmarkEnd w:id="215"/>
      <w:bookmarkEnd w:id="216"/>
      <w:r>
        <w:rPr>
          <w:rFonts w:hint="eastAsia" w:ascii="宋体" w:hAnsi="宋体" w:eastAsia="宋体" w:cs="宋体"/>
          <w:b/>
          <w:bCs/>
          <w:color w:val="auto"/>
          <w:kern w:val="2"/>
          <w:sz w:val="24"/>
          <w:szCs w:val="24"/>
          <w:highlight w:val="none"/>
          <w:lang w:val="en-US" w:eastAsia="zh-CN" w:bidi="ar-SA"/>
        </w:rPr>
        <w:t>组成</w:t>
      </w:r>
    </w:p>
    <w:p w14:paraId="174A0A3D">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13</w:t>
      </w:r>
      <w:r>
        <w:rPr>
          <w:rFonts w:hint="eastAsia"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lang w:val="en-US" w:eastAsia="zh-CN"/>
        </w:rPr>
        <w:t>供应商</w:t>
      </w:r>
      <w:r>
        <w:rPr>
          <w:rFonts w:hint="eastAsia" w:ascii="宋体" w:hAnsi="宋体" w:eastAsia="宋体" w:cs="宋体"/>
          <w:color w:val="auto"/>
          <w:kern w:val="2"/>
          <w:sz w:val="24"/>
          <w:szCs w:val="24"/>
          <w:highlight w:val="none"/>
        </w:rPr>
        <w:t>应完整地按竞争性</w:t>
      </w:r>
      <w:r>
        <w:rPr>
          <w:rFonts w:hint="eastAsia" w:cs="宋体"/>
          <w:color w:val="auto"/>
          <w:sz w:val="24"/>
          <w:szCs w:val="24"/>
          <w:highlight w:val="none"/>
          <w:lang w:val="en-US" w:eastAsia="zh-CN"/>
        </w:rPr>
        <w:t>谈判</w:t>
      </w:r>
      <w:r>
        <w:rPr>
          <w:rFonts w:hint="eastAsia" w:ascii="宋体" w:hAnsi="宋体" w:eastAsia="宋体" w:cs="宋体"/>
          <w:color w:val="auto"/>
          <w:kern w:val="2"/>
          <w:sz w:val="24"/>
          <w:szCs w:val="24"/>
          <w:highlight w:val="none"/>
        </w:rPr>
        <w:t>文件提供的</w:t>
      </w:r>
      <w:r>
        <w:rPr>
          <w:rFonts w:hint="eastAsia" w:ascii="宋体" w:hAnsi="宋体" w:eastAsia="宋体" w:cs="宋体"/>
          <w:color w:val="auto"/>
          <w:kern w:val="2"/>
          <w:sz w:val="24"/>
          <w:szCs w:val="24"/>
          <w:highlight w:val="none"/>
          <w:lang w:val="en-US" w:eastAsia="zh-CN"/>
        </w:rPr>
        <w:t>响应</w:t>
      </w:r>
      <w:r>
        <w:rPr>
          <w:rFonts w:hint="eastAsia" w:ascii="宋体" w:hAnsi="宋体" w:eastAsia="宋体" w:cs="宋体"/>
          <w:color w:val="auto"/>
          <w:kern w:val="2"/>
          <w:sz w:val="24"/>
          <w:szCs w:val="24"/>
          <w:highlight w:val="none"/>
        </w:rPr>
        <w:t>文件格式及要求编写</w:t>
      </w:r>
      <w:r>
        <w:rPr>
          <w:rFonts w:hint="eastAsia" w:ascii="宋体" w:hAnsi="宋体" w:eastAsia="宋体" w:cs="宋体"/>
          <w:color w:val="auto"/>
          <w:kern w:val="2"/>
          <w:sz w:val="24"/>
          <w:szCs w:val="24"/>
          <w:highlight w:val="none"/>
          <w:lang w:val="en-US" w:eastAsia="zh-CN"/>
        </w:rPr>
        <w:t>响应</w:t>
      </w:r>
      <w:r>
        <w:rPr>
          <w:rFonts w:hint="eastAsia" w:ascii="宋体" w:hAnsi="宋体" w:eastAsia="宋体" w:cs="宋体"/>
          <w:color w:val="auto"/>
          <w:kern w:val="2"/>
          <w:sz w:val="24"/>
          <w:szCs w:val="24"/>
          <w:highlight w:val="none"/>
        </w:rPr>
        <w:t>文件，具体内容详见</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第六章 响应</w:t>
      </w:r>
      <w:r>
        <w:rPr>
          <w:rFonts w:hint="eastAsia" w:ascii="宋体" w:hAnsi="宋体" w:eastAsia="宋体" w:cs="宋体"/>
          <w:color w:val="auto"/>
          <w:kern w:val="2"/>
          <w:sz w:val="24"/>
          <w:szCs w:val="24"/>
          <w:highlight w:val="none"/>
        </w:rPr>
        <w:t>文件</w:t>
      </w:r>
      <w:r>
        <w:rPr>
          <w:rFonts w:hint="eastAsia" w:ascii="宋体" w:hAnsi="宋体" w:eastAsia="宋体" w:cs="宋体"/>
          <w:color w:val="auto"/>
          <w:kern w:val="2"/>
          <w:sz w:val="24"/>
          <w:szCs w:val="24"/>
          <w:highlight w:val="none"/>
          <w:lang w:val="en-US" w:eastAsia="zh-CN"/>
        </w:rPr>
        <w:t>的</w:t>
      </w:r>
      <w:r>
        <w:rPr>
          <w:rFonts w:hint="eastAsia" w:ascii="宋体" w:hAnsi="宋体" w:eastAsia="宋体" w:cs="宋体"/>
          <w:color w:val="auto"/>
          <w:kern w:val="2"/>
          <w:sz w:val="24"/>
          <w:szCs w:val="24"/>
          <w:highlight w:val="none"/>
        </w:rPr>
        <w:t>格式</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的相关内容。</w:t>
      </w:r>
    </w:p>
    <w:p w14:paraId="3BB3A0B7">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13.2供应商</w:t>
      </w:r>
      <w:r>
        <w:rPr>
          <w:rFonts w:hint="eastAsia" w:ascii="宋体" w:hAnsi="宋体" w:eastAsia="宋体" w:cs="宋体"/>
          <w:color w:val="auto"/>
          <w:kern w:val="2"/>
          <w:sz w:val="24"/>
          <w:szCs w:val="24"/>
          <w:highlight w:val="none"/>
        </w:rPr>
        <w:t>应提交竞争性</w:t>
      </w:r>
      <w:r>
        <w:rPr>
          <w:rFonts w:hint="eastAsia" w:cs="宋体"/>
          <w:color w:val="auto"/>
          <w:sz w:val="24"/>
          <w:szCs w:val="24"/>
          <w:highlight w:val="none"/>
          <w:lang w:val="en-US" w:eastAsia="zh-CN"/>
        </w:rPr>
        <w:t>谈判</w:t>
      </w:r>
      <w:r>
        <w:rPr>
          <w:rFonts w:hint="eastAsia" w:ascii="宋体" w:hAnsi="宋体" w:eastAsia="宋体" w:cs="宋体"/>
          <w:color w:val="auto"/>
          <w:kern w:val="2"/>
          <w:sz w:val="24"/>
          <w:szCs w:val="24"/>
          <w:highlight w:val="none"/>
        </w:rPr>
        <w:t>文件要求的证明文件，证明其</w:t>
      </w:r>
      <w:r>
        <w:rPr>
          <w:rFonts w:hint="eastAsia" w:ascii="宋体" w:hAnsi="宋体" w:eastAsia="宋体" w:cs="宋体"/>
          <w:color w:val="auto"/>
          <w:kern w:val="2"/>
          <w:sz w:val="24"/>
          <w:szCs w:val="24"/>
          <w:highlight w:val="none"/>
          <w:lang w:val="en-US" w:eastAsia="zh-CN"/>
        </w:rPr>
        <w:t>响应</w:t>
      </w:r>
      <w:r>
        <w:rPr>
          <w:rFonts w:hint="eastAsia" w:ascii="宋体" w:hAnsi="宋体" w:eastAsia="宋体" w:cs="宋体"/>
          <w:color w:val="auto"/>
          <w:kern w:val="2"/>
          <w:sz w:val="24"/>
          <w:szCs w:val="24"/>
          <w:highlight w:val="none"/>
        </w:rPr>
        <w:t>内容符合竞争性</w:t>
      </w:r>
      <w:r>
        <w:rPr>
          <w:rFonts w:hint="eastAsia" w:cs="宋体"/>
          <w:color w:val="auto"/>
          <w:sz w:val="24"/>
          <w:szCs w:val="24"/>
          <w:highlight w:val="none"/>
          <w:lang w:val="en-US" w:eastAsia="zh-CN"/>
        </w:rPr>
        <w:t>谈判</w:t>
      </w:r>
      <w:r>
        <w:rPr>
          <w:rFonts w:hint="eastAsia" w:ascii="宋体" w:hAnsi="宋体" w:eastAsia="宋体" w:cs="宋体"/>
          <w:color w:val="auto"/>
          <w:kern w:val="2"/>
          <w:sz w:val="24"/>
          <w:szCs w:val="24"/>
          <w:highlight w:val="none"/>
        </w:rPr>
        <w:t>文件规定</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该证明文件是</w:t>
      </w:r>
      <w:r>
        <w:rPr>
          <w:rFonts w:hint="eastAsia" w:ascii="宋体" w:hAnsi="宋体" w:eastAsia="宋体" w:cs="宋体"/>
          <w:color w:val="auto"/>
          <w:kern w:val="2"/>
          <w:sz w:val="24"/>
          <w:szCs w:val="24"/>
          <w:highlight w:val="none"/>
          <w:lang w:val="en-US" w:eastAsia="zh-CN"/>
        </w:rPr>
        <w:t>响应</w:t>
      </w:r>
      <w:r>
        <w:rPr>
          <w:rFonts w:hint="eastAsia" w:ascii="宋体" w:hAnsi="宋体" w:eastAsia="宋体" w:cs="宋体"/>
          <w:color w:val="auto"/>
          <w:kern w:val="2"/>
          <w:sz w:val="24"/>
          <w:szCs w:val="24"/>
          <w:highlight w:val="none"/>
        </w:rPr>
        <w:t>文件的一部分</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证明文件</w:t>
      </w:r>
      <w:r>
        <w:rPr>
          <w:rFonts w:hint="eastAsia" w:ascii="宋体" w:hAnsi="宋体" w:eastAsia="宋体" w:cs="宋体"/>
          <w:color w:val="auto"/>
          <w:kern w:val="2"/>
          <w:sz w:val="24"/>
          <w:szCs w:val="24"/>
          <w:highlight w:val="none"/>
          <w:lang w:val="en-US" w:eastAsia="zh-CN"/>
        </w:rPr>
        <w:t>形式</w:t>
      </w:r>
      <w:r>
        <w:rPr>
          <w:rFonts w:hint="eastAsia" w:ascii="宋体" w:hAnsi="宋体" w:eastAsia="宋体" w:cs="宋体"/>
          <w:color w:val="auto"/>
          <w:kern w:val="2"/>
          <w:sz w:val="24"/>
          <w:szCs w:val="24"/>
          <w:highlight w:val="none"/>
        </w:rPr>
        <w:t>可以是文字资料、图纸和数据</w:t>
      </w:r>
      <w:bookmarkStart w:id="217" w:name="_Hlk11703583"/>
      <w:r>
        <w:rPr>
          <w:rFonts w:hint="eastAsia" w:ascii="宋体" w:hAnsi="宋体" w:eastAsia="宋体" w:cs="宋体"/>
          <w:color w:val="auto"/>
          <w:kern w:val="2"/>
          <w:sz w:val="24"/>
          <w:szCs w:val="24"/>
          <w:highlight w:val="none"/>
          <w:lang w:val="en-US" w:eastAsia="zh-CN"/>
        </w:rPr>
        <w:t>等。</w:t>
      </w:r>
    </w:p>
    <w:bookmarkEnd w:id="217"/>
    <w:p w14:paraId="781BBAEB">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13.3</w:t>
      </w:r>
      <w:r>
        <w:rPr>
          <w:rFonts w:hint="eastAsia" w:ascii="宋体" w:hAnsi="宋体" w:eastAsia="宋体" w:cs="宋体"/>
          <w:color w:val="auto"/>
          <w:kern w:val="2"/>
          <w:sz w:val="24"/>
          <w:szCs w:val="24"/>
          <w:highlight w:val="none"/>
        </w:rPr>
        <w:t>为保证公平公正，除非</w:t>
      </w:r>
      <w:r>
        <w:rPr>
          <w:rFonts w:hint="eastAsia" w:ascii="宋体" w:hAnsi="宋体" w:eastAsia="宋体" w:cs="宋体"/>
          <w:color w:val="auto"/>
          <w:kern w:val="2"/>
          <w:sz w:val="24"/>
          <w:szCs w:val="24"/>
          <w:highlight w:val="none"/>
          <w:lang w:val="en-US" w:eastAsia="zh-CN"/>
        </w:rPr>
        <w:t>本</w:t>
      </w:r>
      <w:r>
        <w:rPr>
          <w:rFonts w:hint="eastAsia" w:cs="宋体"/>
          <w:color w:val="auto"/>
          <w:sz w:val="24"/>
          <w:szCs w:val="24"/>
          <w:highlight w:val="none"/>
          <w:lang w:val="en-US" w:eastAsia="zh-CN"/>
        </w:rPr>
        <w:t>谈判</w:t>
      </w:r>
      <w:r>
        <w:rPr>
          <w:rFonts w:hint="eastAsia" w:ascii="宋体" w:hAnsi="宋体" w:eastAsia="宋体" w:cs="宋体"/>
          <w:color w:val="auto"/>
          <w:kern w:val="2"/>
          <w:sz w:val="24"/>
          <w:szCs w:val="24"/>
          <w:highlight w:val="none"/>
          <w:lang w:val="en-US" w:eastAsia="zh-CN"/>
        </w:rPr>
        <w:t>文件</w:t>
      </w:r>
      <w:r>
        <w:rPr>
          <w:rFonts w:hint="eastAsia" w:ascii="宋体" w:hAnsi="宋体" w:eastAsia="宋体" w:cs="宋体"/>
          <w:color w:val="auto"/>
          <w:kern w:val="2"/>
          <w:sz w:val="24"/>
          <w:szCs w:val="24"/>
          <w:highlight w:val="none"/>
        </w:rPr>
        <w:t>另有规定或说明，</w:t>
      </w:r>
      <w:r>
        <w:rPr>
          <w:rFonts w:hint="eastAsia" w:ascii="宋体" w:hAnsi="宋体" w:eastAsia="宋体" w:cs="宋体"/>
          <w:color w:val="auto"/>
          <w:kern w:val="2"/>
          <w:sz w:val="24"/>
          <w:szCs w:val="24"/>
          <w:highlight w:val="none"/>
          <w:lang w:val="en-US" w:eastAsia="zh-CN"/>
        </w:rPr>
        <w:t>供应商</w:t>
      </w:r>
      <w:r>
        <w:rPr>
          <w:rFonts w:hint="eastAsia" w:ascii="宋体" w:hAnsi="宋体" w:eastAsia="宋体" w:cs="宋体"/>
          <w:color w:val="auto"/>
          <w:kern w:val="2"/>
          <w:sz w:val="24"/>
          <w:szCs w:val="24"/>
          <w:highlight w:val="none"/>
        </w:rPr>
        <w:t>对同一项目</w:t>
      </w:r>
      <w:r>
        <w:rPr>
          <w:rFonts w:hint="eastAsia" w:ascii="宋体" w:hAnsi="宋体" w:eastAsia="宋体" w:cs="宋体"/>
          <w:color w:val="auto"/>
          <w:kern w:val="2"/>
          <w:sz w:val="24"/>
          <w:szCs w:val="24"/>
          <w:highlight w:val="none"/>
          <w:lang w:val="en-US" w:eastAsia="zh-CN"/>
        </w:rPr>
        <w:t>响应</w:t>
      </w:r>
      <w:r>
        <w:rPr>
          <w:rFonts w:hint="eastAsia" w:ascii="宋体" w:hAnsi="宋体" w:eastAsia="宋体" w:cs="宋体"/>
          <w:color w:val="auto"/>
          <w:kern w:val="2"/>
          <w:sz w:val="24"/>
          <w:szCs w:val="24"/>
          <w:highlight w:val="none"/>
        </w:rPr>
        <w:t>时，不得同时提供备选</w:t>
      </w:r>
      <w:r>
        <w:rPr>
          <w:rFonts w:hint="eastAsia" w:ascii="宋体" w:hAnsi="宋体" w:eastAsia="宋体" w:cs="宋体"/>
          <w:color w:val="auto"/>
          <w:kern w:val="2"/>
          <w:sz w:val="24"/>
          <w:szCs w:val="24"/>
          <w:highlight w:val="none"/>
          <w:lang w:val="en-US" w:eastAsia="zh-CN"/>
        </w:rPr>
        <w:t>响应</w:t>
      </w:r>
      <w:r>
        <w:rPr>
          <w:rFonts w:hint="eastAsia" w:ascii="宋体" w:hAnsi="宋体" w:eastAsia="宋体" w:cs="宋体"/>
          <w:color w:val="auto"/>
          <w:kern w:val="2"/>
          <w:sz w:val="24"/>
          <w:szCs w:val="24"/>
          <w:highlight w:val="none"/>
        </w:rPr>
        <w:t>方案。</w:t>
      </w:r>
    </w:p>
    <w:p w14:paraId="5C8E7CA3">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18" w:name="_Toc109899964"/>
      <w:bookmarkStart w:id="219" w:name="_Toc52960564"/>
      <w:bookmarkStart w:id="220" w:name="_Toc51674222"/>
      <w:bookmarkStart w:id="221" w:name="_Toc109897446"/>
      <w:bookmarkStart w:id="222" w:name="_Toc24544"/>
      <w:bookmarkStart w:id="223" w:name="_Toc46771651"/>
      <w:bookmarkStart w:id="224" w:name="_Toc48688800"/>
      <w:bookmarkStart w:id="225" w:name="_Toc46772252"/>
      <w:bookmarkStart w:id="226" w:name="_Toc109900383"/>
      <w:bookmarkStart w:id="227" w:name="_Toc52962738"/>
      <w:bookmarkStart w:id="228" w:name="_Toc48846120"/>
      <w:bookmarkStart w:id="229" w:name="_Toc109899545"/>
      <w:bookmarkStart w:id="230" w:name="_Toc470172676"/>
      <w:bookmarkStart w:id="231" w:name="_Toc46771650"/>
      <w:bookmarkStart w:id="232" w:name="_Toc51674221"/>
      <w:bookmarkStart w:id="233" w:name="_Toc109897445"/>
      <w:bookmarkStart w:id="234" w:name="_Toc52960563"/>
      <w:bookmarkStart w:id="235" w:name="_Toc46772251"/>
      <w:bookmarkStart w:id="236" w:name="_Toc25217"/>
      <w:bookmarkStart w:id="237" w:name="_Toc470172675"/>
      <w:bookmarkStart w:id="238" w:name="_Toc109900382"/>
      <w:bookmarkStart w:id="239" w:name="_Toc109899544"/>
      <w:bookmarkStart w:id="240" w:name="_Toc48846119"/>
      <w:bookmarkStart w:id="241" w:name="_Toc52962737"/>
      <w:bookmarkStart w:id="242" w:name="_Toc109899963"/>
      <w:bookmarkStart w:id="243" w:name="_Toc48688799"/>
      <w:r>
        <w:rPr>
          <w:rFonts w:hint="eastAsia" w:ascii="宋体" w:hAnsi="宋体" w:eastAsia="宋体" w:cs="宋体"/>
          <w:b/>
          <w:bCs/>
          <w:color w:val="auto"/>
          <w:kern w:val="2"/>
          <w:sz w:val="24"/>
          <w:szCs w:val="24"/>
          <w:highlight w:val="none"/>
          <w:lang w:val="en-US" w:eastAsia="zh-CN" w:bidi="ar-SA"/>
        </w:rPr>
        <w:t>14.谈判报价</w:t>
      </w:r>
      <w:bookmarkEnd w:id="218"/>
      <w:bookmarkEnd w:id="219"/>
      <w:bookmarkEnd w:id="220"/>
      <w:bookmarkEnd w:id="221"/>
      <w:bookmarkEnd w:id="222"/>
      <w:bookmarkEnd w:id="223"/>
      <w:bookmarkEnd w:id="224"/>
      <w:bookmarkEnd w:id="225"/>
      <w:bookmarkEnd w:id="226"/>
      <w:bookmarkEnd w:id="227"/>
      <w:bookmarkEnd w:id="228"/>
      <w:bookmarkEnd w:id="229"/>
      <w:bookmarkEnd w:id="230"/>
    </w:p>
    <w:p w14:paraId="0640D6E7">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1</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lang w:val="zh-CN"/>
        </w:rPr>
        <w:t>.1</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供应商的报价均应以人民币报价。</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报价包括</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供应商在首次提交的响应文件中的报价、</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过程中的报价和最后报价，</w:t>
      </w:r>
      <w:r>
        <w:rPr>
          <w:rFonts w:hint="eastAsia" w:ascii="宋体" w:hAnsi="宋体" w:eastAsia="宋体" w:cs="宋体"/>
          <w:snapToGrid w:val="0"/>
          <w:color w:val="auto"/>
          <w:sz w:val="24"/>
          <w:szCs w:val="24"/>
          <w:highlight w:val="none"/>
          <w:lang w:val="en-US" w:eastAsia="zh-CN"/>
        </w:rPr>
        <w:t>且均</w:t>
      </w:r>
      <w:r>
        <w:rPr>
          <w:rFonts w:hint="eastAsia" w:ascii="宋体" w:hAnsi="宋体" w:eastAsia="宋体" w:cs="宋体"/>
          <w:color w:val="auto"/>
          <w:sz w:val="24"/>
          <w:szCs w:val="24"/>
          <w:highlight w:val="none"/>
        </w:rPr>
        <w:t>不得超过</w:t>
      </w:r>
      <w:bookmarkStart w:id="244" w:name="_Hlk161703672"/>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第一章 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公告</w:t>
      </w:r>
      <w:r>
        <w:rPr>
          <w:rFonts w:hint="eastAsia" w:ascii="宋体" w:hAnsi="宋体" w:eastAsia="宋体" w:cs="宋体"/>
          <w:color w:val="auto"/>
          <w:sz w:val="24"/>
          <w:szCs w:val="24"/>
          <w:highlight w:val="none"/>
        </w:rPr>
        <w:t>”中规定</w:t>
      </w:r>
      <w:bookmarkEnd w:id="244"/>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最高限价或者预算金额</w:t>
      </w:r>
      <w:r>
        <w:rPr>
          <w:rFonts w:hint="eastAsia" w:ascii="宋体" w:hAnsi="宋体" w:eastAsia="宋体" w:cs="宋体"/>
          <w:color w:val="auto"/>
          <w:sz w:val="24"/>
          <w:szCs w:val="24"/>
          <w:highlight w:val="none"/>
        </w:rPr>
        <w:t>，</w:t>
      </w:r>
      <w:r>
        <w:rPr>
          <w:rFonts w:hint="eastAsia" w:ascii="宋体" w:hAnsi="宋体" w:eastAsia="宋体" w:cs="宋体"/>
          <w:snapToGrid w:val="0"/>
          <w:color w:val="auto"/>
          <w:sz w:val="24"/>
          <w:szCs w:val="24"/>
          <w:highlight w:val="none"/>
          <w:lang w:val="zh-CN"/>
        </w:rPr>
        <w:t>否则其响应文件将被视为</w:t>
      </w:r>
      <w:r>
        <w:rPr>
          <w:rFonts w:hint="eastAsia" w:ascii="宋体" w:hAnsi="宋体" w:eastAsia="宋体" w:cs="宋体"/>
          <w:b/>
          <w:bCs/>
          <w:snapToGrid w:val="0"/>
          <w:color w:val="auto"/>
          <w:sz w:val="24"/>
          <w:szCs w:val="24"/>
          <w:highlight w:val="none"/>
          <w:lang w:val="zh-CN"/>
        </w:rPr>
        <w:t>无效文件</w:t>
      </w:r>
      <w:r>
        <w:rPr>
          <w:rFonts w:hint="eastAsia" w:ascii="宋体" w:hAnsi="宋体" w:eastAsia="宋体" w:cs="宋体"/>
          <w:snapToGrid w:val="0"/>
          <w:color w:val="auto"/>
          <w:sz w:val="24"/>
          <w:szCs w:val="24"/>
          <w:highlight w:val="none"/>
          <w:lang w:val="zh-CN"/>
        </w:rPr>
        <w:t>。</w:t>
      </w:r>
    </w:p>
    <w:p w14:paraId="300639DC">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1</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lang w:val="zh-CN"/>
        </w:rPr>
        <w:t>.2供应商应按照本</w:t>
      </w:r>
      <w:r>
        <w:rPr>
          <w:rFonts w:hint="eastAsia" w:ascii="宋体" w:hAnsi="宋体" w:eastAsia="宋体" w:cs="宋体"/>
          <w:snapToGrid w:val="0"/>
          <w:color w:val="auto"/>
          <w:sz w:val="24"/>
          <w:szCs w:val="24"/>
          <w:highlight w:val="none"/>
          <w:lang w:val="zh-CN" w:eastAsia="zh-CN"/>
        </w:rPr>
        <w:t>谈判</w:t>
      </w:r>
      <w:r>
        <w:rPr>
          <w:rFonts w:hint="eastAsia" w:ascii="宋体" w:hAnsi="宋体" w:eastAsia="宋体" w:cs="宋体"/>
          <w:snapToGrid w:val="0"/>
          <w:color w:val="auto"/>
          <w:sz w:val="24"/>
          <w:szCs w:val="24"/>
          <w:highlight w:val="none"/>
          <w:lang w:val="zh-CN"/>
        </w:rPr>
        <w:t>文件</w:t>
      </w:r>
      <w:r>
        <w:rPr>
          <w:rFonts w:hint="eastAsia" w:cs="宋体"/>
          <w:snapToGrid w:val="0"/>
          <w:color w:val="auto"/>
          <w:sz w:val="24"/>
          <w:szCs w:val="24"/>
          <w:highlight w:val="none"/>
          <w:lang w:val="en-US" w:eastAsia="zh-CN"/>
        </w:rPr>
        <w:t>所载明</w:t>
      </w:r>
      <w:r>
        <w:rPr>
          <w:rFonts w:hint="eastAsia" w:ascii="宋体" w:hAnsi="宋体" w:eastAsia="宋体" w:cs="宋体"/>
          <w:snapToGrid w:val="0"/>
          <w:color w:val="auto"/>
          <w:sz w:val="24"/>
          <w:szCs w:val="24"/>
          <w:highlight w:val="none"/>
          <w:lang w:val="zh-CN"/>
        </w:rPr>
        <w:t>的采购需求及合同条款进行报价，并按</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文件确定的格式报</w:t>
      </w:r>
      <w:r>
        <w:rPr>
          <w:rFonts w:hint="eastAsia" w:cs="宋体"/>
          <w:snapToGrid w:val="0"/>
          <w:color w:val="auto"/>
          <w:sz w:val="24"/>
          <w:szCs w:val="24"/>
          <w:highlight w:val="none"/>
          <w:lang w:val="en-US" w:eastAsia="zh-CN"/>
        </w:rPr>
        <w:t>价</w:t>
      </w:r>
      <w:r>
        <w:rPr>
          <w:rFonts w:hint="eastAsia" w:ascii="宋体" w:hAnsi="宋体" w:eastAsia="宋体" w:cs="宋体"/>
          <w:snapToGrid w:val="0"/>
          <w:color w:val="auto"/>
          <w:sz w:val="24"/>
          <w:szCs w:val="24"/>
          <w:highlight w:val="none"/>
          <w:lang w:val="zh-CN"/>
        </w:rPr>
        <w:t>。</w:t>
      </w:r>
    </w:p>
    <w:p w14:paraId="487FB398">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snapToGrid w:val="0"/>
          <w:color w:val="auto"/>
          <w:sz w:val="24"/>
          <w:szCs w:val="24"/>
          <w:highlight w:val="none"/>
          <w:lang w:val="zh-CN"/>
        </w:rPr>
        <w:t>供应商</w:t>
      </w:r>
      <w:r>
        <w:rPr>
          <w:rFonts w:hint="eastAsia" w:ascii="宋体" w:hAnsi="宋体" w:eastAsia="宋体" w:cs="宋体"/>
          <w:color w:val="auto"/>
          <w:kern w:val="2"/>
          <w:sz w:val="24"/>
          <w:szCs w:val="24"/>
          <w:highlight w:val="none"/>
          <w:lang w:val="en-US" w:eastAsia="zh-CN"/>
        </w:rPr>
        <w:t>的报价应包括为完成本项目所发生的一切费用和税费，采购人将不再支付报价以外的任何费用。</w:t>
      </w:r>
      <w:r>
        <w:rPr>
          <w:rFonts w:hint="eastAsia" w:ascii="宋体" w:hAnsi="宋体" w:eastAsia="宋体" w:cs="宋体"/>
          <w:color w:val="auto"/>
          <w:kern w:val="2"/>
          <w:sz w:val="24"/>
          <w:szCs w:val="24"/>
          <w:highlight w:val="none"/>
        </w:rPr>
        <w:t>只要投报了一个确定数额的总价，无论分项价格是否全部填报了相应的金额或免费字样，</w:t>
      </w:r>
      <w:r>
        <w:rPr>
          <w:rFonts w:hint="eastAsia" w:cs="宋体"/>
          <w:color w:val="auto"/>
          <w:kern w:val="2"/>
          <w:sz w:val="24"/>
          <w:szCs w:val="24"/>
          <w:highlight w:val="none"/>
          <w:lang w:val="en-US" w:eastAsia="zh-CN"/>
        </w:rPr>
        <w:t>该</w:t>
      </w:r>
      <w:r>
        <w:rPr>
          <w:rFonts w:hint="eastAsia" w:ascii="宋体" w:hAnsi="宋体" w:eastAsia="宋体" w:cs="宋体"/>
          <w:color w:val="auto"/>
          <w:kern w:val="2"/>
          <w:sz w:val="24"/>
          <w:szCs w:val="24"/>
          <w:highlight w:val="none"/>
        </w:rPr>
        <w:t>报价应被视为已包含但不限于各项购买货物及其运送、安装、调试、验收、保险和相关服务等的费用和所需缴纳的所有价格、税、费。在其他情况下，由于分项报价填报不完整、不清楚或存在其他任何失误，所导致的任何不利后果均应当由</w:t>
      </w:r>
      <w:r>
        <w:rPr>
          <w:rFonts w:hint="eastAsia" w:ascii="宋体" w:hAnsi="宋体" w:eastAsia="宋体" w:cs="宋体"/>
          <w:snapToGrid w:val="0"/>
          <w:color w:val="auto"/>
          <w:sz w:val="24"/>
          <w:szCs w:val="24"/>
          <w:highlight w:val="none"/>
          <w:lang w:val="zh-CN"/>
        </w:rPr>
        <w:t>供应商</w:t>
      </w:r>
      <w:r>
        <w:rPr>
          <w:rFonts w:hint="eastAsia" w:ascii="宋体" w:hAnsi="宋体" w:eastAsia="宋体" w:cs="宋体"/>
          <w:color w:val="auto"/>
          <w:kern w:val="2"/>
          <w:sz w:val="24"/>
          <w:szCs w:val="24"/>
          <w:highlight w:val="none"/>
        </w:rPr>
        <w:t>自行承担。</w:t>
      </w:r>
    </w:p>
    <w:p w14:paraId="009FDB1D">
      <w:pPr>
        <w:pStyle w:val="8"/>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snapToGrid w:val="0"/>
          <w:color w:val="auto"/>
          <w:sz w:val="24"/>
          <w:szCs w:val="24"/>
          <w:highlight w:val="none"/>
          <w:lang w:val="zh-CN"/>
        </w:rPr>
        <w:t>供应商</w:t>
      </w:r>
      <w:r>
        <w:rPr>
          <w:rFonts w:hint="eastAsia" w:ascii="宋体" w:hAnsi="宋体" w:eastAsia="宋体" w:cs="宋体"/>
          <w:color w:val="auto"/>
          <w:kern w:val="2"/>
          <w:sz w:val="24"/>
          <w:szCs w:val="24"/>
          <w:highlight w:val="none"/>
          <w:lang w:val="en-US" w:eastAsia="zh-CN"/>
        </w:rPr>
        <w:t xml:space="preserve">的报价应包括但不限于下列内容： </w:t>
      </w:r>
    </w:p>
    <w:p w14:paraId="058AFCD3">
      <w:pPr>
        <w:pStyle w:val="8"/>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snapToGrid w:val="0"/>
          <w:color w:val="auto"/>
          <w:kern w:val="2"/>
          <w:sz w:val="24"/>
          <w:szCs w:val="24"/>
          <w:highlight w:val="none"/>
          <w:lang w:val="en-US" w:eastAsia="zh-CN" w:bidi="ar-SA"/>
        </w:rPr>
        <w:t>14.2.1 谈判货物及标准附件、备品备件、专用工具等的出厂价（包括已在中国国内的进口货物完税后的仓库交货价、展室交货价或货架交货价）和运至最终</w:t>
      </w:r>
      <w:r>
        <w:rPr>
          <w:rFonts w:hint="eastAsia" w:ascii="宋体" w:hAnsi="宋体" w:eastAsia="宋体" w:cs="宋体"/>
          <w:color w:val="auto"/>
          <w:kern w:val="2"/>
          <w:sz w:val="24"/>
          <w:szCs w:val="24"/>
          <w:highlight w:val="none"/>
          <w:lang w:val="en-US" w:eastAsia="zh-CN"/>
        </w:rPr>
        <w:t xml:space="preserve">目的地的运输费和保险费，安装调试、检验、技术服务、培训、质量保证、售后服务、税费等； </w:t>
      </w:r>
    </w:p>
    <w:p w14:paraId="2ACD190C">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color w:val="auto"/>
          <w:kern w:val="2"/>
          <w:sz w:val="24"/>
          <w:szCs w:val="24"/>
          <w:highlight w:val="none"/>
          <w:lang w:val="en-US" w:eastAsia="zh-CN"/>
        </w:rPr>
        <w:t>14.2.2 按照</w:t>
      </w:r>
      <w:r>
        <w:rPr>
          <w:rFonts w:hint="eastAsia" w:cs="宋体"/>
          <w:color w:val="auto"/>
          <w:sz w:val="24"/>
          <w:szCs w:val="24"/>
          <w:highlight w:val="none"/>
          <w:lang w:val="en-US" w:eastAsia="zh-CN"/>
        </w:rPr>
        <w:t>谈判</w:t>
      </w:r>
      <w:r>
        <w:rPr>
          <w:rFonts w:hint="eastAsia" w:ascii="宋体" w:hAnsi="宋体" w:eastAsia="宋体" w:cs="宋体"/>
          <w:color w:val="auto"/>
          <w:kern w:val="2"/>
          <w:sz w:val="24"/>
          <w:szCs w:val="24"/>
          <w:highlight w:val="none"/>
          <w:lang w:val="en-US" w:eastAsia="zh-CN"/>
        </w:rPr>
        <w:t>文件要求完成本项目的全部相关费用。</w:t>
      </w:r>
    </w:p>
    <w:p w14:paraId="11C9B78F">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1</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lang w:val="zh-CN"/>
        </w:rPr>
        <w:t>.3</w:t>
      </w:r>
      <w:r>
        <w:rPr>
          <w:rFonts w:hint="eastAsia" w:ascii="宋体" w:hAnsi="宋体" w:eastAsia="宋体" w:cs="宋体"/>
          <w:snapToGrid w:val="0"/>
          <w:color w:val="auto"/>
          <w:sz w:val="24"/>
          <w:szCs w:val="24"/>
          <w:highlight w:val="none"/>
          <w:lang w:val="en-US" w:eastAsia="zh-CN"/>
        </w:rPr>
        <w:t>供应商</w:t>
      </w:r>
      <w:r>
        <w:rPr>
          <w:rFonts w:hint="eastAsia" w:ascii="宋体" w:hAnsi="宋体" w:eastAsia="宋体" w:cs="宋体"/>
          <w:snapToGrid w:val="0"/>
          <w:color w:val="auto"/>
          <w:sz w:val="24"/>
          <w:szCs w:val="24"/>
          <w:highlight w:val="none"/>
          <w:lang w:val="zh-CN"/>
        </w:rPr>
        <w:t>须严格按照报价明细表规定的内容填写货物单价以及其他事项。供应商应根据本</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文件的规定和要求、市场价格水平及其走势、</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供应商的管理水平、</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供应商的方案和由这些因素决定的</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供应商之于本项目的成本水平等提出自己的报价。报价应合理，并包含完成本</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文件</w:t>
      </w:r>
      <w:r>
        <w:rPr>
          <w:rFonts w:hint="eastAsia" w:ascii="宋体" w:hAnsi="宋体" w:eastAsia="宋体" w:cs="宋体"/>
          <w:snapToGrid w:val="0"/>
          <w:color w:val="auto"/>
          <w:sz w:val="24"/>
          <w:szCs w:val="24"/>
          <w:highlight w:val="none"/>
          <w:lang w:val="en-US" w:eastAsia="zh-CN"/>
        </w:rPr>
        <w:t>项目</w:t>
      </w:r>
      <w:r>
        <w:rPr>
          <w:rFonts w:hint="eastAsia" w:ascii="宋体" w:hAnsi="宋体" w:eastAsia="宋体" w:cs="宋体"/>
          <w:snapToGrid w:val="0"/>
          <w:color w:val="auto"/>
          <w:sz w:val="24"/>
          <w:szCs w:val="24"/>
          <w:highlight w:val="none"/>
          <w:lang w:val="zh-CN"/>
        </w:rPr>
        <w:t>采购需求全部内容的所有费用，所有根据本</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文件或其它原因应由</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供应商支付的税款和其他应交纳的费用都应包括在报价中。</w:t>
      </w:r>
    </w:p>
    <w:p w14:paraId="3DB7F190">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1</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lang w:val="zh-CN"/>
        </w:rPr>
        <w:t>.4供应商在响应文件中注明免费的项目将视为包含在报价中。</w:t>
      </w:r>
    </w:p>
    <w:p w14:paraId="2D8474D4">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5 </w:t>
      </w:r>
      <w:r>
        <w:rPr>
          <w:rFonts w:hint="eastAsia" w:ascii="宋体" w:hAnsi="宋体" w:eastAsia="宋体" w:cs="宋体"/>
          <w:color w:val="auto"/>
          <w:kern w:val="2"/>
          <w:sz w:val="24"/>
          <w:szCs w:val="24"/>
          <w:highlight w:val="none"/>
          <w:lang w:val="zh-CN" w:eastAsia="zh-CN"/>
        </w:rPr>
        <w:t>供应商</w:t>
      </w:r>
      <w:r>
        <w:rPr>
          <w:rFonts w:hint="eastAsia" w:ascii="宋体" w:hAnsi="宋体" w:eastAsia="宋体" w:cs="宋体"/>
          <w:color w:val="auto"/>
          <w:kern w:val="2"/>
          <w:sz w:val="24"/>
          <w:szCs w:val="24"/>
          <w:highlight w:val="none"/>
          <w:lang w:val="en-US" w:eastAsia="zh-CN"/>
        </w:rPr>
        <w:t>对</w:t>
      </w:r>
      <w:r>
        <w:rPr>
          <w:rFonts w:hint="eastAsia" w:cs="宋体"/>
          <w:color w:val="auto"/>
          <w:sz w:val="24"/>
          <w:szCs w:val="24"/>
          <w:highlight w:val="none"/>
          <w:lang w:val="en-US" w:eastAsia="zh-CN"/>
        </w:rPr>
        <w:t>谈判</w:t>
      </w:r>
      <w:r>
        <w:rPr>
          <w:rFonts w:hint="eastAsia" w:ascii="宋体" w:hAnsi="宋体" w:eastAsia="宋体" w:cs="宋体"/>
          <w:color w:val="auto"/>
          <w:kern w:val="2"/>
          <w:sz w:val="24"/>
          <w:szCs w:val="24"/>
          <w:highlight w:val="none"/>
        </w:rPr>
        <w:t>报价若有说明应在</w:t>
      </w:r>
      <w:r>
        <w:rPr>
          <w:rFonts w:hint="eastAsia" w:ascii="宋体" w:hAnsi="宋体" w:eastAsia="宋体" w:cs="宋体"/>
          <w:color w:val="auto"/>
          <w:kern w:val="2"/>
          <w:sz w:val="24"/>
          <w:szCs w:val="24"/>
          <w:highlight w:val="none"/>
          <w:lang w:val="en-US" w:eastAsia="zh-CN"/>
        </w:rPr>
        <w:t>响应</w:t>
      </w:r>
      <w:r>
        <w:rPr>
          <w:rFonts w:hint="eastAsia" w:ascii="宋体" w:hAnsi="宋体" w:eastAsia="宋体" w:cs="宋体"/>
          <w:color w:val="auto"/>
          <w:kern w:val="2"/>
          <w:sz w:val="24"/>
          <w:szCs w:val="24"/>
          <w:highlight w:val="none"/>
        </w:rPr>
        <w:t>文件中显著处注明。</w:t>
      </w:r>
    </w:p>
    <w:p w14:paraId="1719007D">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除政策性文件规定以外，</w:t>
      </w:r>
      <w:r>
        <w:rPr>
          <w:rFonts w:hint="eastAsia" w:ascii="宋体" w:hAnsi="宋体" w:eastAsia="宋体" w:cs="宋体"/>
          <w:color w:val="auto"/>
          <w:kern w:val="2"/>
          <w:sz w:val="24"/>
          <w:szCs w:val="24"/>
          <w:highlight w:val="none"/>
          <w:lang w:val="zh-CN"/>
        </w:rPr>
        <w:t>供应商</w:t>
      </w:r>
      <w:r>
        <w:rPr>
          <w:rFonts w:hint="eastAsia" w:ascii="宋体" w:hAnsi="宋体" w:eastAsia="宋体" w:cs="宋体"/>
          <w:color w:val="auto"/>
          <w:kern w:val="2"/>
          <w:sz w:val="24"/>
          <w:szCs w:val="24"/>
          <w:highlight w:val="none"/>
        </w:rPr>
        <w:t>所报价格在合同实施期间不因市场变化因素而变动。</w:t>
      </w:r>
    </w:p>
    <w:p w14:paraId="749D37C5">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6 </w:t>
      </w:r>
      <w:r>
        <w:rPr>
          <w:rFonts w:hint="eastAsia" w:ascii="宋体" w:hAnsi="宋体" w:eastAsia="宋体" w:cs="宋体"/>
          <w:color w:val="auto"/>
          <w:kern w:val="2"/>
          <w:sz w:val="24"/>
          <w:szCs w:val="24"/>
          <w:highlight w:val="none"/>
        </w:rPr>
        <w:t>对于有配件、耗材、选件、备件和特殊工具的货物，还应填报</w:t>
      </w:r>
      <w:r>
        <w:rPr>
          <w:rFonts w:hint="eastAsia" w:cs="宋体"/>
          <w:color w:val="auto"/>
          <w:sz w:val="24"/>
          <w:szCs w:val="24"/>
          <w:highlight w:val="none"/>
          <w:lang w:val="en-US" w:eastAsia="zh-CN"/>
        </w:rPr>
        <w:t>谈判</w:t>
      </w:r>
      <w:r>
        <w:rPr>
          <w:rFonts w:hint="eastAsia" w:ascii="宋体" w:hAnsi="宋体" w:eastAsia="宋体" w:cs="宋体"/>
          <w:color w:val="auto"/>
          <w:kern w:val="2"/>
          <w:sz w:val="24"/>
          <w:szCs w:val="24"/>
          <w:highlight w:val="none"/>
        </w:rPr>
        <w:t>货物配件、耗材、选件表和备件及特殊工具清单，注明品牌、型号、产地、功能、单价、批量折扣等内容，该表格格式由</w:t>
      </w:r>
      <w:r>
        <w:rPr>
          <w:rFonts w:hint="eastAsia" w:ascii="宋体" w:hAnsi="宋体" w:eastAsia="宋体" w:cs="宋体"/>
          <w:color w:val="auto"/>
          <w:kern w:val="2"/>
          <w:sz w:val="24"/>
          <w:szCs w:val="24"/>
          <w:highlight w:val="none"/>
          <w:lang w:val="zh-CN"/>
        </w:rPr>
        <w:t>供应商</w:t>
      </w:r>
      <w:r>
        <w:rPr>
          <w:rFonts w:hint="eastAsia" w:ascii="宋体" w:hAnsi="宋体" w:eastAsia="宋体" w:cs="宋体"/>
          <w:color w:val="auto"/>
          <w:kern w:val="2"/>
          <w:sz w:val="24"/>
          <w:szCs w:val="24"/>
          <w:highlight w:val="none"/>
        </w:rPr>
        <w:t>自行设计。</w:t>
      </w:r>
      <w:r>
        <w:rPr>
          <w:rFonts w:hint="eastAsia" w:ascii="宋体" w:hAnsi="宋体" w:eastAsia="宋体" w:cs="宋体"/>
          <w:color w:val="auto"/>
          <w:kern w:val="2"/>
          <w:sz w:val="24"/>
          <w:szCs w:val="24"/>
          <w:highlight w:val="none"/>
          <w:lang w:val="zh-CN"/>
        </w:rPr>
        <w:t>供应商</w:t>
      </w:r>
      <w:r>
        <w:rPr>
          <w:rFonts w:hint="eastAsia" w:ascii="宋体" w:hAnsi="宋体" w:eastAsia="宋体" w:cs="宋体"/>
          <w:color w:val="auto"/>
          <w:kern w:val="2"/>
          <w:sz w:val="24"/>
          <w:szCs w:val="24"/>
          <w:highlight w:val="none"/>
        </w:rPr>
        <w:t>按照上述要求分类报价，其目的是便于评</w:t>
      </w:r>
      <w:r>
        <w:rPr>
          <w:rFonts w:hint="eastAsia" w:ascii="宋体" w:hAnsi="宋体" w:eastAsia="宋体" w:cs="宋体"/>
          <w:color w:val="auto"/>
          <w:kern w:val="2"/>
          <w:sz w:val="24"/>
          <w:szCs w:val="24"/>
          <w:highlight w:val="none"/>
          <w:lang w:val="en-US" w:eastAsia="zh-CN"/>
        </w:rPr>
        <w:t>审</w:t>
      </w:r>
      <w:r>
        <w:rPr>
          <w:rFonts w:hint="eastAsia" w:ascii="宋体" w:hAnsi="宋体" w:eastAsia="宋体" w:cs="宋体"/>
          <w:color w:val="auto"/>
          <w:kern w:val="2"/>
          <w:sz w:val="24"/>
          <w:szCs w:val="24"/>
          <w:highlight w:val="none"/>
        </w:rPr>
        <w:t>，但在任何情况下并不限制采购人以其他条款签订合同的权利。</w:t>
      </w:r>
    </w:p>
    <w:p w14:paraId="2AA144BC">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2"/>
          <w:sz w:val="24"/>
          <w:szCs w:val="24"/>
          <w:highlight w:val="none"/>
          <w:lang w:val="en-US" w:eastAsia="zh-CN"/>
        </w:rPr>
        <w:t>14.</w:t>
      </w:r>
      <w:r>
        <w:rPr>
          <w:rFonts w:hint="eastAsia" w:cs="宋体"/>
          <w:color w:val="auto"/>
          <w:kern w:val="2"/>
          <w:sz w:val="24"/>
          <w:szCs w:val="24"/>
          <w:highlight w:val="none"/>
          <w:lang w:val="en-US" w:eastAsia="zh-CN"/>
        </w:rPr>
        <w:t>7</w:t>
      </w:r>
      <w:r>
        <w:rPr>
          <w:rFonts w:hint="eastAsia" w:ascii="宋体" w:hAnsi="宋体" w:eastAsia="宋体" w:cs="宋体"/>
          <w:color w:val="auto"/>
          <w:kern w:val="0"/>
          <w:sz w:val="24"/>
          <w:szCs w:val="24"/>
          <w:highlight w:val="none"/>
          <w:lang w:val="en-US" w:eastAsia="zh-CN" w:bidi="ar"/>
        </w:rPr>
        <w:t>采购人不得向供应商索要或者接受其给予的赠品、回扣或者与采购无关的其他商品、服务。</w:t>
      </w:r>
    </w:p>
    <w:p w14:paraId="4E58D7F7">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14.</w:t>
      </w:r>
      <w:r>
        <w:rPr>
          <w:rFonts w:hint="eastAsia" w:cs="宋体"/>
          <w:color w:val="auto"/>
          <w:kern w:val="0"/>
          <w:sz w:val="24"/>
          <w:szCs w:val="24"/>
          <w:highlight w:val="none"/>
          <w:lang w:val="en-US" w:eastAsia="zh-CN" w:bidi="ar"/>
        </w:rPr>
        <w:t>8</w:t>
      </w:r>
      <w:r>
        <w:rPr>
          <w:rFonts w:hint="eastAsia" w:ascii="宋体" w:hAnsi="宋体" w:eastAsia="宋体" w:cs="宋体"/>
          <w:color w:val="auto"/>
          <w:kern w:val="0"/>
          <w:sz w:val="24"/>
          <w:szCs w:val="24"/>
          <w:highlight w:val="none"/>
          <w:lang w:val="en-US" w:eastAsia="zh-CN" w:bidi="ar"/>
        </w:rPr>
        <w:t>供应商不能提供任何有选择性或可调整的报价（</w:t>
      </w:r>
      <w:r>
        <w:rPr>
          <w:rFonts w:hint="eastAsia" w:cs="宋体"/>
          <w:color w:val="auto"/>
          <w:sz w:val="24"/>
          <w:szCs w:val="24"/>
          <w:highlight w:val="none"/>
          <w:lang w:val="en-US" w:eastAsia="zh-CN"/>
        </w:rPr>
        <w:t>谈判</w:t>
      </w:r>
      <w:r>
        <w:rPr>
          <w:rFonts w:hint="eastAsia" w:ascii="宋体" w:hAnsi="宋体" w:eastAsia="宋体" w:cs="宋体"/>
          <w:color w:val="auto"/>
          <w:kern w:val="0"/>
          <w:sz w:val="24"/>
          <w:szCs w:val="24"/>
          <w:highlight w:val="none"/>
          <w:lang w:val="en-US" w:eastAsia="zh-CN" w:bidi="ar"/>
        </w:rPr>
        <w:t>文件另有规定的除外），否则其</w:t>
      </w:r>
      <w:r>
        <w:rPr>
          <w:rFonts w:hint="eastAsia" w:ascii="宋体" w:hAnsi="宋体" w:eastAsia="宋体" w:cs="宋体"/>
          <w:b/>
          <w:bCs/>
          <w:color w:val="auto"/>
          <w:kern w:val="0"/>
          <w:sz w:val="24"/>
          <w:szCs w:val="24"/>
          <w:highlight w:val="none"/>
          <w:lang w:val="en-US" w:eastAsia="zh-CN" w:bidi="ar"/>
        </w:rPr>
        <w:t>响应无效</w:t>
      </w:r>
      <w:r>
        <w:rPr>
          <w:rFonts w:hint="eastAsia" w:ascii="宋体" w:hAnsi="宋体" w:eastAsia="宋体" w:cs="宋体"/>
          <w:color w:val="auto"/>
          <w:kern w:val="0"/>
          <w:sz w:val="24"/>
          <w:szCs w:val="24"/>
          <w:highlight w:val="none"/>
          <w:lang w:val="en-US" w:eastAsia="zh-CN" w:bidi="ar"/>
        </w:rPr>
        <w:t>。</w:t>
      </w:r>
    </w:p>
    <w:p w14:paraId="0CD8AEF2">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45" w:name="_Toc109900388"/>
      <w:bookmarkStart w:id="246" w:name="_Toc46771657"/>
      <w:bookmarkStart w:id="247" w:name="_Toc46772258"/>
      <w:bookmarkStart w:id="248" w:name="_Toc470172682"/>
      <w:bookmarkStart w:id="249" w:name="_Toc109899550"/>
      <w:bookmarkStart w:id="250" w:name="_Toc51674228"/>
      <w:bookmarkStart w:id="251" w:name="_Toc109897451"/>
      <w:bookmarkStart w:id="252" w:name="_Toc109899969"/>
      <w:bookmarkStart w:id="253" w:name="_Toc48688806"/>
      <w:bookmarkStart w:id="254" w:name="_Toc52962744"/>
      <w:bookmarkStart w:id="255" w:name="_Toc52960570"/>
      <w:bookmarkStart w:id="256" w:name="_Toc5668"/>
      <w:bookmarkStart w:id="257" w:name="_Toc48846126"/>
      <w:bookmarkStart w:id="258" w:name="_Toc48688802"/>
      <w:bookmarkStart w:id="259" w:name="_Toc52962740"/>
      <w:bookmarkStart w:id="260" w:name="_Toc109897448"/>
      <w:bookmarkStart w:id="261" w:name="_Toc48846122"/>
      <w:bookmarkStart w:id="262" w:name="_Toc109899966"/>
      <w:bookmarkStart w:id="263" w:name="_Toc46772254"/>
      <w:bookmarkStart w:id="264" w:name="_Toc109899547"/>
      <w:bookmarkStart w:id="265" w:name="_Toc470172678"/>
      <w:bookmarkStart w:id="266" w:name="_Toc109900385"/>
      <w:bookmarkStart w:id="267" w:name="_Toc52960566"/>
      <w:bookmarkStart w:id="268" w:name="_Toc46771653"/>
      <w:bookmarkStart w:id="269" w:name="_Toc51674224"/>
      <w:bookmarkStart w:id="270" w:name="_Toc3324"/>
      <w:r>
        <w:rPr>
          <w:rFonts w:hint="eastAsia" w:ascii="宋体" w:hAnsi="宋体" w:eastAsia="宋体" w:cs="宋体"/>
          <w:b/>
          <w:bCs/>
          <w:color w:val="auto"/>
          <w:kern w:val="2"/>
          <w:sz w:val="24"/>
          <w:szCs w:val="24"/>
          <w:highlight w:val="none"/>
          <w:lang w:val="en-US" w:eastAsia="zh-CN" w:bidi="ar-SA"/>
        </w:rPr>
        <w:t>15.响应文件有效期</w:t>
      </w:r>
      <w:bookmarkEnd w:id="245"/>
      <w:bookmarkEnd w:id="246"/>
      <w:bookmarkEnd w:id="247"/>
      <w:bookmarkEnd w:id="248"/>
      <w:bookmarkEnd w:id="249"/>
      <w:bookmarkEnd w:id="250"/>
      <w:bookmarkEnd w:id="251"/>
      <w:bookmarkEnd w:id="252"/>
      <w:bookmarkEnd w:id="253"/>
      <w:bookmarkEnd w:id="254"/>
      <w:bookmarkEnd w:id="255"/>
      <w:bookmarkEnd w:id="256"/>
      <w:bookmarkEnd w:id="257"/>
    </w:p>
    <w:p w14:paraId="6C3E470C">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1</w:t>
      </w:r>
      <w:r>
        <w:rPr>
          <w:rFonts w:hint="eastAsia" w:ascii="宋体" w:hAnsi="宋体" w:eastAsia="宋体" w:cs="宋体"/>
          <w:snapToGrid w:val="0"/>
          <w:color w:val="auto"/>
          <w:sz w:val="24"/>
          <w:szCs w:val="24"/>
          <w:highlight w:val="none"/>
          <w:lang w:val="en-US" w:eastAsia="zh-CN"/>
        </w:rPr>
        <w:t>5</w:t>
      </w:r>
      <w:r>
        <w:rPr>
          <w:rFonts w:hint="eastAsia" w:ascii="宋体" w:hAnsi="宋体" w:eastAsia="宋体" w:cs="宋体"/>
          <w:snapToGrid w:val="0"/>
          <w:color w:val="auto"/>
          <w:sz w:val="24"/>
          <w:szCs w:val="24"/>
          <w:highlight w:val="none"/>
          <w:lang w:val="zh-CN"/>
        </w:rPr>
        <w:t>.1</w:t>
      </w:r>
      <w:r>
        <w:rPr>
          <w:rFonts w:hint="eastAsia" w:ascii="宋体" w:hAnsi="宋体" w:eastAsia="宋体" w:cs="宋体"/>
          <w:snapToGrid w:val="0"/>
          <w:color w:val="auto"/>
          <w:sz w:val="24"/>
          <w:szCs w:val="24"/>
          <w:highlight w:val="none"/>
          <w:lang w:val="en-US" w:eastAsia="zh-CN"/>
        </w:rPr>
        <w:t>供应商提交的</w:t>
      </w:r>
      <w:r>
        <w:rPr>
          <w:rFonts w:hint="eastAsia" w:ascii="宋体" w:hAnsi="宋体" w:eastAsia="宋体" w:cs="宋体"/>
          <w:snapToGrid w:val="0"/>
          <w:color w:val="auto"/>
          <w:sz w:val="24"/>
          <w:szCs w:val="24"/>
          <w:highlight w:val="none"/>
          <w:lang w:val="zh-CN"/>
        </w:rPr>
        <w:t>响应文件有效期见“供应商须知前附表”，</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供应商承诺的响应文件</w:t>
      </w:r>
      <w:r>
        <w:rPr>
          <w:rFonts w:hint="eastAsia" w:ascii="宋体" w:hAnsi="宋体" w:eastAsia="宋体" w:cs="宋体"/>
          <w:snapToGrid w:val="0"/>
          <w:color w:val="auto"/>
          <w:sz w:val="24"/>
          <w:szCs w:val="24"/>
          <w:highlight w:val="none"/>
          <w:lang w:val="zh-CN" w:eastAsia="zh-CN"/>
        </w:rPr>
        <w:t>有效期少于</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eastAsia="zh-CN"/>
        </w:rPr>
        <w:t>文件规定期限的，其</w:t>
      </w:r>
      <w:r>
        <w:rPr>
          <w:rFonts w:hint="eastAsia" w:ascii="宋体" w:hAnsi="宋体" w:eastAsia="宋体" w:cs="宋体"/>
          <w:b/>
          <w:bCs/>
          <w:snapToGrid w:val="0"/>
          <w:color w:val="auto"/>
          <w:sz w:val="24"/>
          <w:szCs w:val="24"/>
          <w:highlight w:val="none"/>
          <w:lang w:val="en-US" w:eastAsia="zh-CN"/>
        </w:rPr>
        <w:t>响应</w:t>
      </w:r>
      <w:r>
        <w:rPr>
          <w:rFonts w:hint="eastAsia" w:ascii="宋体" w:hAnsi="宋体" w:eastAsia="宋体" w:cs="宋体"/>
          <w:b/>
          <w:bCs/>
          <w:snapToGrid w:val="0"/>
          <w:color w:val="auto"/>
          <w:sz w:val="24"/>
          <w:szCs w:val="24"/>
          <w:highlight w:val="none"/>
          <w:lang w:val="zh-CN" w:eastAsia="zh-CN"/>
        </w:rPr>
        <w:t>无效</w:t>
      </w:r>
      <w:r>
        <w:rPr>
          <w:rFonts w:hint="eastAsia" w:ascii="宋体" w:hAnsi="宋体" w:eastAsia="宋体" w:cs="宋体"/>
          <w:snapToGrid w:val="0"/>
          <w:color w:val="auto"/>
          <w:sz w:val="24"/>
          <w:szCs w:val="24"/>
          <w:highlight w:val="none"/>
          <w:lang w:val="zh-CN" w:eastAsia="zh-CN"/>
        </w:rPr>
        <w:t>。</w:t>
      </w:r>
    </w:p>
    <w:p w14:paraId="4DFC2505">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15.2 响应文件有效期从递交响应文件的截止之日起算。响应文件中承诺的有效期应当不少于竞争性</w:t>
      </w:r>
      <w:r>
        <w:rPr>
          <w:rFonts w:hint="eastAsia" w:cs="宋体"/>
          <w:color w:val="auto"/>
          <w:sz w:val="24"/>
          <w:szCs w:val="24"/>
          <w:highlight w:val="none"/>
          <w:lang w:val="en-US" w:eastAsia="zh-CN"/>
        </w:rPr>
        <w:t>谈判</w:t>
      </w:r>
      <w:r>
        <w:rPr>
          <w:rFonts w:hint="eastAsia" w:ascii="宋体" w:hAnsi="宋体" w:eastAsia="宋体" w:cs="宋体"/>
          <w:snapToGrid w:val="0"/>
          <w:color w:val="auto"/>
          <w:kern w:val="2"/>
          <w:sz w:val="24"/>
          <w:szCs w:val="24"/>
          <w:highlight w:val="none"/>
          <w:lang w:val="en-US" w:eastAsia="zh-CN" w:bidi="ar-SA"/>
        </w:rPr>
        <w:t>文件中载明的响应文件有效期。响应文件有效期内供应商撤销响应文件的，采购人或者采购代理机构可以不退还</w:t>
      </w:r>
      <w:r>
        <w:rPr>
          <w:rFonts w:hint="eastAsia" w:cs="宋体"/>
          <w:color w:val="auto"/>
          <w:sz w:val="24"/>
          <w:szCs w:val="24"/>
          <w:highlight w:val="none"/>
          <w:lang w:val="en-US" w:eastAsia="zh-CN"/>
        </w:rPr>
        <w:t>谈判</w:t>
      </w:r>
      <w:r>
        <w:rPr>
          <w:rFonts w:hint="eastAsia" w:ascii="宋体" w:hAnsi="宋体" w:eastAsia="宋体" w:cs="宋体"/>
          <w:snapToGrid w:val="0"/>
          <w:color w:val="auto"/>
          <w:kern w:val="2"/>
          <w:sz w:val="24"/>
          <w:szCs w:val="24"/>
          <w:highlight w:val="none"/>
          <w:lang w:val="en-US" w:eastAsia="zh-CN" w:bidi="ar-SA"/>
        </w:rPr>
        <w:t>保证金。</w:t>
      </w:r>
    </w:p>
    <w:p w14:paraId="414B33F5">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kern w:val="2"/>
          <w:sz w:val="24"/>
          <w:szCs w:val="24"/>
          <w:highlight w:val="none"/>
          <w:lang w:val="zh-CN" w:eastAsia="zh-CN" w:bidi="ar-SA"/>
        </w:rPr>
        <w:t>1</w:t>
      </w:r>
      <w:r>
        <w:rPr>
          <w:rFonts w:hint="eastAsia" w:ascii="宋体" w:hAnsi="宋体" w:eastAsia="宋体" w:cs="宋体"/>
          <w:snapToGrid w:val="0"/>
          <w:color w:val="auto"/>
          <w:kern w:val="2"/>
          <w:sz w:val="24"/>
          <w:szCs w:val="24"/>
          <w:highlight w:val="none"/>
          <w:lang w:val="en-US" w:eastAsia="zh-CN" w:bidi="ar-SA"/>
        </w:rPr>
        <w:t>5</w:t>
      </w:r>
      <w:r>
        <w:rPr>
          <w:rFonts w:hint="eastAsia" w:ascii="宋体" w:hAnsi="宋体" w:eastAsia="宋体" w:cs="宋体"/>
          <w:snapToGrid w:val="0"/>
          <w:color w:val="auto"/>
          <w:kern w:val="2"/>
          <w:sz w:val="24"/>
          <w:szCs w:val="24"/>
          <w:highlight w:val="none"/>
          <w:lang w:val="zh-CN" w:eastAsia="zh-CN" w:bidi="ar-SA"/>
        </w:rPr>
        <w:t>.</w:t>
      </w:r>
      <w:r>
        <w:rPr>
          <w:rFonts w:hint="eastAsia" w:ascii="宋体" w:hAnsi="宋体" w:eastAsia="宋体" w:cs="宋体"/>
          <w:snapToGrid w:val="0"/>
          <w:color w:val="auto"/>
          <w:kern w:val="2"/>
          <w:sz w:val="24"/>
          <w:szCs w:val="24"/>
          <w:highlight w:val="none"/>
          <w:lang w:val="en-US" w:eastAsia="zh-CN" w:bidi="ar-SA"/>
        </w:rPr>
        <w:t>3</w:t>
      </w:r>
      <w:r>
        <w:rPr>
          <w:rFonts w:hint="eastAsia" w:ascii="宋体" w:hAnsi="宋体" w:eastAsia="宋体" w:cs="宋体"/>
          <w:snapToGrid w:val="0"/>
          <w:color w:val="auto"/>
          <w:kern w:val="2"/>
          <w:sz w:val="24"/>
          <w:szCs w:val="24"/>
          <w:highlight w:val="none"/>
          <w:lang w:val="zh-CN" w:eastAsia="zh-CN" w:bidi="ar-SA"/>
        </w:rPr>
        <w:t>特殊情况下，在原响应文件有效期截止之前，采购代理机构或采购人</w:t>
      </w:r>
      <w:r>
        <w:rPr>
          <w:rFonts w:hint="eastAsia" w:ascii="宋体" w:hAnsi="宋体" w:eastAsia="宋体" w:cs="宋体"/>
          <w:snapToGrid w:val="0"/>
          <w:color w:val="auto"/>
          <w:sz w:val="24"/>
          <w:szCs w:val="24"/>
          <w:highlight w:val="none"/>
          <w:lang w:val="zh-CN"/>
        </w:rPr>
        <w:t>可要求供应商延长响应文件有效期。需要延长响应文件有效期时，采购代理机构或采购人将以书面形式通知所有</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供应商，供应商应以书面形式答复是否同意延长响应文件有效期。</w:t>
      </w:r>
    </w:p>
    <w:p w14:paraId="3803927F">
      <w:pPr>
        <w:keepNext w:val="0"/>
        <w:keepLines w:val="0"/>
        <w:pageBreakBefore w:val="0"/>
        <w:widowControl w:val="0"/>
        <w:shd w:val="clear"/>
        <w:tabs>
          <w:tab w:val="left" w:pos="426"/>
        </w:tabs>
        <w:kinsoku/>
        <w:overflowPunct/>
        <w:topLinePunct w:val="0"/>
        <w:autoSpaceDE w:val="0"/>
        <w:autoSpaceDN w:val="0"/>
        <w:bidi w:val="0"/>
        <w:adjustRightInd w:val="0"/>
        <w:snapToGrid w:val="0"/>
        <w:ind w:firstLine="480" w:firstLineChars="20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1</w:t>
      </w:r>
      <w:r>
        <w:rPr>
          <w:rFonts w:hint="eastAsia" w:ascii="宋体" w:hAnsi="宋体" w:eastAsia="宋体" w:cs="宋体"/>
          <w:snapToGrid w:val="0"/>
          <w:color w:val="auto"/>
          <w:sz w:val="24"/>
          <w:szCs w:val="24"/>
          <w:highlight w:val="none"/>
          <w:lang w:val="en-US" w:eastAsia="zh-CN"/>
        </w:rPr>
        <w:t>5</w:t>
      </w:r>
      <w:r>
        <w:rPr>
          <w:rFonts w:hint="eastAsia" w:ascii="宋体" w:hAnsi="宋体" w:eastAsia="宋体" w:cs="宋体"/>
          <w:snapToGrid w:val="0"/>
          <w:color w:val="auto"/>
          <w:sz w:val="24"/>
          <w:szCs w:val="24"/>
          <w:highlight w:val="none"/>
          <w:lang w:val="zh-CN"/>
        </w:rPr>
        <w:t>.</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lang w:val="zh-CN"/>
        </w:rPr>
        <w:t>供应商同意延长的，</w:t>
      </w:r>
      <w:r>
        <w:rPr>
          <w:rFonts w:hint="eastAsia" w:ascii="宋体" w:hAnsi="宋体" w:eastAsia="宋体" w:cs="宋体"/>
          <w:snapToGrid w:val="0"/>
          <w:color w:val="auto"/>
          <w:sz w:val="24"/>
          <w:szCs w:val="24"/>
          <w:highlight w:val="none"/>
          <w:lang w:val="en-US" w:eastAsia="zh-CN"/>
        </w:rPr>
        <w:t>其</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保证金的有效期也相应延长</w:t>
      </w:r>
      <w:r>
        <w:rPr>
          <w:rFonts w:hint="eastAsia" w:ascii="宋体" w:hAnsi="宋体" w:eastAsia="宋体" w:cs="宋体"/>
          <w:snapToGrid w:val="0"/>
          <w:color w:val="auto"/>
          <w:sz w:val="24"/>
          <w:szCs w:val="24"/>
          <w:highlight w:val="none"/>
          <w:lang w:val="zh-CN" w:eastAsia="zh-CN"/>
        </w:rPr>
        <w:t>，</w:t>
      </w:r>
      <w:r>
        <w:rPr>
          <w:rFonts w:hint="eastAsia" w:ascii="宋体" w:hAnsi="宋体" w:eastAsia="宋体" w:cs="宋体"/>
          <w:snapToGrid w:val="0"/>
          <w:color w:val="auto"/>
          <w:sz w:val="24"/>
          <w:szCs w:val="24"/>
          <w:highlight w:val="none"/>
          <w:lang w:val="zh-CN"/>
        </w:rPr>
        <w:t>不得要求或被允许修改或撤销其响应文件；供应商拒绝延长的，其响应文件在原响应文件有效期满后将不再有效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但其提交的</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保证金可予以退还</w:t>
      </w:r>
      <w:r>
        <w:rPr>
          <w:rFonts w:hint="eastAsia" w:ascii="宋体" w:hAnsi="宋体" w:eastAsia="宋体" w:cs="宋体"/>
          <w:snapToGrid w:val="0"/>
          <w:color w:val="auto"/>
          <w:sz w:val="24"/>
          <w:szCs w:val="24"/>
          <w:highlight w:val="none"/>
          <w:lang w:val="zh-CN"/>
        </w:rPr>
        <w:t>。</w:t>
      </w:r>
    </w:p>
    <w:bookmarkEnd w:id="258"/>
    <w:bookmarkEnd w:id="259"/>
    <w:bookmarkEnd w:id="260"/>
    <w:bookmarkEnd w:id="261"/>
    <w:bookmarkEnd w:id="262"/>
    <w:bookmarkEnd w:id="263"/>
    <w:bookmarkEnd w:id="264"/>
    <w:bookmarkEnd w:id="265"/>
    <w:bookmarkEnd w:id="266"/>
    <w:bookmarkEnd w:id="267"/>
    <w:bookmarkEnd w:id="268"/>
    <w:bookmarkEnd w:id="269"/>
    <w:bookmarkEnd w:id="270"/>
    <w:p w14:paraId="26D695E6">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16.响应文件的编制</w:t>
      </w:r>
      <w:bookmarkEnd w:id="231"/>
      <w:bookmarkEnd w:id="232"/>
      <w:bookmarkEnd w:id="233"/>
      <w:bookmarkEnd w:id="234"/>
      <w:bookmarkEnd w:id="235"/>
      <w:bookmarkEnd w:id="236"/>
      <w:bookmarkEnd w:id="237"/>
      <w:bookmarkEnd w:id="238"/>
      <w:bookmarkEnd w:id="239"/>
      <w:bookmarkEnd w:id="240"/>
      <w:bookmarkEnd w:id="241"/>
      <w:bookmarkEnd w:id="242"/>
      <w:bookmarkEnd w:id="243"/>
    </w:p>
    <w:p w14:paraId="710ABAB7">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中进行编制，在</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文件中要求加盖印章的，除有特殊说明之外，</w:t>
      </w:r>
      <w:r>
        <w:rPr>
          <w:rFonts w:hint="eastAsia" w:ascii="宋体" w:hAnsi="宋体" w:eastAsia="宋体" w:cs="宋体"/>
          <w:color w:val="auto"/>
          <w:sz w:val="24"/>
          <w:szCs w:val="24"/>
          <w:highlight w:val="none"/>
          <w:lang w:val="en-US" w:eastAsia="zh-CN"/>
        </w:rPr>
        <w:t>可</w:t>
      </w:r>
      <w:r>
        <w:rPr>
          <w:rFonts w:hint="eastAsia" w:ascii="宋体" w:hAnsi="宋体" w:eastAsia="宋体" w:cs="宋体"/>
          <w:color w:val="auto"/>
          <w:sz w:val="24"/>
          <w:szCs w:val="24"/>
          <w:highlight w:val="none"/>
        </w:rPr>
        <w:t>使用电子签章签署。</w:t>
      </w:r>
    </w:p>
    <w:p w14:paraId="6FD5FFC6">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中按照</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中的格式要求填写响应内容后，生成</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须按照</w:t>
      </w:r>
      <w:r>
        <w:rPr>
          <w:rFonts w:hint="eastAsia" w:ascii="宋体" w:hAnsi="宋体" w:eastAsia="宋体" w:cs="宋体"/>
          <w:color w:val="auto"/>
          <w:sz w:val="24"/>
          <w:szCs w:val="24"/>
          <w:highlight w:val="none"/>
          <w:lang w:val="en-US" w:eastAsia="zh-CN"/>
        </w:rPr>
        <w:t>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文件的要求对要求加盖印章的部分逐一进行签章。</w:t>
      </w:r>
    </w:p>
    <w:p w14:paraId="4BB98241">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3供应商</w:t>
      </w:r>
      <w:r>
        <w:rPr>
          <w:rFonts w:hint="eastAsia" w:ascii="宋体" w:hAnsi="宋体" w:eastAsia="宋体" w:cs="宋体"/>
          <w:color w:val="auto"/>
          <w:sz w:val="24"/>
          <w:szCs w:val="24"/>
          <w:highlight w:val="none"/>
        </w:rPr>
        <w:t>应详细阅读</w:t>
      </w:r>
      <w:r>
        <w:rPr>
          <w:rFonts w:hint="eastAsia" w:ascii="宋体" w:hAnsi="宋体" w:eastAsia="宋体" w:cs="宋体"/>
          <w:color w:val="auto"/>
          <w:sz w:val="24"/>
          <w:szCs w:val="24"/>
          <w:highlight w:val="none"/>
          <w:lang w:val="en-US" w:eastAsia="zh-CN"/>
        </w:rPr>
        <w:t>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文件的全部内容。</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文件须对</w:t>
      </w:r>
      <w:r>
        <w:rPr>
          <w:rFonts w:hint="eastAsia" w:ascii="宋体" w:hAnsi="宋体" w:eastAsia="宋体" w:cs="宋体"/>
          <w:color w:val="auto"/>
          <w:sz w:val="24"/>
          <w:szCs w:val="24"/>
          <w:highlight w:val="none"/>
          <w:lang w:val="en-US" w:eastAsia="zh-CN"/>
        </w:rPr>
        <w:t>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文件中的内容作出实质性和完整的响应，如果</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文件填报的内容不详，或没有提供</w:t>
      </w:r>
      <w:r>
        <w:rPr>
          <w:rFonts w:hint="eastAsia" w:ascii="宋体" w:hAnsi="宋体" w:eastAsia="宋体" w:cs="宋体"/>
          <w:color w:val="auto"/>
          <w:sz w:val="24"/>
          <w:szCs w:val="24"/>
          <w:highlight w:val="none"/>
          <w:lang w:val="en-US" w:eastAsia="zh-CN"/>
        </w:rPr>
        <w:t>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文件中所要求的全部资料及数据，</w:t>
      </w:r>
      <w:r>
        <w:rPr>
          <w:rFonts w:hint="eastAsia" w:ascii="宋体" w:hAnsi="宋体" w:eastAsia="宋体" w:cs="宋体"/>
          <w:b w:val="0"/>
          <w:bCs w:val="0"/>
          <w:color w:val="auto"/>
          <w:sz w:val="24"/>
          <w:szCs w:val="24"/>
          <w:highlight w:val="none"/>
        </w:rPr>
        <w:t>将可能</w:t>
      </w:r>
      <w:r>
        <w:rPr>
          <w:rFonts w:hint="eastAsia" w:ascii="宋体" w:hAnsi="宋体" w:eastAsia="宋体" w:cs="宋体"/>
          <w:b/>
          <w:bCs/>
          <w:color w:val="auto"/>
          <w:sz w:val="24"/>
          <w:szCs w:val="24"/>
          <w:highlight w:val="none"/>
        </w:rPr>
        <w:t>导致</w:t>
      </w:r>
      <w:r>
        <w:rPr>
          <w:rFonts w:hint="eastAsia" w:ascii="宋体" w:hAnsi="宋体" w:eastAsia="宋体" w:cs="宋体"/>
          <w:b/>
          <w:bCs/>
          <w:color w:val="auto"/>
          <w:sz w:val="24"/>
          <w:szCs w:val="24"/>
          <w:highlight w:val="none"/>
          <w:lang w:val="en-US" w:eastAsia="zh-CN"/>
        </w:rPr>
        <w:t>其</w:t>
      </w:r>
      <w:r>
        <w:rPr>
          <w:rFonts w:hint="eastAsia" w:ascii="宋体"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color w:val="auto"/>
          <w:sz w:val="24"/>
          <w:szCs w:val="24"/>
          <w:highlight w:val="none"/>
        </w:rPr>
        <w:t>。</w:t>
      </w:r>
    </w:p>
    <w:p w14:paraId="2D3AC267">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4响应</w:t>
      </w:r>
      <w:r>
        <w:rPr>
          <w:rFonts w:hint="eastAsia" w:ascii="宋体" w:hAnsi="宋体" w:eastAsia="宋体" w:cs="宋体"/>
          <w:color w:val="auto"/>
          <w:sz w:val="24"/>
          <w:szCs w:val="24"/>
          <w:highlight w:val="none"/>
        </w:rPr>
        <w:t>文件须严格按照</w:t>
      </w:r>
      <w:r>
        <w:rPr>
          <w:rFonts w:hint="eastAsia" w:ascii="宋体" w:hAnsi="宋体" w:eastAsia="宋体" w:cs="宋体"/>
          <w:color w:val="auto"/>
          <w:sz w:val="24"/>
          <w:szCs w:val="24"/>
          <w:highlight w:val="none"/>
          <w:lang w:val="en-US" w:eastAsia="zh-CN"/>
        </w:rPr>
        <w:t>本竞争性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文件第</w:t>
      </w:r>
      <w:r>
        <w:rPr>
          <w:rFonts w:hint="eastAsia" w:ascii="宋体" w:hAnsi="宋体" w:eastAsia="宋体" w:cs="宋体"/>
          <w:color w:val="auto"/>
          <w:sz w:val="24"/>
          <w:szCs w:val="24"/>
          <w:highlight w:val="none"/>
          <w:lang w:val="en-US" w:eastAsia="zh-CN"/>
        </w:rPr>
        <w:t>六章</w:t>
      </w:r>
      <w:r>
        <w:rPr>
          <w:rFonts w:hint="eastAsia" w:ascii="宋体" w:hAnsi="宋体" w:eastAsia="宋体" w:cs="宋体"/>
          <w:color w:val="auto"/>
          <w:sz w:val="24"/>
          <w:szCs w:val="24"/>
          <w:highlight w:val="none"/>
        </w:rPr>
        <w:t>规定的格式提交，并按规定的统一格式逐项填写，不准有空项；无相应内容可填</w:t>
      </w:r>
      <w:r>
        <w:rPr>
          <w:rFonts w:hint="eastAsia" w:ascii="宋体" w:hAnsi="宋体" w:eastAsia="宋体" w:cs="宋体"/>
          <w:color w:val="auto"/>
          <w:sz w:val="24"/>
          <w:szCs w:val="24"/>
          <w:highlight w:val="none"/>
          <w:lang w:eastAsia="zh-CN"/>
        </w:rPr>
        <w:t>写的部分</w:t>
      </w:r>
      <w:r>
        <w:rPr>
          <w:rFonts w:hint="eastAsia" w:ascii="宋体" w:hAnsi="宋体" w:eastAsia="宋体" w:cs="宋体"/>
          <w:color w:val="auto"/>
          <w:sz w:val="24"/>
          <w:szCs w:val="24"/>
          <w:highlight w:val="none"/>
        </w:rPr>
        <w:t>，应填写“无”、“未测试”、“没有相应指标”等明确的文字回答。由于编排混乱导致</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文件被误读或查找不到，其责任由</w:t>
      </w:r>
      <w:r>
        <w:rPr>
          <w:rFonts w:hint="eastAsia" w:ascii="宋体" w:hAnsi="宋体" w:eastAsia="宋体" w:cs="宋体"/>
          <w:color w:val="auto"/>
          <w:sz w:val="24"/>
          <w:szCs w:val="24"/>
          <w:highlight w:val="none"/>
          <w:lang w:val="en-US" w:eastAsia="zh-CN"/>
        </w:rPr>
        <w:t>供应商自行</w:t>
      </w:r>
      <w:r>
        <w:rPr>
          <w:rFonts w:hint="eastAsia" w:ascii="宋体" w:hAnsi="宋体" w:eastAsia="宋体" w:cs="宋体"/>
          <w:color w:val="auto"/>
          <w:sz w:val="24"/>
          <w:szCs w:val="24"/>
          <w:highlight w:val="none"/>
        </w:rPr>
        <w:t>承担。</w:t>
      </w:r>
    </w:p>
    <w:p w14:paraId="0AB47C84">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5供应商</w:t>
      </w:r>
      <w:r>
        <w:rPr>
          <w:rFonts w:hint="eastAsia" w:ascii="宋体" w:hAnsi="宋体" w:eastAsia="宋体" w:cs="宋体"/>
          <w:color w:val="auto"/>
          <w:sz w:val="24"/>
          <w:szCs w:val="24"/>
          <w:highlight w:val="none"/>
        </w:rPr>
        <w:t>须注意：为合理节约政府采购评审成本，提倡诚实信用的</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行为，特别要求</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应本着诚信精神，在本次</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文件的偏离表中，均以审慎的态度明确、清楚地披露各项偏离。若</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对某一事项是否存在或是否属于偏离不能确定，亦必须在偏离表中清楚地表明该偏离事项，并可以注明不能确定的字样。任何情况下，对于</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没有在偏离表中明确、清楚地披露的事项，包括可能属于被</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在偏离表中遗漏披露的事项，一旦在评审中被发现存在偏离或被认定为属于偏离，则评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委员会有权视具体情形评审时予以处理，</w:t>
      </w:r>
      <w:r>
        <w:rPr>
          <w:rFonts w:hint="eastAsia" w:ascii="宋体" w:hAnsi="宋体" w:eastAsia="宋体" w:cs="宋体"/>
          <w:b/>
          <w:bCs/>
          <w:color w:val="auto"/>
          <w:sz w:val="24"/>
          <w:szCs w:val="24"/>
          <w:highlight w:val="none"/>
        </w:rPr>
        <w:t>将可能导致</w:t>
      </w:r>
      <w:r>
        <w:rPr>
          <w:rFonts w:hint="eastAsia" w:ascii="宋体"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color w:val="auto"/>
          <w:sz w:val="24"/>
          <w:szCs w:val="24"/>
          <w:highlight w:val="none"/>
        </w:rPr>
        <w:t>。</w:t>
      </w:r>
    </w:p>
    <w:p w14:paraId="54FCBEFF">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6供应商</w:t>
      </w:r>
      <w:r>
        <w:rPr>
          <w:rFonts w:hint="eastAsia" w:ascii="宋体" w:hAnsi="宋体" w:eastAsia="宋体" w:cs="宋体"/>
          <w:color w:val="auto"/>
          <w:sz w:val="24"/>
          <w:szCs w:val="24"/>
          <w:highlight w:val="none"/>
        </w:rPr>
        <w:t>必须保证</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文件所提供的全部资料</w:t>
      </w:r>
      <w:r>
        <w:rPr>
          <w:rFonts w:hint="eastAsia" w:ascii="宋体" w:hAnsi="宋体" w:eastAsia="宋体" w:cs="宋体"/>
          <w:color w:val="auto"/>
          <w:sz w:val="24"/>
          <w:szCs w:val="24"/>
          <w:highlight w:val="none"/>
          <w:lang w:eastAsia="zh-CN"/>
        </w:rPr>
        <w:t>合法、</w:t>
      </w:r>
      <w:r>
        <w:rPr>
          <w:rFonts w:hint="eastAsia" w:ascii="宋体" w:hAnsi="宋体" w:eastAsia="宋体" w:cs="宋体"/>
          <w:color w:val="auto"/>
          <w:sz w:val="24"/>
          <w:szCs w:val="24"/>
          <w:highlight w:val="none"/>
        </w:rPr>
        <w:t>真实可靠，并接受采购</w:t>
      </w:r>
      <w:r>
        <w:rPr>
          <w:rFonts w:hint="eastAsia" w:ascii="宋体" w:hAnsi="宋体" w:eastAsia="宋体" w:cs="宋体"/>
          <w:color w:val="auto"/>
          <w:sz w:val="24"/>
          <w:szCs w:val="24"/>
          <w:highlight w:val="none"/>
          <w:lang w:val="en-US" w:eastAsia="zh-CN"/>
        </w:rPr>
        <w:t>人、采购</w:t>
      </w:r>
      <w:r>
        <w:rPr>
          <w:rFonts w:hint="eastAsia" w:ascii="宋体" w:hAnsi="宋体" w:eastAsia="宋体" w:cs="宋体"/>
          <w:color w:val="auto"/>
          <w:sz w:val="24"/>
          <w:szCs w:val="24"/>
          <w:highlight w:val="none"/>
        </w:rPr>
        <w:t>代理机构或评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委员会对其中任何资料进一步审查的要求。</w:t>
      </w:r>
    </w:p>
    <w:p w14:paraId="7064EC31">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7供应商</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cs="宋体"/>
          <w:b/>
          <w:bCs/>
          <w:color w:val="auto"/>
          <w:sz w:val="24"/>
          <w:szCs w:val="24"/>
          <w:highlight w:val="none"/>
        </w:rPr>
        <w:t>无效</w:t>
      </w:r>
      <w:r>
        <w:rPr>
          <w:rFonts w:hint="eastAsia" w:ascii="宋体" w:hAnsi="宋体" w:eastAsia="宋体" w:cs="宋体"/>
          <w:b/>
          <w:bCs/>
          <w:color w:val="auto"/>
          <w:sz w:val="24"/>
          <w:szCs w:val="24"/>
          <w:highlight w:val="none"/>
          <w:lang w:val="en-US" w:eastAsia="zh-CN"/>
        </w:rPr>
        <w:t>响应</w:t>
      </w:r>
      <w:r>
        <w:rPr>
          <w:rFonts w:hint="eastAsia" w:ascii="宋体" w:hAnsi="宋体" w:eastAsia="宋体" w:cs="宋体"/>
          <w:color w:val="auto"/>
          <w:sz w:val="24"/>
          <w:szCs w:val="24"/>
          <w:highlight w:val="none"/>
        </w:rPr>
        <w:t>处理。</w:t>
      </w:r>
    </w:p>
    <w:p w14:paraId="4071B617">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16.8电子响应文件的编制</w:t>
      </w:r>
    </w:p>
    <w:p w14:paraId="4A87E245">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16.8.1电子响应文件需按竞争性</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文件要求进行制作编制。响应文件制作时，不同内容按标签提示制作导入，按照竞争性</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文件中明确的响应文件目录和格式进行编制，保证目录清晰、内容完整。           </w:t>
      </w:r>
    </w:p>
    <w:p w14:paraId="1D4C561F">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16.8.2电子</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文件及响应文件具有法律效力，与其他形式的</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文件及响应文件在内容和格式上等同，若响应文件与竞争性</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文件要求不一致，其内容影响成交结果时，责任由供应商自行承担。供应商递交的电子响应文件因供应商自身原因而导致无法导入电子辅助评标系统，该响应文件被视为无效响应文件，</w:t>
      </w:r>
      <w:r>
        <w:rPr>
          <w:rFonts w:hint="eastAsia" w:ascii="宋体" w:hAnsi="宋体" w:eastAsia="宋体" w:cs="宋体"/>
          <w:b/>
          <w:bCs/>
          <w:iCs/>
          <w:color w:val="auto"/>
          <w:kern w:val="2"/>
          <w:sz w:val="24"/>
          <w:szCs w:val="24"/>
          <w:highlight w:val="none"/>
          <w:shd w:val="clear" w:color="auto" w:fill="FFFFFF" w:themeFill="background1"/>
          <w:lang w:val="en-US" w:eastAsia="zh-CN" w:bidi="ar-SA"/>
        </w:rPr>
        <w:t>其响应无效</w:t>
      </w:r>
      <w:r>
        <w:rPr>
          <w:rFonts w:hint="eastAsia" w:ascii="宋体" w:hAnsi="宋体" w:eastAsia="宋体" w:cs="宋体"/>
          <w:b/>
          <w:bCs/>
          <w:color w:val="auto"/>
          <w:sz w:val="24"/>
          <w:szCs w:val="24"/>
          <w:highlight w:val="none"/>
        </w:rPr>
        <w:t>。</w:t>
      </w:r>
    </w:p>
    <w:p w14:paraId="72852751">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71" w:name="_Toc109899552"/>
      <w:bookmarkStart w:id="272" w:name="_Toc470172684"/>
      <w:bookmarkStart w:id="273" w:name="_Toc109897453"/>
      <w:bookmarkStart w:id="274" w:name="_Toc46771659"/>
      <w:bookmarkStart w:id="275" w:name="_Toc109900390"/>
      <w:bookmarkStart w:id="276" w:name="_Toc109899971"/>
      <w:bookmarkStart w:id="277" w:name="_Toc163493614"/>
      <w:bookmarkStart w:id="278" w:name="_Toc6033"/>
      <w:r>
        <w:rPr>
          <w:rFonts w:hint="eastAsia" w:ascii="宋体" w:hAnsi="宋体" w:eastAsia="宋体" w:cs="宋体"/>
          <w:b/>
          <w:bCs/>
          <w:color w:val="auto"/>
          <w:kern w:val="2"/>
          <w:sz w:val="24"/>
          <w:szCs w:val="24"/>
          <w:highlight w:val="none"/>
          <w:lang w:val="en-US" w:eastAsia="zh-CN" w:bidi="ar-SA"/>
        </w:rPr>
        <w:t>（四）响应文件的</w:t>
      </w:r>
      <w:bookmarkEnd w:id="271"/>
      <w:bookmarkEnd w:id="272"/>
      <w:bookmarkEnd w:id="273"/>
      <w:bookmarkEnd w:id="274"/>
      <w:bookmarkEnd w:id="275"/>
      <w:bookmarkEnd w:id="276"/>
      <w:r>
        <w:rPr>
          <w:rFonts w:hint="eastAsia" w:ascii="宋体" w:hAnsi="宋体" w:eastAsia="宋体" w:cs="宋体"/>
          <w:b/>
          <w:bCs/>
          <w:color w:val="auto"/>
          <w:kern w:val="2"/>
          <w:sz w:val="24"/>
          <w:szCs w:val="24"/>
          <w:highlight w:val="none"/>
          <w:lang w:val="en-US" w:eastAsia="zh-CN" w:bidi="ar-SA"/>
        </w:rPr>
        <w:t>递交</w:t>
      </w:r>
      <w:bookmarkEnd w:id="277"/>
      <w:bookmarkEnd w:id="278"/>
    </w:p>
    <w:p w14:paraId="01810122">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79" w:name="_Toc109900070"/>
      <w:bookmarkStart w:id="280" w:name="_Toc109900489"/>
      <w:bookmarkStart w:id="281" w:name="_Toc109899651"/>
      <w:bookmarkStart w:id="282" w:name="_Toc109897552"/>
      <w:bookmarkStart w:id="283" w:name="_Toc156490296"/>
      <w:bookmarkStart w:id="284" w:name="_Toc155095707"/>
      <w:bookmarkStart w:id="285" w:name="_Toc109900071"/>
      <w:bookmarkStart w:id="286" w:name="_Toc109900490"/>
      <w:bookmarkStart w:id="287" w:name="_Toc109899652"/>
      <w:bookmarkStart w:id="288" w:name="_Toc109897553"/>
      <w:bookmarkStart w:id="289" w:name="_Toc155095708"/>
      <w:bookmarkStart w:id="290" w:name="_Toc156490297"/>
      <w:r>
        <w:rPr>
          <w:rFonts w:hint="eastAsia" w:ascii="宋体" w:hAnsi="宋体" w:eastAsia="宋体" w:cs="宋体"/>
          <w:b/>
          <w:bCs/>
          <w:color w:val="auto"/>
          <w:kern w:val="2"/>
          <w:sz w:val="24"/>
          <w:szCs w:val="24"/>
          <w:highlight w:val="none"/>
          <w:lang w:val="en-US" w:eastAsia="zh-CN" w:bidi="ar-SA"/>
        </w:rPr>
        <w:t>17.谈判保证金</w:t>
      </w:r>
    </w:p>
    <w:p w14:paraId="4DEF9463">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17.1供应商应按照竞争性</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文件“供应商须知前附表”规定的金额及要求交纳</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保证金。供应商自愿超额缴纳</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保证金的，响应文件不做无效处理。</w:t>
      </w:r>
    </w:p>
    <w:p w14:paraId="77BF1621">
      <w:pPr>
        <w:keepNext w:val="0"/>
        <w:keepLines w:val="0"/>
        <w:pageBreakBefore w:val="0"/>
        <w:widowControl w:val="0"/>
        <w:suppressLineNumbers w:val="0"/>
        <w:shd w:val="clear"/>
        <w:kinsoku/>
        <w:overflowPunct/>
        <w:topLinePunct w:val="0"/>
        <w:autoSpaceDE/>
        <w:autoSpaceDN/>
        <w:bidi w:val="0"/>
        <w:adjustRightInd/>
        <w:ind w:firstLine="480" w:firstLineChars="200"/>
        <w:jc w:val="left"/>
        <w:textAlignment w:val="auto"/>
        <w:rPr>
          <w:rFonts w:hint="eastAsia" w:ascii="宋体" w:hAnsi="宋体" w:eastAsia="宋体" w:cs="宋体"/>
          <w:b/>
          <w:bCs/>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17.2交纳</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保证金可采用的形式：政府采购法律法规接受的支票、汇票、本票、网上银行支付或者金融机构、担保机构出具的保函等非现金形式。未按</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文件要求提交</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保证金的，其</w:t>
      </w:r>
      <w:r>
        <w:rPr>
          <w:rFonts w:hint="eastAsia" w:ascii="宋体" w:hAnsi="宋体" w:eastAsia="宋体" w:cs="宋体"/>
          <w:b/>
          <w:bCs/>
          <w:iCs/>
          <w:color w:val="auto"/>
          <w:kern w:val="2"/>
          <w:sz w:val="24"/>
          <w:szCs w:val="24"/>
          <w:highlight w:val="none"/>
          <w:shd w:val="clear" w:color="auto" w:fill="FFFFFF" w:themeFill="background1"/>
          <w:lang w:val="en-US" w:eastAsia="zh-CN" w:bidi="ar-SA"/>
        </w:rPr>
        <w:t>响应无效。</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保证金有效期同响应文件有效期。</w:t>
      </w:r>
    </w:p>
    <w:p w14:paraId="0C3CACC6">
      <w:pPr>
        <w:pStyle w:val="8"/>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b/>
          <w:bCs/>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17.3</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保证金到账（保函提交）截止时间同响应文件递交截止时间。以支票、汇票、本票、网上银行支付等形式提交</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保证金的，应在响应文件递交截止时间前到账；以金融机构、担保机构出具的保函等形式提交</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保证金的，应在响应文件递交截止时间前将</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保证金支付件扫描后作为响应文件的组成部分与响应文件一起上传。由于到账时间晚于响应文件递交截止时间，或者票据错误、印鉴不清等原因导致不能到账的</w:t>
      </w:r>
      <w:r>
        <w:rPr>
          <w:rFonts w:hint="eastAsia" w:ascii="宋体" w:hAnsi="宋体" w:eastAsia="宋体" w:cs="宋体"/>
          <w:b w:val="0"/>
          <w:bCs w:val="0"/>
          <w:iCs/>
          <w:color w:val="auto"/>
          <w:kern w:val="2"/>
          <w:sz w:val="24"/>
          <w:szCs w:val="24"/>
          <w:highlight w:val="none"/>
          <w:shd w:val="clear" w:color="auto" w:fill="FFFFFF" w:themeFill="background1"/>
          <w:lang w:val="en-US" w:eastAsia="zh-CN" w:bidi="ar-SA"/>
        </w:rPr>
        <w:t>，</w:t>
      </w:r>
      <w:r>
        <w:rPr>
          <w:rFonts w:hint="eastAsia" w:ascii="宋体" w:hAnsi="宋体" w:eastAsia="宋体" w:cs="宋体"/>
          <w:b/>
          <w:bCs/>
          <w:iCs/>
          <w:color w:val="auto"/>
          <w:kern w:val="2"/>
          <w:sz w:val="24"/>
          <w:szCs w:val="24"/>
          <w:highlight w:val="none"/>
          <w:shd w:val="clear" w:color="auto" w:fill="FFFFFF" w:themeFill="background1"/>
          <w:lang w:val="en-US" w:eastAsia="zh-CN" w:bidi="ar-SA"/>
        </w:rPr>
        <w:t>其响应无效。</w:t>
      </w:r>
    </w:p>
    <w:p w14:paraId="4AA52D7E">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17.4 供应商为联合体的，可以由联合体中的一方或者多方共同交纳</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保证金，其交纳的</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保证金对联合体各方均具有约束力。</w:t>
      </w:r>
    </w:p>
    <w:p w14:paraId="1E93F923">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17.5采购人或者采购代理机构应当在采购活动结束后及时退还供应商的</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保证金，采用银行保函、担保机构担保函等形式递交的</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保证金，经供应商同意后采购人、采购代理机构可以不再退还，但因供应商自身原因导致无法及时退还的除外。未成交供应商的</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保证金应当自成交通知书发出之日起 5 个工作日内退还，成交供应商的</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保证金应当自采购合同签订之日起 5 个工作日内退还。 </w:t>
      </w:r>
    </w:p>
    <w:p w14:paraId="48C6EAF6">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17.6 供应商在响应文件递交截止时间前撤回已提交的响应文件的，自收到供应商书面撤回通知之日起 5 个工作日内，退还已收取的</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保证金，但因供应商自身原因导致无法及时退还的除外。 </w:t>
      </w:r>
    </w:p>
    <w:p w14:paraId="6C0BF0B3">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17.7 终止</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的项目已经收取</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保证金的，自终止采购活动后5个工作日内退还已收取的</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保证金及其在银行产生的孳息。</w:t>
      </w:r>
    </w:p>
    <w:p w14:paraId="59CC77A0">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17.8有下列情形之一的，</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保证金不予退还,</w:t>
      </w:r>
      <w:r>
        <w:rPr>
          <w:rFonts w:hint="eastAsia" w:ascii="宋体" w:hAnsi="宋体" w:eastAsia="宋体" w:cs="宋体"/>
          <w:color w:val="auto"/>
          <w:kern w:val="2"/>
          <w:sz w:val="24"/>
          <w:szCs w:val="24"/>
          <w:highlight w:val="none"/>
        </w:rPr>
        <w:t>情节严重的将其列入不良记录名单</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w:t>
      </w:r>
    </w:p>
    <w:p w14:paraId="55B83B70">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17.8.1供应商在提交响应文件截止时间后撤回响应文件的； </w:t>
      </w:r>
    </w:p>
    <w:p w14:paraId="0A09910A">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17.8.2供应商在响应文件中提供虚假材料的； </w:t>
      </w:r>
    </w:p>
    <w:p w14:paraId="41889810">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17.8.3除因不可抗力或</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文件认可的情形以外，成交供应商不与采购人签订合同的； </w:t>
      </w:r>
    </w:p>
    <w:p w14:paraId="19A2B85A">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17.8.4供应商与采购人、其他供应商或者采购代理机构恶意串通的； </w:t>
      </w:r>
    </w:p>
    <w:p w14:paraId="40CCB19A">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17.8.5</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文件规定的其他情形。</w:t>
      </w:r>
    </w:p>
    <w:p w14:paraId="2A9B7E65">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17.9如开启时供应商对本单位</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保证金缴纳情况有疑义，供应商应在开启结束前向采购人提交书面申请核实保证金缴纳情况。由银行或保险公司核实后出具书面材料予以答复。</w:t>
      </w:r>
    </w:p>
    <w:p w14:paraId="7018BCE4">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17.10为支持和促进中小企业发展，进一步发挥政府采购政策功能，鼓励供应商使用电子保函代替现金缴纳</w:t>
      </w:r>
      <w:r>
        <w:rPr>
          <w:rFonts w:hint="eastAsia" w:cs="宋体"/>
          <w:color w:val="auto"/>
          <w:sz w:val="24"/>
          <w:szCs w:val="24"/>
          <w:highlight w:val="none"/>
          <w:lang w:val="en-US" w:eastAsia="zh-CN"/>
        </w:rPr>
        <w:t>谈判</w:t>
      </w:r>
      <w:r>
        <w:rPr>
          <w:rFonts w:hint="eastAsia" w:ascii="宋体" w:hAnsi="宋体" w:eastAsia="宋体" w:cs="宋体"/>
          <w:iCs/>
          <w:color w:val="auto"/>
          <w:kern w:val="2"/>
          <w:sz w:val="24"/>
          <w:szCs w:val="24"/>
          <w:highlight w:val="none"/>
          <w:shd w:val="clear" w:color="auto" w:fill="FFFFFF" w:themeFill="background1"/>
          <w:lang w:val="en-US" w:eastAsia="zh-CN" w:bidi="ar-SA"/>
        </w:rPr>
        <w:t>保证金，在线完成保函的申请、审核、开票、出函等环节，供应商企业注意区分办理保函类型，并确认响应文件有效期，如采用政采云电子保函，可登录“兵团政府采购网”—顶部通栏“信用融资”或者“兵团政府采购网”首页“政采贷｜电子保函”快捷模块查看：</w:t>
      </w:r>
    </w:p>
    <w:p w14:paraId="1F3A8C5E">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直达链接（电子保函）：</w:t>
      </w:r>
    </w:p>
    <w:p w14:paraId="15E30E92">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https://jinrong.zcygov.cn/luban/finance/xinjiang?utm=site.site-PC-4838.1473-pc-wsg-customFloatWindow-front.1.b9d627301e6311efb796b33a13fe0d0a</w:t>
      </w:r>
    </w:p>
    <w:p w14:paraId="071DFFA7">
      <w:pPr>
        <w:pStyle w:val="55"/>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金融服务支撑热线：95763     </w:t>
      </w:r>
    </w:p>
    <w:p w14:paraId="784B786D">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18.响应文件的</w:t>
      </w:r>
      <w:bookmarkEnd w:id="279"/>
      <w:bookmarkEnd w:id="280"/>
      <w:bookmarkEnd w:id="281"/>
      <w:bookmarkEnd w:id="282"/>
      <w:r>
        <w:rPr>
          <w:rFonts w:hint="eastAsia" w:ascii="宋体" w:hAnsi="宋体" w:eastAsia="宋体" w:cs="宋体"/>
          <w:b/>
          <w:bCs/>
          <w:color w:val="auto"/>
          <w:kern w:val="2"/>
          <w:sz w:val="24"/>
          <w:szCs w:val="24"/>
          <w:highlight w:val="none"/>
          <w:lang w:val="en-US" w:eastAsia="zh-CN" w:bidi="ar-SA"/>
        </w:rPr>
        <w:t>加密</w:t>
      </w:r>
      <w:bookmarkEnd w:id="283"/>
      <w:bookmarkEnd w:id="284"/>
    </w:p>
    <w:p w14:paraId="105C769D">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18.1 供应商在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snapToGrid w:val="0"/>
          <w:color w:val="auto"/>
          <w:sz w:val="24"/>
          <w:szCs w:val="24"/>
          <w:highlight w:val="none"/>
          <w:lang w:val="zh-CN"/>
        </w:rPr>
        <w:t>中生成响应文件并完成签章之后，使用CA证书在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snapToGrid w:val="0"/>
          <w:color w:val="auto"/>
          <w:sz w:val="24"/>
          <w:szCs w:val="24"/>
          <w:highlight w:val="none"/>
          <w:lang w:val="zh-CN"/>
        </w:rPr>
        <w:t>中对响应文件进行加密。</w:t>
      </w:r>
    </w:p>
    <w:p w14:paraId="0AE412D5">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18.2 供应商应在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snapToGrid w:val="0"/>
          <w:color w:val="auto"/>
          <w:sz w:val="24"/>
          <w:szCs w:val="24"/>
          <w:highlight w:val="none"/>
          <w:lang w:val="zh-CN"/>
        </w:rPr>
        <w:t>中对加密的响应文件进行解密验证，以防止响应文件加密异常，在开启时无法解密。</w:t>
      </w:r>
    </w:p>
    <w:p w14:paraId="79A877BA">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18.3 供应商应保证加密响应文件的CA证书有效期在开启时间之前。若CA证书有效期临近开启时间，建议供应商提前办理CA证书续期，以免开启时无法进行解密。</w:t>
      </w:r>
    </w:p>
    <w:p w14:paraId="1CDCC9E5">
      <w:pPr>
        <w:keepNext w:val="0"/>
        <w:keepLines w:val="0"/>
        <w:pageBreakBefore w:val="0"/>
        <w:widowControl w:val="0"/>
        <w:shd w:val="clear"/>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snapToGrid w:val="0"/>
          <w:color w:val="auto"/>
          <w:sz w:val="24"/>
          <w:szCs w:val="24"/>
          <w:highlight w:val="none"/>
          <w:lang w:val="zh-CN"/>
        </w:rPr>
        <w:t>供应商</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递交截</w:t>
      </w:r>
      <w:r>
        <w:rPr>
          <w:rFonts w:hint="eastAsia" w:ascii="宋体" w:hAnsi="宋体" w:eastAsia="宋体" w:cs="宋体"/>
          <w:color w:val="auto"/>
          <w:sz w:val="24"/>
          <w:szCs w:val="24"/>
          <w:highlight w:val="none"/>
          <w:lang w:val="en-US" w:eastAsia="zh-CN"/>
        </w:rPr>
        <w:t>止</w:t>
      </w:r>
      <w:r>
        <w:rPr>
          <w:rFonts w:hint="eastAsia" w:ascii="宋体" w:hAnsi="宋体" w:eastAsia="宋体" w:cs="宋体"/>
          <w:color w:val="auto"/>
          <w:sz w:val="24"/>
          <w:szCs w:val="24"/>
          <w:highlight w:val="none"/>
        </w:rPr>
        <w:t>时间前通过</w:t>
      </w:r>
      <w:r>
        <w:rPr>
          <w:rFonts w:hint="eastAsia" w:ascii="宋体" w:hAnsi="宋体" w:eastAsia="宋体" w:cs="宋体"/>
          <w:color w:val="auto"/>
          <w:sz w:val="24"/>
          <w:szCs w:val="24"/>
          <w:highlight w:val="none"/>
          <w:lang w:val="en-US" w:eastAsia="zh-CN"/>
        </w:rPr>
        <w:t>兵团</w:t>
      </w:r>
      <w:r>
        <w:rPr>
          <w:rFonts w:hint="eastAsia" w:ascii="宋体" w:hAnsi="宋体" w:eastAsia="宋体" w:cs="宋体"/>
          <w:color w:val="auto"/>
          <w:sz w:val="24"/>
          <w:szCs w:val="24"/>
          <w:highlight w:val="none"/>
        </w:rPr>
        <w:t>政府采购网（http://ccgp-bingtuan.gov.cn/）的”政采云登录入口”登录后，将加密电子</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（为.jmbs后缀格式）上传到对应项目的指定位置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认为有必要提交的其他资料请于</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eastAsia="zh-CN"/>
        </w:rPr>
        <w:t>文件</w:t>
      </w:r>
      <w:r>
        <w:rPr>
          <w:rFonts w:hint="eastAsia" w:ascii="宋体" w:hAnsi="宋体" w:eastAsia="宋体" w:cs="宋体"/>
          <w:color w:val="auto"/>
          <w:sz w:val="24"/>
          <w:szCs w:val="24"/>
          <w:highlight w:val="none"/>
        </w:rPr>
        <w:t>递交截止时间前一并提交。</w:t>
      </w:r>
    </w:p>
    <w:p w14:paraId="3896D475">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如果</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未按上述要求</w:t>
      </w:r>
      <w:r>
        <w:rPr>
          <w:rFonts w:hint="eastAsia" w:ascii="宋体" w:hAnsi="宋体" w:eastAsia="宋体" w:cs="宋体"/>
          <w:color w:val="auto"/>
          <w:sz w:val="24"/>
          <w:szCs w:val="24"/>
          <w:highlight w:val="none"/>
          <w:lang w:val="en-US" w:eastAsia="zh-CN"/>
        </w:rPr>
        <w:t>加密并上传</w:t>
      </w:r>
      <w:r>
        <w:rPr>
          <w:rFonts w:hint="eastAsia" w:ascii="宋体" w:hAnsi="宋体" w:eastAsia="宋体" w:cs="宋体"/>
          <w:color w:val="auto"/>
          <w:sz w:val="24"/>
          <w:szCs w:val="24"/>
          <w:highlight w:val="none"/>
        </w:rPr>
        <w:t>，采购代理机构对</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文件的误投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无法解密、传输错误等问题</w:t>
      </w:r>
      <w:r>
        <w:rPr>
          <w:rFonts w:hint="eastAsia" w:ascii="宋体" w:hAnsi="宋体" w:eastAsia="宋体" w:cs="宋体"/>
          <w:color w:val="auto"/>
          <w:sz w:val="24"/>
          <w:szCs w:val="24"/>
          <w:highlight w:val="none"/>
        </w:rPr>
        <w:t>概不负责。对由此造成</w:t>
      </w:r>
      <w:r>
        <w:rPr>
          <w:rFonts w:hint="eastAsia" w:ascii="宋体" w:hAnsi="宋体" w:eastAsia="宋体" w:cs="宋体"/>
          <w:color w:val="auto"/>
          <w:sz w:val="24"/>
          <w:szCs w:val="24"/>
          <w:highlight w:val="none"/>
          <w:lang w:val="en-US" w:eastAsia="zh-CN"/>
        </w:rPr>
        <w:t>无法正常开启</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文件，采购代理机构有权予以拒绝，并退回</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w:t>
      </w:r>
    </w:p>
    <w:p w14:paraId="54A49319">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本项目采用不见面开</w:t>
      </w:r>
      <w:r>
        <w:rPr>
          <w:rFonts w:hint="eastAsia" w:ascii="宋体" w:hAnsi="宋体" w:eastAsia="宋体" w:cs="宋体"/>
          <w:color w:val="auto"/>
          <w:sz w:val="24"/>
          <w:szCs w:val="24"/>
          <w:highlight w:val="none"/>
          <w:lang w:val="en-US" w:eastAsia="zh-CN"/>
        </w:rPr>
        <w:t>启</w:t>
      </w:r>
      <w:r>
        <w:rPr>
          <w:rFonts w:hint="eastAsia" w:ascii="宋体" w:hAnsi="宋体" w:eastAsia="宋体" w:cs="宋体"/>
          <w:color w:val="auto"/>
          <w:sz w:val="24"/>
          <w:szCs w:val="24"/>
          <w:highlight w:val="none"/>
        </w:rPr>
        <w:t>方式，无需提供电子</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文件U盘。</w:t>
      </w:r>
    </w:p>
    <w:p w14:paraId="0EEE0E8A">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19.响应文件的</w:t>
      </w:r>
      <w:bookmarkEnd w:id="285"/>
      <w:bookmarkEnd w:id="286"/>
      <w:bookmarkEnd w:id="287"/>
      <w:bookmarkEnd w:id="288"/>
      <w:r>
        <w:rPr>
          <w:rFonts w:hint="eastAsia" w:ascii="宋体" w:hAnsi="宋体" w:eastAsia="宋体" w:cs="宋体"/>
          <w:b/>
          <w:bCs/>
          <w:color w:val="auto"/>
          <w:kern w:val="2"/>
          <w:sz w:val="24"/>
          <w:szCs w:val="24"/>
          <w:highlight w:val="none"/>
          <w:lang w:val="en-US" w:eastAsia="zh-CN" w:bidi="ar-SA"/>
        </w:rPr>
        <w:t>递交</w:t>
      </w:r>
      <w:bookmarkEnd w:id="289"/>
      <w:bookmarkEnd w:id="290"/>
      <w:r>
        <w:rPr>
          <w:rFonts w:hint="eastAsia" w:ascii="宋体" w:hAnsi="宋体" w:eastAsia="宋体" w:cs="宋体"/>
          <w:b/>
          <w:bCs/>
          <w:color w:val="auto"/>
          <w:kern w:val="2"/>
          <w:sz w:val="24"/>
          <w:szCs w:val="24"/>
          <w:highlight w:val="none"/>
          <w:lang w:val="en-US" w:eastAsia="zh-CN" w:bidi="ar-SA"/>
        </w:rPr>
        <w:t>（上传）</w:t>
      </w:r>
    </w:p>
    <w:p w14:paraId="4BB721FA">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19.1 供应商应在“</w:t>
      </w:r>
      <w:r>
        <w:rPr>
          <w:rFonts w:hint="eastAsia" w:ascii="宋体" w:hAnsi="宋体" w:eastAsia="宋体" w:cs="宋体"/>
          <w:color w:val="auto"/>
          <w:sz w:val="24"/>
          <w:szCs w:val="24"/>
          <w:highlight w:val="none"/>
          <w:lang w:val="en-US" w:eastAsia="zh-CN"/>
        </w:rPr>
        <w:t>第一章 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公告</w:t>
      </w:r>
      <w:r>
        <w:rPr>
          <w:rFonts w:hint="eastAsia" w:ascii="宋体" w:hAnsi="宋体" w:eastAsia="宋体" w:cs="宋体"/>
          <w:color w:val="auto"/>
          <w:sz w:val="24"/>
          <w:szCs w:val="24"/>
          <w:highlight w:val="none"/>
        </w:rPr>
        <w:t>”规定的响应文件递交截止时间前递交（上传）响应文件。</w:t>
      </w:r>
    </w:p>
    <w:p w14:paraId="1788DDFE">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19.2 供应商递交（上传）响应文件的地点见“</w:t>
      </w:r>
      <w:r>
        <w:rPr>
          <w:rFonts w:hint="eastAsia" w:ascii="宋体" w:hAnsi="宋体" w:eastAsia="宋体" w:cs="宋体"/>
          <w:color w:val="auto"/>
          <w:sz w:val="24"/>
          <w:szCs w:val="24"/>
          <w:highlight w:val="none"/>
          <w:lang w:val="en-US" w:eastAsia="zh-CN"/>
        </w:rPr>
        <w:t>第一章 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公告</w:t>
      </w:r>
      <w:r>
        <w:rPr>
          <w:rFonts w:hint="eastAsia" w:ascii="宋体" w:hAnsi="宋体" w:eastAsia="宋体" w:cs="宋体"/>
          <w:color w:val="auto"/>
          <w:sz w:val="24"/>
          <w:szCs w:val="24"/>
          <w:highlight w:val="none"/>
        </w:rPr>
        <w:t>”。</w:t>
      </w:r>
    </w:p>
    <w:p w14:paraId="74B3F1A5">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19.3供应商应充分评估集中同时递交响应文件带来的网络影响，尽量避开递交响应文件高峰时间，错峰进行递交。供应商递交全部的响应文件后可在政采云平台（项目采购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投标文件上传）中获取响应文件递交回执单。</w:t>
      </w:r>
    </w:p>
    <w:p w14:paraId="5634F607">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19.4 供应商应在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中下载未加密且完成签章的响应文件妥善保存，以便启动应急开启程序时使用。</w:t>
      </w:r>
    </w:p>
    <w:p w14:paraId="6F8BD19B">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19.5供应商所递交的响应文件不予退还。</w:t>
      </w:r>
    </w:p>
    <w:p w14:paraId="03DDA0A8">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91" w:name="_Toc156490298"/>
      <w:bookmarkStart w:id="292" w:name="_Toc155095709"/>
      <w:r>
        <w:rPr>
          <w:rFonts w:hint="eastAsia" w:ascii="宋体" w:hAnsi="宋体" w:eastAsia="宋体" w:cs="宋体"/>
          <w:b/>
          <w:bCs/>
          <w:color w:val="auto"/>
          <w:kern w:val="2"/>
          <w:sz w:val="24"/>
          <w:szCs w:val="24"/>
          <w:highlight w:val="none"/>
          <w:lang w:val="en-US" w:eastAsia="zh-CN" w:bidi="ar-SA"/>
        </w:rPr>
        <w:t>20.拒收</w:t>
      </w:r>
      <w:bookmarkEnd w:id="291"/>
      <w:bookmarkEnd w:id="292"/>
    </w:p>
    <w:p w14:paraId="6764A5C0">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20.1超过递交响应文件的截止时间或者不按照本章要求加密的响应文件，交易系统应当拒收。</w:t>
      </w:r>
    </w:p>
    <w:p w14:paraId="03C096FA">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93" w:name="_Toc109897555"/>
      <w:bookmarkStart w:id="294" w:name="_Toc156490299"/>
      <w:bookmarkStart w:id="295" w:name="_Toc109900073"/>
      <w:bookmarkStart w:id="296" w:name="_Toc109899654"/>
      <w:bookmarkStart w:id="297" w:name="_Toc109900492"/>
      <w:bookmarkStart w:id="298" w:name="_Toc155095710"/>
      <w:r>
        <w:rPr>
          <w:rFonts w:hint="eastAsia" w:ascii="宋体" w:hAnsi="宋体" w:eastAsia="宋体" w:cs="宋体"/>
          <w:b/>
          <w:bCs/>
          <w:color w:val="auto"/>
          <w:kern w:val="2"/>
          <w:sz w:val="24"/>
          <w:szCs w:val="24"/>
          <w:highlight w:val="none"/>
          <w:lang w:val="en-US" w:eastAsia="zh-CN" w:bidi="ar-SA"/>
        </w:rPr>
        <w:t>21.响应文件的修改与撤回</w:t>
      </w:r>
      <w:bookmarkEnd w:id="293"/>
      <w:bookmarkEnd w:id="294"/>
      <w:bookmarkEnd w:id="295"/>
      <w:bookmarkEnd w:id="296"/>
      <w:bookmarkEnd w:id="297"/>
      <w:bookmarkEnd w:id="298"/>
    </w:p>
    <w:p w14:paraId="059E1BF2">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2</w:t>
      </w:r>
      <w:r>
        <w:rPr>
          <w:rFonts w:hint="eastAsia" w:ascii="宋体" w:hAnsi="宋体" w:eastAsia="宋体" w:cs="宋体"/>
          <w:snapToGrid w:val="0"/>
          <w:color w:val="auto"/>
          <w:sz w:val="24"/>
          <w:szCs w:val="24"/>
          <w:highlight w:val="none"/>
          <w:lang w:val="zh-CN" w:eastAsia="zh-CN"/>
        </w:rPr>
        <w:t>1</w:t>
      </w:r>
      <w:r>
        <w:rPr>
          <w:rFonts w:hint="eastAsia" w:ascii="宋体" w:hAnsi="宋体" w:eastAsia="宋体" w:cs="宋体"/>
          <w:snapToGrid w:val="0"/>
          <w:color w:val="auto"/>
          <w:sz w:val="24"/>
          <w:szCs w:val="24"/>
          <w:highlight w:val="none"/>
          <w:lang w:val="zh-CN"/>
        </w:rPr>
        <w:t>.1</w:t>
      </w:r>
      <w:bookmarkStart w:id="299" w:name="_Hlk143532466"/>
      <w:r>
        <w:rPr>
          <w:rFonts w:hint="eastAsia" w:ascii="宋体" w:hAnsi="宋体" w:eastAsia="宋体" w:cs="宋体"/>
          <w:snapToGrid w:val="0"/>
          <w:color w:val="auto"/>
          <w:sz w:val="24"/>
          <w:szCs w:val="24"/>
          <w:highlight w:val="none"/>
          <w:lang w:val="zh-CN" w:eastAsia="zh-CN"/>
        </w:rPr>
        <w:t>供应商</w:t>
      </w:r>
      <w:r>
        <w:rPr>
          <w:rFonts w:hint="eastAsia" w:ascii="宋体" w:hAnsi="宋体" w:eastAsia="宋体" w:cs="宋体"/>
          <w:snapToGrid w:val="0"/>
          <w:color w:val="auto"/>
          <w:sz w:val="24"/>
          <w:szCs w:val="24"/>
          <w:highlight w:val="none"/>
          <w:lang w:val="zh-CN"/>
        </w:rPr>
        <w:t>在</w:t>
      </w:r>
      <w:r>
        <w:rPr>
          <w:rFonts w:hint="eastAsia" w:ascii="宋体" w:hAnsi="宋体" w:eastAsia="宋体" w:cs="宋体"/>
          <w:snapToGrid w:val="0"/>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第一章 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公告</w:t>
      </w:r>
      <w:r>
        <w:rPr>
          <w:rFonts w:hint="eastAsia" w:ascii="宋体" w:hAnsi="宋体" w:eastAsia="宋体" w:cs="宋体"/>
          <w:snapToGrid w:val="0"/>
          <w:color w:val="auto"/>
          <w:sz w:val="24"/>
          <w:szCs w:val="24"/>
          <w:highlight w:val="none"/>
          <w:lang w:val="zh-CN" w:eastAsia="zh-CN"/>
        </w:rPr>
        <w:t>”</w:t>
      </w:r>
      <w:r>
        <w:rPr>
          <w:rFonts w:hint="eastAsia" w:ascii="宋体" w:hAnsi="宋体" w:eastAsia="宋体" w:cs="宋体"/>
          <w:snapToGrid w:val="0"/>
          <w:color w:val="auto"/>
          <w:sz w:val="24"/>
          <w:szCs w:val="24"/>
          <w:highlight w:val="none"/>
          <w:lang w:val="zh-CN"/>
        </w:rPr>
        <w:t>规定的</w:t>
      </w:r>
      <w:r>
        <w:rPr>
          <w:rFonts w:hint="eastAsia" w:ascii="宋体" w:hAnsi="宋体" w:eastAsia="宋体" w:cs="宋体"/>
          <w:snapToGrid w:val="0"/>
          <w:color w:val="auto"/>
          <w:sz w:val="24"/>
          <w:szCs w:val="24"/>
          <w:highlight w:val="none"/>
          <w:lang w:val="en-US" w:eastAsia="zh-CN"/>
        </w:rPr>
        <w:t>响应</w:t>
      </w:r>
      <w:r>
        <w:rPr>
          <w:rFonts w:hint="eastAsia" w:ascii="宋体" w:hAnsi="宋体" w:eastAsia="宋体" w:cs="宋体"/>
          <w:snapToGrid w:val="0"/>
          <w:color w:val="auto"/>
          <w:sz w:val="24"/>
          <w:szCs w:val="24"/>
          <w:highlight w:val="none"/>
          <w:lang w:val="zh-CN" w:eastAsia="zh-CN"/>
        </w:rPr>
        <w:t>文件</w:t>
      </w:r>
      <w:r>
        <w:rPr>
          <w:rFonts w:hint="eastAsia" w:ascii="宋体" w:hAnsi="宋体" w:eastAsia="宋体" w:cs="宋体"/>
          <w:snapToGrid w:val="0"/>
          <w:color w:val="auto"/>
          <w:sz w:val="24"/>
          <w:szCs w:val="24"/>
          <w:highlight w:val="none"/>
          <w:lang w:val="zh-CN"/>
        </w:rPr>
        <w:t>递交截止时间之前，可在兵团政府采购电子交易云平台上随时撤回已上传的电子</w:t>
      </w:r>
      <w:r>
        <w:rPr>
          <w:rFonts w:hint="eastAsia" w:ascii="宋体" w:hAnsi="宋体" w:eastAsia="宋体" w:cs="宋体"/>
          <w:snapToGrid w:val="0"/>
          <w:color w:val="auto"/>
          <w:sz w:val="24"/>
          <w:szCs w:val="24"/>
          <w:highlight w:val="none"/>
          <w:lang w:val="en-US" w:eastAsia="zh-CN"/>
        </w:rPr>
        <w:t>响应</w:t>
      </w:r>
      <w:r>
        <w:rPr>
          <w:rFonts w:hint="eastAsia" w:ascii="宋体" w:hAnsi="宋体" w:eastAsia="宋体" w:cs="宋体"/>
          <w:snapToGrid w:val="0"/>
          <w:color w:val="auto"/>
          <w:sz w:val="24"/>
          <w:szCs w:val="24"/>
          <w:highlight w:val="none"/>
          <w:lang w:val="zh-CN" w:eastAsia="zh-CN"/>
        </w:rPr>
        <w:t>文件</w:t>
      </w:r>
      <w:r>
        <w:rPr>
          <w:rFonts w:hint="eastAsia" w:ascii="宋体" w:hAnsi="宋体" w:eastAsia="宋体" w:cs="宋体"/>
          <w:snapToGrid w:val="0"/>
          <w:color w:val="auto"/>
          <w:sz w:val="24"/>
          <w:szCs w:val="24"/>
          <w:highlight w:val="none"/>
          <w:lang w:val="zh-CN"/>
        </w:rPr>
        <w:t>，将修改好的电子</w:t>
      </w:r>
      <w:r>
        <w:rPr>
          <w:rFonts w:hint="eastAsia" w:ascii="宋体" w:hAnsi="宋体" w:eastAsia="宋体" w:cs="宋体"/>
          <w:snapToGrid w:val="0"/>
          <w:color w:val="auto"/>
          <w:sz w:val="24"/>
          <w:szCs w:val="24"/>
          <w:highlight w:val="none"/>
          <w:lang w:val="en-US" w:eastAsia="zh-CN"/>
        </w:rPr>
        <w:t>响应</w:t>
      </w:r>
      <w:r>
        <w:rPr>
          <w:rFonts w:hint="eastAsia" w:ascii="宋体" w:hAnsi="宋体" w:eastAsia="宋体" w:cs="宋体"/>
          <w:snapToGrid w:val="0"/>
          <w:color w:val="auto"/>
          <w:sz w:val="24"/>
          <w:szCs w:val="24"/>
          <w:highlight w:val="none"/>
          <w:lang w:val="zh-CN" w:eastAsia="zh-CN"/>
        </w:rPr>
        <w:t>文件</w:t>
      </w:r>
      <w:r>
        <w:rPr>
          <w:rFonts w:hint="eastAsia" w:ascii="宋体" w:hAnsi="宋体" w:eastAsia="宋体" w:cs="宋体"/>
          <w:snapToGrid w:val="0"/>
          <w:color w:val="auto"/>
          <w:sz w:val="24"/>
          <w:szCs w:val="24"/>
          <w:highlight w:val="none"/>
          <w:lang w:val="zh-CN"/>
        </w:rPr>
        <w:t>在</w:t>
      </w:r>
      <w:r>
        <w:rPr>
          <w:rFonts w:hint="eastAsia" w:ascii="宋体" w:hAnsi="宋体" w:eastAsia="宋体" w:cs="宋体"/>
          <w:snapToGrid w:val="0"/>
          <w:color w:val="auto"/>
          <w:sz w:val="24"/>
          <w:szCs w:val="24"/>
          <w:highlight w:val="none"/>
          <w:lang w:val="en-US" w:eastAsia="zh-CN"/>
        </w:rPr>
        <w:t>响应</w:t>
      </w:r>
      <w:r>
        <w:rPr>
          <w:rFonts w:hint="eastAsia" w:ascii="宋体" w:hAnsi="宋体" w:eastAsia="宋体" w:cs="宋体"/>
          <w:snapToGrid w:val="0"/>
          <w:color w:val="auto"/>
          <w:sz w:val="24"/>
          <w:szCs w:val="24"/>
          <w:highlight w:val="none"/>
          <w:lang w:val="zh-CN" w:eastAsia="zh-CN"/>
        </w:rPr>
        <w:t>文件</w:t>
      </w:r>
      <w:r>
        <w:rPr>
          <w:rFonts w:hint="eastAsia" w:ascii="宋体" w:hAnsi="宋体" w:eastAsia="宋体" w:cs="宋体"/>
          <w:snapToGrid w:val="0"/>
          <w:color w:val="auto"/>
          <w:sz w:val="24"/>
          <w:szCs w:val="24"/>
          <w:highlight w:val="none"/>
          <w:lang w:val="zh-CN"/>
        </w:rPr>
        <w:t>递交截止时间前重新上传到兵团政府采购电子交易云平台的</w:t>
      </w:r>
      <w:r>
        <w:rPr>
          <w:rFonts w:hint="eastAsia" w:ascii="宋体" w:hAnsi="宋体" w:eastAsia="宋体" w:cs="宋体"/>
          <w:snapToGrid w:val="0"/>
          <w:color w:val="auto"/>
          <w:sz w:val="24"/>
          <w:szCs w:val="24"/>
          <w:highlight w:val="none"/>
          <w:lang w:val="zh-CN" w:eastAsia="zh-CN"/>
        </w:rPr>
        <w:t>指</w:t>
      </w:r>
      <w:r>
        <w:rPr>
          <w:rFonts w:hint="eastAsia" w:ascii="宋体" w:hAnsi="宋体" w:eastAsia="宋体" w:cs="宋体"/>
          <w:snapToGrid w:val="0"/>
          <w:color w:val="auto"/>
          <w:sz w:val="24"/>
          <w:szCs w:val="24"/>
          <w:highlight w:val="none"/>
          <w:lang w:val="zh-CN"/>
        </w:rPr>
        <w:t>定位置。</w:t>
      </w:r>
    </w:p>
    <w:bookmarkEnd w:id="299"/>
    <w:p w14:paraId="4F9C167F">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00" w:name="_Toc158888664"/>
      <w:bookmarkStart w:id="301" w:name="_Toc155185973"/>
      <w:bookmarkStart w:id="302" w:name="_Toc155185874"/>
      <w:r>
        <w:rPr>
          <w:rFonts w:hint="eastAsia" w:ascii="宋体" w:hAnsi="宋体" w:eastAsia="宋体" w:cs="宋体"/>
          <w:b/>
          <w:bCs/>
          <w:color w:val="auto"/>
          <w:kern w:val="2"/>
          <w:sz w:val="24"/>
          <w:szCs w:val="24"/>
          <w:highlight w:val="none"/>
          <w:lang w:val="en-US" w:eastAsia="zh-CN" w:bidi="ar-SA"/>
        </w:rPr>
        <w:t>22.实物样品</w:t>
      </w:r>
      <w:bookmarkEnd w:id="300"/>
      <w:bookmarkEnd w:id="301"/>
      <w:bookmarkEnd w:id="302"/>
    </w:p>
    <w:p w14:paraId="3015EA96">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22.1“供应商须知前附表”要求提供样品的，样品的具体要求及评审详见“第三章 </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采购需求”和“第</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章 评审</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3F3F84A5">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22.2样品退还：未成交的供应商应</w:t>
      </w:r>
      <w:r>
        <w:rPr>
          <w:rFonts w:hint="eastAsia" w:ascii="宋体" w:hAnsi="宋体" w:eastAsia="宋体" w:cs="宋体"/>
          <w:color w:val="auto"/>
          <w:sz w:val="24"/>
          <w:szCs w:val="24"/>
          <w:highlight w:val="none"/>
          <w:lang w:val="en-US" w:eastAsia="zh-CN"/>
        </w:rPr>
        <w:t>按照</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须知前附表”</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rPr>
        <w:t>自行联系采购人取回递交样品；成交供应商的样品由采购人进行保管、封存，并作为履约验收的参考（竞争性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文件另有规定的从其规定）。</w:t>
      </w:r>
    </w:p>
    <w:p w14:paraId="56366B46">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03" w:name="_Toc155185875"/>
      <w:bookmarkStart w:id="304" w:name="_Toc158888665"/>
      <w:bookmarkStart w:id="305" w:name="_Toc155185974"/>
      <w:r>
        <w:rPr>
          <w:rFonts w:hint="eastAsia" w:ascii="宋体" w:hAnsi="宋体" w:eastAsia="宋体" w:cs="宋体"/>
          <w:b/>
          <w:bCs/>
          <w:color w:val="auto"/>
          <w:kern w:val="2"/>
          <w:sz w:val="24"/>
          <w:szCs w:val="24"/>
          <w:highlight w:val="none"/>
          <w:lang w:val="en-US" w:eastAsia="zh-CN" w:bidi="ar-SA"/>
        </w:rPr>
        <w:t>23.项目演示</w:t>
      </w:r>
      <w:bookmarkEnd w:id="303"/>
      <w:bookmarkEnd w:id="304"/>
      <w:bookmarkEnd w:id="305"/>
    </w:p>
    <w:p w14:paraId="3C483910">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23.1要求供应商进行演示的，演示要求详见“供应商须知前附表”。</w:t>
      </w:r>
    </w:p>
    <w:p w14:paraId="22102C81">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23.2演示的评审详见“第三章 </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采购需求”和“第四章 评审</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6B46A24D">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06" w:name="_Toc163493615"/>
      <w:bookmarkStart w:id="307" w:name="_Toc3263"/>
      <w:bookmarkStart w:id="308" w:name="_Toc109899976"/>
      <w:bookmarkStart w:id="309" w:name="_Toc109897458"/>
      <w:bookmarkStart w:id="310" w:name="_Toc470172689"/>
      <w:bookmarkStart w:id="311" w:name="_Toc46771664"/>
      <w:bookmarkStart w:id="312" w:name="_Toc109899557"/>
      <w:bookmarkStart w:id="313" w:name="_Toc109900395"/>
      <w:r>
        <w:rPr>
          <w:rFonts w:hint="eastAsia" w:ascii="宋体" w:hAnsi="宋体" w:eastAsia="宋体" w:cs="宋体"/>
          <w:b/>
          <w:bCs/>
          <w:color w:val="auto"/>
          <w:kern w:val="2"/>
          <w:sz w:val="24"/>
          <w:szCs w:val="24"/>
          <w:highlight w:val="none"/>
          <w:lang w:val="en-US" w:eastAsia="zh-CN" w:bidi="ar-SA"/>
        </w:rPr>
        <w:t>（五）</w:t>
      </w:r>
      <w:bookmarkEnd w:id="306"/>
      <w:r>
        <w:rPr>
          <w:rFonts w:hint="eastAsia" w:ascii="宋体" w:hAnsi="宋体" w:eastAsia="宋体" w:cs="宋体"/>
          <w:b/>
          <w:bCs/>
          <w:color w:val="auto"/>
          <w:kern w:val="2"/>
          <w:sz w:val="24"/>
          <w:szCs w:val="24"/>
          <w:highlight w:val="none"/>
          <w:lang w:val="en-US" w:eastAsia="zh-CN" w:bidi="ar-SA"/>
        </w:rPr>
        <w:t>响应文件开启</w:t>
      </w:r>
      <w:bookmarkEnd w:id="307"/>
    </w:p>
    <w:p w14:paraId="750D725B">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4" w:name="_Hlk161704700"/>
      <w:r>
        <w:rPr>
          <w:rFonts w:hint="eastAsia" w:ascii="宋体" w:hAnsi="宋体" w:eastAsia="宋体" w:cs="宋体"/>
          <w:b/>
          <w:bCs/>
          <w:color w:val="auto"/>
          <w:kern w:val="2"/>
          <w:sz w:val="24"/>
          <w:szCs w:val="24"/>
          <w:highlight w:val="none"/>
          <w:lang w:val="en-US" w:eastAsia="zh-CN" w:bidi="ar-SA"/>
        </w:rPr>
        <w:t>24.响应文件开启</w:t>
      </w:r>
    </w:p>
    <w:p w14:paraId="30320CCC">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bCs/>
          <w:color w:val="auto"/>
          <w:sz w:val="24"/>
          <w:szCs w:val="24"/>
          <w:highlight w:val="none"/>
        </w:rPr>
      </w:pPr>
      <w:bookmarkStart w:id="315" w:name="_Toc140132781"/>
      <w:r>
        <w:rPr>
          <w:rFonts w:hint="eastAsia" w:ascii="宋体" w:hAnsi="宋体" w:eastAsia="宋体" w:cs="宋体"/>
          <w:color w:val="auto"/>
          <w:sz w:val="24"/>
          <w:szCs w:val="24"/>
          <w:highlight w:val="none"/>
        </w:rPr>
        <w:t>24.1供应商应按照“</w:t>
      </w:r>
      <w:r>
        <w:rPr>
          <w:rFonts w:hint="eastAsia" w:ascii="宋体" w:hAnsi="宋体" w:eastAsia="宋体" w:cs="宋体"/>
          <w:color w:val="auto"/>
          <w:sz w:val="24"/>
          <w:szCs w:val="24"/>
          <w:highlight w:val="none"/>
          <w:lang w:val="en-US" w:eastAsia="zh-CN"/>
        </w:rPr>
        <w:t>第一章 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公告</w:t>
      </w:r>
      <w:r>
        <w:rPr>
          <w:rFonts w:hint="eastAsia" w:ascii="宋体" w:hAnsi="宋体" w:eastAsia="宋体" w:cs="宋体"/>
          <w:color w:val="auto"/>
          <w:sz w:val="24"/>
          <w:szCs w:val="24"/>
          <w:highlight w:val="none"/>
        </w:rPr>
        <w:t>”中的要求参与开启。</w:t>
      </w:r>
      <w:bookmarkEnd w:id="315"/>
    </w:p>
    <w:p w14:paraId="44C062AD">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6" w:name="_Toc140132782"/>
      <w:bookmarkStart w:id="317" w:name="_Toc161600316"/>
      <w:r>
        <w:rPr>
          <w:rFonts w:hint="eastAsia" w:ascii="宋体" w:hAnsi="宋体" w:eastAsia="宋体" w:cs="宋体"/>
          <w:b/>
          <w:bCs/>
          <w:color w:val="auto"/>
          <w:kern w:val="2"/>
          <w:sz w:val="24"/>
          <w:szCs w:val="24"/>
          <w:highlight w:val="none"/>
          <w:lang w:val="en-US" w:eastAsia="zh-CN" w:bidi="ar-SA"/>
        </w:rPr>
        <w:t>25.开启时间和地点</w:t>
      </w:r>
      <w:bookmarkEnd w:id="316"/>
      <w:bookmarkEnd w:id="317"/>
    </w:p>
    <w:p w14:paraId="19FC62D6">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25.1开启时间和地点</w:t>
      </w:r>
    </w:p>
    <w:p w14:paraId="74263C6D">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rPr>
        <w:t>响应文件截止时间前，供应商登录</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snapToGrid w:val="0"/>
          <w:color w:val="auto"/>
          <w:sz w:val="24"/>
          <w:szCs w:val="24"/>
          <w:highlight w:val="none"/>
          <w:lang w:val="zh-CN"/>
        </w:rPr>
        <w:t>通过</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snapToGrid w:val="0"/>
          <w:color w:val="auto"/>
          <w:sz w:val="24"/>
          <w:szCs w:val="24"/>
          <w:highlight w:val="none"/>
          <w:lang w:val="zh-CN"/>
        </w:rPr>
        <w:t>进入交易系统</w:t>
      </w:r>
      <w:r>
        <w:rPr>
          <w:rFonts w:hint="eastAsia" w:ascii="宋体" w:hAnsi="宋体" w:eastAsia="宋体" w:cs="宋体"/>
          <w:color w:val="auto"/>
          <w:sz w:val="24"/>
          <w:szCs w:val="24"/>
          <w:highlight w:val="none"/>
        </w:rPr>
        <w:t>“开标大厅”选择所投项目（或采购包）完成项目签到工作。</w:t>
      </w:r>
    </w:p>
    <w:p w14:paraId="485DC310">
      <w:pPr>
        <w:keepNext w:val="0"/>
        <w:keepLines w:val="0"/>
        <w:pageBreakBefore w:val="0"/>
        <w:widowControl w:val="0"/>
        <w:shd w:val="clear"/>
        <w:kinsoku/>
        <w:overflowPunct/>
        <w:topLinePunct w:val="0"/>
        <w:bidi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（2）在</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第一章 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公告</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规</w:t>
      </w:r>
      <w:r>
        <w:rPr>
          <w:rFonts w:hint="eastAsia" w:ascii="宋体" w:hAnsi="宋体" w:eastAsia="宋体" w:cs="宋体"/>
          <w:color w:val="auto"/>
          <w:sz w:val="24"/>
          <w:szCs w:val="24"/>
          <w:highlight w:val="none"/>
          <w:lang w:val="zh-CN"/>
        </w:rPr>
        <w:t>定的</w:t>
      </w: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lang w:val="zh-CN"/>
        </w:rPr>
        <w:t>响应文件截止时间、开启时间及地点，采购代理机构通过</w:t>
      </w:r>
      <w:r>
        <w:rPr>
          <w:rFonts w:hint="eastAsia" w:ascii="宋体" w:hAnsi="宋体" w:eastAsia="宋体" w:cs="宋体"/>
          <w:color w:val="auto"/>
          <w:sz w:val="24"/>
          <w:szCs w:val="24"/>
          <w:highlight w:val="none"/>
          <w:lang w:val="zh-CN" w:eastAsia="zh-CN"/>
        </w:rPr>
        <w:t>兵团政府采购电子交易云平台</w:t>
      </w:r>
      <w:r>
        <w:rPr>
          <w:rFonts w:hint="eastAsia" w:ascii="宋体" w:hAnsi="宋体" w:eastAsia="宋体" w:cs="宋体"/>
          <w:color w:val="auto"/>
          <w:kern w:val="2"/>
          <w:sz w:val="24"/>
          <w:szCs w:val="24"/>
          <w:highlight w:val="none"/>
        </w:rPr>
        <w:t>的“政采云远程开标大厅”</w:t>
      </w:r>
      <w:r>
        <w:rPr>
          <w:rFonts w:hint="eastAsia" w:ascii="宋体" w:hAnsi="宋体" w:eastAsia="宋体" w:cs="宋体"/>
          <w:color w:val="auto"/>
          <w:sz w:val="24"/>
          <w:szCs w:val="24"/>
          <w:highlight w:val="none"/>
          <w:lang w:val="zh-CN"/>
        </w:rPr>
        <w:t>组织响应文件开启工作。</w:t>
      </w:r>
    </w:p>
    <w:p w14:paraId="66534CB4">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25.2响应文件开启：</w:t>
      </w:r>
      <w:r>
        <w:rPr>
          <w:rFonts w:hint="eastAsia" w:ascii="宋体" w:hAnsi="宋体" w:eastAsia="宋体" w:cs="宋体"/>
          <w:color w:val="auto"/>
          <w:sz w:val="24"/>
          <w:szCs w:val="24"/>
          <w:highlight w:val="none"/>
          <w:lang w:val="en-US" w:eastAsia="zh-CN"/>
        </w:rPr>
        <w:t>递交</w:t>
      </w:r>
      <w:r>
        <w:rPr>
          <w:rFonts w:hint="eastAsia" w:ascii="宋体" w:hAnsi="宋体" w:eastAsia="宋体" w:cs="宋体"/>
          <w:color w:val="auto"/>
          <w:sz w:val="24"/>
          <w:szCs w:val="24"/>
          <w:highlight w:val="none"/>
        </w:rPr>
        <w:t>响应文件截止时间到后，工作人员启动开始解密指令，供应商应当按照“供应商须知前附表”规定及时进行响应文件解密，完成响应文件开启工作。</w:t>
      </w:r>
    </w:p>
    <w:p w14:paraId="77684B06">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25.3规定的时间内，非因</w:t>
      </w:r>
      <w:r>
        <w:rPr>
          <w:rFonts w:hint="eastAsia" w:ascii="宋体" w:hAnsi="宋体" w:eastAsia="宋体" w:cs="宋体"/>
          <w:color w:val="auto"/>
          <w:sz w:val="24"/>
          <w:szCs w:val="24"/>
          <w:highlight w:val="none"/>
          <w:lang w:val="zh-CN" w:eastAsia="zh-CN"/>
        </w:rPr>
        <w:t>兵团政府采购电子交易云平台</w:t>
      </w:r>
      <w:r>
        <w:rPr>
          <w:rFonts w:hint="eastAsia" w:ascii="宋体" w:hAnsi="宋体" w:eastAsia="宋体" w:cs="宋体"/>
          <w:color w:val="auto"/>
          <w:sz w:val="24"/>
          <w:szCs w:val="24"/>
          <w:highlight w:val="none"/>
        </w:rPr>
        <w:t>原因造成响应文件未解密的，视为供应商撤回响应文件。</w:t>
      </w:r>
      <w:r>
        <w:rPr>
          <w:rFonts w:hint="eastAsia" w:ascii="宋体" w:hAnsi="宋体" w:eastAsia="宋体" w:cs="宋体"/>
          <w:color w:val="auto"/>
          <w:sz w:val="24"/>
          <w:szCs w:val="24"/>
          <w:highlight w:val="none"/>
          <w:lang w:val="en-US" w:eastAsia="zh-CN"/>
        </w:rPr>
        <w:t>供应商不足3家的，不予解密；</w:t>
      </w:r>
      <w:r>
        <w:rPr>
          <w:rFonts w:hint="eastAsia" w:ascii="宋体" w:hAnsi="宋体" w:eastAsia="宋体" w:cs="宋体"/>
          <w:color w:val="auto"/>
          <w:sz w:val="24"/>
          <w:szCs w:val="24"/>
          <w:highlight w:val="none"/>
        </w:rPr>
        <w:t>停止解密后，已解密开启的响应文件不足3家的，应当终止采购活动。公开招标的货物和服务项目，招标过程中提交投标文件或者经评审实质性响应招标文件要求的供应商只有2家时，经本级财政部门批准后采用竞争性谈判方式采购的可以为2家</w:t>
      </w:r>
      <w:r>
        <w:rPr>
          <w:rFonts w:hint="eastAsia" w:cs="宋体"/>
          <w:color w:val="auto"/>
          <w:sz w:val="24"/>
          <w:szCs w:val="24"/>
          <w:highlight w:val="none"/>
          <w:lang w:eastAsia="zh-CN"/>
        </w:rPr>
        <w:t>。</w:t>
      </w:r>
    </w:p>
    <w:p w14:paraId="46075363">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25.4供应商或其授权代表对响应文件开启过程有疑义的，以及认为采购人、采购代理机构相关工作人员有需要回避的情形的，应在开</w:t>
      </w:r>
      <w:r>
        <w:rPr>
          <w:rFonts w:hint="eastAsia" w:ascii="宋体" w:hAnsi="宋体" w:eastAsia="宋体" w:cs="宋体"/>
          <w:color w:val="auto"/>
          <w:sz w:val="24"/>
          <w:szCs w:val="24"/>
          <w:highlight w:val="none"/>
          <w:lang w:val="en-US" w:eastAsia="zh-CN"/>
        </w:rPr>
        <w:t>启</w:t>
      </w:r>
      <w:r>
        <w:rPr>
          <w:rFonts w:hint="eastAsia" w:ascii="宋体" w:hAnsi="宋体" w:eastAsia="宋体" w:cs="宋体"/>
          <w:color w:val="auto"/>
          <w:sz w:val="24"/>
          <w:szCs w:val="24"/>
          <w:highlight w:val="none"/>
        </w:rPr>
        <w:t>会议中提出询问或者回避申请。采购人、采购代理机构对</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授权代表提出的询问或者回避申请应当及时处理。</w:t>
      </w:r>
    </w:p>
    <w:p w14:paraId="0486AA50">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w:t>
      </w:r>
      <w:r>
        <w:rPr>
          <w:rFonts w:hint="eastAsia" w:ascii="宋体" w:hAnsi="宋体" w:eastAsia="宋体" w:cs="宋体"/>
          <w:color w:val="auto"/>
          <w:sz w:val="24"/>
          <w:szCs w:val="24"/>
          <w:highlight w:val="none"/>
          <w:lang w:val="en-US" w:eastAsia="zh-CN"/>
        </w:rPr>
        <w:t>5供应商</w:t>
      </w:r>
      <w:r>
        <w:rPr>
          <w:rFonts w:hint="eastAsia" w:ascii="宋体" w:hAnsi="宋体" w:eastAsia="宋体" w:cs="宋体"/>
          <w:color w:val="auto"/>
          <w:sz w:val="24"/>
          <w:szCs w:val="24"/>
          <w:highlight w:val="none"/>
        </w:rPr>
        <w:t>未参加开</w:t>
      </w:r>
      <w:r>
        <w:rPr>
          <w:rFonts w:hint="eastAsia" w:ascii="宋体" w:hAnsi="宋体" w:eastAsia="宋体" w:cs="宋体"/>
          <w:color w:val="auto"/>
          <w:sz w:val="24"/>
          <w:szCs w:val="24"/>
          <w:highlight w:val="none"/>
          <w:lang w:val="en-US" w:eastAsia="zh-CN"/>
        </w:rPr>
        <w:t>启</w:t>
      </w:r>
      <w:r>
        <w:rPr>
          <w:rFonts w:hint="eastAsia" w:ascii="宋体" w:hAnsi="宋体" w:eastAsia="宋体" w:cs="宋体"/>
          <w:color w:val="auto"/>
          <w:sz w:val="24"/>
          <w:szCs w:val="24"/>
          <w:highlight w:val="none"/>
        </w:rPr>
        <w:t>的，视同认可开</w:t>
      </w:r>
      <w:r>
        <w:rPr>
          <w:rFonts w:hint="eastAsia" w:ascii="宋体" w:hAnsi="宋体" w:eastAsia="宋体" w:cs="宋体"/>
          <w:color w:val="auto"/>
          <w:sz w:val="24"/>
          <w:szCs w:val="24"/>
          <w:highlight w:val="none"/>
          <w:lang w:val="en-US" w:eastAsia="zh-CN"/>
        </w:rPr>
        <w:t>启</w:t>
      </w:r>
      <w:r>
        <w:rPr>
          <w:rFonts w:hint="eastAsia" w:ascii="宋体" w:hAnsi="宋体" w:eastAsia="宋体" w:cs="宋体"/>
          <w:color w:val="auto"/>
          <w:sz w:val="24"/>
          <w:szCs w:val="24"/>
          <w:highlight w:val="none"/>
        </w:rPr>
        <w:t>结果。</w:t>
      </w:r>
    </w:p>
    <w:bookmarkEnd w:id="308"/>
    <w:bookmarkEnd w:id="309"/>
    <w:bookmarkEnd w:id="310"/>
    <w:bookmarkEnd w:id="311"/>
    <w:bookmarkEnd w:id="312"/>
    <w:bookmarkEnd w:id="313"/>
    <w:bookmarkEnd w:id="314"/>
    <w:p w14:paraId="55D243EF">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8" w:name="_Toc140132785"/>
      <w:bookmarkStart w:id="319" w:name="_Toc155185877"/>
      <w:bookmarkStart w:id="320" w:name="_Toc19270"/>
      <w:bookmarkStart w:id="321" w:name="_Toc163492854"/>
      <w:r>
        <w:rPr>
          <w:rFonts w:hint="eastAsia" w:ascii="宋体" w:hAnsi="宋体" w:eastAsia="宋体" w:cs="宋体"/>
          <w:b/>
          <w:bCs/>
          <w:color w:val="auto"/>
          <w:kern w:val="2"/>
          <w:sz w:val="24"/>
          <w:szCs w:val="24"/>
          <w:highlight w:val="none"/>
          <w:lang w:val="en-US" w:eastAsia="zh-CN" w:bidi="ar-SA"/>
        </w:rPr>
        <w:t>（六）资格审查</w:t>
      </w:r>
      <w:bookmarkEnd w:id="318"/>
      <w:bookmarkEnd w:id="319"/>
      <w:bookmarkEnd w:id="320"/>
      <w:bookmarkEnd w:id="321"/>
    </w:p>
    <w:p w14:paraId="2C1B5FD6">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22" w:name="_Toc163492855"/>
      <w:r>
        <w:rPr>
          <w:rFonts w:hint="eastAsia" w:ascii="宋体" w:hAnsi="宋体" w:eastAsia="宋体" w:cs="宋体"/>
          <w:b/>
          <w:bCs/>
          <w:color w:val="auto"/>
          <w:kern w:val="2"/>
          <w:sz w:val="24"/>
          <w:szCs w:val="24"/>
          <w:highlight w:val="none"/>
          <w:lang w:val="en-US" w:eastAsia="zh-CN" w:bidi="ar-SA"/>
        </w:rPr>
        <w:t>26.资格审查及审查主体</w:t>
      </w:r>
      <w:bookmarkEnd w:id="322"/>
    </w:p>
    <w:p w14:paraId="3F6E8AD4">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bookmarkStart w:id="323" w:name="_Toc140132786"/>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.1开</w:t>
      </w:r>
      <w:r>
        <w:rPr>
          <w:rFonts w:hint="eastAsia" w:ascii="宋体" w:hAnsi="宋体" w:eastAsia="宋体" w:cs="宋体"/>
          <w:color w:val="auto"/>
          <w:sz w:val="24"/>
          <w:szCs w:val="24"/>
          <w:highlight w:val="none"/>
          <w:lang w:val="en-US" w:eastAsia="zh-CN"/>
        </w:rPr>
        <w:t>启</w:t>
      </w:r>
      <w:r>
        <w:rPr>
          <w:rFonts w:hint="eastAsia" w:ascii="宋体" w:hAnsi="宋体" w:eastAsia="宋体" w:cs="宋体"/>
          <w:color w:val="auto"/>
          <w:sz w:val="24"/>
          <w:szCs w:val="24"/>
          <w:highlight w:val="none"/>
        </w:rPr>
        <w:t>结束后，</w:t>
      </w:r>
      <w:r>
        <w:rPr>
          <w:rFonts w:hint="eastAsia" w:cs="宋体"/>
          <w:color w:val="auto"/>
          <w:sz w:val="24"/>
          <w:szCs w:val="24"/>
          <w:highlight w:val="none"/>
          <w:lang w:val="en-US" w:eastAsia="zh-CN"/>
        </w:rPr>
        <w:t>资格审查</w:t>
      </w:r>
      <w:r>
        <w:rPr>
          <w:rFonts w:hint="eastAsia" w:ascii="宋体" w:hAnsi="宋体" w:eastAsia="宋体" w:cs="宋体"/>
          <w:color w:val="auto"/>
          <w:sz w:val="24"/>
          <w:szCs w:val="24"/>
          <w:highlight w:val="none"/>
          <w:lang w:val="en-US" w:eastAsia="zh-CN"/>
        </w:rPr>
        <w:t>小组</w:t>
      </w:r>
      <w:r>
        <w:rPr>
          <w:rFonts w:hint="eastAsia" w:ascii="宋体" w:hAnsi="宋体" w:eastAsia="宋体" w:cs="宋体"/>
          <w:color w:val="auto"/>
          <w:sz w:val="24"/>
          <w:szCs w:val="24"/>
          <w:highlight w:val="none"/>
        </w:rPr>
        <w:t>依据法律法规和本</w:t>
      </w:r>
      <w:r>
        <w:rPr>
          <w:rFonts w:hint="eastAsia" w:ascii="宋体" w:hAnsi="宋体" w:eastAsia="宋体" w:cs="宋体"/>
          <w:color w:val="auto"/>
          <w:sz w:val="24"/>
          <w:szCs w:val="24"/>
          <w:highlight w:val="none"/>
          <w:lang w:val="en-US" w:eastAsia="zh-CN"/>
        </w:rPr>
        <w:t>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文件的规定，依法对</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资格进行审查，以确定</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是否具备</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资格。</w:t>
      </w:r>
      <w:bookmarkEnd w:id="323"/>
    </w:p>
    <w:p w14:paraId="6F7626D3">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bookmarkStart w:id="324" w:name="_Toc140132787"/>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.2资格审查按“第四章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snapToGrid w:val="0"/>
          <w:color w:val="auto"/>
          <w:sz w:val="24"/>
          <w:szCs w:val="24"/>
          <w:highlight w:val="none"/>
          <w:lang w:val="zh-CN"/>
        </w:rPr>
        <w:t>评审</w:t>
      </w:r>
      <w:r>
        <w:rPr>
          <w:rFonts w:hint="eastAsia" w:ascii="宋体" w:hAnsi="宋体" w:eastAsia="宋体" w:cs="宋体"/>
          <w:snapToGrid w:val="0"/>
          <w:color w:val="auto"/>
          <w:sz w:val="24"/>
          <w:szCs w:val="24"/>
          <w:highlight w:val="none"/>
          <w:lang w:val="en-US" w:eastAsia="zh-CN"/>
        </w:rPr>
        <w:t>方</w:t>
      </w:r>
      <w:r>
        <w:rPr>
          <w:rFonts w:hint="eastAsia" w:ascii="宋体" w:hAnsi="宋体" w:eastAsia="宋体" w:cs="宋体"/>
          <w:snapToGrid w:val="0"/>
          <w:color w:val="auto"/>
          <w:sz w:val="24"/>
          <w:szCs w:val="24"/>
          <w:highlight w:val="none"/>
          <w:lang w:val="zh-CN"/>
        </w:rPr>
        <w:t>法及标准</w:t>
      </w:r>
      <w:r>
        <w:rPr>
          <w:rFonts w:hint="eastAsia" w:ascii="宋体" w:hAnsi="宋体" w:eastAsia="宋体" w:cs="宋体"/>
          <w:color w:val="auto"/>
          <w:sz w:val="24"/>
          <w:szCs w:val="24"/>
          <w:highlight w:val="none"/>
        </w:rPr>
        <w:t>”的规定进行。</w:t>
      </w:r>
      <w:bookmarkEnd w:id="324"/>
    </w:p>
    <w:p w14:paraId="44D43B82">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bookmarkStart w:id="325" w:name="_Toc140132788"/>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.3资格审查结束后，应及时对资格审查结果进行复核，对资格审查错误进行及时纠正并记录。</w:t>
      </w:r>
      <w:bookmarkEnd w:id="325"/>
    </w:p>
    <w:p w14:paraId="272F167A">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26.4</w:t>
      </w:r>
      <w:r>
        <w:rPr>
          <w:rFonts w:hint="eastAsia" w:ascii="宋体" w:hAnsi="宋体" w:eastAsia="宋体" w:cs="宋体"/>
          <w:color w:val="auto"/>
          <w:sz w:val="24"/>
          <w:szCs w:val="24"/>
          <w:highlight w:val="none"/>
        </w:rPr>
        <w:t>资格审查合格</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不足3家的，不得评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w:t>
      </w:r>
    </w:p>
    <w:p w14:paraId="7A1F7D21">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36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26" w:name="_Toc140132789"/>
      <w:bookmarkStart w:id="327" w:name="_Toc163492856"/>
      <w:bookmarkStart w:id="328" w:name="_Toc155185878"/>
      <w:bookmarkStart w:id="329" w:name="_Toc11374"/>
      <w:r>
        <w:rPr>
          <w:rFonts w:hint="eastAsia" w:ascii="宋体" w:hAnsi="宋体" w:eastAsia="宋体" w:cs="宋体"/>
          <w:b/>
          <w:bCs/>
          <w:color w:val="auto"/>
          <w:kern w:val="2"/>
          <w:sz w:val="24"/>
          <w:szCs w:val="24"/>
          <w:highlight w:val="none"/>
          <w:lang w:val="en-US" w:eastAsia="zh-CN" w:bidi="ar-SA"/>
        </w:rPr>
        <w:t>（七）项目评</w:t>
      </w:r>
      <w:bookmarkEnd w:id="326"/>
      <w:bookmarkEnd w:id="327"/>
      <w:bookmarkEnd w:id="328"/>
      <w:r>
        <w:rPr>
          <w:rFonts w:hint="eastAsia" w:ascii="宋体" w:hAnsi="宋体" w:eastAsia="宋体" w:cs="宋体"/>
          <w:b/>
          <w:bCs/>
          <w:color w:val="auto"/>
          <w:kern w:val="2"/>
          <w:sz w:val="24"/>
          <w:szCs w:val="24"/>
          <w:highlight w:val="none"/>
          <w:lang w:val="en-US" w:eastAsia="zh-CN" w:bidi="ar-SA"/>
        </w:rPr>
        <w:t>审</w:t>
      </w:r>
      <w:bookmarkEnd w:id="329"/>
    </w:p>
    <w:p w14:paraId="4C04DF4E">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27.评审方法、程序及标准</w:t>
      </w:r>
    </w:p>
    <w:p w14:paraId="0B5D7D82">
      <w:pPr>
        <w:keepNext w:val="0"/>
        <w:keepLines w:val="0"/>
        <w:pageBreakBefore w:val="0"/>
        <w:widowControl w:val="0"/>
        <w:shd w:val="clear"/>
        <w:tabs>
          <w:tab w:val="left" w:pos="426"/>
        </w:tabs>
        <w:kinsoku/>
        <w:overflowPunct/>
        <w:topLinePunct w:val="0"/>
        <w:autoSpaceDE w:val="0"/>
        <w:autoSpaceDN w:val="0"/>
        <w:bidi w:val="0"/>
        <w:adjustRightInd w:val="0"/>
        <w:snapToGrid w:val="0"/>
        <w:ind w:firstLine="480" w:firstLineChars="200"/>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zh-CN"/>
        </w:rPr>
        <w:t>2</w:t>
      </w:r>
      <w:r>
        <w:rPr>
          <w:rFonts w:hint="eastAsia" w:ascii="宋体" w:hAnsi="宋体" w:eastAsia="宋体" w:cs="宋体"/>
          <w:snapToGrid w:val="0"/>
          <w:color w:val="auto"/>
          <w:sz w:val="24"/>
          <w:szCs w:val="24"/>
          <w:highlight w:val="none"/>
          <w:lang w:val="en-US" w:eastAsia="zh-CN"/>
        </w:rPr>
        <w:t>7</w:t>
      </w:r>
      <w:r>
        <w:rPr>
          <w:rFonts w:hint="eastAsia" w:ascii="宋体" w:hAnsi="宋体" w:eastAsia="宋体" w:cs="宋体"/>
          <w:snapToGrid w:val="0"/>
          <w:color w:val="auto"/>
          <w:sz w:val="24"/>
          <w:szCs w:val="24"/>
          <w:highlight w:val="none"/>
          <w:lang w:val="zh-CN"/>
        </w:rPr>
        <w:t>.1</w:t>
      </w:r>
      <w:r>
        <w:rPr>
          <w:rFonts w:hint="eastAsia" w:ascii="宋体" w:hAnsi="宋体" w:eastAsia="宋体" w:cs="宋体"/>
          <w:snapToGrid w:val="0"/>
          <w:color w:val="auto"/>
          <w:sz w:val="24"/>
          <w:szCs w:val="24"/>
          <w:highlight w:val="none"/>
          <w:lang w:val="en-US" w:eastAsia="zh-CN"/>
        </w:rPr>
        <w:t>评审方法：谈判小组与符合资格条件的供应商就采购货物、工程和服务事宜进行谈判，供应商按照谈判文件的要求提交响应文件和最后报价，采购人从谈判小组提出的成交候选人中确定成交供应商。</w:t>
      </w:r>
    </w:p>
    <w:p w14:paraId="51EDFC5F">
      <w:pPr>
        <w:keepNext w:val="0"/>
        <w:keepLines w:val="0"/>
        <w:pageBreakBefore w:val="0"/>
        <w:widowControl w:val="0"/>
        <w:shd w:val="clear"/>
        <w:tabs>
          <w:tab w:val="left" w:pos="426"/>
        </w:tabs>
        <w:kinsoku/>
        <w:overflowPunct/>
        <w:topLinePunct w:val="0"/>
        <w:autoSpaceDE w:val="0"/>
        <w:autoSpaceDN w:val="0"/>
        <w:bidi w:val="0"/>
        <w:adjustRightInd w:val="0"/>
        <w:snapToGrid w:val="0"/>
        <w:ind w:firstLine="480" w:firstLineChars="20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en-US" w:eastAsia="zh-CN"/>
        </w:rPr>
        <w:t>本</w:t>
      </w:r>
      <w:r>
        <w:rPr>
          <w:rFonts w:hint="eastAsia" w:ascii="宋体" w:hAnsi="宋体" w:eastAsia="宋体" w:cs="宋体"/>
          <w:snapToGrid w:val="0"/>
          <w:color w:val="auto"/>
          <w:sz w:val="24"/>
          <w:szCs w:val="24"/>
          <w:highlight w:val="none"/>
          <w:lang w:val="zh-CN"/>
        </w:rPr>
        <w:t>项目评审方法、程序及标准详见“第</w:t>
      </w:r>
      <w:r>
        <w:rPr>
          <w:rFonts w:hint="eastAsia" w:ascii="宋体" w:hAnsi="宋体" w:eastAsia="宋体" w:cs="宋体"/>
          <w:snapToGrid w:val="0"/>
          <w:color w:val="auto"/>
          <w:sz w:val="24"/>
          <w:szCs w:val="24"/>
          <w:highlight w:val="none"/>
          <w:lang w:val="en-US" w:eastAsia="zh-CN"/>
        </w:rPr>
        <w:t>四</w:t>
      </w:r>
      <w:r>
        <w:rPr>
          <w:rFonts w:hint="eastAsia" w:ascii="宋体" w:hAnsi="宋体" w:eastAsia="宋体" w:cs="宋体"/>
          <w:snapToGrid w:val="0"/>
          <w:color w:val="auto"/>
          <w:sz w:val="24"/>
          <w:szCs w:val="24"/>
          <w:highlight w:val="none"/>
          <w:lang w:val="zh-CN"/>
        </w:rPr>
        <w:t>章 评审</w:t>
      </w:r>
      <w:r>
        <w:rPr>
          <w:rFonts w:hint="eastAsia" w:ascii="宋体" w:hAnsi="宋体" w:eastAsia="宋体" w:cs="宋体"/>
          <w:snapToGrid w:val="0"/>
          <w:color w:val="auto"/>
          <w:sz w:val="24"/>
          <w:szCs w:val="24"/>
          <w:highlight w:val="none"/>
          <w:lang w:val="en-US" w:eastAsia="zh-CN"/>
        </w:rPr>
        <w:t>方</w:t>
      </w:r>
      <w:r>
        <w:rPr>
          <w:rFonts w:hint="eastAsia" w:ascii="宋体" w:hAnsi="宋体" w:eastAsia="宋体" w:cs="宋体"/>
          <w:snapToGrid w:val="0"/>
          <w:color w:val="auto"/>
          <w:sz w:val="24"/>
          <w:szCs w:val="24"/>
          <w:highlight w:val="none"/>
          <w:lang w:val="zh-CN"/>
        </w:rPr>
        <w:t>法及标准”。</w:t>
      </w:r>
    </w:p>
    <w:p w14:paraId="42E7A75C">
      <w:pPr>
        <w:keepNext w:val="0"/>
        <w:keepLines w:val="0"/>
        <w:pageBreakBefore w:val="0"/>
        <w:widowControl w:val="0"/>
        <w:shd w:val="clear"/>
        <w:tabs>
          <w:tab w:val="left" w:pos="426"/>
        </w:tabs>
        <w:kinsoku/>
        <w:overflowPunct/>
        <w:topLinePunct w:val="0"/>
        <w:autoSpaceDE w:val="0"/>
        <w:autoSpaceDN w:val="0"/>
        <w:bidi w:val="0"/>
        <w:adjustRightInd w:val="0"/>
        <w:snapToGrid w:val="0"/>
        <w:ind w:firstLine="480" w:firstLineChars="20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2</w:t>
      </w:r>
      <w:r>
        <w:rPr>
          <w:rFonts w:hint="eastAsia" w:ascii="宋体" w:hAnsi="宋体" w:eastAsia="宋体" w:cs="宋体"/>
          <w:snapToGrid w:val="0"/>
          <w:color w:val="auto"/>
          <w:sz w:val="24"/>
          <w:szCs w:val="24"/>
          <w:highlight w:val="none"/>
          <w:lang w:val="en-US" w:eastAsia="zh-CN"/>
        </w:rPr>
        <w:t>7</w:t>
      </w:r>
      <w:r>
        <w:rPr>
          <w:rFonts w:hint="eastAsia" w:ascii="宋体" w:hAnsi="宋体" w:eastAsia="宋体" w:cs="宋体"/>
          <w:snapToGrid w:val="0"/>
          <w:color w:val="auto"/>
          <w:sz w:val="24"/>
          <w:szCs w:val="24"/>
          <w:highlight w:val="none"/>
          <w:lang w:val="zh-CN"/>
        </w:rPr>
        <w:t>.2</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准备：供应商应当按照“</w:t>
      </w:r>
      <w:r>
        <w:rPr>
          <w:rFonts w:hint="eastAsia" w:ascii="宋体" w:hAnsi="宋体" w:eastAsia="宋体" w:cs="宋体"/>
          <w:snapToGrid w:val="0"/>
          <w:color w:val="auto"/>
          <w:sz w:val="24"/>
          <w:szCs w:val="24"/>
          <w:highlight w:val="none"/>
          <w:lang w:val="zh-CN" w:eastAsia="zh-CN"/>
        </w:rPr>
        <w:t>第</w:t>
      </w:r>
      <w:r>
        <w:rPr>
          <w:rFonts w:hint="eastAsia" w:ascii="宋体" w:hAnsi="宋体" w:eastAsia="宋体" w:cs="宋体"/>
          <w:snapToGrid w:val="0"/>
          <w:color w:val="auto"/>
          <w:sz w:val="24"/>
          <w:szCs w:val="24"/>
          <w:highlight w:val="none"/>
          <w:lang w:val="en-US" w:eastAsia="zh-CN"/>
        </w:rPr>
        <w:t>二</w:t>
      </w:r>
      <w:r>
        <w:rPr>
          <w:rFonts w:hint="eastAsia" w:ascii="宋体" w:hAnsi="宋体" w:eastAsia="宋体" w:cs="宋体"/>
          <w:snapToGrid w:val="0"/>
          <w:color w:val="auto"/>
          <w:sz w:val="24"/>
          <w:szCs w:val="24"/>
          <w:highlight w:val="none"/>
          <w:lang w:val="zh-CN" w:eastAsia="zh-CN"/>
        </w:rPr>
        <w:t xml:space="preserve">章 </w:t>
      </w:r>
      <w:r>
        <w:rPr>
          <w:rFonts w:hint="eastAsia" w:ascii="宋体" w:hAnsi="宋体" w:eastAsia="宋体" w:cs="宋体"/>
          <w:snapToGrid w:val="0"/>
          <w:color w:val="auto"/>
          <w:sz w:val="24"/>
          <w:szCs w:val="24"/>
          <w:highlight w:val="none"/>
          <w:lang w:val="en-US" w:eastAsia="zh-CN"/>
        </w:rPr>
        <w:t>供应商须知</w:t>
      </w:r>
      <w:r>
        <w:rPr>
          <w:rFonts w:hint="eastAsia" w:ascii="宋体" w:hAnsi="宋体" w:eastAsia="宋体" w:cs="宋体"/>
          <w:snapToGrid w:val="0"/>
          <w:color w:val="auto"/>
          <w:sz w:val="24"/>
          <w:szCs w:val="24"/>
          <w:highlight w:val="none"/>
          <w:lang w:val="zh-CN"/>
        </w:rPr>
        <w:t>”</w:t>
      </w:r>
      <w:r>
        <w:rPr>
          <w:rFonts w:hint="eastAsia" w:ascii="宋体" w:hAnsi="宋体" w:eastAsia="宋体" w:cs="宋体"/>
          <w:snapToGrid w:val="0"/>
          <w:color w:val="auto"/>
          <w:sz w:val="24"/>
          <w:szCs w:val="24"/>
          <w:highlight w:val="none"/>
          <w:lang w:val="en-US" w:eastAsia="zh-CN"/>
        </w:rPr>
        <w:t>的</w:t>
      </w:r>
      <w:r>
        <w:rPr>
          <w:rFonts w:hint="eastAsia" w:ascii="宋体" w:hAnsi="宋体" w:eastAsia="宋体" w:cs="宋体"/>
          <w:snapToGrid w:val="0"/>
          <w:color w:val="auto"/>
          <w:sz w:val="24"/>
          <w:szCs w:val="24"/>
          <w:highlight w:val="none"/>
          <w:lang w:val="zh-CN"/>
        </w:rPr>
        <w:t>要求提前准备好</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所需的设备，确保设备稳定可靠、互联网畅通。</w:t>
      </w:r>
      <w:r>
        <w:rPr>
          <w:rFonts w:hint="eastAsia" w:ascii="宋体" w:hAnsi="宋体" w:eastAsia="宋体" w:cs="宋体"/>
          <w:color w:val="auto"/>
          <w:sz w:val="24"/>
          <w:szCs w:val="24"/>
          <w:highlight w:val="none"/>
        </w:rPr>
        <w:t>供应商登录</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snapToGrid w:val="0"/>
          <w:color w:val="auto"/>
          <w:sz w:val="24"/>
          <w:szCs w:val="24"/>
          <w:highlight w:val="none"/>
          <w:lang w:val="zh-CN"/>
        </w:rPr>
        <w:t>通过</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snapToGrid w:val="0"/>
          <w:color w:val="auto"/>
          <w:sz w:val="24"/>
          <w:szCs w:val="24"/>
          <w:highlight w:val="none"/>
          <w:lang w:val="zh-CN"/>
        </w:rPr>
        <w:t>进入交易系统“</w:t>
      </w:r>
      <w:r>
        <w:rPr>
          <w:rFonts w:hint="eastAsia" w:ascii="宋体" w:hAnsi="宋体" w:eastAsia="宋体" w:cs="宋体"/>
          <w:snapToGrid w:val="0"/>
          <w:color w:val="auto"/>
          <w:sz w:val="24"/>
          <w:szCs w:val="24"/>
          <w:highlight w:val="none"/>
          <w:lang w:val="en-US" w:eastAsia="zh-CN"/>
        </w:rPr>
        <w:t>开</w:t>
      </w:r>
      <w:r>
        <w:rPr>
          <w:rFonts w:hint="eastAsia" w:ascii="宋体" w:hAnsi="宋体" w:eastAsia="宋体" w:cs="宋体"/>
          <w:snapToGrid w:val="0"/>
          <w:color w:val="auto"/>
          <w:sz w:val="24"/>
          <w:szCs w:val="24"/>
          <w:highlight w:val="none"/>
          <w:lang w:val="zh-CN"/>
        </w:rPr>
        <w:t>标大厅”，准时参加在线</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，按照工作人员提示进行相关操作。未按上述要求进行的，导致的后果由供应商自行承担。</w:t>
      </w:r>
    </w:p>
    <w:p w14:paraId="21D93F4E">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30" w:name="_Toc163492857"/>
      <w:bookmarkStart w:id="331" w:name="_Toc140132790"/>
      <w:r>
        <w:rPr>
          <w:rFonts w:hint="eastAsia" w:ascii="宋体" w:hAnsi="宋体" w:eastAsia="宋体" w:cs="宋体"/>
          <w:b/>
          <w:bCs/>
          <w:color w:val="auto"/>
          <w:kern w:val="2"/>
          <w:sz w:val="24"/>
          <w:szCs w:val="24"/>
          <w:highlight w:val="none"/>
          <w:lang w:val="en-US" w:eastAsia="zh-CN" w:bidi="ar-SA"/>
        </w:rPr>
        <w:t>28.</w:t>
      </w:r>
      <w:bookmarkEnd w:id="330"/>
      <w:bookmarkEnd w:id="331"/>
      <w:r>
        <w:rPr>
          <w:rFonts w:hint="eastAsia" w:ascii="宋体" w:hAnsi="宋体" w:eastAsia="宋体" w:cs="宋体"/>
          <w:b/>
          <w:bCs/>
          <w:color w:val="auto"/>
          <w:kern w:val="2"/>
          <w:sz w:val="24"/>
          <w:szCs w:val="24"/>
          <w:highlight w:val="none"/>
          <w:lang w:val="en-US" w:eastAsia="zh-CN" w:bidi="ar-SA"/>
        </w:rPr>
        <w:t>谈判小组</w:t>
      </w:r>
    </w:p>
    <w:p w14:paraId="6C1089B0">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.1 </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小组由采购人代表和评审专家共3人以上单数组成，其中评审专家人数不得少于</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小组成员总数的2/3。采购人代表不得以评审专家身份参加本部门或本单位采购项目的评审。采购代理机构人员不得参加本机构代理的采购项目的评审。</w:t>
      </w:r>
    </w:p>
    <w:p w14:paraId="301CAD81">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 xml:space="preserve">.2 </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小组成员有下列情形之一的，应当回避：</w:t>
      </w:r>
    </w:p>
    <w:p w14:paraId="0656ACEF">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（1）参加采购活动前3年内与</w:t>
      </w:r>
      <w:r>
        <w:rPr>
          <w:rFonts w:hint="eastAsia" w:ascii="宋体" w:hAnsi="宋体" w:eastAsia="宋体" w:cs="宋体"/>
          <w:color w:val="auto"/>
          <w:sz w:val="24"/>
          <w:szCs w:val="24"/>
          <w:highlight w:val="none"/>
          <w:lang w:val="en-US" w:eastAsia="zh-CN"/>
        </w:rPr>
        <w:t>谈判供应商</w:t>
      </w:r>
      <w:r>
        <w:rPr>
          <w:rFonts w:hint="eastAsia" w:ascii="宋体" w:hAnsi="宋体" w:eastAsia="宋体" w:cs="宋体"/>
          <w:color w:val="auto"/>
          <w:sz w:val="24"/>
          <w:szCs w:val="24"/>
          <w:highlight w:val="none"/>
        </w:rPr>
        <w:t>存在劳动关系；</w:t>
      </w:r>
    </w:p>
    <w:p w14:paraId="55B6A1BF">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（2）参加采购活动前3年内担任</w:t>
      </w:r>
      <w:r>
        <w:rPr>
          <w:rFonts w:hint="eastAsia" w:ascii="宋体" w:hAnsi="宋体" w:eastAsia="宋体" w:cs="宋体"/>
          <w:color w:val="auto"/>
          <w:sz w:val="24"/>
          <w:szCs w:val="24"/>
          <w:highlight w:val="none"/>
          <w:lang w:val="en-US" w:eastAsia="zh-CN"/>
        </w:rPr>
        <w:t>谈判供应商</w:t>
      </w:r>
      <w:r>
        <w:rPr>
          <w:rFonts w:hint="eastAsia" w:ascii="宋体" w:hAnsi="宋体" w:eastAsia="宋体" w:cs="宋体"/>
          <w:color w:val="auto"/>
          <w:sz w:val="24"/>
          <w:szCs w:val="24"/>
          <w:highlight w:val="none"/>
        </w:rPr>
        <w:t>的董事、监事；</w:t>
      </w:r>
    </w:p>
    <w:p w14:paraId="61A1D2B8">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（3）参加采购活动前3年内是</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的控股股东或者实际控制人；</w:t>
      </w:r>
    </w:p>
    <w:p w14:paraId="2961D582">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（4）与</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的法定代表人或者负责人有夫妻、直系血亲、三代以内旁系血亲或者近姻亲关系；</w:t>
      </w:r>
    </w:p>
    <w:p w14:paraId="20FB9B78">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（5）与</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有其他可能影响采购活动公平、公正进行的关系。</w:t>
      </w:r>
    </w:p>
    <w:p w14:paraId="25BEA5A7">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32" w:name="_Toc163492858"/>
      <w:bookmarkStart w:id="333" w:name="_Toc140132791"/>
      <w:r>
        <w:rPr>
          <w:rFonts w:hint="eastAsia" w:ascii="宋体" w:hAnsi="宋体" w:eastAsia="宋体" w:cs="宋体"/>
          <w:b/>
          <w:bCs/>
          <w:color w:val="auto"/>
          <w:kern w:val="2"/>
          <w:sz w:val="24"/>
          <w:szCs w:val="24"/>
          <w:highlight w:val="none"/>
          <w:lang w:val="en-US" w:eastAsia="zh-CN" w:bidi="ar-SA"/>
        </w:rPr>
        <w:t>29.</w:t>
      </w:r>
      <w:bookmarkEnd w:id="332"/>
      <w:bookmarkEnd w:id="333"/>
      <w:r>
        <w:rPr>
          <w:rFonts w:hint="eastAsia" w:ascii="宋体" w:hAnsi="宋体" w:eastAsia="宋体" w:cs="宋体"/>
          <w:b/>
          <w:bCs/>
          <w:color w:val="auto"/>
          <w:kern w:val="2"/>
          <w:sz w:val="24"/>
          <w:szCs w:val="24"/>
          <w:highlight w:val="none"/>
          <w:lang w:val="en-US" w:eastAsia="zh-CN" w:bidi="ar-SA"/>
        </w:rPr>
        <w:t>评审</w:t>
      </w:r>
    </w:p>
    <w:p w14:paraId="418DE4CD">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 谈判</w:t>
      </w:r>
      <w:r>
        <w:rPr>
          <w:rFonts w:hint="eastAsia" w:ascii="宋体" w:hAnsi="宋体" w:eastAsia="宋体" w:cs="宋体"/>
          <w:color w:val="auto"/>
          <w:sz w:val="24"/>
          <w:szCs w:val="24"/>
          <w:highlight w:val="none"/>
        </w:rPr>
        <w:t>小组按照“第</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方法及标准”</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规定对</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文件进行评审。“第</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方法及标准”没有规定的方法、评审因素和标准，不作为评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依据。</w:t>
      </w:r>
      <w:r>
        <w:rPr>
          <w:rFonts w:hint="eastAsia" w:cs="宋体"/>
          <w:color w:val="auto"/>
          <w:sz w:val="24"/>
          <w:szCs w:val="24"/>
          <w:highlight w:val="none"/>
          <w:lang w:val="en-US" w:eastAsia="zh-CN"/>
        </w:rPr>
        <w:t>本项目谈判轮次及谈判顺序详“供应商须知前附表”。</w:t>
      </w:r>
    </w:p>
    <w:p w14:paraId="1A9007D8">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2 </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小组按“</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须知前附表”规定的</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候选人数量在评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报告中向采购人推荐</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候选人。</w:t>
      </w:r>
    </w:p>
    <w:p w14:paraId="1E63454C">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29.3 开启之后，直到签订合同止，凡是属于审查、澄清、评价和比较</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的有关资料以及确定成交意向等，均不得向供应商或者其他与评审无关的人员透露。</w:t>
      </w:r>
    </w:p>
    <w:p w14:paraId="57927CBE">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29.4 在确定成交人之前，供应商试图在响应文件审查、澄清、比较和评审时对</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w:t>
      </w:r>
      <w:r>
        <w:rPr>
          <w:rFonts w:hint="eastAsia" w:ascii="宋体" w:hAnsi="宋体" w:eastAsia="宋体" w:cs="宋体"/>
          <w:color w:val="auto"/>
          <w:sz w:val="24"/>
          <w:szCs w:val="24"/>
          <w:highlight w:val="none"/>
          <w:lang w:val="en-US" w:eastAsia="zh-CN"/>
        </w:rPr>
        <w:t>、采购人和采购代理机构施加任何影响都可能导致其</w:t>
      </w:r>
      <w:r>
        <w:rPr>
          <w:rFonts w:hint="eastAsia" w:ascii="宋体" w:hAnsi="宋体" w:eastAsia="宋体" w:cs="宋体"/>
          <w:b/>
          <w:bCs/>
          <w:color w:val="auto"/>
          <w:sz w:val="24"/>
          <w:szCs w:val="24"/>
          <w:highlight w:val="none"/>
          <w:lang w:val="en-US" w:eastAsia="zh-CN"/>
        </w:rPr>
        <w:t>响应无效</w:t>
      </w:r>
      <w:r>
        <w:rPr>
          <w:rFonts w:hint="eastAsia" w:ascii="宋体" w:hAnsi="宋体" w:eastAsia="宋体" w:cs="宋体"/>
          <w:color w:val="auto"/>
          <w:sz w:val="24"/>
          <w:szCs w:val="24"/>
          <w:highlight w:val="none"/>
          <w:lang w:val="en-US" w:eastAsia="zh-CN"/>
        </w:rPr>
        <w:t>。</w:t>
      </w:r>
    </w:p>
    <w:p w14:paraId="32A32003">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29.5 电子招投标的应急措施</w:t>
      </w:r>
    </w:p>
    <w:p w14:paraId="52525CD6">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29.5.1电子开启、评审如出现下列原因，导致系统无法正常运行或无法正常评审时，应采取应急措施。</w:t>
      </w:r>
    </w:p>
    <w:p w14:paraId="3D99F562">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（1）系统服务器发生故障，无法访问或无法使用系统；</w:t>
      </w:r>
    </w:p>
    <w:p w14:paraId="518B308A">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（2）系统的软件或数据库出现错误，不能进行正常操作；</w:t>
      </w:r>
    </w:p>
    <w:p w14:paraId="657BA7B3">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（3）系统发现有安全漏洞，有潜在的泄密危险；</w:t>
      </w:r>
    </w:p>
    <w:p w14:paraId="26B15397">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（4）病毒发作或受到外来病毒的攻击；</w:t>
      </w:r>
    </w:p>
    <w:p w14:paraId="6BCA43D9">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（5）出现其他不可抗拒的客观原因造成开评标系统无法正常使用。</w:t>
      </w:r>
    </w:p>
    <w:p w14:paraId="2BA3CE00">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出现上述情况时，应对未开启的暂停开启。已在系统内开启、评审的立即停止。采取应急措施时，必须对原有资料及信息作出妥善保密处理。</w:t>
      </w:r>
    </w:p>
    <w:p w14:paraId="791CC4F0">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29.5.2因系统原因导致供应商均无法解密电子响应文件时，采购代理机构可在开启现场直接导入供应商在递交响应文件截止时间前递交的未加密的电子响应文件进行开启、评审。</w:t>
      </w:r>
    </w:p>
    <w:p w14:paraId="28CD45E0">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29.6 供应商瑕疵滞后发现的处理规则</w:t>
      </w:r>
    </w:p>
    <w:p w14:paraId="11E85EAD">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29.6.1无论基于何种原因，各项本应作拒绝处理的情形即便未被及时发现而使该供应商进入初审、综合评审或其他后续程序，包括已经签订合同的情形，一旦供应商被拒绝或该供应商的此前评议结果被取消，其现有的位置将被其他供应商依序替代，相关的一切损失均由该供应商承担。</w:t>
      </w:r>
    </w:p>
    <w:p w14:paraId="5000462B">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34" w:name="_Toc109900401"/>
      <w:bookmarkStart w:id="335" w:name="_Toc109899982"/>
      <w:bookmarkStart w:id="336" w:name="_Toc109899563"/>
      <w:bookmarkStart w:id="337" w:name="_Toc163493616"/>
      <w:bookmarkStart w:id="338" w:name="_Toc470172692"/>
      <w:bookmarkStart w:id="339" w:name="_Toc109897464"/>
      <w:bookmarkStart w:id="340" w:name="_Toc46771670"/>
      <w:bookmarkStart w:id="341" w:name="_Toc3567"/>
      <w:r>
        <w:rPr>
          <w:rFonts w:hint="eastAsia" w:ascii="宋体" w:hAnsi="宋体" w:eastAsia="宋体" w:cs="宋体"/>
          <w:b/>
          <w:bCs/>
          <w:color w:val="auto"/>
          <w:kern w:val="2"/>
          <w:sz w:val="24"/>
          <w:szCs w:val="24"/>
          <w:highlight w:val="none"/>
          <w:lang w:val="en-US" w:eastAsia="zh-CN" w:bidi="ar-SA"/>
        </w:rPr>
        <w:t>（八）成交</w:t>
      </w:r>
      <w:bookmarkEnd w:id="334"/>
      <w:bookmarkEnd w:id="335"/>
      <w:bookmarkEnd w:id="336"/>
      <w:bookmarkEnd w:id="337"/>
      <w:bookmarkEnd w:id="338"/>
      <w:bookmarkEnd w:id="339"/>
      <w:bookmarkEnd w:id="340"/>
      <w:bookmarkEnd w:id="341"/>
    </w:p>
    <w:p w14:paraId="59C81E92">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42" w:name="_Toc46772272"/>
      <w:bookmarkStart w:id="343" w:name="_Toc52960584"/>
      <w:bookmarkStart w:id="344" w:name="_Toc109900402"/>
      <w:bookmarkStart w:id="345" w:name="_Toc51674242"/>
      <w:bookmarkStart w:id="346" w:name="_Toc109899983"/>
      <w:bookmarkStart w:id="347" w:name="_Toc48688820"/>
      <w:bookmarkStart w:id="348" w:name="_Toc46771671"/>
      <w:bookmarkStart w:id="349" w:name="_Toc109899564"/>
      <w:bookmarkStart w:id="350" w:name="_Toc109897465"/>
      <w:bookmarkStart w:id="351" w:name="_Toc48846140"/>
      <w:bookmarkStart w:id="352" w:name="_Toc52962758"/>
      <w:bookmarkStart w:id="353" w:name="_Hlk143533953"/>
      <w:r>
        <w:rPr>
          <w:rFonts w:hint="eastAsia" w:ascii="宋体" w:hAnsi="宋体" w:eastAsia="宋体" w:cs="宋体"/>
          <w:b/>
          <w:bCs/>
          <w:color w:val="auto"/>
          <w:kern w:val="2"/>
          <w:sz w:val="24"/>
          <w:szCs w:val="24"/>
          <w:highlight w:val="none"/>
          <w:lang w:val="en-US" w:eastAsia="zh-CN" w:bidi="ar-SA"/>
        </w:rPr>
        <w:t>30.确定成交供应商</w:t>
      </w:r>
      <w:bookmarkEnd w:id="342"/>
      <w:bookmarkEnd w:id="343"/>
      <w:bookmarkEnd w:id="344"/>
      <w:bookmarkEnd w:id="345"/>
      <w:bookmarkEnd w:id="346"/>
      <w:bookmarkEnd w:id="347"/>
      <w:bookmarkEnd w:id="348"/>
      <w:bookmarkEnd w:id="349"/>
      <w:bookmarkEnd w:id="350"/>
      <w:bookmarkEnd w:id="351"/>
      <w:bookmarkEnd w:id="352"/>
    </w:p>
    <w:p w14:paraId="2A96CF82">
      <w:pPr>
        <w:keepNext w:val="0"/>
        <w:keepLines w:val="0"/>
        <w:pageBreakBefore w:val="0"/>
        <w:widowControl w:val="0"/>
        <w:shd w:val="clear"/>
        <w:tabs>
          <w:tab w:val="left" w:pos="426"/>
        </w:tabs>
        <w:kinsoku/>
        <w:overflowPunct/>
        <w:topLinePunct w:val="0"/>
        <w:autoSpaceDE w:val="0"/>
        <w:autoSpaceDN w:val="0"/>
        <w:bidi w:val="0"/>
        <w:adjustRightInd w:val="0"/>
        <w:snapToGrid w:val="0"/>
        <w:ind w:firstLine="480" w:firstLineChars="200"/>
        <w:textAlignment w:val="auto"/>
        <w:rPr>
          <w:rFonts w:hint="default"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30</w:t>
      </w:r>
      <w:r>
        <w:rPr>
          <w:rFonts w:hint="eastAsia" w:ascii="宋体" w:hAnsi="宋体" w:eastAsia="宋体" w:cs="宋体"/>
          <w:snapToGrid w:val="0"/>
          <w:color w:val="auto"/>
          <w:sz w:val="24"/>
          <w:szCs w:val="24"/>
          <w:highlight w:val="none"/>
          <w:lang w:val="zh-CN"/>
        </w:rPr>
        <w:t>.1确定成交供应商详见“供应商须知前附表”。</w:t>
      </w:r>
      <w:r>
        <w:rPr>
          <w:rFonts w:hint="eastAsia" w:cs="宋体"/>
          <w:snapToGrid w:val="0"/>
          <w:color w:val="auto"/>
          <w:sz w:val="24"/>
          <w:szCs w:val="24"/>
          <w:highlight w:val="none"/>
          <w:lang w:val="en-US" w:eastAsia="zh-CN"/>
        </w:rPr>
        <w:t>成交候选人并列的，按照</w:t>
      </w:r>
      <w:r>
        <w:rPr>
          <w:rFonts w:hint="eastAsia" w:ascii="宋体" w:hAnsi="宋体" w:eastAsia="宋体" w:cs="宋体"/>
          <w:snapToGrid w:val="0"/>
          <w:color w:val="auto"/>
          <w:sz w:val="24"/>
          <w:szCs w:val="24"/>
          <w:highlight w:val="none"/>
          <w:lang w:val="zh-CN"/>
        </w:rPr>
        <w:t>“供应商须知前附表”</w:t>
      </w:r>
      <w:r>
        <w:rPr>
          <w:rFonts w:hint="eastAsia" w:cs="宋体"/>
          <w:snapToGrid w:val="0"/>
          <w:color w:val="auto"/>
          <w:sz w:val="24"/>
          <w:szCs w:val="24"/>
          <w:highlight w:val="none"/>
          <w:lang w:val="en-US" w:eastAsia="zh-CN"/>
        </w:rPr>
        <w:t>要求确定成交供应商。</w:t>
      </w:r>
    </w:p>
    <w:p w14:paraId="4B64349D">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31.成交结果公告</w:t>
      </w:r>
    </w:p>
    <w:p w14:paraId="32E98E3A">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bidi="ar"/>
        </w:rPr>
      </w:pPr>
      <w:r>
        <w:rPr>
          <w:rFonts w:hint="eastAsia" w:ascii="宋体" w:hAnsi="宋体" w:eastAsia="宋体" w:cs="宋体"/>
          <w:snapToGrid w:val="0"/>
          <w:color w:val="auto"/>
          <w:sz w:val="24"/>
          <w:szCs w:val="24"/>
          <w:highlight w:val="none"/>
          <w:lang w:val="en-US" w:eastAsia="zh-CN"/>
        </w:rPr>
        <w:t>31</w:t>
      </w:r>
      <w:r>
        <w:rPr>
          <w:rFonts w:hint="eastAsia" w:ascii="宋体" w:hAnsi="宋体" w:eastAsia="宋体" w:cs="宋体"/>
          <w:snapToGrid w:val="0"/>
          <w:color w:val="auto"/>
          <w:sz w:val="24"/>
          <w:szCs w:val="24"/>
          <w:highlight w:val="none"/>
          <w:lang w:val="zh-CN"/>
        </w:rPr>
        <w:t>.1</w:t>
      </w:r>
      <w:r>
        <w:rPr>
          <w:rFonts w:hint="eastAsia" w:ascii="宋体" w:hAnsi="宋体" w:eastAsia="宋体" w:cs="宋体"/>
          <w:color w:val="auto"/>
          <w:sz w:val="24"/>
          <w:szCs w:val="24"/>
          <w:highlight w:val="none"/>
          <w:lang w:bidi="ar"/>
        </w:rPr>
        <w:t>采购人或者采购代理机构应当在成交供应商确定后2个工作日内，在省级以上财政部门指定的政府采购信息发布媒体上公告成交结果，</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bidi="ar"/>
        </w:rPr>
        <w:t>文件</w:t>
      </w:r>
      <w:r>
        <w:rPr>
          <w:rFonts w:hint="eastAsia" w:ascii="宋体" w:hAnsi="宋体" w:eastAsia="宋体" w:cs="宋体"/>
          <w:color w:val="auto"/>
          <w:sz w:val="24"/>
          <w:szCs w:val="24"/>
          <w:highlight w:val="none"/>
          <w:lang w:eastAsia="zh-CN" w:bidi="ar"/>
        </w:rPr>
        <w:t>、</w:t>
      </w:r>
      <w:r>
        <w:rPr>
          <w:rFonts w:hint="eastAsia" w:ascii="宋体" w:hAnsi="宋体" w:eastAsia="宋体" w:cs="宋体"/>
          <w:bCs/>
          <w:color w:val="auto"/>
          <w:sz w:val="24"/>
          <w:szCs w:val="24"/>
          <w:highlight w:val="none"/>
          <w:lang w:val="en-US" w:eastAsia="zh-CN"/>
        </w:rPr>
        <w:t>因落实政府采购政策等原因进行价格扣除后成交供应商的评审报价</w:t>
      </w:r>
      <w:r>
        <w:rPr>
          <w:rFonts w:hint="eastAsia" w:ascii="宋体" w:hAnsi="宋体" w:eastAsia="宋体" w:cs="宋体"/>
          <w:color w:val="auto"/>
          <w:sz w:val="24"/>
          <w:szCs w:val="24"/>
          <w:highlight w:val="none"/>
          <w:lang w:bidi="ar"/>
        </w:rPr>
        <w:t>随成交结果同时公告。</w:t>
      </w:r>
    </w:p>
    <w:p w14:paraId="5352A1FC">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成交</w:t>
      </w:r>
      <w:r>
        <w:rPr>
          <w:rFonts w:hint="eastAsia" w:ascii="宋体" w:hAnsi="宋体" w:eastAsia="宋体" w:cs="宋体"/>
          <w:bCs/>
          <w:color w:val="auto"/>
          <w:sz w:val="24"/>
          <w:szCs w:val="24"/>
          <w:highlight w:val="none"/>
          <w:lang w:val="en-US" w:eastAsia="zh-CN"/>
        </w:rPr>
        <w:t>人</w:t>
      </w:r>
      <w:r>
        <w:rPr>
          <w:rFonts w:hint="eastAsia" w:ascii="宋体" w:hAnsi="宋体" w:eastAsia="宋体" w:cs="宋体"/>
          <w:bCs/>
          <w:color w:val="auto"/>
          <w:sz w:val="24"/>
          <w:szCs w:val="24"/>
          <w:highlight w:val="none"/>
          <w:lang w:eastAsia="zh-CN"/>
        </w:rPr>
        <w:t>为中小企业</w:t>
      </w:r>
      <w:r>
        <w:rPr>
          <w:rFonts w:hint="eastAsia" w:ascii="宋体" w:hAnsi="宋体" w:eastAsia="宋体" w:cs="宋体"/>
          <w:bCs/>
          <w:color w:val="auto"/>
          <w:sz w:val="24"/>
          <w:szCs w:val="24"/>
          <w:highlight w:val="none"/>
          <w:lang w:val="en-US" w:eastAsia="zh-CN"/>
        </w:rPr>
        <w:t>享受中小企业扶持政策的</w:t>
      </w:r>
      <w:r>
        <w:rPr>
          <w:rFonts w:hint="eastAsia" w:ascii="宋体" w:hAnsi="宋体" w:eastAsia="宋体" w:cs="宋体"/>
          <w:bCs/>
          <w:color w:val="auto"/>
          <w:sz w:val="24"/>
          <w:szCs w:val="24"/>
          <w:highlight w:val="none"/>
          <w:lang w:eastAsia="zh-CN"/>
        </w:rPr>
        <w:t>，其“中小企业声明函”随成交结果同时公告。成交</w:t>
      </w:r>
      <w:r>
        <w:rPr>
          <w:rFonts w:hint="eastAsia" w:ascii="宋体" w:hAnsi="宋体" w:eastAsia="宋体" w:cs="宋体"/>
          <w:bCs/>
          <w:color w:val="auto"/>
          <w:sz w:val="24"/>
          <w:szCs w:val="24"/>
          <w:highlight w:val="none"/>
          <w:lang w:val="en-US" w:eastAsia="zh-CN"/>
        </w:rPr>
        <w:t>人</w:t>
      </w:r>
      <w:r>
        <w:rPr>
          <w:rFonts w:hint="eastAsia" w:ascii="宋体" w:hAnsi="宋体" w:eastAsia="宋体" w:cs="宋体"/>
          <w:bCs/>
          <w:color w:val="auto"/>
          <w:sz w:val="24"/>
          <w:szCs w:val="24"/>
          <w:highlight w:val="none"/>
          <w:lang w:eastAsia="zh-CN"/>
        </w:rPr>
        <w:t>为残疾人福利性单位的，其“残疾人福利性单位声明函”随成交结果同时公告。</w:t>
      </w:r>
    </w:p>
    <w:p w14:paraId="4CB6B367">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32.成交通知书</w:t>
      </w:r>
    </w:p>
    <w:p w14:paraId="3F3AC502">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en-US" w:eastAsia="zh-CN"/>
        </w:rPr>
        <w:t>32</w:t>
      </w:r>
      <w:r>
        <w:rPr>
          <w:rFonts w:hint="eastAsia" w:ascii="宋体" w:hAnsi="宋体" w:eastAsia="宋体" w:cs="宋体"/>
          <w:snapToGrid w:val="0"/>
          <w:color w:val="auto"/>
          <w:sz w:val="24"/>
          <w:szCs w:val="24"/>
          <w:highlight w:val="none"/>
          <w:lang w:val="zh-CN"/>
        </w:rPr>
        <w:t>.1发布成交结果公告同时向成交供应商发出成交通知书。成交通知书是合同的组成部分,对成交供应商和采购人具有同等法律效力。</w:t>
      </w:r>
    </w:p>
    <w:p w14:paraId="3E2C2D81">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54" w:name="_Toc2288"/>
      <w:bookmarkStart w:id="355" w:name="_Toc163493617"/>
      <w:r>
        <w:rPr>
          <w:rFonts w:hint="eastAsia" w:ascii="宋体" w:hAnsi="宋体" w:eastAsia="宋体" w:cs="宋体"/>
          <w:b/>
          <w:bCs/>
          <w:color w:val="auto"/>
          <w:kern w:val="2"/>
          <w:sz w:val="24"/>
          <w:szCs w:val="24"/>
          <w:highlight w:val="none"/>
          <w:lang w:val="en-US" w:eastAsia="zh-CN" w:bidi="ar-SA"/>
        </w:rPr>
        <w:t>（九）签订合同</w:t>
      </w:r>
      <w:bookmarkEnd w:id="354"/>
      <w:bookmarkEnd w:id="355"/>
    </w:p>
    <w:p w14:paraId="6F871425">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56" w:name="_Toc52960585"/>
      <w:bookmarkStart w:id="357" w:name="_Toc52962759"/>
      <w:bookmarkStart w:id="358" w:name="_Toc109897466"/>
      <w:bookmarkStart w:id="359" w:name="_Toc51674243"/>
      <w:bookmarkStart w:id="360" w:name="_Toc48846141"/>
      <w:bookmarkStart w:id="361" w:name="_Toc109899984"/>
      <w:bookmarkStart w:id="362" w:name="_Toc48688821"/>
      <w:bookmarkStart w:id="363" w:name="_Toc109900403"/>
      <w:bookmarkStart w:id="364" w:name="_Toc109899565"/>
      <w:bookmarkStart w:id="365" w:name="_Toc46772273"/>
      <w:bookmarkStart w:id="366" w:name="_Toc46771672"/>
      <w:r>
        <w:rPr>
          <w:rFonts w:hint="eastAsia" w:ascii="宋体" w:hAnsi="宋体" w:eastAsia="宋体" w:cs="宋体"/>
          <w:b/>
          <w:bCs/>
          <w:color w:val="auto"/>
          <w:kern w:val="2"/>
          <w:sz w:val="24"/>
          <w:szCs w:val="24"/>
          <w:highlight w:val="none"/>
          <w:lang w:val="en-US" w:eastAsia="zh-CN" w:bidi="ar-SA"/>
        </w:rPr>
        <w:t>33.履约保证金</w:t>
      </w:r>
    </w:p>
    <w:p w14:paraId="2934878C">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.1在签订合同前，成交供应商应按“供应商须知前附表”规定的金额、担保形式和采购人认可的履约担保格式向采购人提交履约保证金。</w:t>
      </w:r>
    </w:p>
    <w:p w14:paraId="429BB4A0">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.2成交供应商不能按本章第3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.1项要求提交履约担保的，视为放弃成交，给采购人造成损失的，成交供应商还应当承担民事责任。</w:t>
      </w:r>
    </w:p>
    <w:p w14:paraId="2B0382DC">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34.签订合同</w:t>
      </w:r>
      <w:bookmarkEnd w:id="356"/>
      <w:bookmarkEnd w:id="357"/>
      <w:bookmarkEnd w:id="358"/>
      <w:bookmarkEnd w:id="359"/>
      <w:bookmarkEnd w:id="360"/>
      <w:bookmarkEnd w:id="361"/>
      <w:bookmarkEnd w:id="362"/>
      <w:bookmarkEnd w:id="363"/>
      <w:bookmarkEnd w:id="364"/>
      <w:bookmarkEnd w:id="365"/>
      <w:bookmarkEnd w:id="366"/>
    </w:p>
    <w:p w14:paraId="343B0C17">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zh-CN"/>
        </w:rPr>
        <w:t>3</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lang w:val="zh-CN"/>
        </w:rPr>
        <w:t>.1采购人与成交供应商应当在成交通知书发出之日起</w:t>
      </w:r>
      <w:r>
        <w:rPr>
          <w:rFonts w:hint="eastAsia" w:ascii="宋体" w:hAnsi="宋体" w:eastAsia="宋体" w:cs="宋体"/>
          <w:snapToGrid w:val="0"/>
          <w:color w:val="auto"/>
          <w:sz w:val="24"/>
          <w:szCs w:val="24"/>
          <w:highlight w:val="none"/>
          <w:lang w:val="en-US" w:eastAsia="zh-CN"/>
        </w:rPr>
        <w:t>25</w:t>
      </w:r>
      <w:r>
        <w:rPr>
          <w:rFonts w:hint="eastAsia" w:ascii="宋体" w:hAnsi="宋体" w:eastAsia="宋体" w:cs="宋体"/>
          <w:snapToGrid w:val="0"/>
          <w:color w:val="auto"/>
          <w:sz w:val="24"/>
          <w:szCs w:val="24"/>
          <w:highlight w:val="none"/>
          <w:lang w:val="zh-CN"/>
        </w:rPr>
        <w:t>日内，按照</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val="zh-CN"/>
        </w:rPr>
        <w:t>文件确定的合同文本以及采购标的、规格型号、采购金额、采购数量、技术和服务要求等事项签订政府采购合同。</w:t>
      </w:r>
      <w:r>
        <w:rPr>
          <w:rFonts w:hint="eastAsia" w:ascii="宋体" w:hAnsi="宋体" w:eastAsia="宋体" w:cs="宋体"/>
          <w:color w:val="auto"/>
          <w:sz w:val="24"/>
          <w:szCs w:val="24"/>
          <w:highlight w:val="none"/>
        </w:rPr>
        <w:t>采购人因不可抗力原因迟延签订合同的，应当自不可抗力事由消除之日起7日内完成合同签订事宜。所签订的合同不得对</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文件和</w:t>
      </w:r>
      <w:r>
        <w:rPr>
          <w:rFonts w:hint="eastAsia" w:ascii="宋体" w:hAnsi="宋体" w:eastAsia="宋体" w:cs="宋体"/>
          <w:color w:val="auto"/>
          <w:sz w:val="24"/>
          <w:szCs w:val="24"/>
          <w:highlight w:val="none"/>
          <w:lang w:val="en-US" w:eastAsia="zh-CN"/>
        </w:rPr>
        <w:t>成交供应商响应</w:t>
      </w:r>
      <w:r>
        <w:rPr>
          <w:rFonts w:hint="eastAsia" w:ascii="宋体" w:hAnsi="宋体" w:eastAsia="宋体" w:cs="宋体"/>
          <w:color w:val="auto"/>
          <w:sz w:val="24"/>
          <w:szCs w:val="24"/>
          <w:highlight w:val="none"/>
        </w:rPr>
        <w:t>文件作实质性修改。</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人无正当理由拒签合同，给采购人造成损失的，</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人还应当承担民事责任。</w:t>
      </w:r>
    </w:p>
    <w:p w14:paraId="1C3196D6">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zh-CN"/>
        </w:rPr>
        <w:t>成交供应商拒绝签订政府采购合同的，采购人可以</w:t>
      </w:r>
      <w:r>
        <w:rPr>
          <w:rFonts w:hint="eastAsia" w:ascii="宋体" w:hAnsi="宋体" w:eastAsia="宋体" w:cs="宋体"/>
          <w:color w:val="auto"/>
          <w:sz w:val="24"/>
          <w:szCs w:val="24"/>
          <w:highlight w:val="none"/>
          <w:lang w:val="en-US" w:eastAsia="zh-CN"/>
        </w:rPr>
        <w:t>按照</w:t>
      </w:r>
      <w:r>
        <w:rPr>
          <w:rFonts w:hint="eastAsia" w:ascii="宋体" w:hAnsi="宋体" w:eastAsia="宋体" w:cs="宋体"/>
          <w:color w:val="auto"/>
          <w:sz w:val="24"/>
          <w:szCs w:val="24"/>
          <w:highlight w:val="none"/>
          <w:lang w:val="zh-CN"/>
        </w:rPr>
        <w:t>《政府采购</w:t>
      </w:r>
      <w:r>
        <w:rPr>
          <w:rFonts w:hint="eastAsia" w:cs="宋体"/>
          <w:color w:val="auto"/>
          <w:sz w:val="24"/>
          <w:szCs w:val="24"/>
          <w:highlight w:val="none"/>
          <w:lang w:val="en-US" w:eastAsia="zh-CN"/>
        </w:rPr>
        <w:t>非招标采购方式</w:t>
      </w:r>
      <w:r>
        <w:rPr>
          <w:rFonts w:hint="eastAsia" w:ascii="宋体" w:hAnsi="宋体" w:eastAsia="宋体" w:cs="宋体"/>
          <w:color w:val="auto"/>
          <w:sz w:val="24"/>
          <w:szCs w:val="24"/>
          <w:highlight w:val="none"/>
          <w:lang w:val="zh-CN"/>
        </w:rPr>
        <w:t>管理办法》（</w:t>
      </w:r>
      <w:r>
        <w:rPr>
          <w:rFonts w:hint="eastAsia" w:cs="宋体"/>
          <w:color w:val="auto"/>
          <w:sz w:val="24"/>
          <w:szCs w:val="24"/>
          <w:highlight w:val="none"/>
          <w:lang w:val="en-US" w:eastAsia="zh-CN"/>
        </w:rPr>
        <w:t>财政部令7</w:t>
      </w:r>
      <w:r>
        <w:rPr>
          <w:rFonts w:hint="eastAsia" w:ascii="宋体" w:hAnsi="宋体" w:eastAsia="宋体" w:cs="宋体"/>
          <w:color w:val="auto"/>
          <w:sz w:val="24"/>
          <w:szCs w:val="24"/>
          <w:highlight w:val="none"/>
          <w:lang w:val="zh-CN"/>
        </w:rPr>
        <w:t>4号）第</w:t>
      </w:r>
      <w:r>
        <w:rPr>
          <w:rFonts w:hint="eastAsia" w:cs="宋体"/>
          <w:color w:val="auto"/>
          <w:sz w:val="24"/>
          <w:szCs w:val="24"/>
          <w:highlight w:val="none"/>
          <w:lang w:val="en-US" w:eastAsia="zh-CN"/>
        </w:rPr>
        <w:t>二</w:t>
      </w:r>
      <w:r>
        <w:rPr>
          <w:rFonts w:hint="eastAsia" w:ascii="宋体" w:hAnsi="宋体" w:eastAsia="宋体" w:cs="宋体"/>
          <w:color w:val="auto"/>
          <w:sz w:val="24"/>
          <w:szCs w:val="24"/>
          <w:highlight w:val="none"/>
          <w:lang w:val="zh-CN"/>
        </w:rPr>
        <w:t>十</w:t>
      </w:r>
      <w:r>
        <w:rPr>
          <w:rFonts w:hint="eastAsia" w:cs="宋体"/>
          <w:color w:val="auto"/>
          <w:sz w:val="24"/>
          <w:szCs w:val="24"/>
          <w:highlight w:val="none"/>
          <w:lang w:val="en-US" w:eastAsia="zh-CN"/>
        </w:rPr>
        <w:t>二</w:t>
      </w:r>
      <w:r>
        <w:rPr>
          <w:rFonts w:hint="eastAsia" w:ascii="宋体" w:hAnsi="宋体" w:eastAsia="宋体" w:cs="宋体"/>
          <w:color w:val="auto"/>
          <w:sz w:val="24"/>
          <w:szCs w:val="24"/>
          <w:highlight w:val="none"/>
          <w:lang w:val="zh-CN"/>
        </w:rPr>
        <w:t>条</w:t>
      </w:r>
      <w:r>
        <w:rPr>
          <w:rFonts w:hint="eastAsia" w:cs="宋体"/>
          <w:color w:val="auto"/>
          <w:sz w:val="24"/>
          <w:szCs w:val="24"/>
          <w:highlight w:val="none"/>
          <w:lang w:val="en-US" w:eastAsia="zh-CN"/>
        </w:rPr>
        <w:t>第二款</w:t>
      </w:r>
      <w:r>
        <w:rPr>
          <w:rFonts w:hint="eastAsia" w:ascii="宋体" w:hAnsi="宋体" w:eastAsia="宋体" w:cs="宋体"/>
          <w:color w:val="auto"/>
          <w:sz w:val="24"/>
          <w:szCs w:val="24"/>
          <w:highlight w:val="none"/>
          <w:lang w:val="zh-CN"/>
        </w:rPr>
        <w:t>的规定确定其他供应商作为成交供应商并签订政府采购合同，也可以重新开展采购活动。拒绝签订政府采购合同的成交供应商不得参加对该项目重新开展的采购活动。</w:t>
      </w:r>
    </w:p>
    <w:p w14:paraId="28320F96">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4</w:t>
      </w:r>
      <w:r>
        <w:rPr>
          <w:rFonts w:hint="eastAsia" w:ascii="宋体" w:hAnsi="宋体" w:eastAsia="宋体" w:cs="宋体"/>
          <w:bCs/>
          <w:color w:val="auto"/>
          <w:sz w:val="24"/>
          <w:szCs w:val="24"/>
          <w:highlight w:val="none"/>
        </w:rPr>
        <w:t>.3</w:t>
      </w:r>
      <w:r>
        <w:rPr>
          <w:rFonts w:hint="eastAsia" w:ascii="宋体" w:hAnsi="宋体" w:eastAsia="宋体" w:cs="宋体"/>
          <w:color w:val="auto"/>
          <w:sz w:val="24"/>
          <w:szCs w:val="24"/>
          <w:highlight w:val="none"/>
        </w:rPr>
        <w:t>采购人和</w:t>
      </w:r>
      <w:r>
        <w:rPr>
          <w:rFonts w:hint="eastAsia" w:ascii="宋体" w:hAnsi="宋体" w:eastAsia="宋体" w:cs="宋体"/>
          <w:color w:val="auto"/>
          <w:sz w:val="24"/>
          <w:szCs w:val="24"/>
          <w:highlight w:val="none"/>
          <w:lang w:val="en-US" w:eastAsia="zh-CN"/>
        </w:rPr>
        <w:t>成交</w:t>
      </w:r>
      <w:r>
        <w:rPr>
          <w:rFonts w:hint="eastAsia" w:ascii="宋体" w:hAnsi="宋体" w:eastAsia="宋体" w:cs="宋体"/>
          <w:color w:val="auto"/>
          <w:sz w:val="24"/>
          <w:szCs w:val="24"/>
          <w:highlight w:val="none"/>
        </w:rPr>
        <w:t>供应商不得向对方提出任何不合理的要求，作为签订合同的条件，双方不得私下订立背离合同实质性内容的协议。</w:t>
      </w:r>
    </w:p>
    <w:p w14:paraId="26D222D9">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34.4联合体成交的，联合体各方应当共同与采购人签订合同，就采购合同约定的事项向采购人承担连带责任。</w:t>
      </w:r>
    </w:p>
    <w:p w14:paraId="7F760399">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34.5本项目的非主体、非关键性工作是否允许分包，见“供应商须知前附表”。</w:t>
      </w:r>
      <w:r>
        <w:rPr>
          <w:rFonts w:hint="eastAsia" w:ascii="宋体" w:hAnsi="宋体" w:eastAsia="宋体" w:cs="宋体"/>
          <w:color w:val="auto"/>
          <w:sz w:val="24"/>
          <w:szCs w:val="24"/>
          <w:highlight w:val="none"/>
        </w:rPr>
        <w:t>供应商未遵守竞争性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文件分包规定的，其</w:t>
      </w:r>
      <w:r>
        <w:rPr>
          <w:rFonts w:hint="eastAsia" w:ascii="宋体" w:hAnsi="宋体" w:eastAsia="宋体" w:cs="宋体"/>
          <w:b/>
          <w:bCs/>
          <w:color w:val="auto"/>
          <w:sz w:val="24"/>
          <w:szCs w:val="24"/>
          <w:highlight w:val="none"/>
        </w:rPr>
        <w:t>响应无效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采购人允许采用分包方式履行合同的，成交供应商可以依法在成交后将成交项目的非主体、非关键性工作采取分包方式履行合同。政府采购合同分包履行的，应当在响应文件中载明分包承担主体，分包承担主体应当具备相应资质条件且不得再次分包，否则</w:t>
      </w:r>
      <w:r>
        <w:rPr>
          <w:rFonts w:hint="eastAsia" w:ascii="宋体" w:hAnsi="宋体" w:eastAsia="宋体" w:cs="宋体"/>
          <w:b/>
          <w:bCs/>
          <w:color w:val="auto"/>
          <w:sz w:val="24"/>
          <w:szCs w:val="24"/>
          <w:highlight w:val="none"/>
          <w:lang w:val="en-US" w:eastAsia="zh-CN"/>
        </w:rPr>
        <w:t>成交无效</w:t>
      </w:r>
      <w:r>
        <w:rPr>
          <w:rFonts w:hint="eastAsia" w:ascii="宋体" w:hAnsi="宋体" w:eastAsia="宋体" w:cs="宋体"/>
          <w:color w:val="auto"/>
          <w:sz w:val="24"/>
          <w:szCs w:val="24"/>
          <w:highlight w:val="none"/>
          <w:lang w:val="en-US" w:eastAsia="zh-CN"/>
        </w:rPr>
        <w:t>。成交供应商就采购项目和分包项目向采购人负责，分包供应商就分包项目承担责任。</w:t>
      </w:r>
      <w:r>
        <w:rPr>
          <w:rFonts w:hint="eastAsia" w:ascii="宋体" w:hAnsi="宋体" w:eastAsia="宋体" w:cs="宋体"/>
          <w:b/>
          <w:bCs/>
          <w:color w:val="auto"/>
          <w:sz w:val="24"/>
          <w:szCs w:val="24"/>
          <w:highlight w:val="none"/>
          <w:lang w:val="en-US" w:eastAsia="zh-CN"/>
        </w:rPr>
        <w:t>政府采购合同不能转包。</w:t>
      </w:r>
    </w:p>
    <w:p w14:paraId="0ABFD586">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采购合同履行中，采购人需追加与合同标的相同的</w:t>
      </w:r>
      <w:r>
        <w:rPr>
          <w:rFonts w:hint="eastAsia" w:ascii="宋体" w:hAnsi="宋体" w:eastAsia="宋体" w:cs="宋体"/>
          <w:color w:val="auto"/>
          <w:sz w:val="24"/>
          <w:szCs w:val="24"/>
          <w:highlight w:val="none"/>
          <w:lang w:val="en-US" w:eastAsia="zh-CN"/>
        </w:rPr>
        <w:t>货物、工程或者服务</w:t>
      </w:r>
      <w:r>
        <w:rPr>
          <w:rFonts w:hint="eastAsia" w:ascii="宋体" w:hAnsi="宋体" w:eastAsia="宋体" w:cs="宋体"/>
          <w:color w:val="auto"/>
          <w:sz w:val="24"/>
          <w:szCs w:val="24"/>
          <w:highlight w:val="none"/>
        </w:rPr>
        <w:t>的，在不改变合同其他条款的前提下，可以与成交供应商协商签订补充合同，但所有补充合同的采购金额不得超过原合同采购金额的百分之十。</w:t>
      </w:r>
    </w:p>
    <w:p w14:paraId="43E904D8">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34.7采购人应于签订合同之日起2个工作日内在政采云平台备案公示。</w:t>
      </w:r>
    </w:p>
    <w:bookmarkEnd w:id="353"/>
    <w:p w14:paraId="4252B453">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67" w:name="_Toc109897467"/>
      <w:bookmarkStart w:id="368" w:name="_Toc28173"/>
      <w:bookmarkStart w:id="369" w:name="_Toc109899985"/>
      <w:bookmarkStart w:id="370" w:name="_Toc109900404"/>
      <w:bookmarkStart w:id="371" w:name="_Toc163493618"/>
      <w:bookmarkStart w:id="372" w:name="_Toc109899566"/>
      <w:bookmarkStart w:id="373" w:name="_Toc46771673"/>
      <w:bookmarkStart w:id="374" w:name="_Toc470172693"/>
      <w:r>
        <w:rPr>
          <w:rFonts w:hint="eastAsia" w:ascii="宋体" w:hAnsi="宋体" w:eastAsia="宋体" w:cs="宋体"/>
          <w:b/>
          <w:bCs/>
          <w:color w:val="auto"/>
          <w:kern w:val="2"/>
          <w:sz w:val="24"/>
          <w:szCs w:val="24"/>
          <w:highlight w:val="none"/>
          <w:lang w:val="en-US" w:eastAsia="zh-CN" w:bidi="ar-SA"/>
        </w:rPr>
        <w:t>（十）质疑和投诉</w:t>
      </w:r>
      <w:bookmarkEnd w:id="367"/>
      <w:bookmarkEnd w:id="368"/>
      <w:bookmarkEnd w:id="369"/>
      <w:bookmarkEnd w:id="370"/>
      <w:bookmarkEnd w:id="371"/>
      <w:bookmarkEnd w:id="372"/>
      <w:bookmarkEnd w:id="373"/>
    </w:p>
    <w:p w14:paraId="000ACFE7">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75" w:name="_Toc51674245"/>
      <w:bookmarkStart w:id="376" w:name="_Toc109897468"/>
      <w:bookmarkStart w:id="377" w:name="_Toc46772275"/>
      <w:bookmarkStart w:id="378" w:name="_Toc48688823"/>
      <w:bookmarkStart w:id="379" w:name="_Toc52960587"/>
      <w:bookmarkStart w:id="380" w:name="_Toc109899986"/>
      <w:bookmarkStart w:id="381" w:name="_Toc109899567"/>
      <w:bookmarkStart w:id="382" w:name="_Toc109900405"/>
      <w:bookmarkStart w:id="383" w:name="_Toc52962761"/>
      <w:bookmarkStart w:id="384" w:name="_Toc46771674"/>
      <w:bookmarkStart w:id="385" w:name="_Toc48846143"/>
      <w:r>
        <w:rPr>
          <w:rFonts w:hint="eastAsia" w:ascii="宋体" w:hAnsi="宋体" w:eastAsia="宋体" w:cs="宋体"/>
          <w:b/>
          <w:bCs/>
          <w:color w:val="auto"/>
          <w:kern w:val="2"/>
          <w:sz w:val="24"/>
          <w:szCs w:val="24"/>
          <w:highlight w:val="none"/>
          <w:lang w:val="en-US" w:eastAsia="zh-CN" w:bidi="ar-SA"/>
        </w:rPr>
        <w:t>35.质疑</w:t>
      </w:r>
      <w:bookmarkEnd w:id="375"/>
      <w:bookmarkEnd w:id="376"/>
      <w:bookmarkEnd w:id="377"/>
      <w:bookmarkEnd w:id="378"/>
      <w:bookmarkEnd w:id="379"/>
      <w:bookmarkEnd w:id="380"/>
      <w:bookmarkEnd w:id="381"/>
      <w:bookmarkEnd w:id="382"/>
      <w:bookmarkEnd w:id="383"/>
      <w:bookmarkEnd w:id="384"/>
      <w:bookmarkEnd w:id="385"/>
    </w:p>
    <w:p w14:paraId="097AA162">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bookmarkStart w:id="386" w:name="_Toc109897469"/>
      <w:bookmarkStart w:id="387" w:name="_Toc109899568"/>
      <w:bookmarkStart w:id="388" w:name="_Toc46772276"/>
      <w:bookmarkStart w:id="389" w:name="_Toc52962762"/>
      <w:bookmarkStart w:id="390" w:name="_Toc46771675"/>
      <w:bookmarkStart w:id="391" w:name="_Toc48846144"/>
      <w:bookmarkStart w:id="392" w:name="_Toc52960588"/>
      <w:bookmarkStart w:id="393" w:name="_Toc48688824"/>
      <w:bookmarkStart w:id="394" w:name="_Toc51674246"/>
      <w:bookmarkStart w:id="395" w:name="_Toc109900406"/>
      <w:bookmarkStart w:id="396" w:name="_Toc109899987"/>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5</w:t>
      </w:r>
      <w:r>
        <w:rPr>
          <w:rFonts w:hint="eastAsia" w:ascii="宋体" w:hAnsi="宋体" w:eastAsia="宋体" w:cs="宋体"/>
          <w:color w:val="auto"/>
          <w:sz w:val="24"/>
          <w:szCs w:val="24"/>
          <w:highlight w:val="none"/>
        </w:rPr>
        <w:t>.1供应商认为</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评审</w:t>
      </w:r>
      <w:r>
        <w:rPr>
          <w:rFonts w:hint="eastAsia" w:ascii="宋体" w:hAnsi="宋体" w:eastAsia="宋体" w:cs="宋体"/>
          <w:color w:val="auto"/>
          <w:sz w:val="24"/>
          <w:szCs w:val="24"/>
          <w:highlight w:val="none"/>
        </w:rPr>
        <w:t>过程、成交结果使自己的权益受到损害的，可以在知道或者应知其权益受到损害之日起7个工作日内，以书面形式向采购人、采购代理机构提出质疑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详见“供应商须知前附表”</w:t>
      </w:r>
      <w:r>
        <w:rPr>
          <w:rFonts w:hint="eastAsia" w:ascii="宋体" w:hAnsi="宋体" w:eastAsia="宋体" w:cs="宋体"/>
          <w:color w:val="auto"/>
          <w:sz w:val="24"/>
          <w:szCs w:val="24"/>
          <w:highlight w:val="none"/>
        </w:rPr>
        <w:t>。供应商在法定质疑期内一次性提出针对同一采购程序环节的质疑。</w:t>
      </w:r>
    </w:p>
    <w:p w14:paraId="35972B93">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5</w:t>
      </w:r>
      <w:r>
        <w:rPr>
          <w:rFonts w:hint="eastAsia" w:ascii="宋体" w:hAnsi="宋体" w:eastAsia="宋体" w:cs="宋体"/>
          <w:color w:val="auto"/>
          <w:sz w:val="24"/>
          <w:szCs w:val="24"/>
          <w:highlight w:val="none"/>
        </w:rPr>
        <w:t>.2提出质疑的供应商（以下简称质疑供应商）应当是参与所质疑项目采购活动的供应商。</w:t>
      </w:r>
    </w:p>
    <w:p w14:paraId="6503DC74">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35.3</w:t>
      </w:r>
      <w:r>
        <w:rPr>
          <w:rFonts w:hint="eastAsia" w:ascii="宋体" w:hAnsi="宋体" w:eastAsia="宋体" w:cs="宋体"/>
          <w:color w:val="auto"/>
          <w:sz w:val="24"/>
          <w:szCs w:val="24"/>
          <w:highlight w:val="none"/>
        </w:rPr>
        <w:t>潜在供应商已依法获取其可质疑的</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文件的，可以对该文件提出质疑。对</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文件提出质疑的，应当在获取</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文件或者</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文件公告期限届满之日起7个工作日内提出。</w:t>
      </w:r>
    </w:p>
    <w:p w14:paraId="7A916D67">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35.4</w:t>
      </w:r>
      <w:r>
        <w:rPr>
          <w:rFonts w:hint="eastAsia" w:ascii="宋体" w:hAnsi="宋体" w:eastAsia="宋体" w:cs="宋体"/>
          <w:color w:val="auto"/>
          <w:sz w:val="24"/>
          <w:szCs w:val="24"/>
          <w:highlight w:val="none"/>
        </w:rPr>
        <w:t>供应商提出质疑应当提交质疑函和必要的证明材料。质疑函应当包括下列内容：</w:t>
      </w:r>
    </w:p>
    <w:p w14:paraId="57C1F480">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）供应商的姓名或者名称、地址、邮编、联系人及联系电话；</w:t>
      </w:r>
    </w:p>
    <w:p w14:paraId="2B1F4E61">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1AA8BB74">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）具体、明确的质疑事项和与质疑事项相关的请求；</w:t>
      </w:r>
    </w:p>
    <w:p w14:paraId="6456E8B1">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）事实依据；</w:t>
      </w:r>
    </w:p>
    <w:p w14:paraId="4D032ABB">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）必要的法律依据；</w:t>
      </w:r>
    </w:p>
    <w:p w14:paraId="2E14DE4D">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）提出质疑的日期。</w:t>
      </w:r>
    </w:p>
    <w:p w14:paraId="553B627B">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供应商为自然人的，应当由本人签字；供应商为法人或者其他组织的，应当由法定代表人、主要负责人，或者其授权代表签字或者盖章，并加盖公章。</w:t>
      </w:r>
    </w:p>
    <w:p w14:paraId="5F1352A8">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.5质疑函不符合上述要求的，采购人或代理机构应书面告知具体事项，质疑人应当按要求进行修改或补充，并在质疑有效期限内提交。</w:t>
      </w:r>
    </w:p>
    <w:p w14:paraId="76BD2AC8">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3</w:t>
      </w:r>
      <w:r>
        <w:rPr>
          <w:rFonts w:hint="eastAsia" w:ascii="宋体" w:hAnsi="宋体" w:eastAsia="宋体" w:cs="宋体"/>
          <w:snapToGrid w:val="0"/>
          <w:color w:val="auto"/>
          <w:sz w:val="24"/>
          <w:szCs w:val="24"/>
          <w:highlight w:val="none"/>
          <w:lang w:val="en-US" w:eastAsia="zh-CN"/>
        </w:rPr>
        <w:t>5</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6供应商</w:t>
      </w:r>
      <w:r>
        <w:rPr>
          <w:rFonts w:hint="eastAsia" w:ascii="宋体" w:hAnsi="宋体" w:eastAsia="宋体" w:cs="宋体"/>
          <w:snapToGrid w:val="0"/>
          <w:color w:val="auto"/>
          <w:sz w:val="24"/>
          <w:szCs w:val="24"/>
          <w:highlight w:val="none"/>
        </w:rPr>
        <w:t>进行虚假和恶意</w:t>
      </w:r>
      <w:r>
        <w:rPr>
          <w:rFonts w:hint="eastAsia" w:ascii="宋体" w:hAnsi="宋体" w:eastAsia="宋体" w:cs="宋体"/>
          <w:snapToGrid w:val="0"/>
          <w:color w:val="auto"/>
          <w:sz w:val="24"/>
          <w:szCs w:val="24"/>
          <w:highlight w:val="none"/>
          <w:lang w:val="en-US" w:eastAsia="zh-CN"/>
        </w:rPr>
        <w:t>质疑投诉</w:t>
      </w:r>
      <w:r>
        <w:rPr>
          <w:rFonts w:hint="eastAsia" w:ascii="宋体" w:hAnsi="宋体" w:eastAsia="宋体" w:cs="宋体"/>
          <w:snapToGrid w:val="0"/>
          <w:color w:val="auto"/>
          <w:sz w:val="24"/>
          <w:szCs w:val="24"/>
          <w:highlight w:val="none"/>
        </w:rPr>
        <w:t>的，采购代理机构将提请有关部门将其列入不良记录名单，在一至三年内禁止参加政府采购活动，并将处理决定在相关政府采购媒体上公布。</w:t>
      </w:r>
    </w:p>
    <w:p w14:paraId="06C8AD26">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35.7</w:t>
      </w:r>
      <w:r>
        <w:rPr>
          <w:rFonts w:hint="eastAsia" w:ascii="宋体" w:hAnsi="宋体" w:eastAsia="宋体" w:cs="宋体"/>
          <w:color w:val="auto"/>
          <w:sz w:val="24"/>
          <w:szCs w:val="24"/>
          <w:highlight w:val="none"/>
        </w:rPr>
        <w:t>质疑函</w:t>
      </w:r>
      <w:r>
        <w:rPr>
          <w:rFonts w:hint="eastAsia" w:ascii="宋体" w:hAnsi="宋体" w:eastAsia="宋体" w:cs="宋体"/>
          <w:color w:val="auto"/>
          <w:sz w:val="24"/>
          <w:szCs w:val="24"/>
          <w:highlight w:val="none"/>
          <w:lang w:val="en-US" w:eastAsia="zh-CN"/>
        </w:rPr>
        <w:t>应当使用中文，并采用财政部门制定的范本。</w:t>
      </w:r>
    </w:p>
    <w:p w14:paraId="007DBE44">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36.质疑答复</w:t>
      </w:r>
      <w:bookmarkEnd w:id="386"/>
      <w:bookmarkEnd w:id="387"/>
      <w:bookmarkEnd w:id="388"/>
      <w:bookmarkEnd w:id="389"/>
      <w:bookmarkEnd w:id="390"/>
      <w:bookmarkEnd w:id="391"/>
      <w:bookmarkEnd w:id="392"/>
      <w:bookmarkEnd w:id="393"/>
      <w:bookmarkEnd w:id="394"/>
      <w:bookmarkEnd w:id="395"/>
      <w:bookmarkEnd w:id="396"/>
    </w:p>
    <w:p w14:paraId="43D7F91D">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bookmarkStart w:id="397" w:name="_Toc51674247"/>
      <w:bookmarkStart w:id="398" w:name="_Toc109897470"/>
      <w:bookmarkStart w:id="399" w:name="_Toc46771676"/>
      <w:bookmarkStart w:id="400" w:name="_Toc52962763"/>
      <w:bookmarkStart w:id="401" w:name="_Toc48688825"/>
      <w:bookmarkStart w:id="402" w:name="_Toc52960589"/>
      <w:bookmarkStart w:id="403" w:name="_Toc48846145"/>
      <w:bookmarkStart w:id="404" w:name="_Toc109899988"/>
      <w:bookmarkStart w:id="405" w:name="_Toc109899569"/>
      <w:bookmarkStart w:id="406" w:name="_Toc46772277"/>
      <w:bookmarkStart w:id="407" w:name="_Toc109900407"/>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.1采购人、采购代理机构不得拒收质疑供应商在法定质疑期内发出的质疑函，应当在收到质疑函后7个工作日内作出答复，并以书面形式通知质疑供应商和其他有关供应商。</w:t>
      </w:r>
    </w:p>
    <w:p w14:paraId="6776834F">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36.2供应商对评审过程、成交结果提出质疑的，采购人、采购代理机构可以组织原竞争性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小组协助答复质疑。</w:t>
      </w:r>
    </w:p>
    <w:p w14:paraId="14E02AAA">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质疑答复应当包括下列内容：</w:t>
      </w:r>
    </w:p>
    <w:p w14:paraId="457CAA68">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）质疑供应商的姓名或者名称；</w:t>
      </w:r>
    </w:p>
    <w:p w14:paraId="462FCFC0">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）收到质疑函的日期、质疑项目名称及</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lang w:val="zh-CN" w:eastAsia="zh-CN"/>
        </w:rPr>
        <w:t>编号/包号；</w:t>
      </w:r>
    </w:p>
    <w:p w14:paraId="18D72157">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）质疑事项、质疑答复的具体内容、事实依据和法律依据；</w:t>
      </w:r>
    </w:p>
    <w:p w14:paraId="416368F5">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）告知质疑供应商依法投诉的权利；</w:t>
      </w:r>
    </w:p>
    <w:p w14:paraId="36EE7969">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）质疑答复人名称；</w:t>
      </w:r>
    </w:p>
    <w:p w14:paraId="7E632C0C">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zh-CN" w:eastAsia="zh-CN"/>
        </w:rPr>
        <w:t>）答复质疑的日期。</w:t>
      </w:r>
    </w:p>
    <w:p w14:paraId="56A5E1E9">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36.3</w:t>
      </w:r>
      <w:r>
        <w:rPr>
          <w:rFonts w:hint="eastAsia" w:ascii="宋体" w:hAnsi="宋体" w:eastAsia="宋体" w:cs="宋体"/>
          <w:color w:val="auto"/>
          <w:sz w:val="24"/>
          <w:szCs w:val="24"/>
          <w:highlight w:val="none"/>
          <w:lang w:val="zh-CN" w:eastAsia="zh-CN"/>
        </w:rPr>
        <w:t>质疑答复的内容不得涉及商业秘密。</w:t>
      </w:r>
    </w:p>
    <w:p w14:paraId="61006068">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37.投诉</w:t>
      </w:r>
      <w:bookmarkEnd w:id="397"/>
      <w:bookmarkEnd w:id="398"/>
      <w:bookmarkEnd w:id="399"/>
      <w:bookmarkEnd w:id="400"/>
      <w:bookmarkEnd w:id="401"/>
      <w:bookmarkEnd w:id="402"/>
      <w:bookmarkEnd w:id="403"/>
      <w:bookmarkEnd w:id="404"/>
      <w:bookmarkEnd w:id="405"/>
      <w:bookmarkEnd w:id="406"/>
      <w:bookmarkEnd w:id="407"/>
    </w:p>
    <w:bookmarkEnd w:id="124"/>
    <w:bookmarkEnd w:id="374"/>
    <w:p w14:paraId="34C5EAA0">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bookmarkStart w:id="408" w:name="_Toc163493619"/>
      <w:bookmarkStart w:id="409" w:name="_Hlk60570485"/>
      <w:bookmarkStart w:id="410" w:name="_Toc109899570"/>
      <w:bookmarkStart w:id="411" w:name="_Toc109899989"/>
      <w:bookmarkStart w:id="412" w:name="_Toc109900408"/>
      <w:bookmarkStart w:id="413" w:name="_Toc109897471"/>
      <w:r>
        <w:rPr>
          <w:rFonts w:hint="eastAsia" w:ascii="宋体" w:hAnsi="宋体" w:eastAsia="宋体" w:cs="宋体"/>
          <w:color w:val="auto"/>
          <w:sz w:val="24"/>
          <w:szCs w:val="24"/>
          <w:highlight w:val="none"/>
          <w:lang w:val="en-US" w:eastAsia="zh-CN"/>
        </w:rPr>
        <w:t>37.1</w:t>
      </w:r>
      <w:r>
        <w:rPr>
          <w:rFonts w:hint="eastAsia" w:ascii="宋体" w:hAnsi="宋体" w:eastAsia="宋体" w:cs="宋体"/>
          <w:color w:val="auto"/>
          <w:sz w:val="24"/>
          <w:szCs w:val="24"/>
          <w:highlight w:val="none"/>
        </w:rPr>
        <w:t>质疑供应商对采购人、采购代理机构的答复不满意，或者采购人、采购代理机构未在规定时间内作出答复的，可以在答复期满后15个工作日内向</w:t>
      </w:r>
      <w:r>
        <w:rPr>
          <w:rFonts w:hint="eastAsia" w:ascii="宋体" w:hAnsi="宋体" w:eastAsia="宋体" w:cs="宋体"/>
          <w:color w:val="auto"/>
          <w:sz w:val="24"/>
          <w:szCs w:val="24"/>
          <w:highlight w:val="none"/>
          <w:lang w:val="en-US" w:eastAsia="zh-CN"/>
        </w:rPr>
        <w:t>同级政府采购监督管理部门</w:t>
      </w:r>
      <w:r>
        <w:rPr>
          <w:rFonts w:hint="eastAsia" w:ascii="宋体" w:hAnsi="宋体" w:eastAsia="宋体" w:cs="宋体"/>
          <w:color w:val="auto"/>
          <w:sz w:val="24"/>
          <w:szCs w:val="24"/>
          <w:highlight w:val="none"/>
        </w:rPr>
        <w:t>提起投诉。</w:t>
      </w:r>
    </w:p>
    <w:p w14:paraId="7AE3C0F6">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37.2</w:t>
      </w:r>
      <w:r>
        <w:rPr>
          <w:rFonts w:hint="eastAsia" w:ascii="宋体" w:hAnsi="宋体" w:eastAsia="宋体" w:cs="宋体"/>
          <w:color w:val="auto"/>
          <w:sz w:val="24"/>
          <w:szCs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9546547">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）投诉人和被投诉人的姓名或者名称、通讯地址、邮编、联系人及联系电话；</w:t>
      </w:r>
    </w:p>
    <w:p w14:paraId="1A65A103">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）质疑和质疑答复情况说明及相关证明材料；</w:t>
      </w:r>
    </w:p>
    <w:p w14:paraId="675A6D97">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）具体、明确的投诉事项和与投诉事项相关的投诉请求；</w:t>
      </w:r>
    </w:p>
    <w:p w14:paraId="4A0C1598">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）事实依据；</w:t>
      </w:r>
    </w:p>
    <w:p w14:paraId="4CFD3E01">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）法律依据；</w:t>
      </w:r>
    </w:p>
    <w:p w14:paraId="35FA6A4A">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）提起投诉的日期。</w:t>
      </w:r>
    </w:p>
    <w:p w14:paraId="4FC7C3AB">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投诉人为自然人的，应当由本人签字；投诉人为法人或者其他组织的，应当由法定代表人、主要负责人，或者其授权代表签字或者盖章，并加盖公章。</w:t>
      </w:r>
    </w:p>
    <w:p w14:paraId="4DF335BD">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37.3</w:t>
      </w: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质疑、</w:t>
      </w:r>
      <w:r>
        <w:rPr>
          <w:rFonts w:hint="eastAsia" w:ascii="宋体" w:hAnsi="宋体" w:eastAsia="宋体" w:cs="宋体"/>
          <w:color w:val="auto"/>
          <w:sz w:val="24"/>
          <w:szCs w:val="24"/>
          <w:highlight w:val="none"/>
        </w:rPr>
        <w:t>投诉</w:t>
      </w:r>
      <w:r>
        <w:rPr>
          <w:rFonts w:hint="eastAsia" w:ascii="宋体" w:hAnsi="宋体" w:eastAsia="宋体" w:cs="宋体"/>
          <w:color w:val="auto"/>
          <w:sz w:val="24"/>
          <w:szCs w:val="24"/>
          <w:highlight w:val="none"/>
          <w:lang w:val="en-US" w:eastAsia="zh-CN"/>
        </w:rPr>
        <w:t>应当有明确的请求和必要的证明材料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供应商投诉的事项不得超出</w:t>
      </w:r>
      <w:r>
        <w:rPr>
          <w:rFonts w:hint="eastAsia" w:ascii="宋体" w:hAnsi="宋体" w:eastAsia="宋体" w:cs="宋体"/>
          <w:color w:val="auto"/>
          <w:sz w:val="24"/>
          <w:szCs w:val="24"/>
          <w:highlight w:val="none"/>
          <w:lang w:val="en-US" w:eastAsia="zh-CN"/>
        </w:rPr>
        <w:t>已</w:t>
      </w:r>
      <w:r>
        <w:rPr>
          <w:rFonts w:hint="eastAsia" w:ascii="宋体" w:hAnsi="宋体" w:eastAsia="宋体" w:cs="宋体"/>
          <w:color w:val="auto"/>
          <w:sz w:val="24"/>
          <w:szCs w:val="24"/>
          <w:highlight w:val="none"/>
        </w:rPr>
        <w:t>质疑事项的范围，但基于质疑答复内容提出的投诉事项除外</w:t>
      </w:r>
      <w:r>
        <w:rPr>
          <w:rFonts w:hint="eastAsia" w:ascii="宋体" w:hAnsi="宋体" w:eastAsia="宋体" w:cs="宋体"/>
          <w:bCs/>
          <w:color w:val="auto"/>
          <w:sz w:val="24"/>
          <w:szCs w:val="24"/>
          <w:highlight w:val="none"/>
        </w:rPr>
        <w:t>。</w:t>
      </w:r>
    </w:p>
    <w:p w14:paraId="4A2CC2E9">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en-US" w:eastAsia="zh-CN"/>
        </w:rPr>
        <w:t>37.4</w:t>
      </w:r>
      <w:r>
        <w:rPr>
          <w:rFonts w:hint="eastAsia" w:ascii="宋体" w:hAnsi="宋体" w:eastAsia="宋体" w:cs="宋体"/>
          <w:color w:val="auto"/>
          <w:sz w:val="24"/>
          <w:szCs w:val="24"/>
          <w:highlight w:val="none"/>
          <w:lang w:val="en-US" w:eastAsia="zh-CN"/>
        </w:rPr>
        <w:t>投诉书应当使用中文，并采用财政部门制定的范本。</w:t>
      </w:r>
    </w:p>
    <w:p w14:paraId="072EB102">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4" w:name="_Toc24137"/>
      <w:r>
        <w:rPr>
          <w:rFonts w:hint="eastAsia" w:ascii="宋体" w:hAnsi="宋体" w:eastAsia="宋体" w:cs="宋体"/>
          <w:b/>
          <w:bCs/>
          <w:color w:val="auto"/>
          <w:kern w:val="2"/>
          <w:sz w:val="24"/>
          <w:szCs w:val="24"/>
          <w:highlight w:val="none"/>
          <w:lang w:val="en-US" w:eastAsia="zh-CN" w:bidi="ar-SA"/>
        </w:rPr>
        <w:t>（十一）采购代理服务费</w:t>
      </w:r>
      <w:bookmarkEnd w:id="408"/>
      <w:bookmarkEnd w:id="414"/>
    </w:p>
    <w:p w14:paraId="32832303">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38.收取方式和标准</w:t>
      </w:r>
    </w:p>
    <w:p w14:paraId="0F0CA960">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8</w:t>
      </w:r>
      <w:r>
        <w:rPr>
          <w:rFonts w:hint="eastAsia" w:ascii="宋体" w:hAnsi="宋体" w:eastAsia="宋体" w:cs="宋体"/>
          <w:color w:val="auto"/>
          <w:sz w:val="24"/>
          <w:szCs w:val="24"/>
          <w:highlight w:val="none"/>
        </w:rPr>
        <w:t>.1采购代理机构按“供应商须知前附表”规定的方式和标准收取采购代理服务费。</w:t>
      </w:r>
    </w:p>
    <w:p w14:paraId="5E6F9613">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5" w:name="_Toc2322"/>
      <w:bookmarkStart w:id="416" w:name="_Toc163493620"/>
      <w:r>
        <w:rPr>
          <w:rFonts w:hint="eastAsia" w:ascii="宋体" w:hAnsi="宋体" w:eastAsia="宋体" w:cs="宋体"/>
          <w:b/>
          <w:bCs/>
          <w:color w:val="auto"/>
          <w:kern w:val="2"/>
          <w:sz w:val="24"/>
          <w:szCs w:val="24"/>
          <w:highlight w:val="none"/>
          <w:lang w:val="en-US" w:eastAsia="zh-CN" w:bidi="ar-SA"/>
        </w:rPr>
        <w:t>（十二）无效响应和终止采购活动</w:t>
      </w:r>
      <w:bookmarkEnd w:id="415"/>
      <w:bookmarkEnd w:id="416"/>
    </w:p>
    <w:p w14:paraId="02780A34">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7" w:name="_Toc161600338"/>
      <w:bookmarkStart w:id="418" w:name="_Toc140132806"/>
      <w:r>
        <w:rPr>
          <w:rFonts w:hint="eastAsia" w:ascii="宋体" w:hAnsi="宋体" w:eastAsia="宋体" w:cs="宋体"/>
          <w:b/>
          <w:bCs/>
          <w:color w:val="auto"/>
          <w:kern w:val="2"/>
          <w:sz w:val="24"/>
          <w:szCs w:val="24"/>
          <w:highlight w:val="none"/>
          <w:lang w:val="en-US" w:eastAsia="zh-CN" w:bidi="ar-SA"/>
        </w:rPr>
        <w:t>39.无效</w:t>
      </w:r>
      <w:bookmarkEnd w:id="417"/>
      <w:bookmarkEnd w:id="418"/>
      <w:r>
        <w:rPr>
          <w:rFonts w:hint="eastAsia" w:ascii="宋体" w:hAnsi="宋体" w:eastAsia="宋体" w:cs="宋体"/>
          <w:b/>
          <w:bCs/>
          <w:color w:val="auto"/>
          <w:kern w:val="2"/>
          <w:sz w:val="24"/>
          <w:szCs w:val="24"/>
          <w:highlight w:val="none"/>
          <w:lang w:val="en-US" w:eastAsia="zh-CN" w:bidi="ar-SA"/>
        </w:rPr>
        <w:t>响应</w:t>
      </w:r>
    </w:p>
    <w:p w14:paraId="132D1B41">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.1响应文件存在“第四章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评审方法及标准”规定的</w:t>
      </w:r>
      <w:r>
        <w:rPr>
          <w:rFonts w:hint="eastAsia" w:ascii="宋体" w:hAnsi="宋体" w:eastAsia="宋体" w:cs="宋体"/>
          <w:b/>
          <w:bCs/>
          <w:color w:val="auto"/>
          <w:sz w:val="24"/>
          <w:szCs w:val="24"/>
          <w:highlight w:val="none"/>
        </w:rPr>
        <w:t>响应无效</w:t>
      </w:r>
      <w:r>
        <w:rPr>
          <w:rFonts w:hint="eastAsia" w:ascii="宋体" w:hAnsi="宋体" w:eastAsia="宋体" w:cs="宋体"/>
          <w:color w:val="auto"/>
          <w:sz w:val="24"/>
          <w:szCs w:val="24"/>
          <w:highlight w:val="none"/>
        </w:rPr>
        <w:t>情形的，做</w:t>
      </w:r>
      <w:r>
        <w:rPr>
          <w:rFonts w:hint="eastAsia" w:ascii="宋体" w:hAnsi="宋体" w:eastAsia="宋体" w:cs="宋体"/>
          <w:b/>
          <w:bCs/>
          <w:color w:val="auto"/>
          <w:sz w:val="24"/>
          <w:szCs w:val="24"/>
          <w:highlight w:val="none"/>
        </w:rPr>
        <w:t>无效响应</w:t>
      </w:r>
      <w:r>
        <w:rPr>
          <w:rFonts w:hint="eastAsia" w:ascii="宋体" w:hAnsi="宋体" w:eastAsia="宋体" w:cs="宋体"/>
          <w:color w:val="auto"/>
          <w:sz w:val="24"/>
          <w:szCs w:val="24"/>
          <w:highlight w:val="none"/>
        </w:rPr>
        <w:t>处理。</w:t>
      </w:r>
    </w:p>
    <w:p w14:paraId="631C56D4">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40.终止采购活动</w:t>
      </w:r>
    </w:p>
    <w:p w14:paraId="65CAB1F7">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40</w:t>
      </w:r>
      <w:r>
        <w:rPr>
          <w:rFonts w:hint="eastAsia" w:ascii="宋体" w:hAnsi="宋体" w:eastAsia="宋体" w:cs="宋体"/>
          <w:color w:val="auto"/>
          <w:sz w:val="24"/>
          <w:szCs w:val="24"/>
          <w:highlight w:val="none"/>
        </w:rPr>
        <w:t>.1出现下列情形之一的，应当终止竞争性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采购活动，发布项目终止公告并说明原因，重新开展采购活动：</w:t>
      </w:r>
    </w:p>
    <w:p w14:paraId="3F03AB90">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（1）因情况变化，不再符合规定的竞争性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采购方式适用情形的；</w:t>
      </w:r>
    </w:p>
    <w:p w14:paraId="34F0BDE0">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（2）出现影响采购公正的违法、违规行为的；</w:t>
      </w:r>
    </w:p>
    <w:p w14:paraId="3EDE2978">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在采购过程中符合要求的供应商或者报价未超过采购预算的供应商不足3家的（市场竞争不充分的科研项目、需要扶持的科技成果转化项目以及政府购买服务项目&lt;含政府和社会资本合作项目&gt;）的提交最后报价的供应商可以为2家）。</w:t>
      </w:r>
    </w:p>
    <w:p w14:paraId="18EA97F2">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40.2在采购活动中因重大变故，采购任务取消的，采购人或者采购代理机构应当终止采购活动，通知所有参加采购活动的供应商</w:t>
      </w:r>
      <w:r>
        <w:rPr>
          <w:rFonts w:hint="eastAsia" w:cs="宋体"/>
          <w:color w:val="auto"/>
          <w:sz w:val="24"/>
          <w:szCs w:val="24"/>
          <w:highlight w:val="none"/>
          <w:lang w:val="en-US" w:eastAsia="zh-CN"/>
        </w:rPr>
        <w:t>并告知终止理由</w:t>
      </w:r>
      <w:r>
        <w:rPr>
          <w:rFonts w:hint="eastAsia" w:ascii="宋体" w:hAnsi="宋体" w:eastAsia="宋体" w:cs="宋体"/>
          <w:color w:val="auto"/>
          <w:sz w:val="24"/>
          <w:szCs w:val="24"/>
          <w:highlight w:val="none"/>
          <w:lang w:val="en-US" w:eastAsia="zh-CN"/>
        </w:rPr>
        <w:t>，并将项目实施情况和采购任务取消原因报送本级财政部门。</w:t>
      </w:r>
    </w:p>
    <w:p w14:paraId="56C7680B">
      <w:pPr>
        <w:keepNext w:val="0"/>
        <w:keepLines w:val="0"/>
        <w:widowControl/>
        <w:suppressLineNumbers w:val="0"/>
        <w:shd w:val="clear"/>
        <w:jc w:val="left"/>
        <w:rPr>
          <w:rFonts w:hint="eastAsia" w:ascii="宋体" w:hAnsi="宋体" w:eastAsia="宋体" w:cs="宋体"/>
          <w:color w:val="auto"/>
          <w:sz w:val="24"/>
          <w:szCs w:val="24"/>
          <w:highlight w:val="none"/>
        </w:rPr>
      </w:pPr>
      <w:bookmarkStart w:id="419" w:name="_Toc163493621"/>
      <w:bookmarkStart w:id="420" w:name="_Toc161600340"/>
      <w:bookmarkStart w:id="421" w:name="_Toc140132766"/>
      <w:r>
        <w:rPr>
          <w:rFonts w:hint="eastAsia" w:ascii="宋体" w:hAnsi="宋体" w:eastAsia="宋体" w:cs="宋体"/>
          <w:b/>
          <w:bCs/>
          <w:color w:val="auto"/>
          <w:kern w:val="2"/>
          <w:sz w:val="24"/>
          <w:szCs w:val="24"/>
          <w:highlight w:val="none"/>
          <w:lang w:val="en-US" w:eastAsia="zh-CN" w:bidi="ar-SA"/>
        </w:rPr>
        <w:t>（十三）落实政府采购政策</w:t>
      </w:r>
      <w:bookmarkEnd w:id="419"/>
      <w:bookmarkEnd w:id="420"/>
      <w:bookmarkEnd w:id="421"/>
      <w:r>
        <w:rPr>
          <w:rFonts w:hint="eastAsia" w:ascii="宋体" w:hAnsi="宋体" w:eastAsia="宋体" w:cs="宋体"/>
          <w:b/>
          <w:bCs/>
          <w:color w:val="auto"/>
          <w:kern w:val="2"/>
          <w:sz w:val="24"/>
          <w:szCs w:val="24"/>
          <w:highlight w:val="none"/>
          <w:lang w:val="en-US" w:eastAsia="zh-CN" w:bidi="ar-SA"/>
        </w:rPr>
        <w:t>（包括但不限于下列具体政策要求）</w:t>
      </w:r>
    </w:p>
    <w:p w14:paraId="57A34F70">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422" w:name="_Toc163492876"/>
      <w:r>
        <w:rPr>
          <w:rFonts w:hint="eastAsia" w:ascii="宋体" w:hAnsi="宋体" w:eastAsia="宋体" w:cs="宋体"/>
          <w:b/>
          <w:bCs/>
          <w:color w:val="auto"/>
          <w:kern w:val="2"/>
          <w:sz w:val="24"/>
          <w:szCs w:val="28"/>
          <w:highlight w:val="none"/>
          <w:lang w:val="en-US" w:eastAsia="zh-CN" w:bidi="ar-SA"/>
        </w:rPr>
        <w:t>41.</w:t>
      </w:r>
      <w:r>
        <w:rPr>
          <w:rFonts w:hint="eastAsia" w:ascii="宋体" w:hAnsi="宋体" w:cs="宋体"/>
          <w:b/>
          <w:bCs/>
          <w:color w:val="auto"/>
          <w:kern w:val="2"/>
          <w:sz w:val="24"/>
          <w:szCs w:val="28"/>
          <w:highlight w:val="none"/>
          <w:lang w:val="en-US" w:eastAsia="zh-CN" w:bidi="ar-SA"/>
        </w:rPr>
        <w:t>本</w:t>
      </w:r>
      <w:r>
        <w:rPr>
          <w:rFonts w:hint="eastAsia" w:ascii="宋体" w:hAnsi="宋体" w:eastAsia="宋体" w:cs="宋体"/>
          <w:b/>
          <w:bCs/>
          <w:color w:val="auto"/>
          <w:kern w:val="2"/>
          <w:sz w:val="24"/>
          <w:szCs w:val="28"/>
          <w:highlight w:val="none"/>
          <w:lang w:val="en-US" w:eastAsia="zh-CN" w:bidi="ar-SA"/>
        </w:rPr>
        <w:t>国产品和进口产品</w:t>
      </w:r>
      <w:bookmarkEnd w:id="422"/>
    </w:p>
    <w:p w14:paraId="59F3A450">
      <w:pPr>
        <w:pStyle w:val="33"/>
        <w:keepNext w:val="0"/>
        <w:keepLines w:val="0"/>
        <w:pageBreakBefore w:val="0"/>
        <w:widowControl w:val="0"/>
        <w:shd w:val="clear"/>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41.1本国产品标准及支持政策</w:t>
      </w:r>
    </w:p>
    <w:p w14:paraId="441816D7">
      <w:pPr>
        <w:pStyle w:val="33"/>
        <w:keepNext w:val="0"/>
        <w:keepLines w:val="0"/>
        <w:pageBreakBefore w:val="0"/>
        <w:widowControl w:val="0"/>
        <w:shd w:val="clear"/>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43EE734F">
      <w:pPr>
        <w:pStyle w:val="33"/>
        <w:keepNext w:val="0"/>
        <w:keepLines w:val="0"/>
        <w:pageBreakBefore w:val="0"/>
        <w:widowControl w:val="0"/>
        <w:shd w:val="clear"/>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19E87B7B">
      <w:pPr>
        <w:pStyle w:val="33"/>
        <w:keepNext w:val="0"/>
        <w:keepLines w:val="0"/>
        <w:pageBreakBefore w:val="0"/>
        <w:widowControl w:val="0"/>
        <w:shd w:val="clear"/>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41.1.3对国家相关部门后续发布的特定产品清单内的产品，除满足上述条件外，还需同时满足关键组件境内生产、关键工序境内完成等特定要求。</w:t>
      </w:r>
    </w:p>
    <w:p w14:paraId="33FDC980">
      <w:pPr>
        <w:pStyle w:val="33"/>
        <w:keepNext w:val="0"/>
        <w:keepLines w:val="0"/>
        <w:pageBreakBefore w:val="0"/>
        <w:widowControl w:val="0"/>
        <w:shd w:val="clear"/>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41.1.4</w:t>
      </w:r>
      <w:r>
        <w:rPr>
          <w:rFonts w:hint="eastAsia" w:eastAsia="宋体"/>
          <w:snapToGrid w:val="0"/>
          <w:color w:val="auto"/>
          <w:sz w:val="24"/>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BE7BA04">
      <w:pPr>
        <w:pStyle w:val="33"/>
        <w:keepNext w:val="0"/>
        <w:keepLines w:val="0"/>
        <w:pageBreakBefore w:val="0"/>
        <w:widowControl w:val="0"/>
        <w:shd w:val="clear"/>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6DF0CD5C">
      <w:pPr>
        <w:pStyle w:val="33"/>
        <w:keepNext w:val="0"/>
        <w:keepLines w:val="0"/>
        <w:pageBreakBefore w:val="0"/>
        <w:widowControl w:val="0"/>
        <w:shd w:val="clear"/>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eastAsia="宋体"/>
          <w:snapToGrid w:val="0"/>
          <w:color w:val="auto"/>
          <w:sz w:val="24"/>
          <w:highlight w:val="none"/>
          <w:lang w:val="en-US" w:eastAsia="zh-CN"/>
        </w:rPr>
        <w:t>医疗器械产品，取得药品监督管理部门授予的准字号医疗器械注册证的，</w:t>
      </w:r>
      <w:r>
        <w:rPr>
          <w:rFonts w:hint="eastAsia"/>
          <w:snapToGrid w:val="0"/>
          <w:color w:val="auto"/>
          <w:sz w:val="24"/>
          <w:highlight w:val="none"/>
          <w:lang w:val="en-US" w:eastAsia="zh-CN"/>
        </w:rPr>
        <w:t>视为符合本国产品标准。</w:t>
      </w:r>
    </w:p>
    <w:p w14:paraId="1A66631B">
      <w:pPr>
        <w:pStyle w:val="33"/>
        <w:keepNext w:val="0"/>
        <w:keepLines w:val="0"/>
        <w:pageBreakBefore w:val="0"/>
        <w:widowControl w:val="0"/>
        <w:shd w:val="clear"/>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41.1.6采购标的仅包含单一产品时，政府采购活动中既有本国产品又有非本国产品参与竞争的，依法对本国产品给予价格评审优惠，对本国产品的报价给予20%的价格扣除，用扣除后的价格参与评审。对于仅有本国产品参与竞争的政府采购项目，本国产品不享受价格扣除评审优惠。</w:t>
      </w:r>
    </w:p>
    <w:p w14:paraId="17228ADB">
      <w:pPr>
        <w:pStyle w:val="33"/>
        <w:keepNext w:val="0"/>
        <w:keepLines w:val="0"/>
        <w:pageBreakBefore w:val="0"/>
        <w:widowControl w:val="0"/>
        <w:shd w:val="clear"/>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snapToGrid w:val="0"/>
          <w:color w:val="auto"/>
          <w:sz w:val="24"/>
          <w:highlight w:val="none"/>
          <w:lang w:val="en-US" w:eastAsia="zh-CN"/>
        </w:rPr>
        <w:t>41.1.7</w:t>
      </w:r>
      <w:r>
        <w:rPr>
          <w:rFonts w:hint="eastAsia" w:eastAsia="宋体"/>
          <w:snapToGrid w:val="0"/>
          <w:color w:val="auto"/>
          <w:sz w:val="24"/>
          <w:highlight w:val="none"/>
          <w:lang w:val="en-US" w:eastAsia="zh-CN"/>
        </w:rPr>
        <w:t>采购标的中含有多种产品，供应商为该采购项目或者采购包提供的符合本国产品标准的产品成本之和占该供应商提供的全部产品成本之和的比例达到80%以上时，且供应商在投标（响应）文件中对此作出承诺</w:t>
      </w:r>
      <w:r>
        <w:rPr>
          <w:rFonts w:hint="eastAsia"/>
          <w:snapToGrid w:val="0"/>
          <w:color w:val="auto"/>
          <w:sz w:val="24"/>
          <w:highlight w:val="none"/>
          <w:lang w:val="en-US" w:eastAsia="zh-CN"/>
        </w:rPr>
        <w:t>，出具《</w:t>
      </w:r>
      <w:r>
        <w:rPr>
          <w:rFonts w:hint="eastAsia" w:eastAsia="宋体"/>
          <w:snapToGrid w:val="0"/>
          <w:color w:val="auto"/>
          <w:sz w:val="24"/>
          <w:highlight w:val="none"/>
          <w:lang w:val="en-US" w:eastAsia="zh-CN"/>
        </w:rPr>
        <w:t>本国产品成本占比承诺函</w:t>
      </w:r>
      <w:r>
        <w:rPr>
          <w:rFonts w:hint="eastAsia"/>
          <w:snapToGrid w:val="0"/>
          <w:color w:val="auto"/>
          <w:sz w:val="24"/>
          <w:highlight w:val="none"/>
          <w:lang w:val="en-US" w:eastAsia="zh-CN"/>
        </w:rPr>
        <w:t>》（样式见附件2，以下简称《承诺函》），</w:t>
      </w:r>
      <w:r>
        <w:rPr>
          <w:rFonts w:hint="eastAsia" w:eastAsia="宋体"/>
          <w:snapToGrid w:val="0"/>
          <w:color w:val="auto"/>
          <w:sz w:val="24"/>
          <w:highlight w:val="none"/>
          <w:lang w:val="en-US" w:eastAsia="zh-CN"/>
        </w:rPr>
        <w:t>则依法对该供应商提供的全部产品给予价格评审优惠，即对该供应商提供的全部产品的总报价给予20%的价格扣除，用扣除后的价格参与评审。</w:t>
      </w:r>
      <w:r>
        <w:rPr>
          <w:rFonts w:hint="eastAsia"/>
          <w:snapToGrid w:val="0"/>
          <w:color w:val="auto"/>
          <w:sz w:val="24"/>
          <w:highlight w:val="none"/>
          <w:lang w:val="en-US" w:eastAsia="zh-CN"/>
        </w:rPr>
        <w:t>若供应商所投产品均符合本国产品标准，且已提供《声明函》，可不填写《承诺函》。</w:t>
      </w:r>
    </w:p>
    <w:p w14:paraId="2B40C7E8">
      <w:pPr>
        <w:pStyle w:val="33"/>
        <w:keepNext w:val="0"/>
        <w:keepLines w:val="0"/>
        <w:pageBreakBefore w:val="0"/>
        <w:widowControl w:val="0"/>
        <w:shd w:val="clear"/>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snapToGrid w:val="0"/>
          <w:color w:val="auto"/>
          <w:sz w:val="24"/>
          <w:highlight w:val="none"/>
          <w:lang w:val="en-US" w:eastAsia="zh-CN"/>
        </w:rPr>
        <w:t>41.2进口产品</w:t>
      </w:r>
    </w:p>
    <w:p w14:paraId="169666B9">
      <w:pPr>
        <w:pStyle w:val="33"/>
        <w:keepNext w:val="0"/>
        <w:keepLines w:val="0"/>
        <w:pageBreakBefore w:val="0"/>
        <w:widowControl w:val="0"/>
        <w:shd w:val="clear"/>
        <w:kinsoku/>
        <w:overflowPunct/>
        <w:topLinePunct w:val="0"/>
        <w:autoSpaceDE/>
        <w:autoSpaceDN/>
        <w:bidi w:val="0"/>
        <w:adjustRightInd/>
        <w:jc w:val="both"/>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135B393E">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41.</w:t>
      </w:r>
      <w:r>
        <w:rPr>
          <w:rFonts w:hint="eastAsia" w:cs="宋体"/>
          <w:snapToGrid w:val="0"/>
          <w:color w:val="auto"/>
          <w:sz w:val="24"/>
          <w:szCs w:val="24"/>
          <w:highlight w:val="none"/>
          <w:lang w:val="en-US" w:eastAsia="zh-CN"/>
        </w:rPr>
        <w:t>2.</w:t>
      </w:r>
      <w:r>
        <w:rPr>
          <w:rFonts w:hint="eastAsia" w:ascii="宋体" w:hAnsi="宋体" w:eastAsia="宋体" w:cs="宋体"/>
          <w:snapToGrid w:val="0"/>
          <w:color w:val="auto"/>
          <w:sz w:val="24"/>
          <w:szCs w:val="24"/>
          <w:highlight w:val="none"/>
          <w:lang w:val="en-US" w:eastAsia="zh-CN"/>
        </w:rPr>
        <w:t>2进口产品指通过中国海关报关验放进入中国境内且产自关境外的产品，包括已经进入中国境内的进口产品。</w:t>
      </w:r>
    </w:p>
    <w:p w14:paraId="0C404CE2">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41.</w:t>
      </w:r>
      <w:r>
        <w:rPr>
          <w:rFonts w:hint="eastAsia" w:cs="宋体"/>
          <w:snapToGrid w:val="0"/>
          <w:color w:val="auto"/>
          <w:sz w:val="24"/>
          <w:szCs w:val="24"/>
          <w:highlight w:val="none"/>
          <w:lang w:val="en-US" w:eastAsia="zh-CN"/>
        </w:rPr>
        <w:t>2.</w:t>
      </w:r>
      <w:r>
        <w:rPr>
          <w:rFonts w:hint="eastAsia" w:ascii="宋体" w:hAnsi="宋体" w:eastAsia="宋体" w:cs="宋体"/>
          <w:snapToGrid w:val="0"/>
          <w:color w:val="auto"/>
          <w:sz w:val="24"/>
          <w:szCs w:val="24"/>
          <w:highlight w:val="none"/>
          <w:lang w:val="en-US" w:eastAsia="zh-CN"/>
        </w:rPr>
        <w:t>3若采购需求中写明允许采购进口产品，供应商应保证所响应产品可履行合法报通关手续进入中国关境内。</w:t>
      </w:r>
    </w:p>
    <w:p w14:paraId="25B118D0">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41.</w:t>
      </w:r>
      <w:r>
        <w:rPr>
          <w:rFonts w:hint="eastAsia" w:cs="宋体"/>
          <w:snapToGrid w:val="0"/>
          <w:color w:val="auto"/>
          <w:sz w:val="24"/>
          <w:szCs w:val="24"/>
          <w:highlight w:val="none"/>
          <w:lang w:val="en-US" w:eastAsia="zh-CN"/>
        </w:rPr>
        <w:t>2.</w:t>
      </w:r>
      <w:r>
        <w:rPr>
          <w:rFonts w:hint="eastAsia" w:ascii="宋体" w:hAnsi="宋体" w:eastAsia="宋体" w:cs="宋体"/>
          <w:snapToGrid w:val="0"/>
          <w:color w:val="auto"/>
          <w:sz w:val="24"/>
          <w:szCs w:val="24"/>
          <w:highlight w:val="none"/>
          <w:lang w:val="en-US" w:eastAsia="zh-CN"/>
        </w:rPr>
        <w:t>4若采购需求中未写明允许采购进口产品，如供应商所响应产品为进口产品，其响应将被认定为</w:t>
      </w:r>
      <w:r>
        <w:rPr>
          <w:rFonts w:hint="eastAsia" w:ascii="宋体" w:hAnsi="宋体" w:eastAsia="宋体" w:cs="宋体"/>
          <w:b/>
          <w:bCs/>
          <w:snapToGrid w:val="0"/>
          <w:color w:val="auto"/>
          <w:sz w:val="24"/>
          <w:szCs w:val="24"/>
          <w:highlight w:val="none"/>
          <w:lang w:val="en-US" w:eastAsia="zh-CN"/>
        </w:rPr>
        <w:t>响应无效</w:t>
      </w:r>
      <w:r>
        <w:rPr>
          <w:rFonts w:hint="eastAsia" w:ascii="宋体" w:hAnsi="宋体" w:eastAsia="宋体" w:cs="宋体"/>
          <w:snapToGrid w:val="0"/>
          <w:color w:val="auto"/>
          <w:sz w:val="24"/>
          <w:szCs w:val="24"/>
          <w:highlight w:val="none"/>
          <w:lang w:val="en-US" w:eastAsia="zh-CN"/>
        </w:rPr>
        <w:t>。</w:t>
      </w:r>
    </w:p>
    <w:p w14:paraId="1F7E8604">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23" w:name="_Toc161600342"/>
      <w:r>
        <w:rPr>
          <w:rFonts w:hint="eastAsia" w:ascii="宋体" w:hAnsi="宋体" w:eastAsia="宋体" w:cs="宋体"/>
          <w:b/>
          <w:bCs/>
          <w:color w:val="auto"/>
          <w:kern w:val="2"/>
          <w:sz w:val="24"/>
          <w:szCs w:val="24"/>
          <w:highlight w:val="none"/>
          <w:lang w:val="en-US" w:eastAsia="zh-CN" w:bidi="ar-SA"/>
        </w:rPr>
        <w:t>42.中小企业、监狱企业及残疾人福利性单位</w:t>
      </w:r>
      <w:bookmarkEnd w:id="423"/>
    </w:p>
    <w:p w14:paraId="6CF3C244">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42</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 xml:space="preserve">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号）、《金融业企业划型标准规定》（〔2015〕309 号）等国务院批准的中小企业划分标准执行。 </w:t>
      </w:r>
    </w:p>
    <w:p w14:paraId="6EB577E7">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eastAsia="zh-CN"/>
        </w:rPr>
      </w:pPr>
      <w:r>
        <w:rPr>
          <w:rFonts w:hint="eastAsia" w:ascii="宋体" w:hAnsi="宋体" w:eastAsia="宋体" w:cs="宋体"/>
          <w:snapToGrid w:val="0"/>
          <w:color w:val="auto"/>
          <w:sz w:val="24"/>
          <w:szCs w:val="24"/>
          <w:highlight w:val="none"/>
          <w:lang w:val="en-US" w:eastAsia="zh-CN"/>
        </w:rPr>
        <w:t>42</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2</w:t>
      </w:r>
      <w:r>
        <w:rPr>
          <w:rFonts w:hint="eastAsia" w:ascii="宋体" w:hAnsi="宋体" w:eastAsia="宋体" w:cs="宋体"/>
          <w:snapToGrid w:val="0"/>
          <w:color w:val="auto"/>
          <w:sz w:val="24"/>
          <w:szCs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ascii="宋体" w:hAnsi="宋体" w:eastAsia="宋体" w:cs="宋体"/>
          <w:snapToGrid w:val="0"/>
          <w:color w:val="auto"/>
          <w:sz w:val="24"/>
          <w:szCs w:val="24"/>
          <w:highlight w:val="none"/>
          <w:lang w:eastAsia="zh-CN"/>
        </w:rPr>
        <w:t>需享受中小企业相关政策的，且</w:t>
      </w:r>
      <w:r>
        <w:rPr>
          <w:rFonts w:hint="eastAsia" w:ascii="宋体" w:hAnsi="宋体" w:eastAsia="宋体" w:cs="宋体"/>
          <w:snapToGrid w:val="0"/>
          <w:color w:val="auto"/>
          <w:sz w:val="24"/>
          <w:szCs w:val="24"/>
          <w:highlight w:val="none"/>
        </w:rPr>
        <w:t>符合上述文件规定的，</w:t>
      </w:r>
      <w:r>
        <w:rPr>
          <w:rFonts w:hint="eastAsia" w:ascii="宋体" w:hAnsi="宋体" w:eastAsia="宋体" w:cs="宋体"/>
          <w:snapToGrid w:val="0"/>
          <w:color w:val="auto"/>
          <w:sz w:val="24"/>
          <w:szCs w:val="24"/>
          <w:highlight w:val="none"/>
          <w:lang w:eastAsia="zh-CN"/>
        </w:rPr>
        <w:t>应按本</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eastAsia="zh-CN"/>
        </w:rPr>
        <w:t>文件规定格式</w:t>
      </w:r>
      <w:r>
        <w:rPr>
          <w:rFonts w:hint="eastAsia" w:ascii="宋体" w:hAnsi="宋体" w:eastAsia="宋体" w:cs="宋体"/>
          <w:snapToGrid w:val="0"/>
          <w:color w:val="auto"/>
          <w:sz w:val="24"/>
          <w:szCs w:val="24"/>
          <w:highlight w:val="none"/>
        </w:rPr>
        <w:t>提供</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中小企业声明函</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rPr>
        <w:t>监狱企业证明文件</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残疾人福利性单位声明函</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，评审时，</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rPr>
        <w:t>小组将依据</w:t>
      </w:r>
      <w:r>
        <w:rPr>
          <w:rFonts w:hint="eastAsia" w:ascii="宋体" w:hAnsi="宋体" w:eastAsia="宋体" w:cs="宋体"/>
          <w:snapToGrid w:val="0"/>
          <w:color w:val="auto"/>
          <w:sz w:val="24"/>
          <w:szCs w:val="24"/>
          <w:highlight w:val="none"/>
          <w:lang w:eastAsia="zh-CN"/>
        </w:rPr>
        <w:t>本</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eastAsia="zh-CN"/>
        </w:rPr>
        <w:t>文件</w:t>
      </w:r>
      <w:r>
        <w:rPr>
          <w:rFonts w:hint="eastAsia" w:ascii="宋体" w:hAnsi="宋体" w:eastAsia="宋体" w:cs="宋体"/>
          <w:snapToGrid w:val="0"/>
          <w:color w:val="auto"/>
          <w:sz w:val="24"/>
          <w:szCs w:val="24"/>
          <w:highlight w:val="none"/>
        </w:rPr>
        <w:t>“供应商须知前附表”规定的报价扣除比例，对供应商报价进行价格扣除，用扣除后的价格参与评审</w:t>
      </w:r>
      <w:r>
        <w:rPr>
          <w:rFonts w:hint="eastAsia" w:ascii="宋体" w:hAnsi="宋体" w:eastAsia="宋体" w:cs="宋体"/>
          <w:snapToGrid w:val="0"/>
          <w:color w:val="auto"/>
          <w:sz w:val="24"/>
          <w:szCs w:val="24"/>
          <w:highlight w:val="none"/>
          <w:lang w:eastAsia="zh-CN"/>
        </w:rPr>
        <w:t>；</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eastAsia="zh-CN"/>
        </w:rPr>
        <w:t>公告中明确项目专门面向中小企业采购的，“</w:t>
      </w:r>
      <w:r>
        <w:rPr>
          <w:rFonts w:hint="eastAsia" w:ascii="宋体" w:hAnsi="宋体" w:eastAsia="宋体" w:cs="宋体"/>
          <w:snapToGrid w:val="0"/>
          <w:color w:val="auto"/>
          <w:sz w:val="24"/>
          <w:szCs w:val="24"/>
          <w:highlight w:val="none"/>
        </w:rPr>
        <w:t>中小企业声明函</w:t>
      </w:r>
      <w:r>
        <w:rPr>
          <w:rFonts w:hint="eastAsia" w:ascii="宋体" w:hAnsi="宋体" w:eastAsia="宋体" w:cs="宋体"/>
          <w:snapToGrid w:val="0"/>
          <w:color w:val="auto"/>
          <w:sz w:val="24"/>
          <w:szCs w:val="24"/>
          <w:highlight w:val="none"/>
          <w:lang w:eastAsia="zh-CN"/>
        </w:rPr>
        <w:t>”为资格要求文件，</w:t>
      </w:r>
      <w:r>
        <w:rPr>
          <w:rFonts w:hint="eastAsia" w:ascii="宋体" w:hAnsi="宋体" w:eastAsia="宋体" w:cs="宋体"/>
          <w:snapToGrid w:val="0"/>
          <w:color w:val="auto"/>
          <w:sz w:val="24"/>
          <w:szCs w:val="24"/>
          <w:highlight w:val="none"/>
        </w:rPr>
        <w:t>供应商</w:t>
      </w:r>
      <w:r>
        <w:rPr>
          <w:rFonts w:hint="eastAsia" w:ascii="宋体" w:hAnsi="宋体" w:eastAsia="宋体" w:cs="宋体"/>
          <w:snapToGrid w:val="0"/>
          <w:color w:val="auto"/>
          <w:sz w:val="24"/>
          <w:szCs w:val="24"/>
          <w:highlight w:val="none"/>
          <w:lang w:eastAsia="zh-CN"/>
        </w:rPr>
        <w:t>参与</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eastAsia="zh-CN"/>
        </w:rPr>
        <w:t>须按本</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lang w:eastAsia="zh-CN"/>
        </w:rPr>
        <w:t>文件规定格式</w:t>
      </w:r>
      <w:r>
        <w:rPr>
          <w:rFonts w:hint="eastAsia" w:ascii="宋体" w:hAnsi="宋体" w:eastAsia="宋体" w:cs="宋体"/>
          <w:snapToGrid w:val="0"/>
          <w:color w:val="auto"/>
          <w:sz w:val="24"/>
          <w:szCs w:val="24"/>
          <w:highlight w:val="none"/>
        </w:rPr>
        <w:t>提供</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中小企业声明函</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rPr>
        <w:t>监狱企业证明文件</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残疾人福利性单位声明函</w:t>
      </w:r>
      <w:r>
        <w:rPr>
          <w:rFonts w:hint="eastAsia" w:ascii="宋体" w:hAnsi="宋体" w:eastAsia="宋体" w:cs="宋体"/>
          <w:snapToGrid w:val="0"/>
          <w:color w:val="auto"/>
          <w:sz w:val="24"/>
          <w:szCs w:val="24"/>
          <w:highlight w:val="none"/>
          <w:lang w:eastAsia="zh-CN"/>
        </w:rPr>
        <w:t>”等作为资格证明文件。</w:t>
      </w:r>
    </w:p>
    <w:p w14:paraId="5BE3F99F">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42.3供应商提供的货物、工程或者服务符合下列情形的，享受中小企业扶持政策： </w:t>
      </w:r>
    </w:p>
    <w:p w14:paraId="7C4E60D8">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42.3.1在货物采购项目中，货物由中小企业制造，即货物由中小企业生产且使用该中小企业商号或者注册商标； </w:t>
      </w:r>
    </w:p>
    <w:p w14:paraId="49BB740C">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42.3.2在工程采购项目中，工程由中小企业承建，即工程施工单位为中小企业； </w:t>
      </w:r>
    </w:p>
    <w:p w14:paraId="194B49DD">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42.3.3在服务采购项目中，服务由中小企业承接，即提供服务的人员为中小企业依照《中华人民共和国劳动合同法》订立劳动合同的从业人员。</w:t>
      </w:r>
    </w:p>
    <w:p w14:paraId="209AD492">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42.4 在货物采购项目中，供应商提供的货物既有中小企业制造货物，也有大型企业制造货物的，不享受中小企业扶持政策。 </w:t>
      </w:r>
    </w:p>
    <w:p w14:paraId="6B88E288">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42.5 以联合体形式参加政府采购活动，联合体各方均为中小企业的，联合体视同中小企业。其中，联合体各方均为小微企业的，联合体视同小微企业。      42.6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023C32E0">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 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34DA9DCA">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42.7.1 安置的残疾人占本单位在职职工人数的比例不低于 25% （含 25%），并且安置的残疾人人数不少于 10 人（含 10人）； </w:t>
      </w:r>
    </w:p>
    <w:p w14:paraId="7828A465">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42.7.2 依法与安置的每位残疾人签订了1年以上（含1年）的劳动合同或服务协议； </w:t>
      </w:r>
    </w:p>
    <w:p w14:paraId="33AEDD4D">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42.7.3 为安置的每位残疾人按月足额缴纳了基本养老保险、基本医疗保险、失业保险、工伤保险和生育保险等社会保险费； </w:t>
      </w:r>
    </w:p>
    <w:p w14:paraId="07E81100">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42.7.4 通过银行等金融机构向安置的每位残疾人，按月支付了不低于单位所在区县适用的经省级人民政府批准的月最低工资标准的工资； </w:t>
      </w:r>
    </w:p>
    <w:p w14:paraId="50FF7002">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42.7.5 提供本单位制造的货物、承担的工程或者服务（以下简称产品），或者提供其他残疾人福利性单位制造的货物（不包括使用非残疾人福利性单位注册商标的货物）； </w:t>
      </w:r>
    </w:p>
    <w:p w14:paraId="715268A0">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42.7.6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级）》的自然人，包括具有劳动条件和劳动意愿的精神残疾人。在职职工人数是指与残疾人福利性单位建立劳动关系并依法签订劳动合同或服务协议的雇员人数。 </w:t>
      </w:r>
    </w:p>
    <w:p w14:paraId="36313DD1">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42.8 本项目是否专门面向中小企业预留采购份额见“第一章 竞争性</w:t>
      </w:r>
      <w:r>
        <w:rPr>
          <w:rFonts w:hint="eastAsia" w:cs="宋体"/>
          <w:color w:val="auto"/>
          <w:sz w:val="24"/>
          <w:szCs w:val="24"/>
          <w:highlight w:val="none"/>
          <w:lang w:val="en-US" w:eastAsia="zh-CN"/>
        </w:rPr>
        <w:t>谈判</w:t>
      </w:r>
      <w:r>
        <w:rPr>
          <w:rFonts w:hint="eastAsia" w:cs="宋体"/>
          <w:snapToGrid w:val="0"/>
          <w:color w:val="auto"/>
          <w:sz w:val="24"/>
          <w:szCs w:val="24"/>
          <w:highlight w:val="none"/>
          <w:lang w:val="en-US" w:eastAsia="zh-CN"/>
        </w:rPr>
        <w:t>公告</w:t>
      </w:r>
      <w:r>
        <w:rPr>
          <w:rFonts w:hint="eastAsia" w:ascii="宋体" w:hAnsi="宋体" w:eastAsia="宋体" w:cs="宋体"/>
          <w:snapToGrid w:val="0"/>
          <w:color w:val="auto"/>
          <w:sz w:val="24"/>
          <w:szCs w:val="24"/>
          <w:highlight w:val="none"/>
          <w:lang w:val="en-US" w:eastAsia="zh-CN"/>
        </w:rPr>
        <w:t>”。</w:t>
      </w:r>
    </w:p>
    <w:p w14:paraId="5A70CB6C">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42.9 采购标的对应的中小企业划分标准所属行业见“供应商须知前附表”。    42.10小微企业价格评审优惠的政策调整：见“第四章 评审方法及标准”。</w:t>
      </w:r>
    </w:p>
    <w:p w14:paraId="76C0345E">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24" w:name="_Toc161600343"/>
      <w:r>
        <w:rPr>
          <w:rFonts w:hint="eastAsia" w:ascii="宋体" w:hAnsi="宋体" w:eastAsia="宋体" w:cs="宋体"/>
          <w:b/>
          <w:bCs/>
          <w:color w:val="auto"/>
          <w:kern w:val="2"/>
          <w:sz w:val="24"/>
          <w:szCs w:val="24"/>
          <w:highlight w:val="none"/>
          <w:lang w:val="en-US" w:eastAsia="zh-CN" w:bidi="ar-SA"/>
        </w:rPr>
        <w:t>43.政府采购节能产品、环境标志产品</w:t>
      </w:r>
      <w:bookmarkEnd w:id="424"/>
    </w:p>
    <w:p w14:paraId="0A420FD9">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2019〕9 号）、《关于印发环境标志产品政府采购品目清单的通知》（财库〔2019〕18号）、《关于印发节能产品政府采购品目清单的通知》（财库〔2019〕19号）的规定。</w:t>
      </w:r>
    </w:p>
    <w:p w14:paraId="017FF1A4">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43.2 采购人拟采购的产品属于品目清单范围的，采购人及其委托的采购代理机构依据国家确定的认证机构出具的、处于有效期之内的节能产品、环境标志产品认证证书，对获得证书的产品实施政府强制采购或优先采购。 </w:t>
      </w:r>
    </w:p>
    <w:p w14:paraId="13797307">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43.3 如本项目采购产品属于实施政府强制采购品目清单范围的节能产品，则供应商所报产品必须获得国家确定的认证机构出具的、处于有效期之内的节能产品认证证书，否则</w:t>
      </w:r>
      <w:r>
        <w:rPr>
          <w:rFonts w:hint="eastAsia" w:ascii="宋体" w:hAnsi="宋体" w:eastAsia="宋体" w:cs="宋体"/>
          <w:b/>
          <w:bCs/>
          <w:snapToGrid w:val="0"/>
          <w:color w:val="auto"/>
          <w:sz w:val="24"/>
          <w:szCs w:val="24"/>
          <w:highlight w:val="none"/>
          <w:lang w:val="en-US" w:eastAsia="zh-CN"/>
        </w:rPr>
        <w:t>响应无效。</w:t>
      </w:r>
      <w:r>
        <w:rPr>
          <w:rFonts w:hint="eastAsia" w:ascii="宋体" w:hAnsi="宋体" w:eastAsia="宋体" w:cs="宋体"/>
          <w:snapToGrid w:val="0"/>
          <w:color w:val="auto"/>
          <w:sz w:val="24"/>
          <w:szCs w:val="24"/>
          <w:highlight w:val="none"/>
          <w:lang w:val="en-US" w:eastAsia="zh-CN"/>
        </w:rPr>
        <w:t xml:space="preserve"> </w:t>
      </w:r>
    </w:p>
    <w:p w14:paraId="57389A7F">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43.4 非政府强制采购的节能产品或环境标志产品，依据品目清单和认证证书实施政府优先采购。优先采购的具体规定见“第四章 评审方法及标准”（如涉及）。</w:t>
      </w:r>
    </w:p>
    <w:p w14:paraId="1E54CD45">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en-US" w:eastAsia="zh-CN"/>
        </w:rPr>
        <w:t>43.5 供应商</w:t>
      </w:r>
      <w:r>
        <w:rPr>
          <w:rFonts w:hint="eastAsia" w:ascii="宋体" w:hAnsi="宋体" w:eastAsia="宋体" w:cs="宋体"/>
          <w:snapToGrid w:val="0"/>
          <w:color w:val="auto"/>
          <w:sz w:val="24"/>
          <w:szCs w:val="24"/>
          <w:highlight w:val="none"/>
        </w:rPr>
        <w:t>所</w:t>
      </w:r>
      <w:r>
        <w:rPr>
          <w:rFonts w:hint="eastAsia" w:ascii="宋体" w:hAnsi="宋体" w:eastAsia="宋体" w:cs="宋体"/>
          <w:snapToGrid w:val="0"/>
          <w:color w:val="auto"/>
          <w:sz w:val="24"/>
          <w:szCs w:val="24"/>
          <w:highlight w:val="none"/>
          <w:lang w:val="en-US" w:eastAsia="zh-CN"/>
        </w:rPr>
        <w:t>报</w:t>
      </w:r>
      <w:r>
        <w:rPr>
          <w:rFonts w:hint="eastAsia" w:ascii="宋体" w:hAnsi="宋体" w:eastAsia="宋体" w:cs="宋体"/>
          <w:snapToGrid w:val="0"/>
          <w:color w:val="auto"/>
          <w:sz w:val="24"/>
          <w:szCs w:val="24"/>
          <w:highlight w:val="none"/>
        </w:rPr>
        <w:t>产品如属于节能产品政府采购品目清单、环境标志产品政府采购品目清单范围的，须提供国家确定的认证机构出具的、处于有效期内的产品认证证书，认证证书的产品型号与所</w:t>
      </w:r>
      <w:r>
        <w:rPr>
          <w:rFonts w:hint="eastAsia" w:ascii="宋体" w:hAnsi="宋体" w:eastAsia="宋体" w:cs="宋体"/>
          <w:snapToGrid w:val="0"/>
          <w:color w:val="auto"/>
          <w:sz w:val="24"/>
          <w:szCs w:val="24"/>
          <w:highlight w:val="none"/>
          <w:lang w:val="en-US" w:eastAsia="zh-CN"/>
        </w:rPr>
        <w:t>报</w:t>
      </w:r>
      <w:r>
        <w:rPr>
          <w:rFonts w:hint="eastAsia" w:ascii="宋体" w:hAnsi="宋体" w:eastAsia="宋体" w:cs="宋体"/>
          <w:snapToGrid w:val="0"/>
          <w:color w:val="auto"/>
          <w:sz w:val="24"/>
          <w:szCs w:val="24"/>
          <w:highlight w:val="none"/>
        </w:rPr>
        <w:t>产品不一致的，视为未提供。属于政府强制采购产品的，已作为</w:t>
      </w:r>
      <w:r>
        <w:rPr>
          <w:rFonts w:hint="eastAsia" w:ascii="宋体" w:hAnsi="宋体" w:eastAsia="宋体" w:cs="宋体"/>
          <w:snapToGrid w:val="0"/>
          <w:color w:val="auto"/>
          <w:sz w:val="24"/>
          <w:szCs w:val="24"/>
          <w:highlight w:val="none"/>
          <w:lang w:val="en-US" w:eastAsia="zh-CN"/>
        </w:rPr>
        <w:t>响应</w:t>
      </w:r>
      <w:r>
        <w:rPr>
          <w:rFonts w:hint="eastAsia" w:ascii="宋体" w:hAnsi="宋体" w:eastAsia="宋体" w:cs="宋体"/>
          <w:snapToGrid w:val="0"/>
          <w:color w:val="auto"/>
          <w:sz w:val="24"/>
          <w:szCs w:val="24"/>
          <w:highlight w:val="none"/>
        </w:rPr>
        <w:t>时强制性要求不再给予</w:t>
      </w:r>
      <w:r>
        <w:rPr>
          <w:rFonts w:hint="eastAsia" w:ascii="宋体" w:hAnsi="宋体" w:eastAsia="宋体" w:cs="宋体"/>
          <w:snapToGrid w:val="0"/>
          <w:color w:val="auto"/>
          <w:sz w:val="24"/>
          <w:szCs w:val="24"/>
          <w:highlight w:val="none"/>
          <w:lang w:val="en-US" w:eastAsia="zh-CN"/>
        </w:rPr>
        <w:t>评审优惠</w:t>
      </w:r>
      <w:r>
        <w:rPr>
          <w:rFonts w:hint="eastAsia" w:ascii="宋体" w:hAnsi="宋体" w:eastAsia="宋体" w:cs="宋体"/>
          <w:snapToGrid w:val="0"/>
          <w:color w:val="auto"/>
          <w:sz w:val="24"/>
          <w:szCs w:val="24"/>
          <w:highlight w:val="none"/>
        </w:rPr>
        <w:t>，未提供认证证书的视为</w:t>
      </w:r>
      <w:r>
        <w:rPr>
          <w:rFonts w:hint="eastAsia" w:ascii="宋体" w:hAnsi="宋体" w:eastAsia="宋体" w:cs="宋体"/>
          <w:b/>
          <w:bCs/>
          <w:snapToGrid w:val="0"/>
          <w:color w:val="auto"/>
          <w:sz w:val="24"/>
          <w:szCs w:val="24"/>
          <w:highlight w:val="none"/>
        </w:rPr>
        <w:t>无效响应</w:t>
      </w:r>
      <w:r>
        <w:rPr>
          <w:rFonts w:hint="eastAsia" w:ascii="宋体" w:hAnsi="宋体" w:eastAsia="宋体" w:cs="宋体"/>
          <w:snapToGrid w:val="0"/>
          <w:color w:val="auto"/>
          <w:sz w:val="24"/>
          <w:szCs w:val="24"/>
          <w:highlight w:val="none"/>
        </w:rPr>
        <w:t>。属于</w:t>
      </w:r>
      <w:r>
        <w:rPr>
          <w:rFonts w:hint="eastAsia" w:ascii="宋体" w:hAnsi="宋体" w:eastAsia="宋体" w:cs="宋体"/>
          <w:snapToGrid w:val="0"/>
          <w:color w:val="auto"/>
          <w:sz w:val="24"/>
          <w:szCs w:val="24"/>
          <w:highlight w:val="none"/>
          <w:lang w:val="en-US" w:eastAsia="zh-CN"/>
        </w:rPr>
        <w:t>优先采购</w:t>
      </w:r>
      <w:r>
        <w:rPr>
          <w:rFonts w:hint="eastAsia" w:ascii="宋体" w:hAnsi="宋体" w:eastAsia="宋体" w:cs="宋体"/>
          <w:snapToGrid w:val="0"/>
          <w:color w:val="auto"/>
          <w:sz w:val="24"/>
          <w:szCs w:val="24"/>
          <w:highlight w:val="none"/>
        </w:rPr>
        <w:t>节能产品政府采购品目清单、环境标志产品政府采购品目清单</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创新产品</w:t>
      </w:r>
      <w:r>
        <w:rPr>
          <w:rFonts w:hint="eastAsia" w:ascii="宋体" w:hAnsi="宋体" w:eastAsia="宋体" w:cs="宋体"/>
          <w:snapToGrid w:val="0"/>
          <w:color w:val="auto"/>
          <w:sz w:val="24"/>
          <w:szCs w:val="24"/>
          <w:highlight w:val="none"/>
        </w:rPr>
        <w:t>范围的，按照“</w:t>
      </w:r>
      <w:r>
        <w:rPr>
          <w:rFonts w:hint="eastAsia" w:ascii="宋体" w:hAnsi="宋体" w:eastAsia="宋体" w:cs="宋体"/>
          <w:snapToGrid w:val="0"/>
          <w:color w:val="auto"/>
          <w:sz w:val="24"/>
          <w:szCs w:val="24"/>
          <w:highlight w:val="none"/>
          <w:lang w:val="en-US" w:eastAsia="zh-CN"/>
        </w:rPr>
        <w:t>第四章 评审方法及标准</w:t>
      </w:r>
      <w:r>
        <w:rPr>
          <w:rFonts w:hint="eastAsia" w:ascii="宋体" w:hAnsi="宋体" w:eastAsia="宋体" w:cs="宋体"/>
          <w:snapToGrid w:val="0"/>
          <w:color w:val="auto"/>
          <w:sz w:val="24"/>
          <w:szCs w:val="24"/>
          <w:highlight w:val="none"/>
        </w:rPr>
        <w:t>”中相关规定</w:t>
      </w:r>
      <w:r>
        <w:rPr>
          <w:rFonts w:hint="eastAsia" w:ascii="宋体" w:hAnsi="宋体" w:eastAsia="宋体" w:cs="宋体"/>
          <w:color w:val="auto"/>
          <w:sz w:val="24"/>
          <w:szCs w:val="24"/>
          <w:highlight w:val="none"/>
          <w:lang w:val="en-US" w:eastAsia="zh-CN"/>
        </w:rPr>
        <w:t>在评审时给予优惠，具体详见</w:t>
      </w:r>
      <w:r>
        <w:rPr>
          <w:rFonts w:hint="eastAsia" w:ascii="宋体" w:hAnsi="宋体" w:eastAsia="宋体" w:cs="宋体"/>
          <w:snapToGrid w:val="0"/>
          <w:color w:val="auto"/>
          <w:sz w:val="24"/>
          <w:szCs w:val="24"/>
          <w:highlight w:val="none"/>
          <w:lang w:val="en-US" w:eastAsia="zh-CN"/>
        </w:rPr>
        <w:t>“供应商须知前附表”及</w:t>
      </w:r>
      <w:r>
        <w:rPr>
          <w:rFonts w:hint="eastAsia" w:ascii="宋体" w:hAnsi="宋体" w:eastAsia="宋体" w:cs="宋体"/>
          <w:color w:val="auto"/>
          <w:sz w:val="24"/>
          <w:szCs w:val="24"/>
          <w:highlight w:val="none"/>
          <w:lang w:val="en-US" w:eastAsia="zh-CN"/>
        </w:rPr>
        <w:t>“第四章 评审方法及标准”</w:t>
      </w:r>
      <w:r>
        <w:rPr>
          <w:rFonts w:hint="eastAsia" w:ascii="宋体" w:hAnsi="宋体" w:eastAsia="宋体" w:cs="宋体"/>
          <w:color w:val="auto"/>
          <w:sz w:val="24"/>
          <w:szCs w:val="24"/>
          <w:highlight w:val="none"/>
        </w:rPr>
        <w:t>。</w:t>
      </w:r>
    </w:p>
    <w:p w14:paraId="17C511EA">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44.正版软件</w:t>
      </w:r>
    </w:p>
    <w:p w14:paraId="34806368">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65060989">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xml:space="preserve">45.网络安全专用产品 </w:t>
      </w:r>
    </w:p>
    <w:p w14:paraId="13C08773">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4911AC78">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w:t>
      </w:r>
    </w:p>
    <w:p w14:paraId="05D0648E">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 xml:space="preserve">46.采购需求标准 </w:t>
      </w:r>
    </w:p>
    <w:bookmarkEnd w:id="409"/>
    <w:bookmarkEnd w:id="410"/>
    <w:bookmarkEnd w:id="411"/>
    <w:bookmarkEnd w:id="412"/>
    <w:bookmarkEnd w:id="413"/>
    <w:p w14:paraId="12518086">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bookmarkStart w:id="425" w:name="_Toc109897475"/>
      <w:bookmarkStart w:id="426" w:name="_Toc109899574"/>
      <w:bookmarkStart w:id="427" w:name="_Toc109900412"/>
      <w:bookmarkStart w:id="428" w:name="_Toc109899993"/>
      <w:bookmarkStart w:id="429" w:name="_Toc163493622"/>
      <w:r>
        <w:rPr>
          <w:rFonts w:hint="eastAsia" w:ascii="宋体" w:hAnsi="宋体" w:eastAsia="宋体" w:cs="宋体"/>
          <w:snapToGrid w:val="0"/>
          <w:color w:val="auto"/>
          <w:sz w:val="24"/>
          <w:szCs w:val="24"/>
          <w:highlight w:val="none"/>
          <w:lang w:val="en-US" w:eastAsia="zh-CN"/>
        </w:rPr>
        <w:t xml:space="preserve">46.1 商品包装、快递包装政府采购需求标准（试行） </w:t>
      </w:r>
    </w:p>
    <w:p w14:paraId="527BC2D1">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 项目采购需求”。 </w:t>
      </w:r>
    </w:p>
    <w:p w14:paraId="088B5DEF">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46.2 绿色数据中心政府采购需求标准（试行） </w:t>
      </w:r>
    </w:p>
    <w:p w14:paraId="2BAD2545">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 项目采购需求”。 </w:t>
      </w:r>
    </w:p>
    <w:p w14:paraId="33C6F27D">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46.3台式计算机政府采购需求标准</w:t>
      </w:r>
    </w:p>
    <w:p w14:paraId="7FE94F3A">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 项目采购需求”。</w:t>
      </w:r>
    </w:p>
    <w:p w14:paraId="683C9A61">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46.4便携式计算机政府采购需求标准</w:t>
      </w:r>
    </w:p>
    <w:p w14:paraId="56D621A3">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 项目采购需求”。</w:t>
      </w:r>
    </w:p>
    <w:p w14:paraId="48ED6666">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46.5一体式计算机政府采购需求标准</w:t>
      </w:r>
    </w:p>
    <w:p w14:paraId="7A06F60A">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 项目采购需求”。</w:t>
      </w:r>
    </w:p>
    <w:p w14:paraId="6AA36A4C">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46.6工作站政府采购需求标准</w:t>
      </w:r>
    </w:p>
    <w:p w14:paraId="401E4836">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 项目采购需求”。</w:t>
      </w:r>
    </w:p>
    <w:p w14:paraId="6AA55F4D">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46.7通用服务器政府采购需求标准</w:t>
      </w:r>
    </w:p>
    <w:p w14:paraId="6FE6FE7A">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 项目采购需求”。</w:t>
      </w:r>
    </w:p>
    <w:p w14:paraId="5E799E3E">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46.8操作系统政府采购需求标准</w:t>
      </w:r>
    </w:p>
    <w:p w14:paraId="71E70859">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 项目采购需求”。</w:t>
      </w:r>
    </w:p>
    <w:p w14:paraId="757FBE31">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46.9数据库政府采购需求标准</w:t>
      </w:r>
    </w:p>
    <w:p w14:paraId="4096E2F1">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 项目采购需求”。</w:t>
      </w:r>
    </w:p>
    <w:p w14:paraId="0F23144D">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46.10物业管理服务政府采购需求标准（办公场所类）（试行）</w:t>
      </w:r>
    </w:p>
    <w:p w14:paraId="0169F247">
      <w:pPr>
        <w:pStyle w:val="33"/>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 项目采购需求”。</w:t>
      </w:r>
    </w:p>
    <w:p w14:paraId="38AF6858">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30" w:name="_Toc18350"/>
      <w:r>
        <w:rPr>
          <w:rFonts w:hint="eastAsia" w:ascii="宋体" w:hAnsi="宋体" w:eastAsia="宋体" w:cs="宋体"/>
          <w:b/>
          <w:bCs/>
          <w:color w:val="auto"/>
          <w:kern w:val="2"/>
          <w:sz w:val="24"/>
          <w:szCs w:val="24"/>
          <w:highlight w:val="none"/>
          <w:lang w:val="en-US" w:eastAsia="zh-CN" w:bidi="ar-SA"/>
        </w:rPr>
        <w:t>（十四）政府采购合同融资政策</w:t>
      </w:r>
      <w:bookmarkEnd w:id="425"/>
      <w:bookmarkEnd w:id="426"/>
      <w:bookmarkEnd w:id="427"/>
      <w:bookmarkEnd w:id="428"/>
      <w:bookmarkEnd w:id="429"/>
      <w:bookmarkEnd w:id="430"/>
    </w:p>
    <w:p w14:paraId="78CE466D">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31" w:name="_Toc161600345"/>
      <w:bookmarkStart w:id="432" w:name="_Toc109897476"/>
      <w:r>
        <w:rPr>
          <w:rFonts w:hint="eastAsia" w:ascii="宋体" w:hAnsi="宋体" w:eastAsia="宋体" w:cs="宋体"/>
          <w:b/>
          <w:bCs/>
          <w:color w:val="auto"/>
          <w:kern w:val="2"/>
          <w:sz w:val="24"/>
          <w:szCs w:val="24"/>
          <w:highlight w:val="none"/>
          <w:lang w:val="en-US" w:eastAsia="zh-CN" w:bidi="ar-SA"/>
        </w:rPr>
        <w:t>47.政府采购合同融资政策</w:t>
      </w:r>
      <w:bookmarkEnd w:id="431"/>
    </w:p>
    <w:p w14:paraId="59269D30">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.1政府采购合同融资政策：见供应商须知前附表。</w:t>
      </w:r>
    </w:p>
    <w:p w14:paraId="032E5A3C">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33" w:name="_Toc31397"/>
      <w:bookmarkStart w:id="434" w:name="_Toc109899575"/>
      <w:bookmarkStart w:id="435" w:name="_Toc109899994"/>
      <w:bookmarkStart w:id="436" w:name="_Toc163493623"/>
      <w:bookmarkStart w:id="437" w:name="_Toc109900413"/>
      <w:r>
        <w:rPr>
          <w:rFonts w:hint="eastAsia" w:ascii="宋体" w:hAnsi="宋体" w:eastAsia="宋体" w:cs="宋体"/>
          <w:b/>
          <w:bCs/>
          <w:color w:val="auto"/>
          <w:kern w:val="2"/>
          <w:sz w:val="24"/>
          <w:szCs w:val="24"/>
          <w:highlight w:val="none"/>
          <w:lang w:val="en-US" w:eastAsia="zh-CN" w:bidi="ar-SA"/>
        </w:rPr>
        <w:t>（十五）其他</w:t>
      </w:r>
      <w:bookmarkEnd w:id="432"/>
      <w:bookmarkEnd w:id="433"/>
      <w:bookmarkEnd w:id="434"/>
      <w:bookmarkEnd w:id="435"/>
      <w:bookmarkEnd w:id="436"/>
      <w:bookmarkEnd w:id="437"/>
    </w:p>
    <w:p w14:paraId="0C2C4C1A">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38" w:name="_Toc161600347"/>
      <w:r>
        <w:rPr>
          <w:rFonts w:hint="eastAsia" w:ascii="宋体" w:hAnsi="宋体" w:eastAsia="宋体" w:cs="宋体"/>
          <w:b/>
          <w:bCs/>
          <w:color w:val="auto"/>
          <w:kern w:val="2"/>
          <w:sz w:val="24"/>
          <w:szCs w:val="24"/>
          <w:highlight w:val="none"/>
          <w:lang w:val="en-US" w:eastAsia="zh-CN" w:bidi="ar-SA"/>
        </w:rPr>
        <w:t>48.需要补充的其他内容</w:t>
      </w:r>
      <w:bookmarkEnd w:id="438"/>
    </w:p>
    <w:p w14:paraId="3957C993">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.1需要补充的其他内容：见供应商须知前附表。</w:t>
      </w:r>
    </w:p>
    <w:p w14:paraId="740594BA">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39" w:name="_Toc109899995"/>
      <w:bookmarkStart w:id="440" w:name="_Toc109899576"/>
      <w:bookmarkStart w:id="441" w:name="_Toc109900414"/>
      <w:bookmarkStart w:id="442" w:name="_Toc109897477"/>
      <w:r>
        <w:rPr>
          <w:rFonts w:hint="eastAsia" w:ascii="宋体" w:hAnsi="宋体" w:eastAsia="宋体" w:cs="宋体"/>
          <w:b/>
          <w:bCs/>
          <w:color w:val="auto"/>
          <w:kern w:val="2"/>
          <w:sz w:val="24"/>
          <w:szCs w:val="24"/>
          <w:highlight w:val="none"/>
          <w:lang w:val="en-US" w:eastAsia="zh-CN" w:bidi="ar-SA"/>
        </w:rPr>
        <w:t>49.适用法律</w:t>
      </w:r>
      <w:bookmarkEnd w:id="439"/>
      <w:bookmarkEnd w:id="440"/>
      <w:bookmarkEnd w:id="441"/>
      <w:bookmarkEnd w:id="442"/>
    </w:p>
    <w:p w14:paraId="48B6B3FD">
      <w:pPr>
        <w:keepNext w:val="0"/>
        <w:keepLines w:val="0"/>
        <w:pageBreakBefore w:val="0"/>
        <w:widowControl w:val="0"/>
        <w:shd w:val="clear"/>
        <w:tabs>
          <w:tab w:val="left" w:pos="426"/>
        </w:tabs>
        <w:kinsoku/>
        <w:overflowPunct/>
        <w:topLinePunct w:val="0"/>
        <w:autoSpaceDE w:val="0"/>
        <w:autoSpaceDN w:val="0"/>
        <w:bidi w:val="0"/>
        <w:adjustRightInd w:val="0"/>
        <w:snapToGrid w:val="0"/>
        <w:ind w:firstLine="480" w:firstLineChars="20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4</w:t>
      </w:r>
      <w:r>
        <w:rPr>
          <w:rFonts w:hint="eastAsia" w:ascii="宋体" w:hAnsi="宋体" w:eastAsia="宋体" w:cs="宋体"/>
          <w:snapToGrid w:val="0"/>
          <w:color w:val="auto"/>
          <w:sz w:val="24"/>
          <w:szCs w:val="24"/>
          <w:highlight w:val="none"/>
          <w:lang w:val="en-US" w:eastAsia="zh-CN"/>
        </w:rPr>
        <w:t>9</w:t>
      </w:r>
      <w:r>
        <w:rPr>
          <w:rFonts w:hint="eastAsia" w:ascii="宋体" w:hAnsi="宋体" w:eastAsia="宋体" w:cs="宋体"/>
          <w:snapToGrid w:val="0"/>
          <w:color w:val="auto"/>
          <w:sz w:val="24"/>
          <w:szCs w:val="24"/>
          <w:highlight w:val="none"/>
          <w:lang w:val="zh-CN"/>
        </w:rPr>
        <w:t>.1采购人、采购代理机构及供应商的一切采购活动均适用《</w:t>
      </w:r>
      <w:r>
        <w:rPr>
          <w:rFonts w:hint="eastAsia" w:ascii="宋体" w:hAnsi="宋体" w:eastAsia="宋体" w:cs="宋体"/>
          <w:snapToGrid w:val="0"/>
          <w:color w:val="auto"/>
          <w:sz w:val="24"/>
          <w:szCs w:val="24"/>
          <w:highlight w:val="none"/>
        </w:rPr>
        <w:t>中华人民共和国</w:t>
      </w:r>
      <w:r>
        <w:rPr>
          <w:rFonts w:hint="eastAsia" w:ascii="宋体" w:hAnsi="宋体" w:eastAsia="宋体" w:cs="宋体"/>
          <w:snapToGrid w:val="0"/>
          <w:color w:val="auto"/>
          <w:sz w:val="24"/>
          <w:szCs w:val="24"/>
          <w:highlight w:val="none"/>
          <w:lang w:val="zh-CN"/>
        </w:rPr>
        <w:t>政府采购法》、《</w:t>
      </w:r>
      <w:r>
        <w:rPr>
          <w:rFonts w:hint="eastAsia" w:ascii="宋体" w:hAnsi="宋体" w:eastAsia="宋体" w:cs="宋体"/>
          <w:snapToGrid w:val="0"/>
          <w:color w:val="auto"/>
          <w:sz w:val="24"/>
          <w:szCs w:val="24"/>
          <w:highlight w:val="none"/>
        </w:rPr>
        <w:t>中华人民共和国</w:t>
      </w:r>
      <w:r>
        <w:rPr>
          <w:rFonts w:hint="eastAsia" w:ascii="宋体" w:hAnsi="宋体" w:eastAsia="宋体" w:cs="宋体"/>
          <w:snapToGrid w:val="0"/>
          <w:color w:val="auto"/>
          <w:sz w:val="24"/>
          <w:szCs w:val="24"/>
          <w:highlight w:val="none"/>
          <w:lang w:val="zh-CN"/>
        </w:rPr>
        <w:t>政府采购法实施条例》、</w:t>
      </w:r>
      <w:r>
        <w:rPr>
          <w:rFonts w:hint="eastAsia" w:ascii="宋体" w:hAnsi="宋体" w:eastAsia="宋体" w:cs="宋体"/>
          <w:color w:val="auto"/>
          <w:sz w:val="24"/>
          <w:szCs w:val="24"/>
          <w:highlight w:val="none"/>
        </w:rPr>
        <w:t>《政府采购</w:t>
      </w:r>
      <w:r>
        <w:rPr>
          <w:rFonts w:hint="eastAsia" w:cs="宋体"/>
          <w:color w:val="auto"/>
          <w:sz w:val="24"/>
          <w:szCs w:val="24"/>
          <w:highlight w:val="none"/>
          <w:lang w:val="en-US" w:eastAsia="zh-CN"/>
        </w:rPr>
        <w:t>非招标采购方式管理</w:t>
      </w:r>
      <w:r>
        <w:rPr>
          <w:rFonts w:hint="eastAsia" w:ascii="宋体" w:hAnsi="宋体" w:eastAsia="宋体" w:cs="宋体"/>
          <w:color w:val="auto"/>
          <w:sz w:val="24"/>
          <w:szCs w:val="24"/>
          <w:highlight w:val="none"/>
        </w:rPr>
        <w:t>办法》（财</w:t>
      </w:r>
      <w:r>
        <w:rPr>
          <w:rFonts w:hint="eastAsia" w:cs="宋体"/>
          <w:color w:val="auto"/>
          <w:sz w:val="24"/>
          <w:szCs w:val="24"/>
          <w:highlight w:val="none"/>
          <w:lang w:val="en-US" w:eastAsia="zh-CN"/>
        </w:rPr>
        <w:t>政部令第7</w:t>
      </w:r>
      <w:r>
        <w:rPr>
          <w:rFonts w:hint="eastAsia" w:ascii="宋体" w:hAnsi="宋体" w:eastAsia="宋体" w:cs="宋体"/>
          <w:color w:val="auto"/>
          <w:sz w:val="24"/>
          <w:szCs w:val="24"/>
          <w:highlight w:val="none"/>
        </w:rPr>
        <w:t>4号）</w:t>
      </w:r>
      <w:r>
        <w:rPr>
          <w:rFonts w:hint="eastAsia" w:ascii="宋体" w:hAnsi="宋体" w:eastAsia="宋体" w:cs="宋体"/>
          <w:snapToGrid w:val="0"/>
          <w:color w:val="auto"/>
          <w:sz w:val="24"/>
          <w:szCs w:val="24"/>
          <w:highlight w:val="none"/>
          <w:lang w:val="zh-CN"/>
        </w:rPr>
        <w:t>及相关法律法规。</w:t>
      </w:r>
    </w:p>
    <w:p w14:paraId="7EF83039">
      <w:pPr>
        <w:pStyle w:val="33"/>
        <w:keepNext w:val="0"/>
        <w:keepLines w:val="0"/>
        <w:pageBreakBefore w:val="0"/>
        <w:widowControl w:val="0"/>
        <w:shd w:val="clear"/>
        <w:kinsoku/>
        <w:overflowPunct/>
        <w:topLinePunct w:val="0"/>
        <w:bidi w:val="0"/>
        <w:ind w:firstLine="48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lang w:val="zh-CN"/>
        </w:rPr>
        <w:t>4</w:t>
      </w:r>
      <w:r>
        <w:rPr>
          <w:rFonts w:hint="eastAsia" w:ascii="宋体" w:hAnsi="宋体" w:eastAsia="宋体" w:cs="宋体"/>
          <w:snapToGrid w:val="0"/>
          <w:color w:val="auto"/>
          <w:sz w:val="24"/>
          <w:szCs w:val="24"/>
          <w:highlight w:val="none"/>
          <w:lang w:val="en-US" w:eastAsia="zh-CN"/>
        </w:rPr>
        <w:t>9</w:t>
      </w:r>
      <w:r>
        <w:rPr>
          <w:rFonts w:hint="eastAsia" w:ascii="宋体" w:hAnsi="宋体" w:eastAsia="宋体" w:cs="宋体"/>
          <w:snapToGrid w:val="0"/>
          <w:color w:val="auto"/>
          <w:sz w:val="24"/>
          <w:szCs w:val="24"/>
          <w:highlight w:val="none"/>
          <w:lang w:val="zh-CN"/>
        </w:rPr>
        <w:t>.2政府采购合同的履行、违约责任和解决争议的方法等适用《</w:t>
      </w:r>
      <w:r>
        <w:rPr>
          <w:rFonts w:hint="eastAsia" w:ascii="宋体" w:hAnsi="宋体" w:eastAsia="宋体" w:cs="宋体"/>
          <w:snapToGrid w:val="0"/>
          <w:color w:val="auto"/>
          <w:sz w:val="24"/>
          <w:szCs w:val="24"/>
          <w:highlight w:val="none"/>
        </w:rPr>
        <w:t>中华人民共和国</w:t>
      </w:r>
      <w:r>
        <w:rPr>
          <w:rFonts w:hint="eastAsia" w:ascii="宋体" w:hAnsi="宋体" w:eastAsia="宋体" w:cs="宋体"/>
          <w:snapToGrid w:val="0"/>
          <w:color w:val="auto"/>
          <w:sz w:val="24"/>
          <w:szCs w:val="24"/>
          <w:highlight w:val="none"/>
          <w:lang w:val="zh-CN"/>
        </w:rPr>
        <w:t>民法典》。</w:t>
      </w:r>
    </w:p>
    <w:p w14:paraId="5A914310">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10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43" w:name="_Toc155185887"/>
      <w:bookmarkStart w:id="444" w:name="_Toc161600349"/>
      <w:r>
        <w:rPr>
          <w:rFonts w:hint="eastAsia" w:ascii="宋体" w:hAnsi="宋体" w:eastAsia="宋体" w:cs="宋体"/>
          <w:b/>
          <w:bCs/>
          <w:color w:val="auto"/>
          <w:kern w:val="2"/>
          <w:sz w:val="24"/>
          <w:szCs w:val="24"/>
          <w:highlight w:val="none"/>
          <w:lang w:val="en-US" w:eastAsia="zh-CN" w:bidi="ar-SA"/>
        </w:rPr>
        <w:t>50.解释权</w:t>
      </w:r>
      <w:bookmarkEnd w:id="443"/>
      <w:bookmarkEnd w:id="444"/>
    </w:p>
    <w:p w14:paraId="5C6D27F8">
      <w:pPr>
        <w:pStyle w:val="33"/>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rPr>
      </w:pPr>
      <w:r>
        <w:rPr>
          <w:rFonts w:hint="eastAsia" w:ascii="宋体" w:hAnsi="宋体" w:eastAsia="宋体" w:cs="宋体"/>
          <w:snapToGrid w:val="0"/>
          <w:color w:val="auto"/>
          <w:sz w:val="24"/>
          <w:szCs w:val="24"/>
          <w:highlight w:val="none"/>
          <w:lang w:val="en-US" w:eastAsia="zh-CN"/>
        </w:rPr>
        <w:t>50</w:t>
      </w:r>
      <w:r>
        <w:rPr>
          <w:rFonts w:hint="eastAsia" w:ascii="宋体" w:hAnsi="宋体" w:eastAsia="宋体" w:cs="宋体"/>
          <w:snapToGrid w:val="0"/>
          <w:color w:val="auto"/>
          <w:sz w:val="24"/>
          <w:szCs w:val="24"/>
          <w:highlight w:val="none"/>
        </w:rPr>
        <w:t>.1本竞争性</w:t>
      </w:r>
      <w:r>
        <w:rPr>
          <w:rFonts w:hint="eastAsia" w:cs="宋体"/>
          <w:color w:val="auto"/>
          <w:sz w:val="24"/>
          <w:szCs w:val="24"/>
          <w:highlight w:val="none"/>
          <w:lang w:val="en-US" w:eastAsia="zh-CN"/>
        </w:rPr>
        <w:t>谈判</w:t>
      </w:r>
      <w:r>
        <w:rPr>
          <w:rFonts w:hint="eastAsia" w:ascii="宋体" w:hAnsi="宋体" w:eastAsia="宋体" w:cs="宋体"/>
          <w:snapToGrid w:val="0"/>
          <w:color w:val="auto"/>
          <w:sz w:val="24"/>
          <w:szCs w:val="24"/>
          <w:highlight w:val="none"/>
        </w:rPr>
        <w:t>文件最终解释权归采购人</w:t>
      </w:r>
      <w:r>
        <w:rPr>
          <w:rFonts w:hint="eastAsia" w:eastAsia="宋体"/>
          <w:snapToGrid w:val="0"/>
          <w:color w:val="auto"/>
          <w:sz w:val="24"/>
          <w:highlight w:val="none"/>
        </w:rPr>
        <w:t>或采购代理机构所有。</w:t>
      </w:r>
    </w:p>
    <w:p w14:paraId="0F169FC7">
      <w:pPr>
        <w:pStyle w:val="33"/>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rPr>
      </w:pPr>
    </w:p>
    <w:p w14:paraId="39B2275E">
      <w:pPr>
        <w:pStyle w:val="3"/>
        <w:keepNext w:val="0"/>
        <w:keepLines w:val="0"/>
        <w:pageBreakBefore/>
        <w:widowControl w:val="0"/>
        <w:numPr>
          <w:ilvl w:val="0"/>
          <w:numId w:val="0"/>
        </w:numPr>
        <w:shd w:val="clea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445" w:name="_Toc20486"/>
      <w:r>
        <w:rPr>
          <w:rFonts w:hint="eastAsia" w:ascii="宋体" w:hAnsi="宋体" w:eastAsia="宋体" w:cs="宋体"/>
          <w:b/>
          <w:bCs/>
          <w:color w:val="auto"/>
          <w:kern w:val="44"/>
          <w:sz w:val="36"/>
          <w:szCs w:val="36"/>
          <w:highlight w:val="none"/>
          <w:lang w:val="en-US" w:eastAsia="zh-CN" w:bidi="ar-SA"/>
        </w:rPr>
        <w:t>第三章 项目采购需求</w:t>
      </w:r>
      <w:bookmarkEnd w:id="445"/>
    </w:p>
    <w:p w14:paraId="74BCECBF">
      <w:pPr>
        <w:pStyle w:val="33"/>
        <w:keepNext w:val="0"/>
        <w:keepLines w:val="0"/>
        <w:pageBreakBefore w:val="0"/>
        <w:widowControl w:val="0"/>
        <w:shd w:val="clear"/>
        <w:kinsoku/>
        <w:wordWrap w:val="0"/>
        <w:overflowPunct/>
        <w:topLinePunct w:val="0"/>
        <w:autoSpaceDE/>
        <w:autoSpaceDN/>
        <w:bidi w:val="0"/>
        <w:adjustRightInd/>
        <w:snapToGrid/>
        <w:spacing w:before="157" w:beforeLines="50" w:after="157" w:afterLines="50"/>
        <w:ind w:firstLine="482"/>
        <w:textAlignment w:val="auto"/>
        <w:rPr>
          <w:rFonts w:hint="eastAsia"/>
          <w:b/>
          <w:bCs/>
          <w:snapToGrid w:val="0"/>
          <w:color w:val="auto"/>
          <w:sz w:val="24"/>
          <w:szCs w:val="24"/>
          <w:highlight w:val="none"/>
          <w:lang w:val="en-US" w:eastAsia="zh-CN"/>
        </w:rPr>
      </w:pPr>
      <w:bookmarkStart w:id="446" w:name="_Toc155185889"/>
      <w:bookmarkStart w:id="447" w:name="_Toc140132812"/>
      <w:bookmarkStart w:id="448" w:name="_Toc163492886"/>
      <w:r>
        <w:rPr>
          <w:rFonts w:hint="eastAsia"/>
          <w:b/>
          <w:bCs/>
          <w:snapToGrid w:val="0"/>
          <w:color w:val="auto"/>
          <w:sz w:val="24"/>
          <w:szCs w:val="24"/>
          <w:highlight w:val="none"/>
          <w:lang w:val="en-US" w:eastAsia="zh-CN"/>
        </w:rPr>
        <w:t xml:space="preserve">一、采购标的 </w:t>
      </w:r>
    </w:p>
    <w:p w14:paraId="1D59E5F1">
      <w:pPr>
        <w:pStyle w:val="33"/>
        <w:keepNext w:val="0"/>
        <w:keepLines w:val="0"/>
        <w:pageBreakBefore w:val="0"/>
        <w:widowControl w:val="0"/>
        <w:shd w:val="clear"/>
        <w:kinsoku/>
        <w:wordWrap w:val="0"/>
        <w:overflowPunct/>
        <w:topLinePunct w:val="0"/>
        <w:autoSpaceDE/>
        <w:autoSpaceDN/>
        <w:bidi w:val="0"/>
        <w:adjustRightInd/>
        <w:snapToGrid/>
        <w:spacing w:before="157" w:beforeLines="50" w:after="157" w:afterLines="50"/>
        <w:ind w:firstLine="482"/>
        <w:textAlignment w:val="auto"/>
        <w:rPr>
          <w:rFonts w:hint="eastAsia"/>
          <w:b/>
          <w:bCs/>
          <w:snapToGrid w:val="0"/>
          <w:color w:val="auto"/>
          <w:sz w:val="24"/>
          <w:szCs w:val="24"/>
          <w:highlight w:val="none"/>
          <w:lang w:val="en-US" w:eastAsia="zh-CN"/>
        </w:rPr>
      </w:pPr>
      <w:r>
        <w:rPr>
          <w:rFonts w:hint="eastAsia" w:ascii="仿宋" w:hAnsi="仿宋" w:eastAsia="仿宋" w:cs="仿宋"/>
          <w:bCs/>
          <w:sz w:val="24"/>
          <w:highlight w:val="none"/>
        </w:rPr>
        <w:t>本需求中如有标注“★”号条款的为实质性条款，供应商如不能对实质性条款进行响应出现偏离，均为无效条款，按无效响应处理</w:t>
      </w:r>
      <w:r>
        <w:rPr>
          <w:rFonts w:hint="eastAsia" w:ascii="仿宋" w:hAnsi="仿宋" w:eastAsia="仿宋" w:cs="仿宋"/>
          <w:b/>
          <w:sz w:val="24"/>
          <w:highlight w:val="none"/>
        </w:rPr>
        <w:t>。</w:t>
      </w:r>
    </w:p>
    <w:tbl>
      <w:tblPr>
        <w:tblStyle w:val="27"/>
        <w:tblW w:w="944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36"/>
        <w:gridCol w:w="563"/>
        <w:gridCol w:w="1534"/>
        <w:gridCol w:w="1045"/>
        <w:gridCol w:w="1554"/>
        <w:gridCol w:w="691"/>
        <w:gridCol w:w="2841"/>
        <w:gridCol w:w="784"/>
      </w:tblGrid>
      <w:tr w14:paraId="0F9E3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14:paraId="4935706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序号</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25E9CA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分类</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5C1AD1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采购明细</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1EF282F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单位</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0B88115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规格</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0A32882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数量</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226C663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参数要求</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6910D77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是否接受进口产品</w:t>
            </w:r>
          </w:p>
        </w:tc>
      </w:tr>
      <w:tr w14:paraId="5EE23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4" w:hRule="atLeast"/>
        </w:trPr>
        <w:tc>
          <w:tcPr>
            <w:tcW w:w="436" w:type="dxa"/>
            <w:vMerge w:val="restart"/>
            <w:tcBorders>
              <w:top w:val="single" w:color="000000" w:sz="4" w:space="0"/>
              <w:left w:val="single" w:color="000000" w:sz="4" w:space="0"/>
              <w:bottom w:val="single" w:color="000000" w:sz="4" w:space="0"/>
              <w:right w:val="single" w:color="000000" w:sz="4" w:space="0"/>
            </w:tcBorders>
            <w:noWrap w:val="0"/>
            <w:vAlign w:val="center"/>
          </w:tcPr>
          <w:p w14:paraId="562EBDF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w:t>
            </w:r>
          </w:p>
        </w:tc>
        <w:tc>
          <w:tcPr>
            <w:tcW w:w="563" w:type="dxa"/>
            <w:vMerge w:val="restart"/>
            <w:tcBorders>
              <w:top w:val="single" w:color="000000" w:sz="4" w:space="0"/>
              <w:left w:val="single" w:color="000000" w:sz="4" w:space="0"/>
              <w:bottom w:val="single" w:color="000000" w:sz="4" w:space="0"/>
              <w:right w:val="single" w:color="000000" w:sz="4" w:space="0"/>
            </w:tcBorders>
            <w:noWrap w:val="0"/>
            <w:vAlign w:val="center"/>
          </w:tcPr>
          <w:p w14:paraId="5B41CC6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犬粮</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F50D8B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种犬粮</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27B002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吨</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46536F5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3CCED1B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eastAsia" w:ascii="Times New Roman" w:hAnsi="Times New Roman" w:eastAsia="方正仿宋_GB2312" w:cs="Times New Roman"/>
                <w:i w:val="0"/>
                <w:iCs w:val="0"/>
                <w:color w:val="000000"/>
                <w:sz w:val="21"/>
                <w:szCs w:val="21"/>
                <w:highlight w:val="none"/>
                <w:u w:val="none"/>
                <w:lang w:val="en-US" w:eastAsia="zh-CN"/>
              </w:rPr>
              <w:t>9</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1FF061BB">
            <w:pPr>
              <w:keepNext w:val="0"/>
              <w:keepLines w:val="0"/>
              <w:widowControl/>
              <w:suppressLineNumbers w:val="0"/>
              <w:shd w:val="clear" w:color="auto" w:fill="auto"/>
              <w:jc w:val="left"/>
              <w:textAlignment w:val="center"/>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★蛋白质≥34%、粗脂肪≥31%、粗纤维≤5%、水溶性氯化物≥0.5%、钙≥1.9</w:t>
            </w:r>
            <w:r>
              <w:rPr>
                <w:rFonts w:hint="eastAsia" w:ascii="Times New Roman" w:hAnsi="Times New Roman" w:eastAsia="方正仿宋_GB2312" w:cs="Times New Roman"/>
                <w:sz w:val="21"/>
                <w:szCs w:val="21"/>
                <w:lang w:val="en-US" w:eastAsia="zh-CN"/>
              </w:rPr>
              <w:t>%</w:t>
            </w:r>
            <w:r>
              <w:rPr>
                <w:rFonts w:hint="default" w:ascii="Times New Roman" w:hAnsi="Times New Roman" w:eastAsia="方正仿宋_GB2312" w:cs="Times New Roman"/>
                <w:sz w:val="21"/>
                <w:szCs w:val="21"/>
              </w:rPr>
              <w:t>、总磷≥1.2</w:t>
            </w: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r>
              <w:rPr>
                <w:rFonts w:hint="default" w:ascii="Times New Roman" w:hAnsi="Times New Roman" w:eastAsia="方正仿宋_GB2312" w:cs="Times New Roman"/>
                <w:sz w:val="21"/>
                <w:szCs w:val="21"/>
              </w:rPr>
              <w:t>、粗灰分≤9%、水分≤9%、赖氨酸≥1.6%；总砷≤2.0mg/kg、铅≤2.0mg/kg、氟≤100mg/kg、汞不得检出、镉≤0.5mg/kg；</w:t>
            </w:r>
          </w:p>
          <w:p w14:paraId="55181163">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黄曲霉毒素 B1不得检出、赭曲霉毒素A不得检出、玉米赤霉烯酮不得检出、呕吐毒素 ≤</w:t>
            </w:r>
            <w:r>
              <w:rPr>
                <w:rFonts w:hint="eastAsia" w:ascii="Times New Roman" w:hAnsi="Times New Roman" w:eastAsia="方正仿宋_GB2312" w:cs="Times New Roman"/>
                <w:i w:val="0"/>
                <w:iCs w:val="0"/>
                <w:color w:val="000000"/>
                <w:kern w:val="0"/>
                <w:sz w:val="21"/>
                <w:szCs w:val="21"/>
                <w:highlight w:val="none"/>
                <w:u w:val="none"/>
                <w:lang w:val="en-US" w:eastAsia="zh-CN" w:bidi="ar"/>
              </w:rPr>
              <w:t>2</w:t>
            </w:r>
            <w:r>
              <w:rPr>
                <w:rFonts w:hint="default" w:ascii="Times New Roman" w:hAnsi="Times New Roman" w:eastAsia="方正仿宋_GB2312" w:cs="Times New Roman"/>
                <w:i w:val="0"/>
                <w:iCs w:val="0"/>
                <w:color w:val="000000"/>
                <w:kern w:val="0"/>
                <w:sz w:val="21"/>
                <w:szCs w:val="21"/>
                <w:highlight w:val="none"/>
                <w:u w:val="none"/>
                <w:lang w:val="en-US" w:eastAsia="zh-CN" w:bidi="ar"/>
              </w:rPr>
              <w:t>.0</w:t>
            </w:r>
            <w:r>
              <w:rPr>
                <w:rFonts w:hint="eastAsia" w:ascii="Times New Roman" w:hAnsi="Times New Roman" w:eastAsia="方正仿宋_GB2312" w:cs="Times New Roman"/>
                <w:i w:val="0"/>
                <w:iCs w:val="0"/>
                <w:color w:val="000000"/>
                <w:kern w:val="0"/>
                <w:sz w:val="21"/>
                <w:szCs w:val="21"/>
                <w:highlight w:val="none"/>
                <w:u w:val="none"/>
                <w:lang w:val="en-US" w:eastAsia="zh-CN" w:bidi="ar"/>
              </w:rPr>
              <w:t>m</w:t>
            </w:r>
            <w:r>
              <w:rPr>
                <w:rFonts w:hint="default" w:ascii="Times New Roman" w:hAnsi="Times New Roman" w:eastAsia="方正仿宋_GB2312" w:cs="Times New Roman"/>
                <w:i w:val="0"/>
                <w:iCs w:val="0"/>
                <w:color w:val="000000"/>
                <w:kern w:val="0"/>
                <w:sz w:val="21"/>
                <w:szCs w:val="21"/>
                <w:highlight w:val="none"/>
                <w:u w:val="none"/>
                <w:lang w:val="en-US" w:eastAsia="zh-CN" w:bidi="ar"/>
              </w:rPr>
              <w:t>g/kg、六六六、滴滴涕、致病菌（沙门氏菌）、亚硝酸盐、三聚氰胺不得检出。</w:t>
            </w:r>
          </w:p>
          <w:p w14:paraId="25DB59F9">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sz w:val="21"/>
                <w:szCs w:val="21"/>
              </w:rPr>
              <w:t>要求：适口性好，满足种犬生理需求；无霉变、结块、异物、异味；无掺假、无非法添加。</w:t>
            </w:r>
            <w:r>
              <w:rPr>
                <w:rFonts w:hint="default" w:ascii="Times New Roman" w:hAnsi="Times New Roman" w:eastAsia="方正仿宋_GB2312" w:cs="Times New Roman"/>
                <w:b/>
                <w:bCs/>
                <w:i w:val="0"/>
                <w:iCs w:val="0"/>
                <w:color w:val="000000"/>
                <w:kern w:val="0"/>
                <w:sz w:val="21"/>
                <w:szCs w:val="21"/>
                <w:highlight w:val="none"/>
                <w:u w:val="none"/>
                <w:lang w:val="en-US" w:eastAsia="zh-CN" w:bidi="ar"/>
              </w:rPr>
              <w:t>注：以上技术参数均为实质性条款。</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3215F4C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7DEA4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28"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896C771">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68CBDC">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5A6BAE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成犬粮</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028564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吨</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14A0287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3F6307E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eastAsia" w:ascii="Times New Roman" w:hAnsi="Times New Roman" w:eastAsia="方正仿宋_GB2312" w:cs="Times New Roman"/>
                <w:i w:val="0"/>
                <w:iCs w:val="0"/>
                <w:color w:val="000000"/>
                <w:sz w:val="21"/>
                <w:szCs w:val="21"/>
                <w:highlight w:val="none"/>
                <w:u w:val="none"/>
                <w:lang w:val="en-US" w:eastAsia="zh-CN"/>
              </w:rPr>
              <w:t>36.5</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6F5F3EA8">
            <w:pPr>
              <w:keepNext w:val="0"/>
              <w:keepLines w:val="0"/>
              <w:widowControl/>
              <w:suppressLineNumbers w:val="0"/>
              <w:shd w:val="clear" w:color="auto" w:fill="auto"/>
              <w:jc w:val="left"/>
              <w:textAlignment w:val="center"/>
              <w:rPr>
                <w:rFonts w:hint="default" w:ascii="Times New Roman" w:hAnsi="Times New Roman" w:eastAsia="方正仿宋_GB2312" w:cs="Times New Roman"/>
                <w:sz w:val="21"/>
                <w:szCs w:val="21"/>
              </w:rPr>
            </w:pPr>
            <w:r>
              <w:rPr>
                <w:rFonts w:hint="default" w:ascii="Times New Roman" w:hAnsi="Times New Roman" w:eastAsia="方正仿宋_GB2312" w:cs="Times New Roman"/>
                <w:sz w:val="21"/>
                <w:szCs w:val="21"/>
              </w:rPr>
              <w:t>★蛋白质≥24%、粗脂肪≥15%、粗纤维≤5%、水溶性氯化物≥0.5%、钙≥1.3</w:t>
            </w:r>
            <w:r>
              <w:rPr>
                <w:rFonts w:hint="eastAsia" w:ascii="Times New Roman" w:hAnsi="Times New Roman" w:eastAsia="方正仿宋_GB2312" w:cs="Times New Roman"/>
                <w:sz w:val="21"/>
                <w:szCs w:val="21"/>
                <w:lang w:val="en-US" w:eastAsia="zh-CN"/>
              </w:rPr>
              <w:t>%</w:t>
            </w:r>
            <w:r>
              <w:rPr>
                <w:rFonts w:hint="default" w:ascii="Times New Roman" w:hAnsi="Times New Roman" w:eastAsia="方正仿宋_GB2312" w:cs="Times New Roman"/>
                <w:sz w:val="21"/>
                <w:szCs w:val="21"/>
              </w:rPr>
              <w:t>、总磷≥0.9</w:t>
            </w: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r>
              <w:rPr>
                <w:rFonts w:hint="default" w:ascii="Times New Roman" w:hAnsi="Times New Roman" w:eastAsia="方正仿宋_GB2312" w:cs="Times New Roman"/>
                <w:sz w:val="21"/>
                <w:szCs w:val="21"/>
              </w:rPr>
              <w:t>、粗灰分≤9%、水分≤9%、赖氨酸≥1.1%；</w:t>
            </w:r>
          </w:p>
          <w:p w14:paraId="61DD072A">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黄曲霉毒素 B1不得检出、赭曲霉毒素A不得检出、玉米赤霉烯酮不得检出、呕吐毒素 ≤</w:t>
            </w:r>
            <w:r>
              <w:rPr>
                <w:rFonts w:hint="eastAsia" w:ascii="Times New Roman" w:hAnsi="Times New Roman" w:eastAsia="方正仿宋_GB2312" w:cs="Times New Roman"/>
                <w:i w:val="0"/>
                <w:iCs w:val="0"/>
                <w:color w:val="000000"/>
                <w:kern w:val="0"/>
                <w:sz w:val="21"/>
                <w:szCs w:val="21"/>
                <w:highlight w:val="none"/>
                <w:u w:val="none"/>
                <w:lang w:val="en-US" w:eastAsia="zh-CN" w:bidi="ar"/>
              </w:rPr>
              <w:t>2</w:t>
            </w:r>
            <w:r>
              <w:rPr>
                <w:rFonts w:hint="default" w:ascii="Times New Roman" w:hAnsi="Times New Roman" w:eastAsia="方正仿宋_GB2312" w:cs="Times New Roman"/>
                <w:i w:val="0"/>
                <w:iCs w:val="0"/>
                <w:color w:val="000000"/>
                <w:kern w:val="0"/>
                <w:sz w:val="21"/>
                <w:szCs w:val="21"/>
                <w:highlight w:val="none"/>
                <w:u w:val="none"/>
                <w:lang w:val="en-US" w:eastAsia="zh-CN" w:bidi="ar"/>
              </w:rPr>
              <w:t>.0</w:t>
            </w:r>
            <w:r>
              <w:rPr>
                <w:rFonts w:hint="eastAsia" w:ascii="Times New Roman" w:hAnsi="Times New Roman" w:eastAsia="方正仿宋_GB2312" w:cs="Times New Roman"/>
                <w:i w:val="0"/>
                <w:iCs w:val="0"/>
                <w:color w:val="000000"/>
                <w:kern w:val="0"/>
                <w:sz w:val="21"/>
                <w:szCs w:val="21"/>
                <w:highlight w:val="none"/>
                <w:u w:val="none"/>
                <w:lang w:val="en-US" w:eastAsia="zh-CN" w:bidi="ar"/>
              </w:rPr>
              <w:t>m</w:t>
            </w:r>
            <w:r>
              <w:rPr>
                <w:rFonts w:hint="default" w:ascii="Times New Roman" w:hAnsi="Times New Roman" w:eastAsia="方正仿宋_GB2312" w:cs="Times New Roman"/>
                <w:i w:val="0"/>
                <w:iCs w:val="0"/>
                <w:color w:val="000000"/>
                <w:kern w:val="0"/>
                <w:sz w:val="21"/>
                <w:szCs w:val="21"/>
                <w:highlight w:val="none"/>
                <w:u w:val="none"/>
                <w:lang w:val="en-US" w:eastAsia="zh-CN" w:bidi="ar"/>
              </w:rPr>
              <w:t>g/kg、六六六、滴滴涕、致病菌（沙门氏菌）、亚硝酸盐、三聚氰胺不得检出。</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sz w:val="21"/>
                <w:szCs w:val="21"/>
              </w:rPr>
              <w:t>要求：适口性好，满足</w:t>
            </w:r>
            <w:r>
              <w:rPr>
                <w:rFonts w:hint="default" w:ascii="Times New Roman" w:hAnsi="Times New Roman" w:eastAsia="方正仿宋_GB2312" w:cs="Times New Roman"/>
                <w:sz w:val="21"/>
                <w:szCs w:val="21"/>
                <w:lang w:val="en-US" w:eastAsia="zh-CN"/>
              </w:rPr>
              <w:t>成</w:t>
            </w:r>
            <w:r>
              <w:rPr>
                <w:rFonts w:hint="default" w:ascii="Times New Roman" w:hAnsi="Times New Roman" w:eastAsia="方正仿宋_GB2312" w:cs="Times New Roman"/>
                <w:sz w:val="21"/>
                <w:szCs w:val="21"/>
              </w:rPr>
              <w:t>犬生理需求；无霉变、结块、异物、异味；无掺假、无非法添加。</w:t>
            </w:r>
          </w:p>
          <w:p w14:paraId="7B77B1C5">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b/>
                <w:bCs/>
                <w:i w:val="0"/>
                <w:iCs w:val="0"/>
                <w:color w:val="000000"/>
                <w:kern w:val="0"/>
                <w:sz w:val="21"/>
                <w:szCs w:val="21"/>
                <w:highlight w:val="none"/>
                <w:u w:val="none"/>
                <w:lang w:val="en-US" w:eastAsia="zh-CN" w:bidi="ar"/>
              </w:rPr>
              <w:t>注：以上技术参数均为实质性条款。</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334AC45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04ADE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E67D43">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BE9B4E">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1188CA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幼犬粮</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4BBF6B8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吨</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7810EB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69D7141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11</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5301CE61">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★蛋白质≥29%、粗脂肪≥16%、粗纤维≤3%、水溶性氯化物≥0.2%、钙≥1.5</w:t>
            </w:r>
            <w:r>
              <w:rPr>
                <w:rFonts w:hint="eastAsia" w:ascii="Times New Roman" w:hAnsi="Times New Roman" w:eastAsia="方正仿宋_GB2312" w:cs="Times New Roman"/>
                <w:i w:val="0"/>
                <w:iCs w:val="0"/>
                <w:color w:val="000000"/>
                <w:kern w:val="0"/>
                <w:sz w:val="21"/>
                <w:szCs w:val="21"/>
                <w:highlight w:val="none"/>
                <w:u w:val="none"/>
                <w:lang w:val="en-US" w:eastAsia="zh-CN" w:bidi="ar"/>
              </w:rPr>
              <w:t>%</w:t>
            </w:r>
            <w:r>
              <w:rPr>
                <w:rFonts w:hint="default" w:ascii="Times New Roman" w:hAnsi="Times New Roman" w:eastAsia="方正仿宋_GB2312" w:cs="Times New Roman"/>
                <w:i w:val="0"/>
                <w:iCs w:val="0"/>
                <w:color w:val="000000"/>
                <w:kern w:val="0"/>
                <w:sz w:val="21"/>
                <w:szCs w:val="21"/>
                <w:highlight w:val="none"/>
                <w:u w:val="none"/>
                <w:lang w:val="en-US" w:eastAsia="zh-CN" w:bidi="ar"/>
              </w:rPr>
              <w:t>、总磷≥1%、粗灰分≤8%、水分≤8%、赖氨酸≥1.3%；总砷  ≤2.0mg/kg 、铅≤2.0mg/kg、氟≤100mg/kg、汞不得检出、镉 ≤0.5mg/kg；</w:t>
            </w:r>
          </w:p>
          <w:p w14:paraId="753C5F1A">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黄曲霉毒素 B1不得检出、赭曲霉毒素A不得检出、玉米赤霉烯酮不得检出、呕吐毒素 ≤</w:t>
            </w:r>
            <w:r>
              <w:rPr>
                <w:rFonts w:hint="eastAsia" w:ascii="Times New Roman" w:hAnsi="Times New Roman" w:eastAsia="方正仿宋_GB2312" w:cs="Times New Roman"/>
                <w:i w:val="0"/>
                <w:iCs w:val="0"/>
                <w:color w:val="000000"/>
                <w:kern w:val="0"/>
                <w:sz w:val="21"/>
                <w:szCs w:val="21"/>
                <w:highlight w:val="none"/>
                <w:u w:val="none"/>
                <w:lang w:val="en-US" w:eastAsia="zh-CN" w:bidi="ar"/>
              </w:rPr>
              <w:t>2</w:t>
            </w:r>
            <w:r>
              <w:rPr>
                <w:rFonts w:hint="default" w:ascii="Times New Roman" w:hAnsi="Times New Roman" w:eastAsia="方正仿宋_GB2312" w:cs="Times New Roman"/>
                <w:i w:val="0"/>
                <w:iCs w:val="0"/>
                <w:color w:val="000000"/>
                <w:kern w:val="0"/>
                <w:sz w:val="21"/>
                <w:szCs w:val="21"/>
                <w:highlight w:val="none"/>
                <w:u w:val="none"/>
                <w:lang w:val="en-US" w:eastAsia="zh-CN" w:bidi="ar"/>
              </w:rPr>
              <w:t>.0</w:t>
            </w:r>
            <w:r>
              <w:rPr>
                <w:rFonts w:hint="eastAsia" w:ascii="Times New Roman" w:hAnsi="Times New Roman" w:eastAsia="方正仿宋_GB2312" w:cs="Times New Roman"/>
                <w:i w:val="0"/>
                <w:iCs w:val="0"/>
                <w:color w:val="000000"/>
                <w:kern w:val="0"/>
                <w:sz w:val="21"/>
                <w:szCs w:val="21"/>
                <w:highlight w:val="none"/>
                <w:u w:val="none"/>
                <w:lang w:val="en-US" w:eastAsia="zh-CN" w:bidi="ar"/>
              </w:rPr>
              <w:t>m</w:t>
            </w:r>
            <w:r>
              <w:rPr>
                <w:rFonts w:hint="default" w:ascii="Times New Roman" w:hAnsi="Times New Roman" w:eastAsia="方正仿宋_GB2312" w:cs="Times New Roman"/>
                <w:i w:val="0"/>
                <w:iCs w:val="0"/>
                <w:color w:val="000000"/>
                <w:kern w:val="0"/>
                <w:sz w:val="21"/>
                <w:szCs w:val="21"/>
                <w:highlight w:val="none"/>
                <w:u w:val="none"/>
                <w:lang w:val="en-US" w:eastAsia="zh-CN" w:bidi="ar"/>
              </w:rPr>
              <w:t>g/kg、六六六、滴滴涕、致病菌（沙门氏菌）、亚硝酸盐、三聚氰胺不得检出。</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sz w:val="21"/>
                <w:szCs w:val="21"/>
              </w:rPr>
              <w:t>要求：适口性好，满足</w:t>
            </w:r>
            <w:r>
              <w:rPr>
                <w:rFonts w:hint="default" w:ascii="Times New Roman" w:hAnsi="Times New Roman" w:eastAsia="方正仿宋_GB2312" w:cs="Times New Roman"/>
                <w:sz w:val="21"/>
                <w:szCs w:val="21"/>
                <w:lang w:val="en-US" w:eastAsia="zh-CN"/>
              </w:rPr>
              <w:t>幼</w:t>
            </w:r>
            <w:r>
              <w:rPr>
                <w:rFonts w:hint="default" w:ascii="Times New Roman" w:hAnsi="Times New Roman" w:eastAsia="方正仿宋_GB2312" w:cs="Times New Roman"/>
                <w:sz w:val="21"/>
                <w:szCs w:val="21"/>
              </w:rPr>
              <w:t>犬生理需求；无霉变、结块、异物、异味；无掺假、无非法添加。</w:t>
            </w:r>
          </w:p>
          <w:p w14:paraId="7F48DF61">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b/>
                <w:bCs/>
                <w:i w:val="0"/>
                <w:iCs w:val="0"/>
                <w:color w:val="000000"/>
                <w:kern w:val="0"/>
                <w:sz w:val="21"/>
                <w:szCs w:val="21"/>
                <w:highlight w:val="none"/>
                <w:u w:val="none"/>
                <w:lang w:val="en-US" w:eastAsia="zh-CN" w:bidi="ar"/>
              </w:rPr>
              <w:t>注：以上技术参数均为实质性条款。</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697B5E1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31610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AEC664">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27C623">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63CE4B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牛  肉</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687B553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吨</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78D2CFA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1C58A7E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3</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192453FF">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★要求：非冷冻鲜肉，检疫合格。</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1D032FAA">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501A6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63"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EC8D84">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39CC52">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07A3114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犬用奶粉</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38CE81A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罐</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603CB0D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eastAsia" w:ascii="Times New Roman" w:hAnsi="Times New Roman" w:eastAsia="方正仿宋_GB2312" w:cs="Times New Roman"/>
                <w:i w:val="0"/>
                <w:iCs w:val="0"/>
                <w:color w:val="auto"/>
                <w:kern w:val="0"/>
                <w:sz w:val="21"/>
                <w:szCs w:val="21"/>
                <w:highlight w:val="none"/>
                <w:u w:val="none"/>
                <w:lang w:val="en-US" w:eastAsia="zh-CN" w:bidi="ar"/>
              </w:rPr>
              <w:t>3</w:t>
            </w:r>
            <w:r>
              <w:rPr>
                <w:rFonts w:hint="default" w:ascii="Times New Roman" w:hAnsi="Times New Roman" w:eastAsia="方正仿宋_GB2312" w:cs="Times New Roman"/>
                <w:i w:val="0"/>
                <w:iCs w:val="0"/>
                <w:color w:val="auto"/>
                <w:kern w:val="0"/>
                <w:sz w:val="21"/>
                <w:szCs w:val="21"/>
                <w:highlight w:val="none"/>
                <w:u w:val="none"/>
                <w:lang w:val="en-US" w:eastAsia="zh-CN" w:bidi="ar"/>
              </w:rPr>
              <w:t>00</w:t>
            </w:r>
            <w:r>
              <w:rPr>
                <w:rFonts w:hint="eastAsia" w:ascii="Times New Roman" w:hAnsi="Times New Roman" w:eastAsia="方正仿宋_GB2312" w:cs="Times New Roman"/>
                <w:i w:val="0"/>
                <w:iCs w:val="0"/>
                <w:color w:val="auto"/>
                <w:kern w:val="0"/>
                <w:sz w:val="21"/>
                <w:szCs w:val="21"/>
                <w:highlight w:val="none"/>
                <w:u w:val="none"/>
                <w:lang w:val="en-US" w:eastAsia="zh-CN" w:bidi="ar"/>
              </w:rPr>
              <w:t>g</w:t>
            </w:r>
            <w:r>
              <w:rPr>
                <w:rFonts w:hint="default" w:ascii="Times New Roman" w:hAnsi="Times New Roman" w:eastAsia="方正仿宋_GB2312" w:cs="Times New Roman"/>
                <w:i w:val="0"/>
                <w:iCs w:val="0"/>
                <w:color w:val="auto"/>
                <w:kern w:val="0"/>
                <w:sz w:val="21"/>
                <w:szCs w:val="21"/>
                <w:highlight w:val="none"/>
                <w:u w:val="none"/>
                <w:lang w:val="en-US" w:eastAsia="zh-CN" w:bidi="ar"/>
              </w:rPr>
              <w:t>/罐</w:t>
            </w: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38C5F18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3CAF0C38">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★原料组成：羊奶粉。</w:t>
            </w:r>
          </w:p>
          <w:p w14:paraId="22C8FFF2">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营养成分：每100克中营养成分脂肪≥20g，蛋白质≥10.0g，低聚半乳糖≥2.0g，维生素K1≥30μg，维生素B1≥400μg,烟酰胺≥4.0mg，维生素B6≥</w:t>
            </w:r>
            <w:r>
              <w:rPr>
                <w:rFonts w:hint="default" w:ascii="Times New Roman" w:hAnsi="Times New Roman" w:eastAsia="方正仿宋_GB2312" w:cs="Times New Roman"/>
                <w:sz w:val="21"/>
                <w:szCs w:val="21"/>
              </w:rPr>
              <w:t>300</w:t>
            </w:r>
            <w:r>
              <w:rPr>
                <w:rFonts w:hint="default" w:ascii="Times New Roman" w:hAnsi="Times New Roman" w:eastAsia="方正仿宋_GB2312" w:cs="Times New Roman"/>
                <w:i w:val="0"/>
                <w:iCs w:val="0"/>
                <w:color w:val="000000"/>
                <w:kern w:val="0"/>
                <w:sz w:val="21"/>
                <w:szCs w:val="21"/>
                <w:highlight w:val="none"/>
                <w:u w:val="none"/>
                <w:lang w:val="en-US" w:eastAsia="zh-CN" w:bidi="ar"/>
              </w:rPr>
              <w:t>μg</w:t>
            </w:r>
            <w:r>
              <w:rPr>
                <w:rFonts w:hint="default" w:ascii="Times New Roman" w:hAnsi="Times New Roman" w:eastAsia="方正仿宋_GB2312" w:cs="Times New Roman"/>
                <w:sz w:val="21"/>
                <w:szCs w:val="21"/>
              </w:rPr>
              <w:t>/100g</w:t>
            </w: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要求：适口性好，满足幼犬生长发育需求。</w:t>
            </w:r>
          </w:p>
          <w:p w14:paraId="19203457">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b/>
                <w:bCs/>
                <w:i w:val="0"/>
                <w:iCs w:val="0"/>
                <w:color w:val="000000"/>
                <w:kern w:val="0"/>
                <w:sz w:val="21"/>
                <w:szCs w:val="21"/>
                <w:highlight w:val="none"/>
                <w:u w:val="none"/>
                <w:lang w:val="en-US" w:eastAsia="zh-CN" w:bidi="ar"/>
              </w:rPr>
              <w:t>注：以上技术参数均为实质性条款。</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112AA4A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0E0DE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1D1C39">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53596C">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58499E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鸡  蛋</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62BDE76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公斤</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02DFA51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15B9BDF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1350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2E405CE4">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★新鲜鸡蛋，配送日期不超过生产后7天。</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354D450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345CE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1162FE">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06F95C">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9431E7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犬罐头</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6EA89D2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罐</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CC8FB5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eastAsia" w:ascii="Times New Roman" w:hAnsi="Times New Roman" w:eastAsia="方正仿宋_GB2312" w:cs="Times New Roman"/>
                <w:i w:val="0"/>
                <w:iCs w:val="0"/>
                <w:color w:val="auto"/>
                <w:kern w:val="0"/>
                <w:sz w:val="21"/>
                <w:szCs w:val="21"/>
                <w:highlight w:val="none"/>
                <w:u w:val="none"/>
                <w:lang w:val="en-US" w:eastAsia="zh-CN" w:bidi="ar"/>
              </w:rPr>
              <w:t>17</w:t>
            </w:r>
            <w:r>
              <w:rPr>
                <w:rFonts w:hint="default" w:ascii="Times New Roman" w:hAnsi="Times New Roman" w:eastAsia="方正仿宋_GB2312" w:cs="Times New Roman"/>
                <w:i w:val="0"/>
                <w:iCs w:val="0"/>
                <w:color w:val="auto"/>
                <w:kern w:val="0"/>
                <w:sz w:val="21"/>
                <w:szCs w:val="21"/>
                <w:highlight w:val="none"/>
                <w:u w:val="none"/>
                <w:lang w:val="en-US" w:eastAsia="zh-CN" w:bidi="ar"/>
              </w:rPr>
              <w:t>0</w:t>
            </w:r>
            <w:r>
              <w:rPr>
                <w:rFonts w:hint="eastAsia" w:ascii="Times New Roman" w:hAnsi="Times New Roman" w:eastAsia="方正仿宋_GB2312" w:cs="Times New Roman"/>
                <w:i w:val="0"/>
                <w:iCs w:val="0"/>
                <w:color w:val="auto"/>
                <w:kern w:val="0"/>
                <w:sz w:val="21"/>
                <w:szCs w:val="21"/>
                <w:highlight w:val="none"/>
                <w:u w:val="none"/>
                <w:lang w:val="en-US" w:eastAsia="zh-CN" w:bidi="ar"/>
              </w:rPr>
              <w:t>g</w:t>
            </w:r>
            <w:r>
              <w:rPr>
                <w:rFonts w:hint="default" w:ascii="Times New Roman" w:hAnsi="Times New Roman" w:eastAsia="方正仿宋_GB2312" w:cs="Times New Roman"/>
                <w:i w:val="0"/>
                <w:iCs w:val="0"/>
                <w:color w:val="auto"/>
                <w:kern w:val="0"/>
                <w:sz w:val="21"/>
                <w:szCs w:val="21"/>
                <w:highlight w:val="none"/>
                <w:u w:val="none"/>
                <w:lang w:val="en-US" w:eastAsia="zh-CN" w:bidi="ar"/>
              </w:rPr>
              <w:t>/罐</w:t>
            </w: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591CFA2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75</w:t>
            </w:r>
            <w:r>
              <w:rPr>
                <w:rFonts w:hint="default" w:ascii="Times New Roman" w:hAnsi="Times New Roman" w:eastAsia="方正仿宋_GB2312" w:cs="Times New Roman"/>
                <w:i w:val="0"/>
                <w:iCs w:val="0"/>
                <w:color w:val="000000"/>
                <w:kern w:val="0"/>
                <w:sz w:val="21"/>
                <w:szCs w:val="21"/>
                <w:highlight w:val="none"/>
                <w:u w:val="none"/>
                <w:lang w:val="en-US" w:eastAsia="zh-CN" w:bidi="ar"/>
              </w:rPr>
              <w:t>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739ED902">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★粗蛋白质≥6%、粗脂肪≥</w:t>
            </w:r>
            <w:r>
              <w:rPr>
                <w:rFonts w:hint="eastAsia" w:ascii="Times New Roman" w:hAnsi="Times New Roman" w:eastAsia="方正仿宋_GB2312" w:cs="Times New Roman"/>
                <w:i w:val="0"/>
                <w:iCs w:val="0"/>
                <w:color w:val="000000"/>
                <w:kern w:val="0"/>
                <w:sz w:val="21"/>
                <w:szCs w:val="21"/>
                <w:highlight w:val="none"/>
                <w:u w:val="none"/>
                <w:lang w:val="en-US" w:eastAsia="zh-CN" w:bidi="ar"/>
              </w:rPr>
              <w:t>4</w:t>
            </w:r>
            <w:r>
              <w:rPr>
                <w:rFonts w:hint="default" w:ascii="Times New Roman" w:hAnsi="Times New Roman" w:eastAsia="方正仿宋_GB2312" w:cs="Times New Roman"/>
                <w:i w:val="0"/>
                <w:iCs w:val="0"/>
                <w:color w:val="000000"/>
                <w:kern w:val="0"/>
                <w:sz w:val="21"/>
                <w:szCs w:val="21"/>
                <w:highlight w:val="none"/>
                <w:u w:val="none"/>
                <w:lang w:val="en-US" w:eastAsia="zh-CN" w:bidi="ar"/>
              </w:rPr>
              <w:t>%、粗纤维≤1.</w:t>
            </w:r>
            <w:r>
              <w:rPr>
                <w:rFonts w:hint="eastAsia" w:ascii="Times New Roman" w:hAnsi="Times New Roman" w:eastAsia="方正仿宋_GB2312" w:cs="Times New Roman"/>
                <w:i w:val="0"/>
                <w:iCs w:val="0"/>
                <w:color w:val="000000"/>
                <w:kern w:val="0"/>
                <w:sz w:val="21"/>
                <w:szCs w:val="21"/>
                <w:highlight w:val="none"/>
                <w:u w:val="none"/>
                <w:lang w:val="en-US" w:eastAsia="zh-CN" w:bidi="ar"/>
              </w:rPr>
              <w:t>5</w:t>
            </w: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p w14:paraId="2BE07796">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b/>
                <w:bCs/>
                <w:i w:val="0"/>
                <w:iCs w:val="0"/>
                <w:color w:val="000000"/>
                <w:kern w:val="0"/>
                <w:sz w:val="21"/>
                <w:szCs w:val="21"/>
                <w:highlight w:val="none"/>
                <w:u w:val="none"/>
                <w:lang w:val="en-US" w:eastAsia="zh-CN" w:bidi="ar"/>
              </w:rPr>
              <w:t>注：以上技术参数均为实质性条款。</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0D44020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43D19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trPr>
        <w:tc>
          <w:tcPr>
            <w:tcW w:w="436" w:type="dxa"/>
            <w:vMerge w:val="restart"/>
            <w:tcBorders>
              <w:top w:val="single" w:color="000000" w:sz="4" w:space="0"/>
              <w:left w:val="single" w:color="000000" w:sz="4" w:space="0"/>
              <w:bottom w:val="single" w:color="000000" w:sz="4" w:space="0"/>
              <w:right w:val="single" w:color="000000" w:sz="4" w:space="0"/>
            </w:tcBorders>
            <w:noWrap w:val="0"/>
            <w:vAlign w:val="center"/>
          </w:tcPr>
          <w:p w14:paraId="5147D7B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w:t>
            </w:r>
          </w:p>
        </w:tc>
        <w:tc>
          <w:tcPr>
            <w:tcW w:w="563" w:type="dxa"/>
            <w:vMerge w:val="restart"/>
            <w:tcBorders>
              <w:top w:val="single" w:color="000000" w:sz="4" w:space="0"/>
              <w:left w:val="single" w:color="000000" w:sz="4" w:space="0"/>
              <w:bottom w:val="single" w:color="000000" w:sz="4" w:space="0"/>
              <w:right w:val="single" w:color="000000" w:sz="4" w:space="0"/>
            </w:tcBorders>
            <w:noWrap w:val="0"/>
            <w:vAlign w:val="center"/>
          </w:tcPr>
          <w:p w14:paraId="745D489A">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药品</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9F85CB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auto"/>
                <w:sz w:val="21"/>
                <w:szCs w:val="21"/>
                <w:highlight w:val="none"/>
                <w:u w:val="none"/>
                <w:lang w:val="en-US"/>
              </w:rPr>
            </w:pPr>
            <w:r>
              <w:rPr>
                <w:rFonts w:hint="default" w:ascii="Times New Roman" w:hAnsi="Times New Roman" w:eastAsia="方正仿宋_GB2312" w:cs="Times New Roman"/>
                <w:i w:val="0"/>
                <w:iCs w:val="0"/>
                <w:color w:val="auto"/>
                <w:kern w:val="0"/>
                <w:sz w:val="21"/>
                <w:szCs w:val="21"/>
                <w:highlight w:val="none"/>
                <w:u w:val="none"/>
                <w:lang w:val="en-US" w:eastAsia="zh-CN" w:bidi="ar"/>
              </w:rPr>
              <w:t>复方非班太尔</w:t>
            </w:r>
            <w:r>
              <w:rPr>
                <w:rFonts w:hint="eastAsia" w:ascii="Times New Roman" w:hAnsi="Times New Roman" w:eastAsia="方正仿宋_GB2312" w:cs="Times New Roman"/>
                <w:i w:val="0"/>
                <w:iCs w:val="0"/>
                <w:color w:val="auto"/>
                <w:kern w:val="0"/>
                <w:sz w:val="21"/>
                <w:szCs w:val="21"/>
                <w:highlight w:val="none"/>
                <w:u w:val="none"/>
                <w:lang w:val="en-US" w:eastAsia="zh-CN" w:bidi="ar"/>
              </w:rPr>
              <w:t>制剂</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6540D9C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auto"/>
                <w:sz w:val="21"/>
                <w:szCs w:val="21"/>
                <w:highlight w:val="none"/>
                <w:u w:val="none"/>
              </w:rPr>
            </w:pPr>
            <w:r>
              <w:rPr>
                <w:rFonts w:hint="default" w:ascii="Times New Roman" w:hAnsi="Times New Roman" w:eastAsia="方正仿宋_GB2312" w:cs="Times New Roman"/>
                <w:i w:val="0"/>
                <w:iCs w:val="0"/>
                <w:color w:val="auto"/>
                <w:kern w:val="0"/>
                <w:sz w:val="21"/>
                <w:szCs w:val="21"/>
                <w:highlight w:val="none"/>
                <w:u w:val="none"/>
                <w:lang w:val="en-US" w:eastAsia="zh-CN" w:bidi="ar"/>
              </w:rPr>
              <w:t>片</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5DFD4391">
            <w:pPr>
              <w:keepNext w:val="0"/>
              <w:keepLines w:val="0"/>
              <w:widowControl/>
              <w:suppressLineNumbers w:val="0"/>
              <w:jc w:val="center"/>
              <w:textAlignment w:val="center"/>
              <w:rPr>
                <w:rFonts w:hint="default" w:ascii="Times New Roman" w:hAnsi="Times New Roman" w:eastAsia="宋体" w:cs="Times New Roman"/>
                <w:i w:val="0"/>
                <w:iCs w:val="0"/>
                <w:color w:val="FF0000"/>
                <w:kern w:val="2"/>
                <w:sz w:val="20"/>
                <w:szCs w:val="20"/>
                <w:u w:val="none"/>
                <w:lang w:val="en-US" w:eastAsia="zh-CN" w:bidi="ar-SA"/>
              </w:rPr>
            </w:pPr>
            <w:r>
              <w:rPr>
                <w:rFonts w:hint="default" w:ascii="Times New Roman" w:hAnsi="Times New Roman" w:eastAsia="方正仿宋_GB2312" w:cs="Times New Roman"/>
                <w:i w:val="0"/>
                <w:iCs w:val="0"/>
                <w:color w:val="auto"/>
                <w:kern w:val="0"/>
                <w:sz w:val="20"/>
                <w:szCs w:val="20"/>
                <w:u w:val="none"/>
                <w:lang w:val="en-US" w:eastAsia="zh-CN" w:bidi="ar"/>
              </w:rPr>
              <w:t>50片/瓶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1E02080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4</w:t>
            </w:r>
            <w:r>
              <w:rPr>
                <w:rFonts w:hint="default" w:ascii="Times New Roman" w:hAnsi="Times New Roman" w:eastAsia="方正仿宋_GB2312" w:cs="Times New Roman"/>
                <w:i w:val="0"/>
                <w:iCs w:val="0"/>
                <w:color w:val="000000"/>
                <w:kern w:val="0"/>
                <w:sz w:val="21"/>
                <w:szCs w:val="21"/>
                <w:highlight w:val="none"/>
                <w:u w:val="none"/>
                <w:lang w:val="en-US" w:eastAsia="zh-CN" w:bidi="ar"/>
              </w:rPr>
              <w:t>000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1A8B9F23">
            <w:pPr>
              <w:keepNext w:val="0"/>
              <w:keepLines w:val="0"/>
              <w:widowControl/>
              <w:suppressLineNumbers w:val="0"/>
              <w:shd w:val="clear" w:color="auto" w:fill="auto"/>
              <w:spacing w:line="240" w:lineRule="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主要成分：吡喹酮、双羟萘酸噻嘧啶、非班太尔</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功效：广谱抗寄生虫。</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7E765CC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6B0F2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9B5195">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CDB211">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0084BEF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eastAsia" w:ascii="方正仿宋_GB2312" w:hAnsi="方正仿宋_GB2312" w:eastAsia="方正仿宋_GB2312" w:cs="方正仿宋_GB2312"/>
                <w:i w:val="0"/>
                <w:iCs w:val="0"/>
                <w:color w:val="000000"/>
                <w:kern w:val="0"/>
                <w:sz w:val="21"/>
                <w:szCs w:val="21"/>
                <w:highlight w:val="none"/>
                <w:u w:val="none"/>
                <w:lang w:val="en-US" w:eastAsia="zh-CN" w:bidi="ar"/>
              </w:rPr>
              <w:t>吡虫啉滴剂</w:t>
            </w:r>
            <w:r>
              <w:rPr>
                <w:rFonts w:hint="default" w:ascii="Times New Roman" w:hAnsi="Times New Roman" w:eastAsia="方正仿宋_GB2312" w:cs="Times New Roman"/>
                <w:i w:val="0"/>
                <w:iCs w:val="0"/>
                <w:color w:val="000000"/>
                <w:kern w:val="0"/>
                <w:sz w:val="21"/>
                <w:szCs w:val="21"/>
                <w:highlight w:val="none"/>
                <w:u w:val="none"/>
                <w:lang w:val="en-US" w:eastAsia="zh-CN" w:bidi="ar"/>
              </w:rPr>
              <w:t>（幼犬）</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5FDF843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default" w:ascii="Times New Roman" w:hAnsi="Times New Roman" w:eastAsia="方正仿宋_GB2312" w:cs="Times New Roman"/>
                <w:i w:val="0"/>
                <w:iCs w:val="0"/>
                <w:color w:val="000000"/>
                <w:sz w:val="21"/>
                <w:szCs w:val="21"/>
                <w:highlight w:val="none"/>
                <w:u w:val="none"/>
                <w:lang w:val="en-US" w:eastAsia="zh-CN"/>
              </w:rPr>
              <w:t>支</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14CAB78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1ml/4-10kg/支（3支/盒）</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6118266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default" w:ascii="Times New Roman" w:hAnsi="Times New Roman" w:eastAsia="方正仿宋_GB2312" w:cs="Times New Roman"/>
                <w:i w:val="0"/>
                <w:iCs w:val="0"/>
                <w:color w:val="000000"/>
                <w:sz w:val="21"/>
                <w:szCs w:val="21"/>
                <w:highlight w:val="none"/>
                <w:u w:val="none"/>
                <w:lang w:val="en-US" w:eastAsia="zh-CN"/>
              </w:rPr>
              <w:t>100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6C77833E">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主要成分：吡虫啉</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功效：预防和治疗犬体表蚤、蜱、虱的寄生</w:t>
            </w:r>
            <w:r>
              <w:rPr>
                <w:rFonts w:hint="eastAsia" w:ascii="Times New Roman" w:hAnsi="Times New Roman" w:eastAsia="方正仿宋_GB2312" w:cs="Times New Roman"/>
                <w:i w:val="0"/>
                <w:iCs w:val="0"/>
                <w:color w:val="000000"/>
                <w:kern w:val="0"/>
                <w:sz w:val="21"/>
                <w:szCs w:val="21"/>
                <w:highlight w:val="none"/>
                <w:u w:val="none"/>
                <w:lang w:val="en-US" w:eastAsia="zh-CN" w:bidi="ar"/>
              </w:rPr>
              <w:t>。</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32BDCE7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6D93D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1"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27F07D3">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9BFE378">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A306EC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胺菊酯氯菊酯喷剂（环境驱虫）</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77EE21D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1858704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400ml/瓶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444BDE2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7872B083">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主要成分：胺菊酯、氯菊酯</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功效：杀虫谱广，活性较高，对刺吸式口器的害虫及害螨有一定防效。</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2BC5EBF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22C2E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1"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672E89">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D9A4A7">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EBA976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吡虫啉滴剂（成犬）</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46ECCBE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default" w:ascii="Times New Roman" w:hAnsi="Times New Roman" w:eastAsia="方正仿宋_GB2312" w:cs="Times New Roman"/>
                <w:i w:val="0"/>
                <w:iCs w:val="0"/>
                <w:color w:val="000000"/>
                <w:sz w:val="21"/>
                <w:szCs w:val="21"/>
                <w:highlight w:val="none"/>
                <w:u w:val="none"/>
                <w:lang w:val="en-US" w:eastAsia="zh-CN"/>
              </w:rPr>
              <w:t>支</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18A3E9F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2.5ml/10-25kg/支（3支/盒）</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0AFBD2C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4035724D">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主要成分：吡虫啉</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功效：预防和治疗犬体表蚤、蜱、虱的寄生。</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25980FC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6A9DF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84404C">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E255B73">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3C5B96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双羟萘酸噻嘧啶片</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6687FB9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default" w:ascii="Times New Roman" w:hAnsi="Times New Roman" w:eastAsia="方正仿宋_GB2312" w:cs="Times New Roman"/>
                <w:i w:val="0"/>
                <w:iCs w:val="0"/>
                <w:color w:val="000000"/>
                <w:sz w:val="21"/>
                <w:szCs w:val="21"/>
                <w:highlight w:val="none"/>
                <w:u w:val="none"/>
                <w:lang w:val="en-US" w:eastAsia="zh-CN"/>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32D0BEE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100片/瓶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1EFC949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17B59397">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主要成分：双羟萘酸噻嘧啶</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功效：有效治疗 蛔虫、钩虫、蛲虫及其混合感染，以驱钩虫疗效最佳。</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7E22AD3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23A50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A780CD9">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1BE03A">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730103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稀戊二醛溶液(环境消毒)</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1358EC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341A836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500ml/瓶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3CD7F93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160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2F19FFE9">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主要成分：戊二醛</w:t>
            </w:r>
            <w:r>
              <w:rPr>
                <w:rFonts w:hint="eastAsia" w:ascii="Times New Roman" w:hAnsi="Times New Roman" w:eastAsia="方正仿宋_GB2312" w:cs="Times New Roman"/>
                <w:i w:val="0"/>
                <w:iCs w:val="0"/>
                <w:color w:val="000000"/>
                <w:kern w:val="0"/>
                <w:sz w:val="21"/>
                <w:szCs w:val="21"/>
                <w:highlight w:val="none"/>
                <w:u w:val="none"/>
                <w:lang w:val="en-US" w:eastAsia="zh-CN" w:bidi="ar"/>
              </w:rPr>
              <w:t xml:space="preserve"> </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功效：对革兰阳性和革兰阴性细菌均具有杀菌作用，对芽孢、抗酸杆菌、真菌和病毒也有效。</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7F0C975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725C9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7B2331">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45917B5">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CA92DC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聚维酮碘溶液</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612CFCB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270A059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1000ml/瓶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68B6506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46B72611">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主要成分:游离碘</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功效：对细菌、病毒和真菌均有良好的杀灭作用。</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4FAFFCF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245E1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B701E4">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5B5F0A9">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6517B3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伊维菌素注射液</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3B05DEB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盒</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485720E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2</w:t>
            </w:r>
            <w:r>
              <w:rPr>
                <w:rFonts w:hint="default" w:ascii="Times New Roman" w:hAnsi="Times New Roman" w:eastAsia="方正仿宋_GB2312" w:cs="Times New Roman"/>
                <w:i w:val="0"/>
                <w:iCs w:val="0"/>
                <w:color w:val="000000"/>
                <w:kern w:val="0"/>
                <w:sz w:val="21"/>
                <w:szCs w:val="21"/>
                <w:highlight w:val="none"/>
                <w:u w:val="none"/>
                <w:lang w:val="en-US" w:eastAsia="zh-CN" w:bidi="ar"/>
              </w:rPr>
              <w:t>ml*10支/盒</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25335AF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50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0B1A3936">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w:t>
            </w:r>
            <w:r>
              <w:rPr>
                <w:rFonts w:hint="eastAsia" w:ascii="Times New Roman" w:hAnsi="Times New Roman" w:eastAsia="方正仿宋_GB2312" w:cs="Times New Roman"/>
                <w:i w:val="0"/>
                <w:iCs w:val="0"/>
                <w:color w:val="000000"/>
                <w:kern w:val="0"/>
                <w:sz w:val="21"/>
                <w:szCs w:val="21"/>
                <w:highlight w:val="none"/>
                <w:u w:val="none"/>
                <w:lang w:val="en-US" w:eastAsia="zh-CN" w:bidi="ar"/>
              </w:rPr>
              <w:t>：</w:t>
            </w:r>
            <w:r>
              <w:rPr>
                <w:rFonts w:hint="default" w:ascii="Times New Roman" w:hAnsi="Times New Roman" w:eastAsia="方正仿宋_GB2312" w:cs="Times New Roman"/>
                <w:i w:val="0"/>
                <w:iCs w:val="0"/>
                <w:color w:val="000000"/>
                <w:kern w:val="0"/>
                <w:sz w:val="21"/>
                <w:szCs w:val="21"/>
                <w:highlight w:val="none"/>
                <w:u w:val="none"/>
                <w:lang w:val="en-US" w:eastAsia="zh-CN" w:bidi="ar"/>
              </w:rPr>
              <w:t>伊维菌素</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功效：广谱、高效、低毒,对体内外寄生虫特别是线虫和节肢动物均有良好驱杀作用。</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0C05F84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41A11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4CBCD5">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28FC78">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F073A6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eastAsia" w:ascii="方正仿宋_GB2312" w:hAnsi="方正仿宋_GB2312" w:eastAsia="方正仿宋_GB2312" w:cs="方正仿宋_GB2312"/>
                <w:sz w:val="21"/>
                <w:szCs w:val="21"/>
              </w:rPr>
              <w:t>克霉唑注射液</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292C4A3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盒</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47B17B3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1ml*10支/盒</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496A8C8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49948287">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主要成分：l-[(2-氯苯基）二苯甲基]-1H-咪唑。</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功效：用于皮肤、粘膜、腔道等部位真菌感染</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62F7D6C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59F2E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87CFF84">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0513FF">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95827B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犬用疫苗</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4DC482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eastAsia" w:ascii="Times New Roman" w:hAnsi="Times New Roman" w:eastAsia="方正仿宋_GB2312" w:cs="Times New Roman"/>
                <w:i w:val="0"/>
                <w:iCs w:val="0"/>
                <w:color w:val="000000"/>
                <w:sz w:val="21"/>
                <w:szCs w:val="21"/>
                <w:highlight w:val="none"/>
                <w:u w:val="none"/>
                <w:lang w:val="en-US" w:eastAsia="zh-CN"/>
              </w:rPr>
              <w:t>盒</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0518861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50</w:t>
            </w:r>
            <w:r>
              <w:rPr>
                <w:rFonts w:hint="default" w:ascii="Times New Roman" w:hAnsi="Times New Roman" w:eastAsia="方正仿宋_GB2312" w:cs="Times New Roman"/>
                <w:i w:val="0"/>
                <w:iCs w:val="0"/>
                <w:color w:val="000000"/>
                <w:kern w:val="0"/>
                <w:sz w:val="21"/>
                <w:szCs w:val="21"/>
                <w:highlight w:val="none"/>
                <w:u w:val="none"/>
                <w:lang w:val="en-US" w:eastAsia="zh-CN" w:bidi="ar"/>
              </w:rPr>
              <w:t>支/盒</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4B69D76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eastAsia" w:ascii="Times New Roman" w:hAnsi="Times New Roman" w:eastAsia="方正仿宋_GB2312" w:cs="Times New Roman"/>
                <w:i w:val="0"/>
                <w:iCs w:val="0"/>
                <w:color w:val="000000"/>
                <w:sz w:val="21"/>
                <w:szCs w:val="21"/>
                <w:highlight w:val="none"/>
                <w:u w:val="none"/>
                <w:lang w:val="en-US" w:eastAsia="zh-CN"/>
              </w:rPr>
              <w:t>30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4E81F563">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★适合对象：全年龄段全犬种。</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主要功效：预防犬瘟、细小、传染性肝炎、犬副流感、钩端螺旋体、狂犬等疾病。</w:t>
            </w:r>
          </w:p>
          <w:p w14:paraId="7F344F34">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Style w:val="30"/>
                <w:rFonts w:hint="eastAsia" w:ascii="方正仿宋_GB2312" w:hAnsi="方正仿宋_GB2312" w:eastAsia="方正仿宋_GB2312" w:cs="方正仿宋_GB2312"/>
                <w:b w:val="0"/>
                <w:bCs w:val="0"/>
                <w:color w:val="000000"/>
                <w:sz w:val="21"/>
                <w:szCs w:val="21"/>
              </w:rPr>
              <w:t>须取得国家兽药批准文号、在有效期内、冷链运输</w:t>
            </w:r>
            <w:r>
              <w:rPr>
                <w:rFonts w:ascii="宋体" w:hAnsi="宋体" w:eastAsia="宋体" w:cs="宋体"/>
                <w:sz w:val="24"/>
                <w:szCs w:val="24"/>
              </w:rPr>
              <w:t>。</w:t>
            </w:r>
          </w:p>
          <w:p w14:paraId="219A3ED6">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b/>
                <w:bCs/>
                <w:i w:val="0"/>
                <w:iCs w:val="0"/>
                <w:color w:val="000000"/>
                <w:kern w:val="0"/>
                <w:sz w:val="21"/>
                <w:szCs w:val="21"/>
                <w:highlight w:val="none"/>
                <w:u w:val="none"/>
                <w:lang w:val="en-US" w:eastAsia="zh-CN" w:bidi="ar"/>
              </w:rPr>
              <w:t>注：以上技术参数均为实质性条款。</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4A5F508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51F1E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E14018">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81DCD2A">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0E69557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肠道益生菌补充剂</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3E340F3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盒</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5641BAD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5g*5包/盒</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320D67F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400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7235BA0D">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主要成分：益生菌</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60FFF19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2FB2C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6"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A9EDF3">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F2CCC5">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4B28F6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复方锌微量元素</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3BAB028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盒</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4E62CCD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5</w:t>
            </w:r>
            <w:r>
              <w:rPr>
                <w:rFonts w:hint="default" w:ascii="Times New Roman" w:hAnsi="Times New Roman" w:eastAsia="方正仿宋_GB2312" w:cs="Times New Roman"/>
                <w:i w:val="0"/>
                <w:iCs w:val="0"/>
                <w:color w:val="000000"/>
                <w:kern w:val="0"/>
                <w:sz w:val="21"/>
                <w:szCs w:val="21"/>
                <w:highlight w:val="none"/>
                <w:u w:val="none"/>
                <w:lang w:val="en-US" w:eastAsia="zh-CN" w:bidi="ar"/>
              </w:rPr>
              <w:t>g*10袋/盒</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258535B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eastAsia" w:ascii="Times New Roman" w:hAnsi="Times New Roman" w:eastAsia="方正仿宋_GB2312" w:cs="Times New Roman"/>
                <w:i w:val="0"/>
                <w:iCs w:val="0"/>
                <w:color w:val="000000"/>
                <w:sz w:val="21"/>
                <w:szCs w:val="21"/>
                <w:highlight w:val="none"/>
                <w:u w:val="none"/>
                <w:lang w:val="en-US" w:eastAsia="zh-CN"/>
              </w:rPr>
              <w:t>100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6A2D8BE8">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主要成分：多种维生素和多种矿物质</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功效：补充饮食中各种营养素、矿物质与微量元素锌、硒等的不足，保持犬的健康、活力。</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300C37D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34398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E258A2">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F2F1C7">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3FA860E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注射用恩诺沙星（成犬用抗生素）</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41A2C237">
            <w:pPr>
              <w:keepNext w:val="0"/>
              <w:keepLines w:val="0"/>
              <w:widowControl/>
              <w:suppressLineNumbers w:val="0"/>
              <w:shd w:val="clear" w:color="auto" w:fill="auto"/>
              <w:jc w:val="center"/>
              <w:textAlignment w:val="center"/>
              <w:rPr>
                <w:rFonts w:hint="eastAsia" w:ascii="Times New Roman" w:hAnsi="Times New Roman" w:eastAsia="方正仿宋_GB2312" w:cs="Times New Roman"/>
                <w:i w:val="0"/>
                <w:iCs w:val="0"/>
                <w:color w:val="000000"/>
                <w:sz w:val="21"/>
                <w:szCs w:val="21"/>
                <w:highlight w:val="none"/>
                <w:u w:val="none"/>
                <w:lang w:val="en-US" w:eastAsia="zh-CN"/>
              </w:rPr>
            </w:pPr>
            <w:r>
              <w:rPr>
                <w:rFonts w:hint="eastAsia" w:ascii="Times New Roman" w:hAnsi="Times New Roman" w:eastAsia="方正仿宋_GB2312" w:cs="Times New Roman"/>
                <w:i w:val="0"/>
                <w:iCs w:val="0"/>
                <w:color w:val="000000"/>
                <w:sz w:val="21"/>
                <w:szCs w:val="21"/>
                <w:highlight w:val="none"/>
                <w:u w:val="none"/>
                <w:lang w:val="en-US" w:eastAsia="zh-CN"/>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4924D02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100</w:t>
            </w:r>
            <w:r>
              <w:rPr>
                <w:rFonts w:hint="default" w:ascii="Times New Roman" w:hAnsi="Times New Roman" w:eastAsia="方正仿宋_GB2312" w:cs="Times New Roman"/>
                <w:i w:val="0"/>
                <w:iCs w:val="0"/>
                <w:color w:val="000000"/>
                <w:kern w:val="0"/>
                <w:sz w:val="21"/>
                <w:szCs w:val="21"/>
                <w:highlight w:val="none"/>
                <w:u w:val="none"/>
                <w:lang w:val="en-US" w:eastAsia="zh-CN" w:bidi="ar"/>
              </w:rPr>
              <w:t>ml/瓶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7E0A8A6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0FF2ADFC">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主要成分：恩诺沙星</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功效：对革兰氏阴性菌有很强的杀灭作用，对革兰氏阳性菌也有良好的抗菌作用。</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570FAD7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2137B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6"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776015">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BCB4DB">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3801DB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注射用硫酸头孢喹肟</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3A14585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default" w:ascii="Times New Roman" w:hAnsi="Times New Roman" w:eastAsia="方正仿宋_GB2312" w:cs="Times New Roman"/>
                <w:i w:val="0"/>
                <w:iCs w:val="0"/>
                <w:color w:val="000000"/>
                <w:sz w:val="21"/>
                <w:szCs w:val="21"/>
                <w:highlight w:val="none"/>
                <w:u w:val="none"/>
                <w:lang w:val="en-US" w:eastAsia="zh-CN"/>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3402AAB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50ml</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7C2F863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18BCA85E">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主要成分：硫酸头孢喹肟</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功效：广谱抗生素。对革兰氏阴性杆菌作用很强。用于重症感染。</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2AD32BC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38AB1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9"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8F18DE">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670064">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40429C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复方溶菌酶抗菌凝胶</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51E75C6A">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572885C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2</w:t>
            </w:r>
            <w:r>
              <w:rPr>
                <w:rFonts w:hint="default" w:ascii="Times New Roman" w:hAnsi="Times New Roman" w:eastAsia="方正仿宋_GB2312" w:cs="Times New Roman"/>
                <w:i w:val="0"/>
                <w:iCs w:val="0"/>
                <w:color w:val="000000"/>
                <w:kern w:val="0"/>
                <w:sz w:val="21"/>
                <w:szCs w:val="21"/>
                <w:highlight w:val="none"/>
                <w:u w:val="none"/>
                <w:lang w:val="en-US" w:eastAsia="zh-CN" w:bidi="ar"/>
              </w:rPr>
              <w:t>0g</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6DD76D9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30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1EE23D41">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主要成分：溶菌酶、醋酸氯已定</w:t>
            </w:r>
            <w:r>
              <w:rPr>
                <w:rFonts w:hint="eastAsia" w:ascii="Times New Roman" w:hAnsi="Times New Roman" w:eastAsia="方正仿宋_GB2312" w:cs="Times New Roman"/>
                <w:i w:val="0"/>
                <w:iCs w:val="0"/>
                <w:color w:val="000000"/>
                <w:kern w:val="0"/>
                <w:sz w:val="21"/>
                <w:szCs w:val="21"/>
                <w:highlight w:val="none"/>
                <w:u w:val="none"/>
                <w:lang w:val="en-US" w:eastAsia="zh-CN" w:bidi="ar"/>
              </w:rPr>
              <w:t>。</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功效：主要通过破坏细胞壁中的N-乙酰胞壁酸和N-乙酰氨基葡萄糖之间的β-1,4糖苷键，使细胞壁不溶性黏多糖分解成可溶性糖肽，导致细胞壁破裂内容物逸出而使细菌溶解。</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204F45E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3A340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12899DF">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A05E89">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E6C534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复方溶菌酶消毒喷剂</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7D0F073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4C2D793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35</w:t>
            </w:r>
            <w:r>
              <w:rPr>
                <w:rFonts w:hint="default" w:ascii="Times New Roman" w:hAnsi="Times New Roman" w:eastAsia="方正仿宋_GB2312" w:cs="Times New Roman"/>
                <w:i w:val="0"/>
                <w:iCs w:val="0"/>
                <w:color w:val="000000"/>
                <w:kern w:val="0"/>
                <w:sz w:val="21"/>
                <w:szCs w:val="21"/>
                <w:highlight w:val="none"/>
                <w:u w:val="none"/>
                <w:lang w:val="en-US" w:eastAsia="zh-CN" w:bidi="ar"/>
              </w:rPr>
              <w:t>ml/瓶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51341BE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30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7FDC70E1">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主要成分：溶菌酶、醋酸氯已定</w:t>
            </w:r>
            <w:r>
              <w:rPr>
                <w:rFonts w:hint="eastAsia" w:ascii="Times New Roman" w:hAnsi="Times New Roman" w:eastAsia="方正仿宋_GB2312" w:cs="Times New Roman"/>
                <w:i w:val="0"/>
                <w:iCs w:val="0"/>
                <w:color w:val="000000"/>
                <w:kern w:val="0"/>
                <w:sz w:val="21"/>
                <w:szCs w:val="21"/>
                <w:highlight w:val="none"/>
                <w:u w:val="none"/>
                <w:lang w:val="en-US" w:eastAsia="zh-CN" w:bidi="ar"/>
              </w:rPr>
              <w:t>。</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功效：主要通过破坏细胞壁中的N-乙酰胞壁酸和N-乙酰氨基葡萄糖之间的β-1,4糖苷键，使细胞壁不溶性黏多糖分解成可溶性糖肽，导致细胞壁破裂内容物逸出而使细菌溶解。</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034A71A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487B5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5826CD9">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9A1FF5">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3D98045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中药、维生素复方抗病毒口服用药</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37B57A6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428B1DE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500ml/瓶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1A16AB0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default" w:ascii="Times New Roman" w:hAnsi="Times New Roman" w:eastAsia="方正仿宋_GB2312" w:cs="Times New Roman"/>
                <w:i w:val="0"/>
                <w:iCs w:val="0"/>
                <w:color w:val="000000"/>
                <w:sz w:val="21"/>
                <w:szCs w:val="21"/>
                <w:highlight w:val="none"/>
                <w:u w:val="none"/>
                <w:lang w:val="en-US" w:eastAsia="zh-CN"/>
              </w:rPr>
              <w:t>100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3D544EA6">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主要成分：黄芪等</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功效：抗病毒，增强免疫力，提高抗病能力。</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14420D9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3A2F5F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518D992">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B34BE3">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0CD575D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乌司他丁</w:t>
            </w:r>
          </w:p>
          <w:p w14:paraId="7B86768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注射液</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7043609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70B5E2B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10万单位*1瓶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556B16A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459ACCE3">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w:t>
            </w:r>
            <w:r>
              <w:rPr>
                <w:rFonts w:hint="eastAsia" w:ascii="Times New Roman" w:hAnsi="Times New Roman" w:eastAsia="方正仿宋_GB2312" w:cs="Times New Roman"/>
                <w:i w:val="0"/>
                <w:iCs w:val="0"/>
                <w:color w:val="000000"/>
                <w:kern w:val="0"/>
                <w:sz w:val="21"/>
                <w:szCs w:val="21"/>
                <w:highlight w:val="none"/>
                <w:u w:val="none"/>
                <w:lang w:val="en-US" w:eastAsia="zh-CN" w:bidi="ar"/>
              </w:rPr>
              <w:t>蛋白酶抑制剂</w:t>
            </w: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p w14:paraId="4C9C17EB">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功效：犬用消化道胰腺抗炎，提高抗病能力。</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27F06F9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057F6C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640C9E">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8F7F8E">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BCA2F8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复合维生素皮肤病辅助治疗口服用药</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6A638A3A">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06A1270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12片/盒</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7CB46D9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70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040E3043">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Style w:val="66"/>
                <w:rFonts w:hint="default" w:ascii="Times New Roman" w:hAnsi="Times New Roman" w:eastAsia="方正仿宋_GB2312" w:cs="Times New Roman"/>
                <w:sz w:val="21"/>
                <w:szCs w:val="21"/>
                <w:highlight w:val="none"/>
                <w:lang w:val="en-US" w:eastAsia="zh-CN" w:bidi="ar"/>
              </w:rPr>
              <w:t>主要成分：</w:t>
            </w:r>
            <w:r>
              <w:rPr>
                <w:rFonts w:hint="default" w:ascii="Times New Roman" w:hAnsi="Times New Roman" w:eastAsia="方正仿宋_GB2312" w:cs="Times New Roman"/>
                <w:i w:val="0"/>
                <w:iCs w:val="0"/>
                <w:color w:val="000000"/>
                <w:kern w:val="0"/>
                <w:sz w:val="21"/>
                <w:szCs w:val="21"/>
                <w:highlight w:val="none"/>
                <w:u w:val="none"/>
                <w:lang w:val="en-US" w:eastAsia="zh-CN" w:bidi="ar"/>
              </w:rPr>
              <w:t>复合维生素。</w:t>
            </w:r>
          </w:p>
          <w:p w14:paraId="6683B2EB">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功效：</w:t>
            </w:r>
            <w:r>
              <w:rPr>
                <w:rStyle w:val="66"/>
                <w:rFonts w:hint="default" w:ascii="Times New Roman" w:hAnsi="Times New Roman" w:eastAsia="方正仿宋_GB2312" w:cs="Times New Roman"/>
                <w:sz w:val="21"/>
                <w:szCs w:val="21"/>
                <w:highlight w:val="none"/>
                <w:lang w:val="en-US" w:eastAsia="zh-CN" w:bidi="ar"/>
              </w:rPr>
              <w:t>犬用微量元素添加剂，增强免疫力，提高抗病能力。</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641828B5">
            <w:pPr>
              <w:keepNext w:val="0"/>
              <w:keepLines w:val="0"/>
              <w:widowControl/>
              <w:suppressLineNumbers w:val="0"/>
              <w:shd w:val="clear" w:color="auto" w:fill="auto"/>
              <w:jc w:val="center"/>
              <w:textAlignment w:val="center"/>
              <w:rPr>
                <w:rStyle w:val="66"/>
                <w:rFonts w:hint="default" w:ascii="Times New Roman" w:hAnsi="Times New Roman" w:eastAsia="方正仿宋_GB2312" w:cs="Times New Roman"/>
                <w:sz w:val="21"/>
                <w:szCs w:val="21"/>
                <w:highlight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50E45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1"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ECEE34C">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40D00A">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4EA3D6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犬DNA试剂盒</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4D8F13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盒</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1CB98E6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100犬次/盒</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7FFC0D2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6BFD199F">
            <w:pPr>
              <w:keepNext w:val="0"/>
              <w:keepLines w:val="0"/>
              <w:widowControl/>
              <w:suppressLineNumbers w:val="0"/>
              <w:shd w:val="clear" w:color="auto" w:fill="auto"/>
              <w:spacing w:line="240" w:lineRule="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1.★可检测不少于25个DNA基因座，包含热启动Taq酶、分子量内标和Allelic Ladder等。</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2.★STR数据分型的DNA基因座需包含有PEZ1、PEZ2、FH2010、PEZ5、PEZ12、FH2328、PEZ21、PEZ3、PEZ6、PEZ8、VGL3112、FH2054、VWFX、FH2611、FH2132、PEZ20、PEZ15、FH2079、PEZ17、FH3313、FH2088、FH2001、FH2017、FH2107及DAmel等。</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3.DNA试剂盒包含的分子量内标需包含14 个 DNA 片段：75 bp、100 bp、139 bp、150 bp、160 bp、200 bp、250 bp、300 bp、340 bp、350 bp、400bp、450bp、490bp、500bp。</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4.★试剂盒采用六色荧光技术，检测模板无需提取或纯化，直接使用血样采集卡或口腔拭子样本进行扩增。</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 xml:space="preserve">5.最大扩增产物小于500bp，便于降解样品信息的获取，对于降解DNA和疑难样品更容易得到完整DNA分型信息，数据更精确可靠。     </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1E420B1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022B6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2F830D8">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7BC4E92">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16D5C9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虫草多糖（抗病毒）</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2CE4CA4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袋</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161D0FA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100g/袋</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5404F58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2D937E82">
            <w:pPr>
              <w:keepNext w:val="0"/>
              <w:keepLines w:val="0"/>
              <w:widowControl/>
              <w:suppressLineNumbers w:val="0"/>
              <w:shd w:val="clear" w:color="auto" w:fill="auto"/>
              <w:spacing w:line="240" w:lineRule="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主要成分：虫草素、腺苷等。</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功效：犬用抗病毒药物，增强免疫力，提高抗病能力。</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3C3D821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660C8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5243ED6">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719393D">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9BC6B0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0.9%</w:t>
            </w:r>
            <w:r>
              <w:rPr>
                <w:rFonts w:hint="default" w:ascii="Times New Roman" w:hAnsi="Times New Roman" w:eastAsia="方正仿宋_GB2312" w:cs="Times New Roman"/>
                <w:i w:val="0"/>
                <w:iCs w:val="0"/>
                <w:color w:val="000000"/>
                <w:kern w:val="0"/>
                <w:sz w:val="21"/>
                <w:szCs w:val="21"/>
                <w:highlight w:val="none"/>
                <w:u w:val="none"/>
                <w:lang w:val="en-US" w:eastAsia="zh-CN" w:bidi="ar"/>
              </w:rPr>
              <w:t>氯化钠</w:t>
            </w:r>
            <w:r>
              <w:rPr>
                <w:rFonts w:hint="eastAsia" w:ascii="Times New Roman" w:hAnsi="Times New Roman" w:eastAsia="方正仿宋_GB2312" w:cs="Times New Roman"/>
                <w:i w:val="0"/>
                <w:iCs w:val="0"/>
                <w:color w:val="000000"/>
                <w:kern w:val="0"/>
                <w:sz w:val="21"/>
                <w:szCs w:val="21"/>
                <w:highlight w:val="none"/>
                <w:u w:val="none"/>
                <w:lang w:val="en-US" w:eastAsia="zh-CN" w:bidi="ar"/>
              </w:rPr>
              <w:t>注射液</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3E71CE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箱</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5C5A026F">
            <w:pPr>
              <w:keepNext w:val="0"/>
              <w:keepLines w:val="0"/>
              <w:widowControl/>
              <w:suppressLineNumbers w:val="0"/>
              <w:jc w:val="center"/>
              <w:textAlignment w:val="center"/>
              <w:rPr>
                <w:rFonts w:hint="default" w:ascii="Times New Roman" w:hAnsi="Times New Roman" w:eastAsia="方正仿宋_GB2312" w:cs="Times New Roman"/>
                <w:i w:val="0"/>
                <w:iCs w:val="0"/>
                <w:color w:val="auto"/>
                <w:kern w:val="2"/>
                <w:sz w:val="20"/>
                <w:szCs w:val="20"/>
                <w:u w:val="none"/>
                <w:lang w:val="en-US" w:eastAsia="zh-CN" w:bidi="ar-SA"/>
              </w:rPr>
            </w:pPr>
            <w:r>
              <w:rPr>
                <w:rFonts w:hint="default" w:ascii="Times New Roman" w:hAnsi="Times New Roman" w:eastAsia="方正仿宋_GB2312" w:cs="Times New Roman"/>
                <w:i w:val="0"/>
                <w:iCs w:val="0"/>
                <w:color w:val="auto"/>
                <w:kern w:val="0"/>
                <w:sz w:val="20"/>
                <w:szCs w:val="20"/>
                <w:u w:val="none"/>
                <w:lang w:val="en-US" w:eastAsia="zh-CN" w:bidi="ar"/>
              </w:rPr>
              <w:t>250ml/瓶（30瓶/箱）</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00D4410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default" w:ascii="Times New Roman" w:hAnsi="Times New Roman" w:eastAsia="方正仿宋_GB2312" w:cs="Times New Roman"/>
                <w:i w:val="0"/>
                <w:iCs w:val="0"/>
                <w:color w:val="000000"/>
                <w:sz w:val="21"/>
                <w:szCs w:val="21"/>
                <w:highlight w:val="none"/>
                <w:u w:val="none"/>
                <w:lang w:val="en-US" w:eastAsia="zh-CN"/>
              </w:rPr>
              <w:t>12</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798FD7C8">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0.9%的氯化钠注射液，无色透明液体。</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1ACD9DA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67AFB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DD3422A">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EDD1F6">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B3ADB5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5%</w:t>
            </w:r>
            <w:r>
              <w:rPr>
                <w:rFonts w:hint="default" w:ascii="Times New Roman" w:hAnsi="Times New Roman" w:eastAsia="方正仿宋_GB2312" w:cs="Times New Roman"/>
                <w:i w:val="0"/>
                <w:iCs w:val="0"/>
                <w:color w:val="000000"/>
                <w:kern w:val="0"/>
                <w:sz w:val="21"/>
                <w:szCs w:val="21"/>
                <w:highlight w:val="none"/>
                <w:u w:val="none"/>
                <w:lang w:val="en-US" w:eastAsia="zh-CN" w:bidi="ar"/>
              </w:rPr>
              <w:t>葡萄糖</w:t>
            </w:r>
            <w:r>
              <w:rPr>
                <w:rFonts w:hint="eastAsia" w:ascii="Times New Roman" w:hAnsi="Times New Roman" w:eastAsia="方正仿宋_GB2312" w:cs="Times New Roman"/>
                <w:i w:val="0"/>
                <w:iCs w:val="0"/>
                <w:color w:val="000000"/>
                <w:kern w:val="0"/>
                <w:sz w:val="21"/>
                <w:szCs w:val="21"/>
                <w:highlight w:val="none"/>
                <w:u w:val="none"/>
                <w:lang w:val="en-US" w:eastAsia="zh-CN" w:bidi="ar"/>
              </w:rPr>
              <w:t>注射液</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4B4CEB5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箱</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4399C37C">
            <w:pPr>
              <w:keepNext w:val="0"/>
              <w:keepLines w:val="0"/>
              <w:widowControl/>
              <w:suppressLineNumbers w:val="0"/>
              <w:jc w:val="center"/>
              <w:textAlignment w:val="center"/>
              <w:rPr>
                <w:rFonts w:hint="default" w:ascii="Times New Roman" w:hAnsi="Times New Roman" w:eastAsia="方正仿宋_GB2312" w:cs="Times New Roman"/>
                <w:i w:val="0"/>
                <w:iCs w:val="0"/>
                <w:color w:val="auto"/>
                <w:kern w:val="2"/>
                <w:sz w:val="20"/>
                <w:szCs w:val="20"/>
                <w:u w:val="none"/>
                <w:lang w:val="en-US" w:eastAsia="zh-CN" w:bidi="ar-SA"/>
              </w:rPr>
            </w:pPr>
            <w:r>
              <w:rPr>
                <w:rFonts w:hint="default" w:ascii="Times New Roman" w:hAnsi="Times New Roman" w:eastAsia="方正仿宋_GB2312" w:cs="Times New Roman"/>
                <w:i w:val="0"/>
                <w:iCs w:val="0"/>
                <w:color w:val="auto"/>
                <w:kern w:val="0"/>
                <w:sz w:val="20"/>
                <w:szCs w:val="20"/>
                <w:u w:val="none"/>
                <w:lang w:val="en-US" w:eastAsia="zh-CN" w:bidi="ar"/>
              </w:rPr>
              <w:t>250ml/瓶（30瓶/箱）</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68E414B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12</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2E0CB0D0">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5%的葡萄糖注射液，无色透明液体。</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56E2803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504E9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20A1A9">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01321E">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063B507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复方氢化可的松醋丙酯耳部用药</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B79631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eastAsia="zh-CN"/>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60F2D35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10ml</w:t>
            </w:r>
            <w:r>
              <w:rPr>
                <w:rFonts w:hint="default" w:ascii="Times New Roman" w:hAnsi="Times New Roman" w:cs="Times New Roman"/>
                <w:highlight w:val="none"/>
                <w:lang w:val="en-US" w:eastAsia="zh-CN"/>
              </w:rPr>
              <w:t>/</w:t>
            </w: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3F07807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21F9A258">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主要成分：氢化可的松醋丙酯</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主要功效：抗炎、抗过敏、止痒及减少渗出作用。</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2BF4A5C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5A3CC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4AF7054">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DD50B1">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5F6E48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复方EDTA耳道清洗液</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B446C0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0AF1AA1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125ml</w:t>
            </w:r>
            <w:r>
              <w:rPr>
                <w:rFonts w:hint="default" w:ascii="Times New Roman" w:hAnsi="Times New Roman" w:cs="Times New Roman"/>
                <w:highlight w:val="none"/>
                <w:lang w:val="en-US" w:eastAsia="zh-CN"/>
              </w:rPr>
              <w:t>/</w:t>
            </w: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180A2E8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42FB565F">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主要成分：EDTA</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主要功效：</w:t>
            </w:r>
            <w:r>
              <w:rPr>
                <w:rFonts w:hint="eastAsia" w:ascii="Times New Roman" w:hAnsi="Times New Roman" w:eastAsia="方正仿宋_GB2312" w:cs="Times New Roman"/>
                <w:i w:val="0"/>
                <w:iCs w:val="0"/>
                <w:color w:val="000000"/>
                <w:kern w:val="0"/>
                <w:sz w:val="21"/>
                <w:szCs w:val="21"/>
                <w:highlight w:val="none"/>
                <w:u w:val="none"/>
                <w:lang w:val="en-US" w:eastAsia="zh-CN" w:bidi="ar"/>
              </w:rPr>
              <w:t>清洁耳道，</w:t>
            </w:r>
            <w:r>
              <w:rPr>
                <w:rFonts w:hint="default" w:ascii="Times New Roman" w:hAnsi="Times New Roman" w:eastAsia="方正仿宋_GB2312" w:cs="Times New Roman"/>
                <w:i w:val="0"/>
                <w:iCs w:val="0"/>
                <w:color w:val="000000"/>
                <w:kern w:val="0"/>
                <w:sz w:val="21"/>
                <w:szCs w:val="21"/>
                <w:highlight w:val="none"/>
                <w:u w:val="none"/>
                <w:lang w:val="en-US" w:eastAsia="zh-CN" w:bidi="ar"/>
              </w:rPr>
              <w:t>缓解耳道耳垢、异味、异垢，耳螨、中耳炎及其他真菌、细菌、异物等引起的耳道问题。</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352637E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76D46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9F7E69">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8226F4">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F8BAC7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auto"/>
                <w:sz w:val="21"/>
                <w:szCs w:val="21"/>
                <w:highlight w:val="none"/>
                <w:u w:val="none"/>
              </w:rPr>
            </w:pPr>
            <w:r>
              <w:rPr>
                <w:rFonts w:hint="default" w:ascii="Times New Roman" w:hAnsi="Times New Roman" w:eastAsia="方正仿宋_GB2312" w:cs="Times New Roman"/>
                <w:i w:val="0"/>
                <w:iCs w:val="0"/>
                <w:color w:val="auto"/>
                <w:kern w:val="0"/>
                <w:sz w:val="21"/>
                <w:szCs w:val="21"/>
                <w:highlight w:val="none"/>
                <w:u w:val="none"/>
                <w:lang w:val="en-US" w:eastAsia="zh-CN" w:bidi="ar"/>
              </w:rPr>
              <w:t>硫酸新霉素眼部用药</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7042BA6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auto"/>
                <w:sz w:val="21"/>
                <w:szCs w:val="21"/>
                <w:highlight w:val="none"/>
                <w:u w:val="none"/>
                <w:lang w:val="en-US" w:eastAsia="zh-CN"/>
              </w:rPr>
            </w:pPr>
            <w:r>
              <w:rPr>
                <w:rFonts w:hint="default" w:ascii="Times New Roman" w:hAnsi="Times New Roman" w:eastAsia="方正仿宋_GB2312" w:cs="Times New Roman"/>
                <w:i w:val="0"/>
                <w:iCs w:val="0"/>
                <w:color w:val="auto"/>
                <w:kern w:val="0"/>
                <w:sz w:val="21"/>
                <w:szCs w:val="21"/>
                <w:highlight w:val="none"/>
                <w:u w:val="none"/>
                <w:lang w:val="en-US" w:eastAsia="zh-CN" w:bidi="ar"/>
              </w:rPr>
              <w:t>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61696BE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8</w:t>
            </w:r>
            <w:r>
              <w:rPr>
                <w:rFonts w:hint="default" w:ascii="Times New Roman" w:hAnsi="Times New Roman" w:eastAsia="方正仿宋_GB2312" w:cs="Times New Roman"/>
                <w:i w:val="0"/>
                <w:iCs w:val="0"/>
                <w:color w:val="000000"/>
                <w:kern w:val="0"/>
                <w:sz w:val="21"/>
                <w:szCs w:val="21"/>
                <w:highlight w:val="none"/>
                <w:u w:val="none"/>
                <w:lang w:val="en-US" w:eastAsia="zh-CN" w:bidi="ar"/>
              </w:rPr>
              <w:t>ml</w:t>
            </w:r>
            <w:r>
              <w:rPr>
                <w:rFonts w:hint="default" w:ascii="Times New Roman" w:hAnsi="Times New Roman" w:cs="Times New Roman"/>
                <w:highlight w:val="none"/>
                <w:lang w:val="en-US" w:eastAsia="zh-CN"/>
              </w:rPr>
              <w:t>/</w:t>
            </w:r>
            <w:r>
              <w:rPr>
                <w:rFonts w:hint="default" w:ascii="Times New Roman" w:hAnsi="Times New Roman" w:eastAsia="方正仿宋_GB2312" w:cs="Times New Roman"/>
                <w:i w:val="0"/>
                <w:iCs w:val="0"/>
                <w:color w:val="000000"/>
                <w:kern w:val="0"/>
                <w:sz w:val="21"/>
                <w:szCs w:val="21"/>
                <w:highlight w:val="none"/>
                <w:u w:val="none"/>
                <w:lang w:val="en-US" w:eastAsia="zh-CN" w:bidi="ar"/>
              </w:rPr>
              <w:t>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24481A8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lang w:val="en-US"/>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729268AF">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主要成分：</w:t>
            </w:r>
            <w:r>
              <w:rPr>
                <w:rFonts w:hint="default" w:ascii="Times New Roman" w:hAnsi="Times New Roman" w:eastAsia="方正仿宋_GB2312" w:cs="Times New Roman"/>
                <w:i w:val="0"/>
                <w:iCs w:val="0"/>
                <w:color w:val="auto"/>
                <w:kern w:val="0"/>
                <w:sz w:val="21"/>
                <w:szCs w:val="21"/>
                <w:highlight w:val="none"/>
                <w:u w:val="none"/>
                <w:lang w:val="en-US" w:eastAsia="zh-CN" w:bidi="ar"/>
              </w:rPr>
              <w:t>硫酸新霉素</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主要功效：用于</w:t>
            </w:r>
            <w:r>
              <w:rPr>
                <w:rFonts w:hint="eastAsia" w:ascii="Times New Roman" w:hAnsi="Times New Roman" w:eastAsia="方正仿宋_GB2312" w:cs="Times New Roman"/>
                <w:i w:val="0"/>
                <w:iCs w:val="0"/>
                <w:color w:val="000000"/>
                <w:kern w:val="0"/>
                <w:sz w:val="21"/>
                <w:szCs w:val="21"/>
                <w:highlight w:val="none"/>
                <w:u w:val="none"/>
                <w:lang w:val="en-US" w:eastAsia="zh-CN" w:bidi="ar"/>
              </w:rPr>
              <w:t>眼部细</w:t>
            </w:r>
            <w:r>
              <w:rPr>
                <w:rFonts w:hint="default" w:ascii="Times New Roman" w:hAnsi="Times New Roman" w:eastAsia="方正仿宋_GB2312" w:cs="Times New Roman"/>
                <w:i w:val="0"/>
                <w:iCs w:val="0"/>
                <w:color w:val="000000"/>
                <w:kern w:val="0"/>
                <w:sz w:val="21"/>
                <w:szCs w:val="21"/>
                <w:highlight w:val="none"/>
                <w:u w:val="none"/>
                <w:lang w:val="en-US" w:eastAsia="zh-CN" w:bidi="ar"/>
              </w:rPr>
              <w:t>菌感染。</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65EA3C5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538C3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6"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F91D88B">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1D137F">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0F09C9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注射器</w:t>
            </w:r>
          </w:p>
        </w:tc>
        <w:tc>
          <w:tcPr>
            <w:tcW w:w="1045" w:type="dxa"/>
            <w:tcBorders>
              <w:top w:val="single" w:color="000000" w:sz="4" w:space="0"/>
              <w:left w:val="single" w:color="000000" w:sz="4" w:space="0"/>
              <w:bottom w:val="single" w:color="000000" w:sz="4" w:space="0"/>
              <w:right w:val="single" w:color="000000" w:sz="4" w:space="0"/>
            </w:tcBorders>
            <w:noWrap/>
            <w:vAlign w:val="center"/>
          </w:tcPr>
          <w:p w14:paraId="17672AD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包</w:t>
            </w:r>
          </w:p>
        </w:tc>
        <w:tc>
          <w:tcPr>
            <w:tcW w:w="1554" w:type="dxa"/>
            <w:tcBorders>
              <w:top w:val="single" w:color="000000" w:sz="4" w:space="0"/>
              <w:left w:val="single" w:color="000000" w:sz="4" w:space="0"/>
              <w:bottom w:val="single" w:color="000000" w:sz="4" w:space="0"/>
              <w:right w:val="single" w:color="000000" w:sz="4" w:space="0"/>
            </w:tcBorders>
            <w:noWrap w:val="0"/>
            <w:vAlign w:val="center"/>
          </w:tcPr>
          <w:p w14:paraId="59023FE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100支/包</w:t>
            </w:r>
          </w:p>
        </w:tc>
        <w:tc>
          <w:tcPr>
            <w:tcW w:w="691" w:type="dxa"/>
            <w:tcBorders>
              <w:top w:val="single" w:color="000000" w:sz="4" w:space="0"/>
              <w:left w:val="single" w:color="000000" w:sz="4" w:space="0"/>
              <w:bottom w:val="single" w:color="000000" w:sz="4" w:space="0"/>
              <w:right w:val="single" w:color="000000" w:sz="4" w:space="0"/>
            </w:tcBorders>
            <w:noWrap w:val="0"/>
            <w:vAlign w:val="center"/>
          </w:tcPr>
          <w:p w14:paraId="5E1BED7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188E2FD7">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sz w:val="21"/>
                <w:szCs w:val="21"/>
              </w:rPr>
              <w:t>独立环氧乙烷灭菌；原生聚丙烯；不锈钢针头；刻度清晰，密封性好。</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5065189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56DB81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90"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D36A46">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44FEF8">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A2D31B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输液器</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E01D7A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包</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140096F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25支/包</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3E6AFCB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5</w:t>
            </w:r>
            <w:r>
              <w:rPr>
                <w:rFonts w:hint="default" w:ascii="Times New Roman" w:hAnsi="Times New Roman" w:eastAsia="方正仿宋_GB2312" w:cs="Times New Roman"/>
                <w:i w:val="0"/>
                <w:iCs w:val="0"/>
                <w:color w:val="000000"/>
                <w:kern w:val="0"/>
                <w:sz w:val="21"/>
                <w:szCs w:val="21"/>
                <w:highlight w:val="none"/>
                <w:u w:val="none"/>
                <w:lang w:val="en-US" w:eastAsia="zh-CN" w:bidi="ar"/>
              </w:rPr>
              <w:t>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51E1B6AE">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sz w:val="21"/>
                <w:szCs w:val="21"/>
              </w:rPr>
              <w:t>配 7 号针；TPE 材质，无 PVC/DEHP；无菌无热源；管路防气泡，滤除率≥99%。</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1784970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664B14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1"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029B4E">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DDA02F">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BEFF6A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弹性绷带</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9BDA7B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卷</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2651BE5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5*500cm</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7CCA73C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286823CE">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sz w:val="21"/>
                <w:szCs w:val="21"/>
              </w:rPr>
              <w:t>全棉布 + 氨纶弹性丝，天然乳胶颗粒；柔软不粘皮肤毛发。</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5935F74A">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495F26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1"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985E78">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0736DB">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BB7232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纱布块</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74FDEBE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包</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3FB79EC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5片*20袋/包</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482BADF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04007CC2">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无菌棉质、轻柔吸水。</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50BB0B2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6DEAF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6" w:hRule="atLeast"/>
        </w:trPr>
        <w:tc>
          <w:tcPr>
            <w:tcW w:w="436" w:type="dxa"/>
            <w:vMerge w:val="restart"/>
            <w:tcBorders>
              <w:top w:val="single" w:color="000000" w:sz="4" w:space="0"/>
              <w:left w:val="single" w:color="000000" w:sz="4" w:space="0"/>
              <w:bottom w:val="single" w:color="000000" w:sz="4" w:space="0"/>
              <w:right w:val="single" w:color="000000" w:sz="4" w:space="0"/>
            </w:tcBorders>
            <w:noWrap w:val="0"/>
            <w:vAlign w:val="center"/>
          </w:tcPr>
          <w:p w14:paraId="57B64C7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3</w:t>
            </w:r>
          </w:p>
        </w:tc>
        <w:tc>
          <w:tcPr>
            <w:tcW w:w="563" w:type="dxa"/>
            <w:vMerge w:val="restart"/>
            <w:tcBorders>
              <w:top w:val="single" w:color="000000" w:sz="4" w:space="0"/>
              <w:left w:val="single" w:color="000000" w:sz="4" w:space="0"/>
              <w:bottom w:val="single" w:color="000000" w:sz="4" w:space="0"/>
              <w:right w:val="single" w:color="000000" w:sz="4" w:space="0"/>
            </w:tcBorders>
            <w:noWrap w:val="0"/>
            <w:vAlign w:val="center"/>
          </w:tcPr>
          <w:p w14:paraId="60C12B5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训练物品</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0CBC0BC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专业麻软棒</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3AE42E5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7172823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74E5F2CA">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35</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546C5A1C">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麻片内填充高密度棉，具有极佳适口性，软质咬口不伤犬牙，有利于提高犬只兴奋度，一般用于训练奖励用具。</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规格：定制尺寸：长约50cm,直径8.5cm。</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75C839AA">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7FA11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5948E5">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F1B209F">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92993A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扑咬快放带</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560A4F7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20C6ADD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28E2935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0567A6A8">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材质说明：304不锈钢快放钩、锦纶织带，通过后面的把手控制快放钩的开合，在扑咬训练时既可以第一时间释放犬进行扑咬同时有效收回牵引不拖拉。</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2708E45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02878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F6EC656">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A7FCC1E">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F1842A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扑咬台</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3E201A5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147BAFA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4F5EA56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w:t>
            </w:r>
          </w:p>
        </w:tc>
        <w:tc>
          <w:tcPr>
            <w:tcW w:w="2841" w:type="dxa"/>
            <w:tcBorders>
              <w:top w:val="nil"/>
              <w:left w:val="nil"/>
              <w:bottom w:val="nil"/>
              <w:right w:val="nil"/>
            </w:tcBorders>
            <w:noWrap w:val="0"/>
            <w:vAlign w:val="center"/>
          </w:tcPr>
          <w:p w14:paraId="486F840A">
            <w:pPr>
              <w:keepNext w:val="0"/>
              <w:keepLines w:val="0"/>
              <w:widowControl/>
              <w:suppressLineNumbers w:val="0"/>
              <w:shd w:val="clear" w:color="auto" w:fill="auto"/>
              <w:jc w:val="left"/>
              <w:textAlignment w:val="center"/>
              <w:rPr>
                <w:rFonts w:hint="default" w:ascii="Times New Roman" w:hAnsi="Times New Roman" w:eastAsia="方正仿宋_GB2312" w:cs="Times New Roman"/>
                <w:b/>
                <w:bCs/>
                <w:i w:val="0"/>
                <w:iCs w:val="0"/>
                <w:color w:val="000000"/>
                <w:sz w:val="21"/>
                <w:szCs w:val="21"/>
                <w:highlight w:val="none"/>
                <w:u w:val="none"/>
                <w:lang w:val="en-US"/>
              </w:rPr>
            </w:pPr>
            <w:r>
              <w:rPr>
                <w:rFonts w:hint="default" w:ascii="Times New Roman" w:hAnsi="Times New Roman" w:eastAsia="方正仿宋_GB2312" w:cs="Times New Roman"/>
                <w:b w:val="0"/>
                <w:bCs w:val="0"/>
                <w:i w:val="0"/>
                <w:iCs w:val="0"/>
                <w:color w:val="000000"/>
                <w:kern w:val="0"/>
                <w:sz w:val="21"/>
                <w:szCs w:val="21"/>
                <w:highlight w:val="none"/>
                <w:u w:val="none"/>
                <w:lang w:val="en-US" w:eastAsia="zh-CN" w:bidi="ar"/>
              </w:rPr>
              <w:t>60</w:t>
            </w:r>
            <w:r>
              <w:rPr>
                <w:rFonts w:hint="eastAsia" w:ascii="Times New Roman" w:hAnsi="Times New Roman" w:eastAsia="方正仿宋_GB2312" w:cs="Times New Roman"/>
                <w:b w:val="0"/>
                <w:bCs w:val="0"/>
                <w:i w:val="0"/>
                <w:iCs w:val="0"/>
                <w:color w:val="000000"/>
                <w:kern w:val="0"/>
                <w:sz w:val="21"/>
                <w:szCs w:val="21"/>
                <w:highlight w:val="none"/>
                <w:u w:val="none"/>
                <w:lang w:val="en-US" w:eastAsia="zh-CN" w:bidi="ar"/>
              </w:rPr>
              <w:t>mm</w:t>
            </w:r>
            <w:r>
              <w:rPr>
                <w:rFonts w:hint="default" w:ascii="Times New Roman" w:hAnsi="Times New Roman" w:eastAsia="方正仿宋_GB2312" w:cs="Times New Roman"/>
                <w:b w:val="0"/>
                <w:bCs w:val="0"/>
                <w:i w:val="0"/>
                <w:iCs w:val="0"/>
                <w:color w:val="000000"/>
                <w:kern w:val="0"/>
                <w:sz w:val="21"/>
                <w:szCs w:val="21"/>
                <w:highlight w:val="none"/>
                <w:u w:val="none"/>
                <w:lang w:val="en-US" w:eastAsia="zh-CN" w:bidi="ar"/>
              </w:rPr>
              <w:t>*60mm方管焊接而成30mm防腐木板·金属表面采用喷砂除锈，静电喷塑；</w:t>
            </w:r>
            <w:r>
              <w:rPr>
                <w:rFonts w:hint="default" w:ascii="Times New Roman" w:hAnsi="Times New Roman" w:eastAsia="方正仿宋_GB2312" w:cs="Times New Roman"/>
                <w:b w:val="0"/>
                <w:bCs w:val="0"/>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b w:val="0"/>
                <w:bCs w:val="0"/>
                <w:i w:val="0"/>
                <w:iCs w:val="0"/>
                <w:color w:val="000000"/>
                <w:kern w:val="0"/>
                <w:sz w:val="21"/>
                <w:szCs w:val="21"/>
                <w:highlight w:val="none"/>
                <w:u w:val="none"/>
                <w:lang w:val="en-US" w:eastAsia="zh-CN" w:bidi="ar"/>
              </w:rPr>
              <w:t>定制尺寸：1.5</w:t>
            </w:r>
            <w:r>
              <w:rPr>
                <w:rFonts w:hint="eastAsia" w:ascii="Times New Roman" w:hAnsi="Times New Roman" w:eastAsia="方正仿宋_GB2312" w:cs="Times New Roman"/>
                <w:b w:val="0"/>
                <w:bCs w:val="0"/>
                <w:i w:val="0"/>
                <w:iCs w:val="0"/>
                <w:color w:val="000000"/>
                <w:kern w:val="0"/>
                <w:sz w:val="21"/>
                <w:szCs w:val="21"/>
                <w:highlight w:val="none"/>
                <w:u w:val="none"/>
                <w:lang w:val="en-US" w:eastAsia="zh-CN" w:bidi="ar"/>
              </w:rPr>
              <w:t>m</w:t>
            </w:r>
            <w:r>
              <w:rPr>
                <w:rFonts w:hint="default" w:ascii="Times New Roman" w:hAnsi="Times New Roman" w:eastAsia="方正仿宋_GB2312" w:cs="Times New Roman"/>
                <w:b w:val="0"/>
                <w:bCs w:val="0"/>
                <w:i w:val="0"/>
                <w:iCs w:val="0"/>
                <w:color w:val="000000"/>
                <w:kern w:val="0"/>
                <w:sz w:val="21"/>
                <w:szCs w:val="21"/>
                <w:highlight w:val="none"/>
                <w:u w:val="none"/>
                <w:lang w:val="en-US" w:eastAsia="zh-CN" w:bidi="ar"/>
              </w:rPr>
              <w:t>长*1</w:t>
            </w:r>
            <w:r>
              <w:rPr>
                <w:rFonts w:hint="eastAsia" w:ascii="Times New Roman" w:hAnsi="Times New Roman" w:eastAsia="方正仿宋_GB2312" w:cs="Times New Roman"/>
                <w:b w:val="0"/>
                <w:bCs w:val="0"/>
                <w:i w:val="0"/>
                <w:iCs w:val="0"/>
                <w:color w:val="000000"/>
                <w:kern w:val="0"/>
                <w:sz w:val="21"/>
                <w:szCs w:val="21"/>
                <w:highlight w:val="none"/>
                <w:u w:val="none"/>
                <w:lang w:val="en-US" w:eastAsia="zh-CN" w:bidi="ar"/>
              </w:rPr>
              <w:t>m</w:t>
            </w:r>
            <w:r>
              <w:rPr>
                <w:rFonts w:hint="default" w:ascii="Times New Roman" w:hAnsi="Times New Roman" w:eastAsia="方正仿宋_GB2312" w:cs="Times New Roman"/>
                <w:b w:val="0"/>
                <w:bCs w:val="0"/>
                <w:i w:val="0"/>
                <w:iCs w:val="0"/>
                <w:color w:val="000000"/>
                <w:kern w:val="0"/>
                <w:sz w:val="21"/>
                <w:szCs w:val="21"/>
                <w:highlight w:val="none"/>
                <w:u w:val="none"/>
                <w:lang w:val="en-US" w:eastAsia="zh-CN" w:bidi="ar"/>
              </w:rPr>
              <w:t>宽*高</w:t>
            </w:r>
            <w:r>
              <w:rPr>
                <w:rFonts w:hint="eastAsia" w:ascii="Times New Roman" w:hAnsi="Times New Roman" w:eastAsia="方正仿宋_GB2312" w:cs="Times New Roman"/>
                <w:b w:val="0"/>
                <w:bCs w:val="0"/>
                <w:i w:val="0"/>
                <w:iCs w:val="0"/>
                <w:color w:val="000000"/>
                <w:kern w:val="0"/>
                <w:sz w:val="21"/>
                <w:szCs w:val="21"/>
                <w:highlight w:val="none"/>
                <w:u w:val="none"/>
                <w:lang w:val="en-US" w:eastAsia="zh-CN" w:bidi="ar"/>
              </w:rPr>
              <w:t>0.</w:t>
            </w:r>
            <w:r>
              <w:rPr>
                <w:rFonts w:hint="default" w:ascii="Times New Roman" w:hAnsi="Times New Roman" w:eastAsia="方正仿宋_GB2312" w:cs="Times New Roman"/>
                <w:b w:val="0"/>
                <w:bCs w:val="0"/>
                <w:i w:val="0"/>
                <w:iCs w:val="0"/>
                <w:color w:val="000000"/>
                <w:kern w:val="0"/>
                <w:sz w:val="21"/>
                <w:szCs w:val="21"/>
                <w:highlight w:val="none"/>
                <w:u w:val="none"/>
                <w:lang w:val="en-US" w:eastAsia="zh-CN" w:bidi="ar"/>
              </w:rPr>
              <w:t>7</w:t>
            </w:r>
            <w:r>
              <w:rPr>
                <w:rFonts w:hint="eastAsia" w:ascii="Times New Roman" w:hAnsi="Times New Roman" w:eastAsia="方正仿宋_GB2312" w:cs="Times New Roman"/>
                <w:b w:val="0"/>
                <w:bCs w:val="0"/>
                <w:i w:val="0"/>
                <w:iCs w:val="0"/>
                <w:color w:val="000000"/>
                <w:kern w:val="0"/>
                <w:sz w:val="21"/>
                <w:szCs w:val="21"/>
                <w:highlight w:val="none"/>
                <w:u w:val="none"/>
                <w:lang w:val="en-US" w:eastAsia="zh-CN" w:bidi="ar"/>
              </w:rPr>
              <w:t>m。</w:t>
            </w:r>
          </w:p>
        </w:tc>
        <w:tc>
          <w:tcPr>
            <w:tcW w:w="784" w:type="dxa"/>
            <w:tcBorders>
              <w:top w:val="nil"/>
              <w:left w:val="nil"/>
              <w:bottom w:val="nil"/>
              <w:right w:val="nil"/>
            </w:tcBorders>
            <w:noWrap w:val="0"/>
            <w:vAlign w:val="center"/>
          </w:tcPr>
          <w:p w14:paraId="4C61D882">
            <w:pPr>
              <w:keepNext w:val="0"/>
              <w:keepLines w:val="0"/>
              <w:widowControl/>
              <w:suppressLineNumbers w:val="0"/>
              <w:shd w:val="clear" w:color="auto" w:fill="auto"/>
              <w:jc w:val="center"/>
              <w:textAlignment w:val="center"/>
              <w:rPr>
                <w:rFonts w:hint="default" w:ascii="Times New Roman" w:hAnsi="Times New Roman" w:eastAsia="方正仿宋_GB2312" w:cs="Times New Roman"/>
                <w:b/>
                <w:bCs/>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07520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6"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8DB733">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C658E9">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777DD5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木哑铃</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1E32149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2AAA1CE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43C83F7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0BEC4D8D">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IPO一级比赛标准克重。两侧重量饼采用橡塑合成材料，可以有效解决犬衔取双侧重量饼的问题和木质重量饼容易产生裂纹和开裂的问题，榉木材质。</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533069C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37DDB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F634E7C">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D093002">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DA6D3C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耐咬训练绳球</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6B0C273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0B5C62F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1344434A">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60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070D0D6D">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材质：天然橡胶。规格：大、中、小，三种型号。优质橡胶制作，实心，弹性强，无毒，密度小，可漂浮于水上，结实耐咬耐磨。</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34B978A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2ECD5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9BE101D">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CD611E">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4AAE39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犬</w:t>
            </w:r>
            <w:r>
              <w:rPr>
                <w:rFonts w:hint="default" w:ascii="Times New Roman" w:hAnsi="Times New Roman" w:eastAsia="方正仿宋_GB2312" w:cs="Times New Roman"/>
                <w:i w:val="0"/>
                <w:iCs w:val="0"/>
                <w:color w:val="000000"/>
                <w:kern w:val="0"/>
                <w:sz w:val="21"/>
                <w:szCs w:val="21"/>
                <w:highlight w:val="none"/>
                <w:u w:val="none"/>
                <w:lang w:val="en-US" w:eastAsia="zh-CN" w:bidi="ar"/>
              </w:rPr>
              <w:t>专用牵引带</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534CDDB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6927B8A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57A4A60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75220A93">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主要由304不锈钢钩和锦纶带两部分构成。柔韧便携，抗扯拉，操作方法简单、方便，在犬训导员携犬随行过程中起到有效指挥和控制犬的作用，带体双面织入反光条，夜间巡逻作业提高犬只安全。</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定制尺寸：长度为150cm（不含脖圈），宽2</w:t>
            </w:r>
            <w:r>
              <w:rPr>
                <w:rFonts w:hint="eastAsia" w:ascii="Times New Roman" w:hAnsi="Times New Roman" w:eastAsia="方正仿宋_GB2312" w:cs="Times New Roman"/>
                <w:i w:val="0"/>
                <w:iCs w:val="0"/>
                <w:color w:val="000000"/>
                <w:kern w:val="0"/>
                <w:sz w:val="21"/>
                <w:szCs w:val="21"/>
                <w:highlight w:val="none"/>
                <w:u w:val="none"/>
                <w:lang w:val="en-US" w:eastAsia="zh-CN" w:bidi="ar"/>
              </w:rPr>
              <w:t>.</w:t>
            </w:r>
            <w:r>
              <w:rPr>
                <w:rFonts w:hint="default" w:ascii="Times New Roman" w:hAnsi="Times New Roman" w:eastAsia="方正仿宋_GB2312" w:cs="Times New Roman"/>
                <w:i w:val="0"/>
                <w:iCs w:val="0"/>
                <w:color w:val="000000"/>
                <w:kern w:val="0"/>
                <w:sz w:val="21"/>
                <w:szCs w:val="21"/>
                <w:highlight w:val="none"/>
                <w:u w:val="none"/>
                <w:lang w:val="en-US" w:eastAsia="zh-CN" w:bidi="ar"/>
              </w:rPr>
              <w:t>5cm。</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2EB7688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1D7ECE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9"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86322CF">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D5139E">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99F146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专业助训马甲</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32E01AF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5A20FFA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658A798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49FE6227">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材质说明：防水透气面料，户外运动版型，多兜及挂环设计，可方便携带及悬挂多种训练辅助用具。</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7028969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20326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0"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1CAC2E">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266F54">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C285DD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专业训练腰包</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794DFEE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02A17D3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7572F16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34F3E718">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袋口收紧设计可以有效的防止训犬跑动过程中包内物品零食等掉落；全新的防撕裂材质，寿命更长久，内胆防水，可放湿粮；腰包三侧都有小口袋设计。与腰带的链接处为按扣式，方便穿戴。</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定制尺寸：宽18.2</w:t>
            </w:r>
            <w:r>
              <w:rPr>
                <w:rFonts w:hint="eastAsia" w:ascii="Times New Roman" w:hAnsi="Times New Roman" w:eastAsia="方正仿宋_GB2312" w:cs="Times New Roman"/>
                <w:i w:val="0"/>
                <w:iCs w:val="0"/>
                <w:color w:val="000000"/>
                <w:kern w:val="0"/>
                <w:sz w:val="21"/>
                <w:szCs w:val="21"/>
                <w:highlight w:val="none"/>
                <w:u w:val="none"/>
                <w:lang w:val="en-US" w:eastAsia="zh-CN" w:bidi="ar"/>
              </w:rPr>
              <w:t>cm</w:t>
            </w:r>
            <w:r>
              <w:rPr>
                <w:rFonts w:hint="default" w:ascii="Times New Roman" w:hAnsi="Times New Roman" w:eastAsia="方正仿宋_GB2312" w:cs="Times New Roman"/>
                <w:i w:val="0"/>
                <w:iCs w:val="0"/>
                <w:color w:val="000000"/>
                <w:kern w:val="0"/>
                <w:sz w:val="21"/>
                <w:szCs w:val="21"/>
                <w:highlight w:val="none"/>
                <w:u w:val="none"/>
                <w:lang w:val="en-US" w:eastAsia="zh-CN" w:bidi="ar"/>
              </w:rPr>
              <w:t>，高20</w:t>
            </w:r>
            <w:r>
              <w:rPr>
                <w:rFonts w:hint="eastAsia" w:ascii="Times New Roman" w:hAnsi="Times New Roman" w:eastAsia="方正仿宋_GB2312" w:cs="Times New Roman"/>
                <w:i w:val="0"/>
                <w:iCs w:val="0"/>
                <w:color w:val="000000"/>
                <w:kern w:val="0"/>
                <w:sz w:val="21"/>
                <w:szCs w:val="21"/>
                <w:highlight w:val="none"/>
                <w:u w:val="none"/>
                <w:lang w:val="en-US" w:eastAsia="zh-CN" w:bidi="ar"/>
              </w:rPr>
              <w:t>cm</w:t>
            </w: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194F581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3724A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83C304">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7E8BF6">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D4BFB0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护袖</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4DE3BB7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08616A5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486F026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13</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7689FA7F">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产品材质：耐撕咬布</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产品简介：本产品由耐撕咬布制作，无内胆，更柔软，更耐撕咬，适合初训青年犬使用。</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0D0DC2A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2AF6C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4"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4202F04D">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7797ADF2">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140ED5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沐浴液</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3EE548C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26BB2D19">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eastAsia" w:ascii="Times New Roman" w:hAnsi="Times New Roman" w:eastAsia="方正仿宋_GB2312" w:cs="Times New Roman"/>
                <w:i w:val="0"/>
                <w:iCs w:val="0"/>
                <w:color w:val="000000"/>
                <w:kern w:val="0"/>
                <w:sz w:val="21"/>
                <w:szCs w:val="21"/>
                <w:highlight w:val="none"/>
                <w:u w:val="none"/>
                <w:lang w:val="en-US" w:eastAsia="zh-CN" w:bidi="ar"/>
              </w:rPr>
              <w:t>2000m</w:t>
            </w:r>
            <w:r>
              <w:rPr>
                <w:rFonts w:hint="default" w:ascii="Times New Roman" w:hAnsi="Times New Roman" w:eastAsia="方正仿宋_GB2312" w:cs="Times New Roman"/>
                <w:i w:val="0"/>
                <w:iCs w:val="0"/>
                <w:color w:val="000000"/>
                <w:kern w:val="0"/>
                <w:sz w:val="21"/>
                <w:szCs w:val="21"/>
                <w:highlight w:val="none"/>
                <w:u w:val="none"/>
                <w:lang w:val="en-US" w:eastAsia="zh-CN" w:bidi="ar"/>
              </w:rPr>
              <w:t>L/桶</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3197110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30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16B007FC">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强力去污，良好的保湿功能让毛色更亮丽。适用全年龄段。</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6B47CCD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37F57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7"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8EA3BA">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897977">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4DA2398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训练假肢</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110C5E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1E16BF3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2331055A">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10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375F809A">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训犬假肢</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【规格】:适合身高1.70</w:t>
            </w:r>
            <w:r>
              <w:rPr>
                <w:rFonts w:hint="eastAsia" w:ascii="Times New Roman" w:hAnsi="Times New Roman" w:eastAsia="方正仿宋_GB2312" w:cs="Times New Roman"/>
                <w:i w:val="0"/>
                <w:iCs w:val="0"/>
                <w:color w:val="000000"/>
                <w:kern w:val="0"/>
                <w:sz w:val="21"/>
                <w:szCs w:val="21"/>
                <w:highlight w:val="none"/>
                <w:u w:val="none"/>
                <w:lang w:val="en-US" w:eastAsia="zh-CN" w:bidi="ar"/>
              </w:rPr>
              <w:t>m</w:t>
            </w:r>
            <w:r>
              <w:rPr>
                <w:rFonts w:hint="default" w:ascii="Times New Roman" w:hAnsi="Times New Roman" w:eastAsia="方正仿宋_GB2312" w:cs="Times New Roman"/>
                <w:i w:val="0"/>
                <w:iCs w:val="0"/>
                <w:color w:val="000000"/>
                <w:kern w:val="0"/>
                <w:sz w:val="21"/>
                <w:szCs w:val="21"/>
                <w:highlight w:val="none"/>
                <w:u w:val="none"/>
                <w:lang w:val="en-US" w:eastAsia="zh-CN" w:bidi="ar"/>
              </w:rPr>
              <w:t xml:space="preserve"> -1.85</w:t>
            </w:r>
            <w:r>
              <w:rPr>
                <w:rFonts w:hint="eastAsia" w:ascii="Times New Roman" w:hAnsi="Times New Roman" w:eastAsia="方正仿宋_GB2312" w:cs="Times New Roman"/>
                <w:i w:val="0"/>
                <w:iCs w:val="0"/>
                <w:color w:val="000000"/>
                <w:kern w:val="0"/>
                <w:sz w:val="21"/>
                <w:szCs w:val="21"/>
                <w:highlight w:val="none"/>
                <w:u w:val="none"/>
                <w:lang w:val="en-US" w:eastAsia="zh-CN" w:bidi="ar"/>
              </w:rPr>
              <w:t>m</w:t>
            </w:r>
            <w:r>
              <w:rPr>
                <w:rFonts w:hint="default" w:ascii="Times New Roman" w:hAnsi="Times New Roman" w:eastAsia="方正仿宋_GB2312" w:cs="Times New Roman"/>
                <w:i w:val="0"/>
                <w:iCs w:val="0"/>
                <w:color w:val="000000"/>
                <w:kern w:val="0"/>
                <w:sz w:val="21"/>
                <w:szCs w:val="21"/>
                <w:highlight w:val="none"/>
                <w:u w:val="none"/>
                <w:lang w:val="en-US" w:eastAsia="zh-CN" w:bidi="ar"/>
              </w:rPr>
              <w:t>人群。</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【描述】:此款为训练用品,拍时请注意。能够有效抵御全年龄犬种的抓伤、咬伤。</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4D7ECF8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5573B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2F53D5E">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7ED624">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74C104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调引杆</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43B35AB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2596B63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014A328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25</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11D5C17D">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尼龙杆，定制尺寸：长1.2</w:t>
            </w:r>
            <w:r>
              <w:rPr>
                <w:rFonts w:hint="eastAsia" w:ascii="Times New Roman" w:hAnsi="Times New Roman" w:eastAsia="方正仿宋_GB2312" w:cs="Times New Roman"/>
                <w:i w:val="0"/>
                <w:iCs w:val="0"/>
                <w:color w:val="000000"/>
                <w:kern w:val="0"/>
                <w:sz w:val="21"/>
                <w:szCs w:val="21"/>
                <w:highlight w:val="none"/>
                <w:u w:val="none"/>
                <w:lang w:val="en-US" w:eastAsia="zh-CN" w:bidi="ar"/>
              </w:rPr>
              <w:t>m</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1C18515C">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18916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AA2DE4A">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F59B13">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61ACC52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犬头盔</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3B753E8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54365AA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33A6DC44">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46ABD347">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333333"/>
                <w:sz w:val="21"/>
                <w:szCs w:val="21"/>
                <w:highlight w:val="none"/>
                <w:u w:val="none"/>
              </w:rPr>
            </w:pPr>
            <w:r>
              <w:rPr>
                <w:rFonts w:hint="default" w:ascii="Times New Roman" w:hAnsi="Times New Roman" w:eastAsia="方正仿宋_GB2312" w:cs="Times New Roman"/>
                <w:i w:val="0"/>
                <w:iCs w:val="0"/>
                <w:color w:val="333333"/>
                <w:kern w:val="0"/>
                <w:sz w:val="21"/>
                <w:szCs w:val="21"/>
                <w:highlight w:val="none"/>
                <w:u w:val="none"/>
                <w:lang w:val="en-US" w:eastAsia="zh-CN" w:bidi="ar"/>
              </w:rPr>
              <w:t>材质：</w:t>
            </w:r>
            <w:r>
              <w:rPr>
                <w:rFonts w:hint="eastAsia" w:ascii="Times New Roman" w:hAnsi="Times New Roman" w:eastAsia="方正仿宋_GB2312" w:cs="Times New Roman"/>
                <w:i w:val="0"/>
                <w:iCs w:val="0"/>
                <w:color w:val="333333"/>
                <w:kern w:val="0"/>
                <w:sz w:val="21"/>
                <w:szCs w:val="21"/>
                <w:highlight w:val="none"/>
                <w:u w:val="none"/>
                <w:lang w:val="en-US" w:eastAsia="zh-CN" w:bidi="ar"/>
              </w:rPr>
              <w:t>树脂</w:t>
            </w:r>
            <w:r>
              <w:rPr>
                <w:rFonts w:hint="default" w:ascii="Times New Roman" w:hAnsi="Times New Roman" w:eastAsia="方正仿宋_GB2312" w:cs="Times New Roman"/>
                <w:i w:val="0"/>
                <w:iCs w:val="0"/>
                <w:color w:val="333333"/>
                <w:kern w:val="0"/>
                <w:sz w:val="21"/>
                <w:szCs w:val="21"/>
                <w:highlight w:val="none"/>
                <w:u w:val="none"/>
                <w:lang w:val="en-US" w:eastAsia="zh-CN" w:bidi="ar"/>
              </w:rPr>
              <w:t>。</w:t>
            </w:r>
            <w:r>
              <w:rPr>
                <w:rFonts w:hint="default" w:ascii="Times New Roman" w:hAnsi="Times New Roman" w:eastAsia="方正仿宋_GB2312" w:cs="Times New Roman"/>
                <w:i w:val="0"/>
                <w:iCs w:val="0"/>
                <w:color w:val="333333"/>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333333"/>
                <w:kern w:val="0"/>
                <w:sz w:val="21"/>
                <w:szCs w:val="21"/>
                <w:highlight w:val="none"/>
                <w:u w:val="none"/>
                <w:lang w:val="en-US" w:eastAsia="zh-CN" w:bidi="ar"/>
              </w:rPr>
              <w:t>主要功能：</w:t>
            </w:r>
            <w:r>
              <w:rPr>
                <w:rFonts w:hint="default" w:ascii="Times New Roman" w:hAnsi="Times New Roman" w:eastAsia="方正仿宋_GB2312" w:cs="Times New Roman"/>
                <w:i w:val="0"/>
                <w:iCs w:val="0"/>
                <w:color w:val="333333"/>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333333"/>
                <w:kern w:val="0"/>
                <w:sz w:val="21"/>
                <w:szCs w:val="21"/>
                <w:highlight w:val="none"/>
                <w:u w:val="none"/>
                <w:lang w:val="en-US" w:eastAsia="zh-CN" w:bidi="ar"/>
              </w:rPr>
              <w:t>1、风沙地区作业时防风防杂物入眼的。</w:t>
            </w:r>
            <w:r>
              <w:rPr>
                <w:rFonts w:hint="default" w:ascii="Times New Roman" w:hAnsi="Times New Roman" w:eastAsia="方正仿宋_GB2312" w:cs="Times New Roman"/>
                <w:i w:val="0"/>
                <w:iCs w:val="0"/>
                <w:color w:val="333333"/>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333333"/>
                <w:kern w:val="0"/>
                <w:sz w:val="21"/>
                <w:szCs w:val="21"/>
                <w:highlight w:val="none"/>
                <w:u w:val="none"/>
                <w:lang w:val="en-US" w:eastAsia="zh-CN" w:bidi="ar"/>
              </w:rPr>
              <w:t>2、提高犬的头部防护能力。</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75BB5EB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333333"/>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4F8C9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7"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74BFB9">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7EC449">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21A944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犬马甲</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6EDD909D">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件</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4CF3AB70">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3B07440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2404421F">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333333"/>
                <w:sz w:val="21"/>
                <w:szCs w:val="21"/>
                <w:highlight w:val="none"/>
                <w:u w:val="none"/>
              </w:rPr>
            </w:pPr>
            <w:r>
              <w:rPr>
                <w:rFonts w:hint="default" w:ascii="Times New Roman" w:hAnsi="Times New Roman" w:eastAsia="方正仿宋_GB2312" w:cs="Times New Roman"/>
                <w:i w:val="0"/>
                <w:iCs w:val="0"/>
                <w:color w:val="333333"/>
                <w:kern w:val="0"/>
                <w:sz w:val="21"/>
                <w:szCs w:val="21"/>
                <w:highlight w:val="none"/>
                <w:u w:val="none"/>
                <w:lang w:val="en-US" w:eastAsia="zh-CN" w:bidi="ar"/>
              </w:rPr>
              <w:t>材质：尼龙布</w:t>
            </w:r>
            <w:r>
              <w:rPr>
                <w:rFonts w:hint="default" w:ascii="Times New Roman" w:hAnsi="Times New Roman" w:eastAsia="方正仿宋_GB2312" w:cs="Times New Roman"/>
                <w:i w:val="0"/>
                <w:iCs w:val="0"/>
                <w:color w:val="333333"/>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333333"/>
                <w:kern w:val="0"/>
                <w:sz w:val="21"/>
                <w:szCs w:val="21"/>
                <w:highlight w:val="none"/>
                <w:u w:val="none"/>
                <w:lang w:val="en-US" w:eastAsia="zh-CN" w:bidi="ar"/>
              </w:rPr>
              <w:t>主要功能：</w:t>
            </w:r>
            <w:r>
              <w:rPr>
                <w:rFonts w:hint="default" w:ascii="Times New Roman" w:hAnsi="Times New Roman" w:eastAsia="方正仿宋_GB2312" w:cs="Times New Roman"/>
                <w:i w:val="0"/>
                <w:iCs w:val="0"/>
                <w:color w:val="333333"/>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333333"/>
                <w:kern w:val="0"/>
                <w:sz w:val="21"/>
                <w:szCs w:val="21"/>
                <w:highlight w:val="none"/>
                <w:u w:val="none"/>
                <w:lang w:val="en-US" w:eastAsia="zh-CN" w:bidi="ar"/>
              </w:rPr>
              <w:t>1、透气，有</w:t>
            </w:r>
            <w:r>
              <w:rPr>
                <w:rFonts w:hint="eastAsia" w:ascii="Times New Roman" w:hAnsi="Times New Roman" w:eastAsia="方正仿宋_GB2312" w:cs="Times New Roman"/>
                <w:i w:val="0"/>
                <w:iCs w:val="0"/>
                <w:color w:val="333333"/>
                <w:kern w:val="0"/>
                <w:sz w:val="21"/>
                <w:szCs w:val="21"/>
                <w:highlight w:val="none"/>
                <w:u w:val="none"/>
                <w:lang w:val="en-US" w:eastAsia="zh-CN" w:bidi="ar"/>
              </w:rPr>
              <w:t>专</w:t>
            </w:r>
            <w:r>
              <w:rPr>
                <w:rFonts w:hint="default" w:ascii="Times New Roman" w:hAnsi="Times New Roman" w:eastAsia="方正仿宋_GB2312" w:cs="Times New Roman"/>
                <w:i w:val="0"/>
                <w:iCs w:val="0"/>
                <w:color w:val="333333"/>
                <w:kern w:val="0"/>
                <w:sz w:val="21"/>
                <w:szCs w:val="21"/>
                <w:highlight w:val="none"/>
                <w:u w:val="none"/>
                <w:lang w:val="en-US" w:eastAsia="zh-CN" w:bidi="ar"/>
              </w:rPr>
              <w:t>用logo，可拆卸式胸背与背心。</w:t>
            </w:r>
            <w:r>
              <w:rPr>
                <w:rFonts w:hint="default" w:ascii="Times New Roman" w:hAnsi="Times New Roman" w:eastAsia="方正仿宋_GB2312" w:cs="Times New Roman"/>
                <w:i w:val="0"/>
                <w:iCs w:val="0"/>
                <w:color w:val="333333"/>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333333"/>
                <w:kern w:val="0"/>
                <w:sz w:val="21"/>
                <w:szCs w:val="21"/>
                <w:highlight w:val="none"/>
                <w:u w:val="none"/>
                <w:lang w:val="en-US" w:eastAsia="zh-CN" w:bidi="ar"/>
              </w:rPr>
              <w:t>2、码数齐全：L码（建议28-37KG）。</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33BC85A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333333"/>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7634D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212C75">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50C313">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C5F44E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咬枕</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63B967DA">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08D6544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7B2797F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73390655">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333333"/>
                <w:sz w:val="21"/>
                <w:szCs w:val="21"/>
                <w:highlight w:val="none"/>
                <w:u w:val="none"/>
              </w:rPr>
            </w:pPr>
            <w:r>
              <w:rPr>
                <w:rFonts w:hint="default" w:ascii="Times New Roman" w:hAnsi="Times New Roman" w:eastAsia="方正仿宋_GB2312" w:cs="Times New Roman"/>
                <w:i w:val="0"/>
                <w:iCs w:val="0"/>
                <w:color w:val="333333"/>
                <w:kern w:val="0"/>
                <w:sz w:val="21"/>
                <w:szCs w:val="21"/>
                <w:highlight w:val="none"/>
                <w:u w:val="none"/>
                <w:lang w:val="en-US" w:eastAsia="zh-CN" w:bidi="ar"/>
              </w:rPr>
              <w:t>超轻设计，孟加拉黄和Lopi混合编织，适合月龄不大的幼犬。咬口偏薄，内部填充高密度棉，弹性好，膨松度强，激发幼犬捕猎动力，配有把手，方便从各个角度与幼犬进行互动。这份柔软口感，让你的幼犬“赢”在起跑线上。适合3-6个月幼犬使用</w:t>
            </w:r>
            <w:r>
              <w:rPr>
                <w:rFonts w:hint="eastAsia" w:ascii="Times New Roman" w:hAnsi="Times New Roman" w:eastAsia="方正仿宋_GB2312" w:cs="Times New Roman"/>
                <w:i w:val="0"/>
                <w:iCs w:val="0"/>
                <w:color w:val="333333"/>
                <w:kern w:val="0"/>
                <w:sz w:val="21"/>
                <w:szCs w:val="21"/>
                <w:highlight w:val="none"/>
                <w:u w:val="none"/>
                <w:lang w:val="en-US" w:eastAsia="zh-CN" w:bidi="ar"/>
              </w:rPr>
              <w:t>。</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3E77AC9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333333"/>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2E3E8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7"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11381EBB">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61CC76">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7E5D08AA">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青年扑咬袖</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2861AA6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72BE4815">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51B1FD02">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1F7A8AA0">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333333"/>
                <w:sz w:val="21"/>
                <w:szCs w:val="21"/>
                <w:highlight w:val="none"/>
                <w:u w:val="none"/>
              </w:rPr>
            </w:pPr>
            <w:r>
              <w:rPr>
                <w:rFonts w:hint="default" w:ascii="Times New Roman" w:hAnsi="Times New Roman" w:eastAsia="方正仿宋_GB2312" w:cs="Times New Roman"/>
                <w:i w:val="0"/>
                <w:iCs w:val="0"/>
                <w:color w:val="333333"/>
                <w:kern w:val="0"/>
                <w:sz w:val="21"/>
                <w:szCs w:val="21"/>
                <w:highlight w:val="none"/>
                <w:u w:val="none"/>
                <w:lang w:val="en-US" w:eastAsia="zh-CN" w:bidi="ar"/>
              </w:rPr>
              <w:t>依照青年袖版型设计，加厚PE板材护肩，软质咬口提供极佳适口性，结实耐咬，适用于犬只扑咬训练初期必备用品。</w:t>
            </w:r>
            <w:r>
              <w:rPr>
                <w:rFonts w:hint="default" w:ascii="Times New Roman" w:hAnsi="Times New Roman" w:eastAsia="方正仿宋_GB2312" w:cs="Times New Roman"/>
                <w:i w:val="0"/>
                <w:iCs w:val="0"/>
                <w:color w:val="333333"/>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333333"/>
                <w:kern w:val="0"/>
                <w:sz w:val="21"/>
                <w:szCs w:val="21"/>
                <w:highlight w:val="none"/>
                <w:u w:val="none"/>
                <w:lang w:val="en-US" w:eastAsia="zh-CN" w:bidi="ar"/>
              </w:rPr>
              <w:t>适合7-10个月调整咬口使用</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60B78F9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333333"/>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7925F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6E98EC9D">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277AB9">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CA1286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动物皮咬棒</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0BE70E4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2AAC223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62A7B941">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20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2F0CCDAD">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333333"/>
                <w:sz w:val="21"/>
                <w:szCs w:val="21"/>
                <w:highlight w:val="none"/>
                <w:u w:val="none"/>
              </w:rPr>
            </w:pPr>
            <w:r>
              <w:rPr>
                <w:rFonts w:hint="default" w:ascii="Times New Roman" w:hAnsi="Times New Roman" w:eastAsia="方正仿宋_GB2312" w:cs="Times New Roman"/>
                <w:i w:val="0"/>
                <w:iCs w:val="0"/>
                <w:color w:val="333333"/>
                <w:kern w:val="0"/>
                <w:sz w:val="21"/>
                <w:szCs w:val="21"/>
                <w:highlight w:val="none"/>
                <w:u w:val="none"/>
                <w:lang w:val="en-US" w:eastAsia="zh-CN" w:bidi="ar"/>
              </w:rPr>
              <w:t>加厚翻毛动物皮，经久耐用。</w:t>
            </w:r>
            <w:r>
              <w:rPr>
                <w:rFonts w:hint="default" w:ascii="Times New Roman" w:hAnsi="Times New Roman" w:eastAsia="方正仿宋_GB2312" w:cs="Times New Roman"/>
                <w:i w:val="0"/>
                <w:iCs w:val="0"/>
                <w:color w:val="333333"/>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333333"/>
                <w:kern w:val="0"/>
                <w:sz w:val="21"/>
                <w:szCs w:val="21"/>
                <w:highlight w:val="none"/>
                <w:u w:val="none"/>
                <w:lang w:val="en-US" w:eastAsia="zh-CN" w:bidi="ar"/>
              </w:rPr>
              <w:t>适合40天-5个月使用</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28B219F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333333"/>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5BEFB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5" w:hRule="atLeast"/>
        </w:trPr>
        <w:tc>
          <w:tcPr>
            <w:tcW w:w="436"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2334A7">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563" w:type="dxa"/>
            <w:vMerge w:val="continue"/>
            <w:tcBorders>
              <w:top w:val="single" w:color="000000" w:sz="4" w:space="0"/>
              <w:left w:val="single" w:color="000000" w:sz="4" w:space="0"/>
              <w:bottom w:val="single" w:color="000000" w:sz="4" w:space="0"/>
              <w:right w:val="single" w:color="000000" w:sz="4" w:space="0"/>
            </w:tcBorders>
            <w:noWrap w:val="0"/>
            <w:vAlign w:val="center"/>
          </w:tcPr>
          <w:p w14:paraId="4569CD40">
            <w:pPr>
              <w:shd w:val="clear" w:color="auto" w:fill="auto"/>
              <w:jc w:val="center"/>
              <w:rPr>
                <w:rFonts w:hint="default" w:ascii="Times New Roman" w:hAnsi="Times New Roman" w:eastAsia="方正仿宋_GB2312" w:cs="Times New Roman"/>
                <w:i w:val="0"/>
                <w:iCs w:val="0"/>
                <w:color w:val="000000"/>
                <w:sz w:val="21"/>
                <w:szCs w:val="21"/>
                <w:highlight w:val="none"/>
                <w:u w:val="none"/>
              </w:rPr>
            </w:pP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2772477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 xml:space="preserve"> </w:t>
            </w:r>
            <w:r>
              <w:rPr>
                <w:rStyle w:val="67"/>
                <w:rFonts w:hint="default" w:ascii="Times New Roman" w:hAnsi="Times New Roman" w:eastAsia="方正仿宋_GB2312" w:cs="Times New Roman"/>
                <w:sz w:val="21"/>
                <w:szCs w:val="21"/>
                <w:highlight w:val="none"/>
                <w:lang w:val="en-US" w:eastAsia="zh-CN" w:bidi="ar"/>
              </w:rPr>
              <w:t>训练用箱包</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612B714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Style w:val="67"/>
                <w:rFonts w:hint="default" w:ascii="Times New Roman" w:hAnsi="Times New Roman" w:eastAsia="方正仿宋_GB2312" w:cs="Times New Roman"/>
                <w:sz w:val="21"/>
                <w:szCs w:val="21"/>
                <w:highlight w:val="none"/>
                <w:lang w:val="en-US" w:eastAsia="zh-CN" w:bidi="ar"/>
              </w:rPr>
              <w:t>个</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6F93DCDC">
            <w:pPr>
              <w:keepNext w:val="0"/>
              <w:keepLines w:val="0"/>
              <w:widowControl/>
              <w:suppressLineNumbers w:val="0"/>
              <w:shd w:val="clear" w:color="auto" w:fill="auto"/>
              <w:jc w:val="center"/>
              <w:textAlignment w:val="center"/>
              <w:rPr>
                <w:rStyle w:val="67"/>
                <w:rFonts w:hint="default" w:ascii="Times New Roman" w:hAnsi="Times New Roman" w:eastAsia="方正仿宋_GB2312" w:cs="Times New Roman"/>
                <w:sz w:val="21"/>
                <w:szCs w:val="21"/>
                <w:highlight w:val="none"/>
                <w:lang w:val="en-US" w:eastAsia="zh-CN" w:bidi="ar"/>
              </w:rPr>
            </w:pPr>
            <w:r>
              <w:rPr>
                <w:rStyle w:val="67"/>
                <w:rFonts w:hint="default" w:ascii="Times New Roman" w:hAnsi="Times New Roman" w:eastAsia="方正仿宋_GB2312" w:cs="Times New Roman"/>
                <w:sz w:val="21"/>
                <w:szCs w:val="21"/>
                <w:highlight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74D9BEE8">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500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66B7B142">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警犬训练箱包的替代物。</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材质：涤纶</w:t>
            </w:r>
            <w:r>
              <w:rPr>
                <w:rFonts w:hint="default" w:ascii="Times New Roman" w:hAnsi="Times New Roman" w:eastAsia="方正仿宋_GB2312" w:cs="Times New Roman"/>
                <w:i w:val="0"/>
                <w:iCs w:val="0"/>
                <w:color w:val="000000"/>
                <w:kern w:val="0"/>
                <w:sz w:val="21"/>
                <w:szCs w:val="21"/>
                <w:highlight w:val="none"/>
                <w:u w:val="none"/>
                <w:lang w:val="en-US" w:eastAsia="zh-CN" w:bidi="ar"/>
              </w:rPr>
              <w:br w:type="textWrapping"/>
            </w:r>
            <w:r>
              <w:rPr>
                <w:rFonts w:hint="default" w:ascii="Times New Roman" w:hAnsi="Times New Roman" w:eastAsia="方正仿宋_GB2312" w:cs="Times New Roman"/>
                <w:i w:val="0"/>
                <w:iCs w:val="0"/>
                <w:color w:val="000000"/>
                <w:kern w:val="0"/>
                <w:sz w:val="21"/>
                <w:szCs w:val="21"/>
                <w:highlight w:val="none"/>
                <w:u w:val="none"/>
                <w:lang w:val="en-US" w:eastAsia="zh-CN" w:bidi="ar"/>
              </w:rPr>
              <w:t>尺寸：22寸</w:t>
            </w:r>
            <w:r>
              <w:rPr>
                <w:rFonts w:hint="eastAsia" w:ascii="Times New Roman" w:hAnsi="Times New Roman" w:eastAsia="方正仿宋_GB2312" w:cs="Times New Roman"/>
                <w:i w:val="0"/>
                <w:iCs w:val="0"/>
                <w:color w:val="000000"/>
                <w:kern w:val="0"/>
                <w:sz w:val="21"/>
                <w:szCs w:val="21"/>
                <w:highlight w:val="none"/>
                <w:u w:val="none"/>
                <w:lang w:val="en-US" w:eastAsia="zh-CN" w:bidi="ar"/>
              </w:rPr>
              <w:t>。</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28662393">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r w14:paraId="408CA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4" w:hRule="atLeast"/>
        </w:trPr>
        <w:tc>
          <w:tcPr>
            <w:tcW w:w="436" w:type="dxa"/>
            <w:tcBorders>
              <w:top w:val="single" w:color="000000" w:sz="4" w:space="0"/>
              <w:left w:val="single" w:color="000000" w:sz="4" w:space="0"/>
              <w:bottom w:val="single" w:color="000000" w:sz="4" w:space="0"/>
              <w:right w:val="single" w:color="000000" w:sz="4" w:space="0"/>
            </w:tcBorders>
            <w:noWrap w:val="0"/>
            <w:vAlign w:val="center"/>
          </w:tcPr>
          <w:p w14:paraId="057905B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4</w:t>
            </w:r>
          </w:p>
        </w:tc>
        <w:tc>
          <w:tcPr>
            <w:tcW w:w="563" w:type="dxa"/>
            <w:tcBorders>
              <w:top w:val="single" w:color="000000" w:sz="4" w:space="0"/>
              <w:left w:val="single" w:color="000000" w:sz="4" w:space="0"/>
              <w:bottom w:val="single" w:color="000000" w:sz="4" w:space="0"/>
              <w:right w:val="single" w:color="000000" w:sz="4" w:space="0"/>
            </w:tcBorders>
            <w:noWrap w:val="0"/>
            <w:vAlign w:val="center"/>
          </w:tcPr>
          <w:p w14:paraId="3BA5817B">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犬用  芯片</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51AC08BE">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犬用芯片</w:t>
            </w:r>
          </w:p>
        </w:tc>
        <w:tc>
          <w:tcPr>
            <w:tcW w:w="1045" w:type="dxa"/>
            <w:tcBorders>
              <w:top w:val="single" w:color="000000" w:sz="4" w:space="0"/>
              <w:left w:val="single" w:color="000000" w:sz="4" w:space="0"/>
              <w:bottom w:val="single" w:color="000000" w:sz="4" w:space="0"/>
              <w:right w:val="single" w:color="000000" w:sz="4" w:space="0"/>
            </w:tcBorders>
            <w:noWrap w:val="0"/>
            <w:vAlign w:val="center"/>
          </w:tcPr>
          <w:p w14:paraId="57F5D436">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支</w:t>
            </w:r>
          </w:p>
        </w:tc>
        <w:tc>
          <w:tcPr>
            <w:tcW w:w="1554" w:type="dxa"/>
            <w:tcBorders>
              <w:top w:val="single" w:color="000000" w:sz="4" w:space="0"/>
              <w:left w:val="single" w:color="000000" w:sz="4" w:space="0"/>
              <w:bottom w:val="single" w:color="000000" w:sz="4" w:space="0"/>
              <w:right w:val="single" w:color="000000" w:sz="4" w:space="0"/>
            </w:tcBorders>
            <w:noWrap/>
            <w:vAlign w:val="center"/>
          </w:tcPr>
          <w:p w14:paraId="0B1E3FAF">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w:t>
            </w:r>
          </w:p>
        </w:tc>
        <w:tc>
          <w:tcPr>
            <w:tcW w:w="691" w:type="dxa"/>
            <w:tcBorders>
              <w:top w:val="single" w:color="000000" w:sz="4" w:space="0"/>
              <w:left w:val="single" w:color="000000" w:sz="4" w:space="0"/>
              <w:bottom w:val="single" w:color="000000" w:sz="4" w:space="0"/>
              <w:right w:val="single" w:color="000000" w:sz="4" w:space="0"/>
            </w:tcBorders>
            <w:noWrap/>
            <w:vAlign w:val="center"/>
          </w:tcPr>
          <w:p w14:paraId="3F27662A">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sz w:val="21"/>
                <w:szCs w:val="21"/>
                <w:highlight w:val="none"/>
                <w:u w:val="none"/>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300</w:t>
            </w:r>
          </w:p>
        </w:tc>
        <w:tc>
          <w:tcPr>
            <w:tcW w:w="2841" w:type="dxa"/>
            <w:tcBorders>
              <w:top w:val="single" w:color="000000" w:sz="4" w:space="0"/>
              <w:left w:val="single" w:color="000000" w:sz="4" w:space="0"/>
              <w:bottom w:val="single" w:color="000000" w:sz="4" w:space="0"/>
              <w:right w:val="single" w:color="000000" w:sz="4" w:space="0"/>
            </w:tcBorders>
            <w:noWrap w:val="0"/>
            <w:vAlign w:val="center"/>
          </w:tcPr>
          <w:p w14:paraId="096F6446">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★符合ISO11784/11785标准，芯片镀膜：芯片写保护技术，全球唯一ID。</w:t>
            </w:r>
          </w:p>
          <w:p w14:paraId="2CDB3AF2">
            <w:pPr>
              <w:keepNext w:val="0"/>
              <w:keepLines w:val="0"/>
              <w:widowControl/>
              <w:suppressLineNumbers w:val="0"/>
              <w:shd w:val="clear" w:color="auto" w:fill="auto"/>
              <w:jc w:val="left"/>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b/>
                <w:bCs/>
                <w:i w:val="0"/>
                <w:iCs w:val="0"/>
                <w:color w:val="000000"/>
                <w:kern w:val="0"/>
                <w:sz w:val="21"/>
                <w:szCs w:val="21"/>
                <w:highlight w:val="none"/>
                <w:u w:val="none"/>
                <w:lang w:val="en-US" w:eastAsia="zh-CN" w:bidi="ar"/>
              </w:rPr>
              <w:t>注：以上技术参数均为实质性条款。</w:t>
            </w:r>
          </w:p>
        </w:tc>
        <w:tc>
          <w:tcPr>
            <w:tcW w:w="784" w:type="dxa"/>
            <w:tcBorders>
              <w:top w:val="single" w:color="000000" w:sz="4" w:space="0"/>
              <w:left w:val="single" w:color="000000" w:sz="4" w:space="0"/>
              <w:bottom w:val="single" w:color="000000" w:sz="4" w:space="0"/>
              <w:right w:val="single" w:color="000000" w:sz="4" w:space="0"/>
            </w:tcBorders>
            <w:noWrap w:val="0"/>
            <w:vAlign w:val="center"/>
          </w:tcPr>
          <w:p w14:paraId="4EF0EE07">
            <w:pPr>
              <w:keepNext w:val="0"/>
              <w:keepLines w:val="0"/>
              <w:widowControl/>
              <w:suppressLineNumbers w:val="0"/>
              <w:shd w:val="clear" w:color="auto" w:fill="auto"/>
              <w:jc w:val="center"/>
              <w:textAlignment w:val="center"/>
              <w:rPr>
                <w:rFonts w:hint="default" w:ascii="Times New Roman" w:hAnsi="Times New Roman" w:eastAsia="方正仿宋_GB2312" w:cs="Times New Roman"/>
                <w:i w:val="0"/>
                <w:iCs w:val="0"/>
                <w:color w:val="000000"/>
                <w:kern w:val="0"/>
                <w:sz w:val="21"/>
                <w:szCs w:val="21"/>
                <w:highlight w:val="none"/>
                <w:u w:val="none"/>
                <w:lang w:val="en-US" w:eastAsia="zh-CN" w:bidi="ar"/>
              </w:rPr>
            </w:pPr>
            <w:r>
              <w:rPr>
                <w:rFonts w:hint="default" w:ascii="Times New Roman" w:hAnsi="Times New Roman" w:eastAsia="方正仿宋_GB2312" w:cs="Times New Roman"/>
                <w:i w:val="0"/>
                <w:iCs w:val="0"/>
                <w:color w:val="000000"/>
                <w:kern w:val="0"/>
                <w:sz w:val="21"/>
                <w:szCs w:val="21"/>
                <w:highlight w:val="none"/>
                <w:u w:val="none"/>
                <w:lang w:val="en-US" w:eastAsia="zh-CN" w:bidi="ar"/>
              </w:rPr>
              <w:t>否</w:t>
            </w:r>
          </w:p>
        </w:tc>
      </w:tr>
    </w:tbl>
    <w:p w14:paraId="38CE0A47">
      <w:pPr>
        <w:pStyle w:val="33"/>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lang w:val="en-US" w:eastAsia="zh-CN"/>
        </w:rPr>
      </w:pPr>
    </w:p>
    <w:p w14:paraId="0AB507AA">
      <w:pPr>
        <w:pStyle w:val="33"/>
        <w:keepNext w:val="0"/>
        <w:keepLines w:val="0"/>
        <w:pageBreakBefore w:val="0"/>
        <w:widowControl w:val="0"/>
        <w:shd w:val="clear"/>
        <w:kinsoku/>
        <w:wordWrap w:val="0"/>
        <w:overflowPunct/>
        <w:topLinePunct w:val="0"/>
        <w:autoSpaceDE/>
        <w:autoSpaceDN/>
        <w:bidi w:val="0"/>
        <w:adjustRightInd/>
        <w:snapToGrid/>
        <w:spacing w:before="157" w:beforeLines="50" w:after="157" w:afterLines="50"/>
        <w:ind w:firstLine="482"/>
        <w:textAlignment w:val="auto"/>
        <w:rPr>
          <w:rFonts w:hint="eastAsia" w:ascii="宋体" w:hAnsi="宋体" w:eastAsia="宋体"/>
          <w:b/>
          <w:bCs/>
          <w:i w:val="0"/>
          <w:iCs w:val="0"/>
          <w:snapToGrid w:val="0"/>
          <w:color w:val="auto"/>
          <w:sz w:val="24"/>
          <w:szCs w:val="24"/>
          <w:highlight w:val="none"/>
          <w:lang w:val="en-US" w:eastAsia="zh-CN"/>
        </w:rPr>
      </w:pPr>
      <w:r>
        <w:rPr>
          <w:rFonts w:hint="eastAsia" w:ascii="宋体" w:hAnsi="宋体" w:eastAsia="宋体"/>
          <w:b/>
          <w:bCs/>
          <w:i w:val="0"/>
          <w:iCs w:val="0"/>
          <w:snapToGrid w:val="0"/>
          <w:color w:val="auto"/>
          <w:sz w:val="24"/>
          <w:szCs w:val="24"/>
          <w:highlight w:val="none"/>
          <w:lang w:val="en-US" w:eastAsia="zh-CN"/>
        </w:rPr>
        <w:t>二、商务要求</w:t>
      </w:r>
    </w:p>
    <w:p w14:paraId="395092DD">
      <w:pPr>
        <w:pStyle w:val="33"/>
        <w:keepNext w:val="0"/>
        <w:keepLines w:val="0"/>
        <w:pageBreakBefore w:val="0"/>
        <w:widowControl w:val="0"/>
        <w:shd w:val="clear"/>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default"/>
          <w:snapToGrid w:val="0"/>
          <w:color w:val="auto"/>
          <w:sz w:val="24"/>
          <w:szCs w:val="24"/>
          <w:highlight w:val="none"/>
          <w:lang w:val="en-US" w:eastAsia="zh-CN"/>
        </w:rPr>
        <w:t xml:space="preserve">1. </w:t>
      </w:r>
      <w:r>
        <w:rPr>
          <w:rFonts w:hint="eastAsia"/>
          <w:snapToGrid w:val="0"/>
          <w:color w:val="auto"/>
          <w:sz w:val="24"/>
          <w:szCs w:val="24"/>
          <w:highlight w:val="none"/>
          <w:lang w:val="en-US" w:eastAsia="zh-CN"/>
        </w:rPr>
        <w:t>交付（实施）的时间（期限）和地点（范围）：</w:t>
      </w:r>
    </w:p>
    <w:p w14:paraId="5F98D850">
      <w:pPr>
        <w:pStyle w:val="33"/>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eastAsia"/>
          <w:snapToGrid w:val="0"/>
          <w:color w:val="auto"/>
          <w:sz w:val="24"/>
          <w:szCs w:val="24"/>
          <w:highlight w:val="none"/>
          <w:lang w:val="en-US" w:eastAsia="zh-CN"/>
        </w:rPr>
        <w:t>时间：分批次交货，每批次在收到采购人通知后按采购人需求清单内容24小时内送货至采购人指定地点。</w:t>
      </w:r>
    </w:p>
    <w:p w14:paraId="5E1EB88D">
      <w:pPr>
        <w:pStyle w:val="33"/>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eastAsia"/>
          <w:snapToGrid w:val="0"/>
          <w:color w:val="auto"/>
          <w:sz w:val="24"/>
          <w:szCs w:val="24"/>
          <w:highlight w:val="none"/>
          <w:lang w:val="en-US" w:eastAsia="zh-CN"/>
        </w:rPr>
        <w:t>地点：采购人指定地点。</w:t>
      </w:r>
    </w:p>
    <w:p w14:paraId="053D4F60">
      <w:pPr>
        <w:pStyle w:val="33"/>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default"/>
          <w:snapToGrid w:val="0"/>
          <w:color w:val="auto"/>
          <w:sz w:val="24"/>
          <w:szCs w:val="24"/>
          <w:highlight w:val="none"/>
          <w:lang w:val="en-US" w:eastAsia="zh-CN"/>
        </w:rPr>
        <w:t xml:space="preserve">2. </w:t>
      </w:r>
      <w:r>
        <w:rPr>
          <w:rFonts w:hint="eastAsia"/>
          <w:snapToGrid w:val="0"/>
          <w:color w:val="auto"/>
          <w:sz w:val="24"/>
          <w:szCs w:val="24"/>
          <w:highlight w:val="none"/>
          <w:lang w:val="en-US" w:eastAsia="zh-CN"/>
        </w:rPr>
        <w:t>付款条件：合同签订后支付合同金额的 50%，所有产品到货且验收合格后支付合同金额的 50%。</w:t>
      </w:r>
    </w:p>
    <w:p w14:paraId="410303DC">
      <w:pPr>
        <w:pStyle w:val="33"/>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default"/>
          <w:snapToGrid w:val="0"/>
          <w:color w:val="auto"/>
          <w:sz w:val="24"/>
          <w:szCs w:val="24"/>
          <w:highlight w:val="none"/>
          <w:lang w:val="en-US" w:eastAsia="zh-CN"/>
        </w:rPr>
        <w:t xml:space="preserve">3. </w:t>
      </w:r>
      <w:r>
        <w:rPr>
          <w:rFonts w:hint="eastAsia"/>
          <w:snapToGrid w:val="0"/>
          <w:color w:val="auto"/>
          <w:sz w:val="24"/>
          <w:szCs w:val="24"/>
          <w:highlight w:val="none"/>
          <w:lang w:val="en-US" w:eastAsia="zh-CN"/>
        </w:rPr>
        <w:t>包装和运输：</w:t>
      </w:r>
      <w:r>
        <w:rPr>
          <w:rFonts w:hint="eastAsia"/>
          <w:snapToGrid w:val="0"/>
          <w:szCs w:val="24"/>
          <w:highlight w:val="none"/>
        </w:rPr>
        <w:t>满足《关于印发〈商品包装政府采购需求标准（试行）〉、〈快递包装政府采购需求标准（试行）〉的通知》（财办库﹝</w:t>
      </w:r>
      <w:r>
        <w:rPr>
          <w:snapToGrid w:val="0"/>
          <w:szCs w:val="24"/>
          <w:highlight w:val="none"/>
        </w:rPr>
        <w:t>2020</w:t>
      </w:r>
      <w:r>
        <w:rPr>
          <w:rFonts w:hint="eastAsia"/>
          <w:snapToGrid w:val="0"/>
          <w:szCs w:val="24"/>
          <w:highlight w:val="none"/>
        </w:rPr>
        <w:t>﹞</w:t>
      </w:r>
      <w:r>
        <w:rPr>
          <w:snapToGrid w:val="0"/>
          <w:szCs w:val="24"/>
          <w:highlight w:val="none"/>
        </w:rPr>
        <w:t xml:space="preserve">123 </w:t>
      </w:r>
      <w:r>
        <w:rPr>
          <w:rFonts w:hint="eastAsia"/>
          <w:snapToGrid w:val="0"/>
          <w:szCs w:val="24"/>
          <w:highlight w:val="none"/>
        </w:rPr>
        <w:t>号）</w:t>
      </w:r>
    </w:p>
    <w:p w14:paraId="472C32BB">
      <w:pPr>
        <w:pStyle w:val="33"/>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default"/>
          <w:snapToGrid w:val="0"/>
          <w:color w:val="auto"/>
          <w:sz w:val="24"/>
          <w:szCs w:val="24"/>
          <w:highlight w:val="none"/>
          <w:lang w:val="en-US" w:eastAsia="zh-CN"/>
        </w:rPr>
        <w:t xml:space="preserve">4. </w:t>
      </w:r>
      <w:r>
        <w:rPr>
          <w:rFonts w:hint="eastAsia"/>
          <w:snapToGrid w:val="0"/>
          <w:color w:val="auto"/>
          <w:sz w:val="24"/>
          <w:szCs w:val="24"/>
          <w:highlight w:val="none"/>
          <w:lang w:val="en-US" w:eastAsia="zh-CN"/>
        </w:rPr>
        <w:t>售后服务（质保期）：自合同签订之日起一年。</w:t>
      </w:r>
    </w:p>
    <w:p w14:paraId="34272D5F">
      <w:pPr>
        <w:pStyle w:val="33"/>
        <w:keepNext w:val="0"/>
        <w:keepLines w:val="0"/>
        <w:pageBreakBefore w:val="0"/>
        <w:widowControl w:val="0"/>
        <w:shd w:val="clear"/>
        <w:kinsoku/>
        <w:wordWrap w:val="0"/>
        <w:overflowPunct/>
        <w:topLinePunct w:val="0"/>
        <w:autoSpaceDE/>
        <w:autoSpaceDN/>
        <w:bidi w:val="0"/>
        <w:adjustRightInd/>
        <w:snapToGrid/>
        <w:spacing w:before="157" w:beforeLines="50" w:after="157" w:afterLines="50"/>
        <w:ind w:left="0" w:leftChars="0" w:firstLine="0" w:firstLineChars="0"/>
        <w:textAlignment w:val="auto"/>
        <w:rPr>
          <w:rFonts w:hint="eastAsia"/>
          <w:b/>
          <w:bCs/>
          <w:snapToGrid w:val="0"/>
          <w:color w:val="auto"/>
          <w:sz w:val="24"/>
          <w:szCs w:val="24"/>
          <w:highlight w:val="none"/>
          <w:lang w:val="en-US" w:eastAsia="zh-CN"/>
        </w:rPr>
      </w:pPr>
    </w:p>
    <w:p w14:paraId="24AEA6EC">
      <w:pPr>
        <w:pStyle w:val="33"/>
        <w:keepNext w:val="0"/>
        <w:keepLines w:val="0"/>
        <w:pageBreakBefore w:val="0"/>
        <w:widowControl w:val="0"/>
        <w:shd w:val="clear"/>
        <w:kinsoku/>
        <w:wordWrap w:val="0"/>
        <w:overflowPunct/>
        <w:topLinePunct w:val="0"/>
        <w:autoSpaceDE/>
        <w:autoSpaceDN/>
        <w:bidi w:val="0"/>
        <w:adjustRightInd/>
        <w:snapToGrid/>
        <w:spacing w:before="157" w:beforeLines="50" w:after="157" w:afterLines="50"/>
        <w:ind w:firstLine="482"/>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三、其他要求</w:t>
      </w:r>
    </w:p>
    <w:p w14:paraId="7FC931DC">
      <w:pPr>
        <w:pStyle w:val="33"/>
        <w:keepNext w:val="0"/>
        <w:keepLines w:val="0"/>
        <w:pageBreakBefore w:val="0"/>
        <w:widowControl w:val="0"/>
        <w:shd w:val="clear"/>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1.</w:t>
      </w:r>
      <w:r>
        <w:rPr>
          <w:rFonts w:hint="default"/>
          <w:snapToGrid w:val="0"/>
          <w:color w:val="auto"/>
          <w:sz w:val="24"/>
          <w:szCs w:val="24"/>
          <w:highlight w:val="none"/>
          <w:lang w:val="en-US" w:eastAsia="zh-CN"/>
        </w:rPr>
        <w:t xml:space="preserve"> </w:t>
      </w:r>
      <w:r>
        <w:rPr>
          <w:rFonts w:hint="eastAsia"/>
          <w:snapToGrid w:val="0"/>
          <w:color w:val="auto"/>
          <w:sz w:val="24"/>
          <w:szCs w:val="24"/>
          <w:highlight w:val="none"/>
          <w:lang w:val="en-US" w:eastAsia="zh-CN"/>
        </w:rPr>
        <w:t>验收标准 ：按照《财政部关于进一步加强政府采购需求和履约验收管理的指导意见》（财库〔2016〕205号）等政府采购相关法律法规的要求进行验收。</w:t>
      </w:r>
    </w:p>
    <w:p w14:paraId="746E8796">
      <w:pPr>
        <w:pStyle w:val="33"/>
        <w:keepNext w:val="0"/>
        <w:keepLines w:val="0"/>
        <w:pageBreakBefore w:val="0"/>
        <w:widowControl w:val="0"/>
        <w:shd w:val="clear"/>
        <w:kinsoku/>
        <w:overflowPunct/>
        <w:topLinePunct w:val="0"/>
        <w:autoSpaceDE/>
        <w:autoSpaceDN/>
        <w:bidi w:val="0"/>
        <w:adjustRightInd/>
        <w:textAlignment w:val="auto"/>
        <w:rPr>
          <w:rFonts w:hint="eastAsia"/>
          <w:snapToGrid w:val="0"/>
          <w:color w:val="0000FF"/>
          <w:sz w:val="24"/>
          <w:szCs w:val="24"/>
          <w:highlight w:val="none"/>
          <w:lang w:val="en-US" w:eastAsia="zh-CN"/>
        </w:rPr>
      </w:pPr>
      <w:r>
        <w:rPr>
          <w:rFonts w:hint="eastAsia"/>
          <w:snapToGrid w:val="0"/>
          <w:color w:val="0000FF"/>
          <w:sz w:val="24"/>
          <w:szCs w:val="24"/>
          <w:highlight w:val="none"/>
          <w:lang w:val="en-US" w:eastAsia="zh-CN"/>
        </w:rPr>
        <w:t>★2.供应商需须提供本次采购每一项货物的相关检测报告或正规进货渠道证明（如：犬粮、肉类、疫苗、药品、训练物品、犬用芯片等），如有一项不提供，代表此项参数不响应谈判文件要求，在投标响应时不得照搬照抄采购文件参数，否则视为不响应，将作无效投标处理。</w:t>
      </w:r>
    </w:p>
    <w:p w14:paraId="2BAC1A53">
      <w:pPr>
        <w:pStyle w:val="33"/>
        <w:keepNext w:val="0"/>
        <w:keepLines w:val="0"/>
        <w:pageBreakBefore w:val="0"/>
        <w:widowControl w:val="0"/>
        <w:shd w:val="clear"/>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★3.紧急情况：供应商必须在 24 小时内满足采购人的需求，在采购人外出（出乌鲁木齐）执行大型勤务任务时（如：全国大型安保活动、重特大案件选调、大型活动的警犬安全保卫、全国或地区性的训练比赛、离乌鲁木齐地区性警犬训练活动等。）供应商必须提供完善的后勤保障服务（包括但不限于：警务人员及警犬外出所需犬笼、外出时须将犬粮等耗材送至采购人指定地点、外出时所需的其他相关物资），供应商自行提供承诺，未提供或承诺内容不符合上述要求，视为响应无效。</w:t>
      </w:r>
    </w:p>
    <w:p w14:paraId="016F6546">
      <w:pPr>
        <w:pStyle w:val="33"/>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eastAsia"/>
          <w:snapToGrid w:val="0"/>
          <w:color w:val="auto"/>
          <w:sz w:val="24"/>
          <w:szCs w:val="24"/>
          <w:highlight w:val="none"/>
          <w:lang w:val="en-US" w:eastAsia="zh-CN"/>
        </w:rPr>
        <w:t>4.交货要求：对采购人临时性的供货要求需随订随送（如牛肉、鸡蛋、药品等），并须在接到电话后5个小时内响应。中标供应商在接到通知后备齐货物，按时送达交货地点。中标供应商除不可抗力，不得因其他任何理由延迟送货。采购人如遇特殊情况需推迟送货，应提前通知中标供应商。中标供应商不能按时、按质、按量供货，导致采购人无法正常使用的，采购人有权自行采购同等质量的货物，由此造成的经济损失和责任均由中标供应商承担，并承担违约责任。牛肉、鸡蛋配送时需保证食材新鲜，检疫合格，运输必须采用符合卫生要求的外包装和运载工具。符合国家有关法规、标准的要求，食品包装完好无损。</w:t>
      </w:r>
    </w:p>
    <w:p w14:paraId="6FD24ACB">
      <w:pPr>
        <w:pStyle w:val="33"/>
        <w:keepNext w:val="0"/>
        <w:keepLines w:val="0"/>
        <w:pageBreakBefore w:val="0"/>
        <w:widowControl w:val="0"/>
        <w:shd w:val="clear"/>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5.供应商所提供的所投产品技术规格应符合采购文件的要求。如所供产品存在技术偏离，投供应商应如实填写技术响应偏离表。若采购人掌握了确切事实说明某供应商没有如实填写技术响应偏离表或有欺诈行为，该响应文件将按无效投标处理。</w:t>
      </w:r>
    </w:p>
    <w:p w14:paraId="464CA23B">
      <w:pPr>
        <w:pStyle w:val="33"/>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eastAsia"/>
          <w:snapToGrid w:val="0"/>
          <w:color w:val="auto"/>
          <w:sz w:val="24"/>
          <w:szCs w:val="24"/>
          <w:highlight w:val="none"/>
          <w:lang w:val="en-US" w:eastAsia="zh-CN"/>
        </w:rPr>
        <w:t>6.供应商每批次所提供的犬粮剩余保质期不得少于原有保质期的三分之二，犬粮计划每月按需配送，牛肉鸡蛋计划每周按需配送。各响应供应商在报价时需综合考虑该项成本。</w:t>
      </w:r>
    </w:p>
    <w:p w14:paraId="13B20694">
      <w:pPr>
        <w:pStyle w:val="33"/>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lang w:val="en-US" w:eastAsia="zh-CN"/>
        </w:rPr>
      </w:pPr>
    </w:p>
    <w:bookmarkEnd w:id="446"/>
    <w:bookmarkEnd w:id="447"/>
    <w:bookmarkEnd w:id="448"/>
    <w:p w14:paraId="342492B3">
      <w:pPr>
        <w:pStyle w:val="33"/>
        <w:keepNext w:val="0"/>
        <w:keepLines w:val="0"/>
        <w:pageBreakBefore w:val="0"/>
        <w:widowControl w:val="0"/>
        <w:shd w:val="clear"/>
        <w:kinsoku/>
        <w:wordWrap w:val="0"/>
        <w:overflowPunct/>
        <w:topLinePunct w:val="0"/>
        <w:autoSpaceDE/>
        <w:autoSpaceDN/>
        <w:bidi w:val="0"/>
        <w:adjustRightInd/>
        <w:snapToGrid/>
        <w:spacing w:before="157" w:beforeLines="50" w:after="157" w:afterLines="50"/>
        <w:ind w:firstLine="482"/>
        <w:textAlignment w:val="auto"/>
        <w:rPr>
          <w:rFonts w:hint="eastAsia" w:ascii="宋体" w:hAnsi="宋体" w:eastAsia="宋体"/>
          <w:b/>
          <w:bCs/>
          <w:snapToGrid w:val="0"/>
          <w:color w:val="auto"/>
          <w:sz w:val="24"/>
          <w:szCs w:val="24"/>
          <w:highlight w:val="none"/>
          <w:lang w:val="en-US" w:eastAsia="zh-CN"/>
        </w:rPr>
      </w:pPr>
      <w:r>
        <w:rPr>
          <w:rFonts w:hint="eastAsia" w:ascii="宋体" w:hAnsi="宋体" w:eastAsia="宋体"/>
          <w:b/>
          <w:bCs/>
          <w:snapToGrid w:val="0"/>
          <w:color w:val="auto"/>
          <w:sz w:val="24"/>
          <w:szCs w:val="24"/>
          <w:highlight w:val="none"/>
          <w:lang w:val="en-US" w:eastAsia="zh-CN"/>
        </w:rPr>
        <w:t>★四、样品要求：</w:t>
      </w:r>
    </w:p>
    <w:p w14:paraId="3AB8B95A">
      <w:pPr>
        <w:keepNext w:val="0"/>
        <w:keepLines w:val="0"/>
        <w:widowControl/>
        <w:suppressLineNumbers w:val="0"/>
        <w:jc w:val="left"/>
        <w:rPr>
          <w:rFonts w:hint="eastAsia"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b/>
          <w:bCs/>
          <w:snapToGrid w:val="0"/>
          <w:color w:val="auto"/>
          <w:kern w:val="2"/>
          <w:sz w:val="24"/>
          <w:szCs w:val="24"/>
          <w:highlight w:val="none"/>
          <w:lang w:val="en-US" w:eastAsia="zh-CN" w:bidi="ar-SA"/>
        </w:rPr>
        <w:t>1.样品名称及数量：</w:t>
      </w:r>
      <w:r>
        <w:rPr>
          <w:rFonts w:hint="eastAsia" w:ascii="宋体" w:hAnsi="宋体" w:eastAsia="宋体" w:cstheme="minorBidi"/>
          <w:snapToGrid w:val="0"/>
          <w:color w:val="auto"/>
          <w:kern w:val="2"/>
          <w:sz w:val="24"/>
          <w:szCs w:val="24"/>
          <w:highlight w:val="none"/>
          <w:lang w:val="en-US" w:eastAsia="zh-CN" w:bidi="ar-SA"/>
        </w:rPr>
        <w:t xml:space="preserve">种犬粮、成犬粮、幼犬粮各1Kg </w:t>
      </w:r>
    </w:p>
    <w:p w14:paraId="20530219">
      <w:pPr>
        <w:keepNext w:val="0"/>
        <w:keepLines w:val="0"/>
        <w:widowControl/>
        <w:suppressLineNumbers w:val="0"/>
        <w:jc w:val="left"/>
        <w:rPr>
          <w:rFonts w:hint="eastAsia" w:ascii="宋体" w:hAnsi="宋体" w:eastAsia="宋体" w:cstheme="minorBidi"/>
          <w:b/>
          <w:bCs/>
          <w:snapToGrid w:val="0"/>
          <w:color w:val="auto"/>
          <w:kern w:val="2"/>
          <w:sz w:val="24"/>
          <w:szCs w:val="24"/>
          <w:highlight w:val="none"/>
          <w:lang w:val="en-US" w:eastAsia="zh-CN" w:bidi="ar-SA"/>
        </w:rPr>
      </w:pPr>
      <w:r>
        <w:rPr>
          <w:rFonts w:hint="eastAsia" w:ascii="宋体" w:hAnsi="宋体" w:eastAsia="宋体" w:cstheme="minorBidi"/>
          <w:b/>
          <w:bCs/>
          <w:snapToGrid w:val="0"/>
          <w:color w:val="auto"/>
          <w:kern w:val="2"/>
          <w:sz w:val="24"/>
          <w:szCs w:val="24"/>
          <w:highlight w:val="none"/>
          <w:lang w:val="en-US" w:eastAsia="zh-CN" w:bidi="ar-SA"/>
        </w:rPr>
        <w:t xml:space="preserve">2.样品提供要求 </w:t>
      </w:r>
    </w:p>
    <w:p w14:paraId="610C3BED">
      <w:pPr>
        <w:keepNext w:val="0"/>
        <w:keepLines w:val="0"/>
        <w:widowControl/>
        <w:suppressLineNumbers w:val="0"/>
        <w:jc w:val="left"/>
        <w:rPr>
          <w:rFonts w:hint="eastAsia"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2.1 供应商所递交的样品应与响应文件中所投产品一致，如不一致视为不响应谈判文件，其响应将被否决。</w:t>
      </w:r>
    </w:p>
    <w:p w14:paraId="3DFEAB43">
      <w:pPr>
        <w:keepNext w:val="0"/>
        <w:keepLines w:val="0"/>
        <w:widowControl/>
        <w:suppressLineNumbers w:val="0"/>
        <w:jc w:val="left"/>
        <w:rPr>
          <w:rFonts w:hint="eastAsia"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2.2 所递交的样品外观正常，颜色均匀，不得出现霉变、结块、异物。</w:t>
      </w:r>
    </w:p>
    <w:p w14:paraId="109023DC">
      <w:pPr>
        <w:keepNext w:val="0"/>
        <w:keepLines w:val="0"/>
        <w:widowControl/>
        <w:suppressLineNumbers w:val="0"/>
        <w:jc w:val="left"/>
        <w:rPr>
          <w:rFonts w:hint="default"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2.3 所递交的样品应有饲料原料固有气味，无酸败、腐臭、霉变等异味。</w:t>
      </w:r>
    </w:p>
    <w:p w14:paraId="0A7213FE">
      <w:pPr>
        <w:pStyle w:val="33"/>
        <w:keepNext w:val="0"/>
        <w:keepLines w:val="0"/>
        <w:pageBreakBefore w:val="0"/>
        <w:widowControl w:val="0"/>
        <w:shd w:val="clear"/>
        <w:kinsoku/>
        <w:wordWrap w:val="0"/>
        <w:overflowPunct/>
        <w:topLinePunct w:val="0"/>
        <w:autoSpaceDE/>
        <w:autoSpaceDN/>
        <w:bidi w:val="0"/>
        <w:adjustRightInd/>
        <w:snapToGrid/>
        <w:spacing w:before="157" w:beforeLines="50" w:after="157" w:afterLines="50"/>
        <w:ind w:firstLine="482"/>
        <w:textAlignment w:val="auto"/>
        <w:rPr>
          <w:rFonts w:hint="eastAsia" w:ascii="宋体" w:hAnsi="宋体" w:eastAsia="黑体" w:cstheme="minorBidi"/>
          <w:b/>
          <w:bCs/>
          <w:color w:val="auto"/>
          <w:kern w:val="44"/>
          <w:sz w:val="44"/>
          <w:szCs w:val="44"/>
          <w:highlight w:val="none"/>
          <w:lang w:val="en-US" w:eastAsia="zh-CN" w:bidi="ar-SA"/>
        </w:rPr>
      </w:pPr>
      <w:r>
        <w:rPr>
          <w:rFonts w:hint="eastAsia" w:ascii="宋体" w:hAnsi="宋体" w:eastAsia="黑体" w:cstheme="minorBidi"/>
          <w:b/>
          <w:bCs/>
          <w:color w:val="auto"/>
          <w:kern w:val="44"/>
          <w:sz w:val="44"/>
          <w:szCs w:val="44"/>
          <w:highlight w:val="none"/>
          <w:lang w:val="en-US" w:eastAsia="zh-CN" w:bidi="ar-SA"/>
        </w:rPr>
        <w:br w:type="page"/>
      </w:r>
    </w:p>
    <w:p w14:paraId="28FA2165">
      <w:pPr>
        <w:pStyle w:val="3"/>
        <w:keepNext/>
        <w:keepLines/>
        <w:pageBreakBefore w:val="0"/>
        <w:widowControl w:val="0"/>
        <w:numPr>
          <w:ilvl w:val="0"/>
          <w:numId w:val="0"/>
        </w:numPr>
        <w:shd w:val="clea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449" w:name="_Toc10757"/>
      <w:bookmarkStart w:id="450" w:name="_Toc716"/>
      <w:r>
        <w:rPr>
          <w:rFonts w:hint="eastAsia" w:ascii="宋体" w:hAnsi="宋体" w:eastAsia="宋体" w:cs="宋体"/>
          <w:b/>
          <w:bCs/>
          <w:color w:val="auto"/>
          <w:kern w:val="44"/>
          <w:sz w:val="36"/>
          <w:szCs w:val="36"/>
          <w:highlight w:val="none"/>
          <w:lang w:val="en-US" w:eastAsia="zh-CN" w:bidi="ar-SA"/>
        </w:rPr>
        <w:t>第四章 评审方法及标准</w:t>
      </w:r>
      <w:bookmarkEnd w:id="449"/>
      <w:bookmarkEnd w:id="450"/>
    </w:p>
    <w:p w14:paraId="3C2D8384">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480" w:lineRule="exact"/>
        <w:ind w:left="420" w:leftChars="0" w:hanging="420" w:firstLineChars="0"/>
        <w:textAlignment w:val="auto"/>
        <w:rPr>
          <w:rFonts w:hint="eastAsia" w:ascii="宋体" w:hAnsi="宋体" w:eastAsia="宋体" w:cs="宋体"/>
          <w:color w:val="auto"/>
          <w:sz w:val="28"/>
          <w:szCs w:val="28"/>
          <w:highlight w:val="none"/>
          <w:lang w:val="zh-CN" w:eastAsia="zh-CN"/>
        </w:rPr>
      </w:pPr>
      <w:bookmarkStart w:id="451" w:name="_Toc17539"/>
      <w:bookmarkStart w:id="452" w:name="_Toc28495"/>
      <w:r>
        <w:rPr>
          <w:rFonts w:hint="eastAsia" w:ascii="宋体" w:hAnsi="宋体" w:eastAsia="宋体" w:cs="宋体"/>
          <w:color w:val="auto"/>
          <w:sz w:val="28"/>
          <w:szCs w:val="28"/>
          <w:highlight w:val="none"/>
          <w:lang w:val="en-US" w:eastAsia="zh-CN"/>
        </w:rPr>
        <w:t>一、</w:t>
      </w:r>
      <w:r>
        <w:rPr>
          <w:rFonts w:hint="eastAsia" w:ascii="宋体" w:hAnsi="宋体" w:eastAsia="宋体" w:cs="宋体"/>
          <w:color w:val="auto"/>
          <w:sz w:val="28"/>
          <w:szCs w:val="28"/>
          <w:highlight w:val="none"/>
          <w:lang w:val="zh-CN" w:eastAsia="zh-CN"/>
        </w:rPr>
        <w:t>评审方法</w:t>
      </w:r>
      <w:bookmarkEnd w:id="451"/>
      <w:bookmarkEnd w:id="452"/>
    </w:p>
    <w:p w14:paraId="53640E9C">
      <w:pPr>
        <w:pStyle w:val="33"/>
        <w:keepNext w:val="0"/>
        <w:keepLines w:val="0"/>
        <w:pageBreakBefore w:val="0"/>
        <w:widowControl w:val="0"/>
        <w:shd w:val="clear"/>
        <w:kinsoku/>
        <w:wordWrap w:val="0"/>
        <w:overflowPunct/>
        <w:topLinePunct w:val="0"/>
        <w:autoSpaceDE/>
        <w:autoSpaceDN/>
        <w:bidi w:val="0"/>
        <w:adjustRightInd/>
        <w:snapToGrid/>
        <w:spacing w:line="420" w:lineRule="exact"/>
        <w:ind w:firstLine="480"/>
        <w:textAlignment w:val="auto"/>
        <w:rPr>
          <w:rFonts w:hint="eastAsia" w:ascii="宋体" w:hAnsi="宋体" w:eastAsia="宋体" w:cs="宋体"/>
          <w:color w:val="auto"/>
          <w:highlight w:val="none"/>
        </w:rPr>
      </w:pPr>
      <w:r>
        <w:rPr>
          <w:rFonts w:hint="eastAsia" w:cs="宋体"/>
          <w:color w:val="auto"/>
          <w:highlight w:val="none"/>
          <w:lang w:val="en-US" w:eastAsia="zh-CN"/>
        </w:rPr>
        <w:t>评审方法：</w:t>
      </w:r>
      <w:r>
        <w:rPr>
          <w:rFonts w:hint="eastAsia" w:ascii="宋体" w:hAnsi="宋体" w:eastAsia="宋体" w:cs="宋体"/>
          <w:color w:val="auto"/>
          <w:highlight w:val="none"/>
          <w:lang w:val="en-US" w:eastAsia="zh-CN"/>
        </w:rPr>
        <w:t>谈判小组与符合资格条件的供应商就采购货物、工程和服务事宜进行谈判，供应商按照谈判文件的要求提交响应文件和最后报价</w:t>
      </w:r>
      <w:r>
        <w:rPr>
          <w:rFonts w:hint="eastAsia" w:ascii="宋体" w:hAnsi="宋体" w:eastAsia="宋体" w:cs="宋体"/>
          <w:b/>
          <w:bCs/>
          <w:color w:val="auto"/>
          <w:szCs w:val="24"/>
          <w:highlight w:val="none"/>
          <w:lang w:val="zh-CN"/>
        </w:rPr>
        <w:t>（因落实政府采购政策进行价格调整的，以调整后的价格计算）</w:t>
      </w:r>
      <w:r>
        <w:rPr>
          <w:rFonts w:hint="eastAsia" w:ascii="宋体" w:hAnsi="宋体" w:eastAsia="宋体" w:cs="宋体"/>
          <w:color w:val="auto"/>
          <w:highlight w:val="none"/>
          <w:lang w:val="en-US" w:eastAsia="zh-CN"/>
        </w:rPr>
        <w:t>，采购人从谈判小组提出的成交候选人中确定成交供应商</w:t>
      </w:r>
      <w:r>
        <w:rPr>
          <w:rFonts w:hint="eastAsia" w:ascii="宋体" w:hAnsi="宋体" w:eastAsia="宋体" w:cs="宋体"/>
          <w:color w:val="auto"/>
          <w:highlight w:val="none"/>
        </w:rPr>
        <w:t>。</w:t>
      </w:r>
    </w:p>
    <w:p w14:paraId="2E5B7BB0">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480" w:lineRule="exact"/>
        <w:ind w:left="420" w:leftChars="0" w:hanging="420" w:firstLineChars="0"/>
        <w:textAlignment w:val="auto"/>
        <w:rPr>
          <w:rFonts w:hint="default" w:ascii="宋体" w:hAnsi="宋体" w:eastAsia="宋体" w:cs="宋体"/>
          <w:color w:val="auto"/>
          <w:sz w:val="28"/>
          <w:szCs w:val="28"/>
          <w:highlight w:val="none"/>
          <w:lang w:val="en-US" w:eastAsia="zh-CN"/>
        </w:rPr>
      </w:pPr>
      <w:bookmarkStart w:id="453" w:name="_Toc662"/>
      <w:bookmarkStart w:id="454" w:name="_Toc24199"/>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评审程序</w:t>
      </w:r>
      <w:bookmarkEnd w:id="453"/>
      <w:bookmarkEnd w:id="454"/>
    </w:p>
    <w:p w14:paraId="25412360">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46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55" w:name="_Toc163493634"/>
      <w:bookmarkStart w:id="456" w:name="_Toc1596"/>
      <w:r>
        <w:rPr>
          <w:rFonts w:hint="eastAsia" w:ascii="宋体" w:hAnsi="宋体" w:eastAsia="宋体" w:cs="宋体"/>
          <w:b/>
          <w:bCs/>
          <w:color w:val="auto"/>
          <w:kern w:val="2"/>
          <w:sz w:val="24"/>
          <w:szCs w:val="24"/>
          <w:highlight w:val="none"/>
          <w:lang w:val="zh-CN" w:eastAsia="zh-CN" w:bidi="ar-SA"/>
        </w:rPr>
        <w:t>（一）资格审查和符合性审查</w:t>
      </w:r>
      <w:bookmarkEnd w:id="455"/>
      <w:bookmarkEnd w:id="456"/>
    </w:p>
    <w:p w14:paraId="6C7F2EBF">
      <w:pPr>
        <w:keepNext w:val="0"/>
        <w:keepLines w:val="0"/>
        <w:pageBreakBefore w:val="0"/>
        <w:widowControl w:val="0"/>
        <w:shd w:val="clear"/>
        <w:tabs>
          <w:tab w:val="left" w:pos="312"/>
        </w:tabs>
        <w:kinsoku/>
        <w:wordWrap w:val="0"/>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小组根据</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文件规定的供应商资格条件、评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成交的标准等事项，对供应商的响应文件进行评审。资格审查和符合性审查不符合</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文件要求的响应文件，按</w:t>
      </w:r>
      <w:r>
        <w:rPr>
          <w:rFonts w:hint="eastAsia" w:ascii="宋体" w:hAnsi="宋体" w:eastAsia="宋体" w:cs="宋体"/>
          <w:b/>
          <w:bCs/>
          <w:color w:val="auto"/>
          <w:sz w:val="24"/>
          <w:szCs w:val="24"/>
          <w:highlight w:val="none"/>
        </w:rPr>
        <w:t>无效文件</w:t>
      </w:r>
      <w:r>
        <w:rPr>
          <w:rFonts w:hint="eastAsia" w:ascii="宋体" w:hAnsi="宋体" w:eastAsia="宋体" w:cs="宋体"/>
          <w:color w:val="auto"/>
          <w:sz w:val="24"/>
          <w:szCs w:val="24"/>
          <w:highlight w:val="none"/>
        </w:rPr>
        <w:t>处理，不进入</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，并告知有关供应商</w:t>
      </w:r>
      <w:r>
        <w:rPr>
          <w:rFonts w:hint="eastAsia" w:ascii="宋体" w:hAnsi="宋体" w:eastAsia="宋体" w:cs="宋体"/>
          <w:color w:val="auto"/>
          <w:sz w:val="24"/>
          <w:szCs w:val="24"/>
          <w:highlight w:val="none"/>
          <w:lang w:val="zh-CN"/>
        </w:rPr>
        <w:t>。</w:t>
      </w:r>
    </w:p>
    <w:p w14:paraId="1C382249">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2.同品牌检查：</w:t>
      </w:r>
    </w:p>
    <w:p w14:paraId="30880557">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2.1单一产品采购（或非单一产品采购中的核心产品），提供相同品牌产品且通过资格审查、符合性审查的不同供应商参加同一合同项下谈判的，按一家供应商计算。</w:t>
      </w:r>
    </w:p>
    <w:p w14:paraId="6D41A4A2">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非单一产品采购项目，采购人应当根据采购项目技术构成、产品价格比重等合理确定一个核心产品（采购清单中作“与核心产品相同〈或同一〉品牌”实质性要求的产品，视为一个核心产品），并以“核心产品”在竞争性谈判文件中载明，评审时按前款规定处理。</w:t>
      </w:r>
    </w:p>
    <w:p w14:paraId="52208256">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2.3有效品牌不足3家的应按废标处理</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公开招标的货物和服务项目，招标过程中提交投标文件或者经评审实质性响应招标文件要求的供应商只有2家时，经本级财政部门批准后采用竞争性谈判方式采购的可以为2家</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w:t>
      </w:r>
    </w:p>
    <w:p w14:paraId="2480155A">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46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57" w:name="_Toc163493635"/>
      <w:bookmarkStart w:id="458" w:name="_Toc11015"/>
      <w:bookmarkStart w:id="459" w:name="_Hlk158124046"/>
      <w:bookmarkStart w:id="460" w:name="_Toc102116048"/>
      <w:bookmarkStart w:id="461" w:name="_Toc102114946"/>
      <w:bookmarkStart w:id="462" w:name="_Toc102119879"/>
      <w:bookmarkStart w:id="463" w:name="_Toc102057744"/>
      <w:bookmarkStart w:id="464" w:name="_Toc102116178"/>
      <w:bookmarkStart w:id="465" w:name="_Toc102056244"/>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响应文件澄清</w:t>
      </w:r>
      <w:bookmarkEnd w:id="457"/>
      <w:bookmarkEnd w:id="458"/>
    </w:p>
    <w:p w14:paraId="4E589A43">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1.评审期间，</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小组在对响应文件的有效性、完整性和响应程度进行审查时，可以要求供应商对响应文件中含义不明确、同类问题表述不一致或者有明显文字和计算错误的内容等作出必要的澄清、说明或者更正。供应商应按照谈判小组要求在规定时间内作出澄清、说明或者补正，澄清、说明或者补正不得超出响应文件的范围或者改变响应文件的实质性内容。</w:t>
      </w:r>
    </w:p>
    <w:p w14:paraId="7D6F80BE">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2.谈判小组应当以书面形式要求供应商作出澄清、说明或者更正响应文件。供应商的澄清、说明或者更正</w:t>
      </w:r>
      <w:r>
        <w:rPr>
          <w:rFonts w:hint="eastAsia" w:ascii="宋体" w:hAnsi="宋体" w:eastAsia="宋体" w:cs="宋体"/>
          <w:color w:val="auto"/>
          <w:sz w:val="24"/>
          <w:szCs w:val="24"/>
          <w:highlight w:val="none"/>
        </w:rPr>
        <w:t>是其响应文件的有效组成部分，澄清、说明或者补正应当以书面的方式</w:t>
      </w:r>
      <w:r>
        <w:rPr>
          <w:rFonts w:hint="eastAsia" w:ascii="宋体" w:hAnsi="宋体" w:eastAsia="宋体" w:cs="宋体"/>
          <w:color w:val="auto"/>
          <w:sz w:val="24"/>
          <w:szCs w:val="24"/>
          <w:highlight w:val="none"/>
          <w:lang w:val="en-US" w:eastAsia="zh-CN"/>
        </w:rPr>
        <w:t>由法定代表人或其授权代表签字或者加盖公章（</w:t>
      </w:r>
      <w:r>
        <w:rPr>
          <w:rFonts w:hint="eastAsia" w:ascii="宋体" w:hAnsi="宋体" w:eastAsia="宋体" w:cs="宋体"/>
          <w:color w:val="auto"/>
          <w:sz w:val="24"/>
          <w:szCs w:val="24"/>
          <w:highlight w:val="none"/>
        </w:rPr>
        <w:t>电子印章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后提交</w:t>
      </w:r>
      <w:r>
        <w:rPr>
          <w:rFonts w:hint="eastAsia" w:ascii="宋体" w:hAnsi="宋体" w:eastAsia="宋体" w:cs="宋体"/>
          <w:color w:val="auto"/>
          <w:sz w:val="24"/>
          <w:szCs w:val="24"/>
          <w:highlight w:val="none"/>
          <w:lang w:val="en-US" w:eastAsia="zh-CN"/>
        </w:rPr>
        <w:t>。由授权代表签字的，应当附法定代表人授权书。供应商为自然人的，应当由本人签字并附身份证明。</w:t>
      </w:r>
    </w:p>
    <w:bookmarkEnd w:id="459"/>
    <w:p w14:paraId="27E4E052">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46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466" w:name="_Toc13539"/>
      <w:bookmarkStart w:id="467" w:name="_Toc163493636"/>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谈判程序</w:t>
      </w:r>
      <w:bookmarkEnd w:id="466"/>
      <w:bookmarkEnd w:id="467"/>
    </w:p>
    <w:p w14:paraId="3B21DF86">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小组应当依据</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文件规定的程序、评</w:t>
      </w:r>
      <w:r>
        <w:rPr>
          <w:rFonts w:hint="eastAsia" w:ascii="宋体" w:hAnsi="宋体" w:eastAsia="宋体" w:cs="宋体"/>
          <w:color w:val="auto"/>
          <w:sz w:val="24"/>
          <w:szCs w:val="24"/>
          <w:highlight w:val="none"/>
          <w:lang w:val="en-US" w:eastAsia="zh-CN"/>
        </w:rPr>
        <w:t>审</w:t>
      </w:r>
      <w:r>
        <w:rPr>
          <w:rFonts w:hint="eastAsia" w:ascii="宋体" w:hAnsi="宋体" w:eastAsia="宋体" w:cs="宋体"/>
          <w:color w:val="auto"/>
          <w:sz w:val="24"/>
          <w:szCs w:val="24"/>
          <w:highlight w:val="none"/>
        </w:rPr>
        <w:t>成交的标准等事项与</w:t>
      </w:r>
      <w:r>
        <w:rPr>
          <w:rFonts w:hint="eastAsia" w:ascii="宋体" w:hAnsi="宋体" w:eastAsia="宋体" w:cs="宋体"/>
          <w:color w:val="auto"/>
          <w:sz w:val="24"/>
          <w:szCs w:val="24"/>
          <w:highlight w:val="none"/>
          <w:lang w:val="zh-CN"/>
        </w:rPr>
        <w:t>实质性</w:t>
      </w:r>
      <w:r>
        <w:rPr>
          <w:rFonts w:hint="eastAsia" w:ascii="宋体" w:hAnsi="宋体" w:eastAsia="宋体" w:cs="宋体"/>
          <w:color w:val="auto"/>
          <w:sz w:val="24"/>
          <w:szCs w:val="24"/>
          <w:highlight w:val="none"/>
        </w:rPr>
        <w:t>响应</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文件要求的供应商进行</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w:t>
      </w:r>
    </w:p>
    <w:p w14:paraId="410355B6">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60" w:after="60" w:line="42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1.第一轮谈判</w:t>
      </w:r>
    </w:p>
    <w:p w14:paraId="0B92300B">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1.1</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rPr>
        <w:t>小组将按照系统随机的顺序决定供应商的</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rPr>
        <w:t>顺序，并集中与单一供应商分别进行</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w:t>
      </w:r>
    </w:p>
    <w:p w14:paraId="7F6A6EA2">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小组所有成员应当对照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文件和响应文件就采购需求、质量和服务等内容集中与单一供应商分别进行</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，并给予所有参加</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的供应商平等的</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机会。在</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中，</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的任何一方不得透露与</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有关的其他供应商的技术资料、价格和其他信息。</w:t>
      </w:r>
    </w:p>
    <w:p w14:paraId="1BC6C917">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1.3</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过程中，</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小组可以根据</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文件和</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情况实质性变动采购需求中的技术、服务要求以及合同草案条款，但不得变动</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文件中的其他内容。实质性变动的内容，须经采购人代表确认。</w:t>
      </w:r>
    </w:p>
    <w:p w14:paraId="26C7DC2C">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1.4对</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文件作出的实质性变动的内容是</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文件的有效组成部分。</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小组应将</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文件的变动情况以书面</w:t>
      </w:r>
      <w:r>
        <w:rPr>
          <w:rFonts w:hint="eastAsia" w:ascii="宋体" w:hAnsi="宋体" w:eastAsia="宋体" w:cs="宋体"/>
          <w:color w:val="auto"/>
          <w:sz w:val="24"/>
          <w:szCs w:val="24"/>
          <w:highlight w:val="none"/>
          <w:lang w:val="en-US" w:eastAsia="zh-CN"/>
        </w:rPr>
        <w:t>形</w:t>
      </w:r>
      <w:r>
        <w:rPr>
          <w:rFonts w:hint="eastAsia" w:ascii="宋体" w:hAnsi="宋体" w:eastAsia="宋体" w:cs="宋体"/>
          <w:color w:val="auto"/>
          <w:sz w:val="24"/>
          <w:szCs w:val="24"/>
          <w:highlight w:val="none"/>
        </w:rPr>
        <w:t>式通知所有参加</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的供应商。</w:t>
      </w:r>
    </w:p>
    <w:p w14:paraId="708F2F98">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1.5供应商应当按照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文件的变动情况和</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的要求在规定的时间内重新提交响应文件，并由其法定代表人或授权代表签字或者加盖公章。由授权代表签字的，应当附法定代表人授权书。供应商为自然人的，应当由本人签字并附身份证明。逾时不提交的，视同退出</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w:t>
      </w:r>
    </w:p>
    <w:p w14:paraId="296A5BF1">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60" w:after="60" w:line="42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2.多轮谈判</w:t>
      </w:r>
    </w:p>
    <w:p w14:paraId="07D8F4C4">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文件中不能详细列明采购标的的技术、服务要求，需经</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由供应商提供最终设计方案或解决方案的项目，</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小组可以根据采购人对采购需求的确认情况，进行多轮</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，直到采购人代表最终确认采购需求为止。</w:t>
      </w:r>
    </w:p>
    <w:p w14:paraId="7990D9D0">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程序同第一轮</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w:t>
      </w:r>
    </w:p>
    <w:p w14:paraId="0F051FC6">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2.4如谈判</w:t>
      </w:r>
      <w:r>
        <w:rPr>
          <w:rFonts w:hint="eastAsia" w:ascii="宋体" w:hAnsi="宋体" w:eastAsia="宋体" w:cs="宋体"/>
          <w:color w:val="auto"/>
          <w:sz w:val="24"/>
          <w:szCs w:val="24"/>
          <w:highlight w:val="none"/>
        </w:rPr>
        <w:t>小组根据</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文件和</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情况</w:t>
      </w:r>
      <w:r>
        <w:rPr>
          <w:rFonts w:hint="eastAsia" w:cs="宋体"/>
          <w:color w:val="auto"/>
          <w:sz w:val="24"/>
          <w:szCs w:val="24"/>
          <w:highlight w:val="none"/>
          <w:lang w:val="en-US" w:eastAsia="zh-CN"/>
        </w:rPr>
        <w:t>未</w:t>
      </w:r>
      <w:r>
        <w:rPr>
          <w:rFonts w:hint="eastAsia" w:ascii="宋体" w:hAnsi="宋体" w:eastAsia="宋体" w:cs="宋体"/>
          <w:color w:val="auto"/>
          <w:sz w:val="24"/>
          <w:szCs w:val="24"/>
          <w:highlight w:val="none"/>
        </w:rPr>
        <w:t>对</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文件作出实质性变动</w:t>
      </w:r>
      <w:r>
        <w:rPr>
          <w:rFonts w:hint="eastAsia" w:cs="宋体"/>
          <w:color w:val="auto"/>
          <w:sz w:val="24"/>
          <w:szCs w:val="24"/>
          <w:highlight w:val="none"/>
          <w:lang w:val="en-US" w:eastAsia="zh-CN"/>
        </w:rPr>
        <w:t>增加新的需求，则供应商后一轮报价不得高于前一轮报价。本项目谈判轮次及谈判顺序详“供应商须知前附表”。</w:t>
      </w:r>
    </w:p>
    <w:p w14:paraId="47413248">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60" w:after="60" w:line="42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3.最后报价</w:t>
      </w:r>
    </w:p>
    <w:p w14:paraId="3FE2B13F">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文件中能够详细列明采购标的的技术、服务要求的，</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结束后，</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小组应当要求所有</w:t>
      </w:r>
      <w:r>
        <w:rPr>
          <w:rFonts w:hint="eastAsia" w:ascii="宋体" w:hAnsi="宋体" w:eastAsia="宋体" w:cs="宋体"/>
          <w:color w:val="auto"/>
          <w:sz w:val="24"/>
          <w:szCs w:val="24"/>
          <w:highlight w:val="none"/>
          <w:lang w:val="en-US" w:eastAsia="zh-CN"/>
        </w:rPr>
        <w:t>实质性响应</w:t>
      </w:r>
      <w:r>
        <w:rPr>
          <w:rFonts w:hint="eastAsia" w:ascii="宋体" w:hAnsi="宋体" w:eastAsia="宋体" w:cs="宋体"/>
          <w:color w:val="auto"/>
          <w:sz w:val="24"/>
          <w:szCs w:val="24"/>
          <w:highlight w:val="none"/>
        </w:rPr>
        <w:t>的供应商，在规定时间内，以书面的方式经</w:t>
      </w:r>
      <w:r>
        <w:rPr>
          <w:rFonts w:hint="eastAsia" w:cs="宋体"/>
          <w:color w:val="auto"/>
          <w:sz w:val="24"/>
          <w:szCs w:val="24"/>
          <w:highlight w:val="none"/>
          <w:lang w:val="en-US" w:eastAsia="zh-CN"/>
        </w:rPr>
        <w:t>法定代表人或</w:t>
      </w:r>
      <w:r>
        <w:rPr>
          <w:rFonts w:hint="eastAsia" w:ascii="宋体" w:hAnsi="宋体" w:eastAsia="宋体" w:cs="宋体"/>
          <w:color w:val="auto"/>
          <w:sz w:val="24"/>
          <w:szCs w:val="24"/>
          <w:highlight w:val="none"/>
        </w:rPr>
        <w:t>授权代表签字（或加盖公章）后提交最后报价，提交最后报价的供应商不得少于3家</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市场竞争不充分的科研项目，以及需要扶持的科技成果转化项目可以为2家，</w:t>
      </w:r>
      <w:r>
        <w:rPr>
          <w:rFonts w:hint="eastAsia" w:ascii="宋体" w:hAnsi="宋体" w:eastAsia="宋体" w:cs="宋体"/>
          <w:snapToGrid w:val="0"/>
          <w:color w:val="auto"/>
          <w:sz w:val="24"/>
          <w:szCs w:val="24"/>
          <w:highlight w:val="none"/>
        </w:rPr>
        <w:t>政府购买服务项目[含政府和社会资本合作项目]，在采购过程中符合要求的供应商[社会资本]只有2家的</w:t>
      </w:r>
      <w:r>
        <w:rPr>
          <w:rFonts w:hint="eastAsia" w:ascii="宋体" w:hAnsi="宋体" w:eastAsia="宋体" w:cs="宋体"/>
          <w:color w:val="auto"/>
          <w:sz w:val="24"/>
          <w:szCs w:val="24"/>
          <w:highlight w:val="none"/>
        </w:rPr>
        <w:t>可以为2家</w:t>
      </w:r>
      <w:r>
        <w:rPr>
          <w:rFonts w:hint="eastAsia" w:cs="宋体"/>
          <w:color w:val="auto"/>
          <w:sz w:val="24"/>
          <w:szCs w:val="24"/>
          <w:highlight w:val="none"/>
          <w:lang w:val="en-US" w:eastAsia="zh-CN"/>
        </w:rPr>
        <w:t>；公开招标的货物和服务项目，招标过程中提交投标文件或者经评审实质性响应招标文件要求的供应商只有2家时，经本级财政部门批准后采用竞争性谈判方式采购的可以为2家</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w:t>
      </w:r>
    </w:p>
    <w:p w14:paraId="45C3849D">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文件中不能详细列明采购标的的技术、服务要求，需经</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由供应商提供最</w:t>
      </w:r>
      <w:r>
        <w:rPr>
          <w:rFonts w:hint="eastAsia" w:ascii="宋体" w:hAnsi="宋体" w:eastAsia="宋体" w:cs="宋体"/>
          <w:color w:val="auto"/>
          <w:sz w:val="24"/>
          <w:szCs w:val="24"/>
          <w:highlight w:val="none"/>
          <w:lang w:val="en-US" w:eastAsia="zh-CN"/>
        </w:rPr>
        <w:t>终</w:t>
      </w:r>
      <w:r>
        <w:rPr>
          <w:rFonts w:hint="eastAsia" w:ascii="宋体" w:hAnsi="宋体" w:eastAsia="宋体" w:cs="宋体"/>
          <w:color w:val="auto"/>
          <w:sz w:val="24"/>
          <w:szCs w:val="24"/>
          <w:highlight w:val="none"/>
        </w:rPr>
        <w:t>设计方案或解决方案的，</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结束后，</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小组应当按照少数服从多数的原则投票推荐3家以上（公开招标的货物和服务项目，招标过程中提交投标文件或者经评审实质性响应招标文件要求的供应商只有2家时，经本级财政部门批准后采用竞争性谈判方式采购的可以为2家）供应商的设计方案或者解决方案，并要求其在规定时间内提交最后报价。</w:t>
      </w:r>
    </w:p>
    <w:p w14:paraId="6A85ACA0">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最后报价是供应商响应文件的有效组成部分。逾时不提交的，视同退出</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w:t>
      </w:r>
    </w:p>
    <w:p w14:paraId="63316710">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最后报价出现前后不一致的，按照下列规定修正：</w:t>
      </w:r>
    </w:p>
    <w:p w14:paraId="41A8A1D4">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（1）大写金额和小写金额不一致的，以大写金额为准；</w:t>
      </w:r>
    </w:p>
    <w:p w14:paraId="79A2142F">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（2）单价金额</w:t>
      </w:r>
      <w:r>
        <w:rPr>
          <w:rFonts w:hint="eastAsia" w:ascii="宋体" w:hAnsi="宋体" w:eastAsia="宋体" w:cs="宋体"/>
          <w:color w:val="auto"/>
          <w:sz w:val="24"/>
          <w:szCs w:val="24"/>
          <w:highlight w:val="none"/>
        </w:rPr>
        <w:t>小数点</w:t>
      </w:r>
      <w:r>
        <w:rPr>
          <w:rFonts w:hint="eastAsia" w:ascii="宋体" w:hAnsi="宋体" w:eastAsia="宋体" w:cs="宋体"/>
          <w:color w:val="auto"/>
          <w:sz w:val="24"/>
          <w:szCs w:val="24"/>
          <w:highlight w:val="none"/>
          <w:lang w:val="zh-CN"/>
        </w:rPr>
        <w:t>或百分比有明显错位的，以最后报价表的总价为准，并修改单价；</w:t>
      </w:r>
    </w:p>
    <w:p w14:paraId="53C9A123">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（3）总价金额与按单价汇总金额不一致的，以单价金额计算结果为准；</w:t>
      </w:r>
    </w:p>
    <w:p w14:paraId="62F02C6F">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（4）同时出现</w:t>
      </w:r>
      <w:r>
        <w:rPr>
          <w:rFonts w:hint="eastAsia" w:ascii="宋体" w:hAnsi="宋体" w:eastAsia="宋体" w:cs="宋体"/>
          <w:color w:val="auto"/>
          <w:sz w:val="24"/>
          <w:szCs w:val="24"/>
          <w:highlight w:val="none"/>
        </w:rPr>
        <w:t>两种</w:t>
      </w:r>
      <w:r>
        <w:rPr>
          <w:rFonts w:hint="eastAsia" w:ascii="宋体" w:hAnsi="宋体" w:eastAsia="宋体" w:cs="宋体"/>
          <w:color w:val="auto"/>
          <w:sz w:val="24"/>
          <w:szCs w:val="24"/>
          <w:highlight w:val="none"/>
          <w:lang w:val="zh-CN"/>
        </w:rPr>
        <w:t>以上不一致的，按照前款规定的顺序修正；</w:t>
      </w:r>
    </w:p>
    <w:p w14:paraId="492B1BCC">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修正后的报价应通过书面方式通知供应商，由供应商</w:t>
      </w:r>
      <w:r>
        <w:rPr>
          <w:rFonts w:hint="eastAsia" w:cs="宋体"/>
          <w:color w:val="auto"/>
          <w:sz w:val="24"/>
          <w:szCs w:val="24"/>
          <w:highlight w:val="none"/>
          <w:lang w:val="en-US" w:eastAsia="zh-CN"/>
        </w:rPr>
        <w:t>法定代表人或</w:t>
      </w:r>
      <w:r>
        <w:rPr>
          <w:rFonts w:hint="eastAsia" w:ascii="宋体" w:hAnsi="宋体" w:eastAsia="宋体" w:cs="宋体"/>
          <w:color w:val="auto"/>
          <w:sz w:val="24"/>
          <w:szCs w:val="24"/>
          <w:highlight w:val="none"/>
          <w:lang w:val="zh-CN"/>
        </w:rPr>
        <w:t>授权代表签字（或加盖公章）确认后产生约束力，供应商不确认的，按照</w:t>
      </w:r>
      <w:r>
        <w:rPr>
          <w:rFonts w:hint="eastAsia" w:ascii="宋体" w:hAnsi="宋体" w:eastAsia="宋体" w:cs="宋体"/>
          <w:b/>
          <w:bCs/>
          <w:color w:val="auto"/>
          <w:sz w:val="24"/>
          <w:szCs w:val="24"/>
          <w:highlight w:val="none"/>
          <w:lang w:val="zh-CN"/>
        </w:rPr>
        <w:t>无效响应</w:t>
      </w:r>
      <w:r>
        <w:rPr>
          <w:rFonts w:hint="eastAsia" w:ascii="宋体" w:hAnsi="宋体" w:eastAsia="宋体" w:cs="宋体"/>
          <w:color w:val="auto"/>
          <w:sz w:val="24"/>
          <w:szCs w:val="24"/>
          <w:highlight w:val="none"/>
          <w:lang w:val="zh-CN"/>
        </w:rPr>
        <w:t>处理。</w:t>
      </w:r>
    </w:p>
    <w:p w14:paraId="040E7FCB">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en-US" w:eastAsia="zh-CN"/>
        </w:rPr>
      </w:pPr>
      <w:bookmarkStart w:id="468" w:name="_Toc102056245"/>
      <w:bookmarkStart w:id="469" w:name="_Toc102116179"/>
      <w:bookmarkStart w:id="470" w:name="_Toc102116049"/>
      <w:bookmarkStart w:id="471" w:name="_Toc102057745"/>
      <w:bookmarkStart w:id="472" w:name="_Toc102114947"/>
      <w:bookmarkStart w:id="473" w:name="_Toc102119880"/>
      <w:r>
        <w:rPr>
          <w:rFonts w:hint="eastAsia" w:ascii="宋体" w:hAnsi="宋体" w:eastAsia="宋体" w:cs="宋体"/>
          <w:color w:val="auto"/>
          <w:sz w:val="24"/>
          <w:szCs w:val="24"/>
          <w:highlight w:val="none"/>
          <w:lang w:val="en-US" w:eastAsia="zh-CN"/>
        </w:rPr>
        <w:t>3.4已提交响应文件的供应商，在提交最后报价之前，可以根据</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情况退出</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，退出</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供应商的</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保证金可予以退还。</w:t>
      </w:r>
    </w:p>
    <w:p w14:paraId="37D01FAF">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60" w:after="60" w:line="42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4.商务技术评审</w:t>
      </w:r>
    </w:p>
    <w:p w14:paraId="2D2ED263">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4.1</w:t>
      </w:r>
      <w:r>
        <w:rPr>
          <w:rFonts w:hint="eastAsia" w:cs="宋体"/>
          <w:color w:val="auto"/>
          <w:sz w:val="24"/>
          <w:szCs w:val="24"/>
          <w:highlight w:val="none"/>
          <w:lang w:val="en-US" w:eastAsia="zh-CN"/>
        </w:rPr>
        <w:t>谈判小组根据本章的评审标准以及谈判文件实质性变动的内容，按谈判文件要求对修正后的响应文件进行商务技术评审，未实质性响应谈判文件要求的响应文件按</w:t>
      </w:r>
      <w:r>
        <w:rPr>
          <w:rFonts w:hint="eastAsia" w:cs="宋体"/>
          <w:b/>
          <w:bCs/>
          <w:color w:val="auto"/>
          <w:sz w:val="24"/>
          <w:szCs w:val="24"/>
          <w:highlight w:val="none"/>
          <w:lang w:val="en-US" w:eastAsia="zh-CN"/>
        </w:rPr>
        <w:t>无效响应</w:t>
      </w:r>
      <w:r>
        <w:rPr>
          <w:rFonts w:hint="eastAsia" w:cs="宋体"/>
          <w:color w:val="auto"/>
          <w:sz w:val="24"/>
          <w:szCs w:val="24"/>
          <w:highlight w:val="none"/>
          <w:lang w:val="en-US" w:eastAsia="zh-CN"/>
        </w:rPr>
        <w:t>处理</w:t>
      </w:r>
      <w:r>
        <w:rPr>
          <w:rFonts w:hint="eastAsia" w:ascii="宋体" w:hAnsi="宋体" w:eastAsia="宋体" w:cs="宋体"/>
          <w:color w:val="auto"/>
          <w:sz w:val="24"/>
          <w:szCs w:val="24"/>
          <w:highlight w:val="none"/>
          <w:lang w:val="zh-CN"/>
        </w:rPr>
        <w:t>。</w:t>
      </w:r>
    </w:p>
    <w:bookmarkEnd w:id="460"/>
    <w:bookmarkEnd w:id="461"/>
    <w:bookmarkEnd w:id="462"/>
    <w:bookmarkEnd w:id="463"/>
    <w:bookmarkEnd w:id="464"/>
    <w:bookmarkEnd w:id="465"/>
    <w:bookmarkEnd w:id="468"/>
    <w:bookmarkEnd w:id="469"/>
    <w:bookmarkEnd w:id="470"/>
    <w:bookmarkEnd w:id="471"/>
    <w:bookmarkEnd w:id="472"/>
    <w:bookmarkEnd w:id="473"/>
    <w:p w14:paraId="11B2A599">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60" w:after="60" w:line="42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74" w:name="_Toc102116051"/>
      <w:bookmarkStart w:id="475" w:name="_Toc102056247"/>
      <w:bookmarkStart w:id="476" w:name="_Toc102114949"/>
      <w:bookmarkStart w:id="477" w:name="_Toc102116181"/>
      <w:bookmarkStart w:id="478" w:name="_Toc102119882"/>
      <w:bookmarkStart w:id="479" w:name="_Toc102057747"/>
      <w:r>
        <w:rPr>
          <w:rFonts w:hint="eastAsia" w:ascii="宋体" w:hAnsi="宋体" w:eastAsia="宋体" w:cs="宋体"/>
          <w:b/>
          <w:bCs/>
          <w:color w:val="auto"/>
          <w:kern w:val="2"/>
          <w:sz w:val="24"/>
          <w:szCs w:val="24"/>
          <w:highlight w:val="none"/>
          <w:lang w:val="en-US" w:eastAsia="zh-CN" w:bidi="ar-SA"/>
        </w:rPr>
        <w:t>5.报价评</w:t>
      </w:r>
      <w:bookmarkEnd w:id="474"/>
      <w:bookmarkEnd w:id="475"/>
      <w:bookmarkEnd w:id="476"/>
      <w:bookmarkEnd w:id="477"/>
      <w:bookmarkEnd w:id="478"/>
      <w:bookmarkEnd w:id="479"/>
      <w:r>
        <w:rPr>
          <w:rFonts w:hint="eastAsia" w:ascii="宋体" w:hAnsi="宋体" w:eastAsia="宋体" w:cs="宋体"/>
          <w:b/>
          <w:bCs/>
          <w:color w:val="auto"/>
          <w:kern w:val="2"/>
          <w:sz w:val="24"/>
          <w:szCs w:val="24"/>
          <w:highlight w:val="none"/>
          <w:lang w:val="en-US" w:eastAsia="zh-CN" w:bidi="ar-SA"/>
        </w:rPr>
        <w:t>审</w:t>
      </w:r>
    </w:p>
    <w:p w14:paraId="4F87D81F">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5.1报价合理性说明：</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rPr>
        <w:t>小组认为供应商的最后报价明显低于其他供应商最后报价，有可能影响</w:t>
      </w:r>
      <w:r>
        <w:rPr>
          <w:rFonts w:hint="eastAsia" w:ascii="宋体" w:hAnsi="宋体" w:eastAsia="宋体" w:cs="宋体"/>
          <w:color w:val="auto"/>
          <w:sz w:val="24"/>
          <w:szCs w:val="24"/>
          <w:highlight w:val="none"/>
          <w:lang w:val="en-US" w:eastAsia="zh-CN"/>
        </w:rPr>
        <w:t>货物</w:t>
      </w:r>
      <w:r>
        <w:rPr>
          <w:rFonts w:hint="eastAsia" w:ascii="宋体" w:hAnsi="宋体" w:eastAsia="宋体" w:cs="宋体"/>
          <w:color w:val="auto"/>
          <w:sz w:val="24"/>
          <w:szCs w:val="24"/>
          <w:highlight w:val="none"/>
          <w:lang w:val="zh-CN"/>
        </w:rPr>
        <w:t>质量或者不能诚信履约的，应当要求其在合理的时间内提供说明，必要时提交相关证明材料；供应商不能证明其最后报价合理性的，</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rPr>
        <w:t>小组应当将其作</w:t>
      </w:r>
      <w:r>
        <w:rPr>
          <w:rFonts w:hint="eastAsia" w:ascii="宋体" w:hAnsi="宋体" w:eastAsia="宋体" w:cs="宋体"/>
          <w:b/>
          <w:color w:val="auto"/>
          <w:sz w:val="24"/>
          <w:szCs w:val="24"/>
          <w:highlight w:val="none"/>
          <w:lang w:val="zh-CN"/>
        </w:rPr>
        <w:t>无效响应处理</w:t>
      </w:r>
      <w:r>
        <w:rPr>
          <w:rFonts w:hint="eastAsia" w:ascii="宋体" w:hAnsi="宋体" w:eastAsia="宋体" w:cs="宋体"/>
          <w:color w:val="auto"/>
          <w:sz w:val="24"/>
          <w:szCs w:val="24"/>
          <w:highlight w:val="none"/>
          <w:lang w:val="zh-CN"/>
        </w:rPr>
        <w:t>。</w:t>
      </w:r>
    </w:p>
    <w:p w14:paraId="1B3E8B52">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5.1.1供应商应根据答疑内容在规定的时间内提供说明和成本清单等相关证明材料，</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小组认定相关证明材料对此报价的说明或者证明材料可以佐证此报价的货物质量和具有诚信履约能力，予以通过审查；</w:t>
      </w:r>
    </w:p>
    <w:p w14:paraId="61371D00">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5.1.2供应商提供的说明或者证明材料必须按照国家财务会计制度的规定要求，逐项就供应商提供的货物和服务的主营业务成本、税收及附加、销售费用、管理费用、财务费用等成本构成事项详细陈述，并由法定代表人或者其授权代表签字确认并加盖公章；</w:t>
      </w:r>
    </w:p>
    <w:p w14:paraId="3E3AF71F">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5.1.3供应商不能合理说明或者不能提供相关证明材料的，由</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小组认定该供应商以低于成本报价竞标，有可能影响货物质量或者不能诚信履约，应当</w:t>
      </w:r>
      <w:r>
        <w:rPr>
          <w:rFonts w:hint="eastAsia" w:ascii="宋体" w:hAnsi="宋体" w:eastAsia="宋体" w:cs="宋体"/>
          <w:color w:val="auto"/>
          <w:sz w:val="24"/>
          <w:szCs w:val="24"/>
          <w:highlight w:val="none"/>
          <w:lang w:val="zh-CN"/>
        </w:rPr>
        <w:t>将其作为</w:t>
      </w:r>
      <w:r>
        <w:rPr>
          <w:rFonts w:hint="eastAsia" w:ascii="宋体" w:hAnsi="宋体" w:eastAsia="宋体" w:cs="宋体"/>
          <w:b/>
          <w:color w:val="auto"/>
          <w:sz w:val="24"/>
          <w:szCs w:val="24"/>
          <w:highlight w:val="none"/>
          <w:lang w:val="zh-CN"/>
        </w:rPr>
        <w:t>无效响应处理</w:t>
      </w:r>
      <w:r>
        <w:rPr>
          <w:rFonts w:hint="eastAsia" w:ascii="宋体" w:hAnsi="宋体" w:eastAsia="宋体" w:cs="宋体"/>
          <w:color w:val="auto"/>
          <w:sz w:val="24"/>
          <w:szCs w:val="24"/>
          <w:highlight w:val="none"/>
          <w:lang w:val="en-US" w:eastAsia="zh-CN"/>
        </w:rPr>
        <w:t>；</w:t>
      </w:r>
    </w:p>
    <w:p w14:paraId="071B5B7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5.1.4供应商也可以有预见性地准备好上述要求的书面说明和相关证明材料并加盖公章。</w:t>
      </w:r>
    </w:p>
    <w:p w14:paraId="048C375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jc w:val="both"/>
        <w:textAlignment w:val="auto"/>
        <w:rPr>
          <w:rFonts w:hint="default"/>
          <w:color w:val="auto"/>
          <w:sz w:val="24"/>
          <w:szCs w:val="24"/>
          <w:highlight w:val="none"/>
          <w:lang w:val="en-US" w:eastAsia="zh-CN"/>
        </w:rPr>
      </w:pPr>
      <w:r>
        <w:rPr>
          <w:rFonts w:hint="eastAsia" w:ascii="宋体" w:hAnsi="宋体" w:eastAsia="宋体" w:cs="宋体"/>
          <w:b/>
          <w:bCs/>
          <w:color w:val="auto"/>
          <w:sz w:val="24"/>
          <w:szCs w:val="24"/>
          <w:highlight w:val="none"/>
          <w:lang w:val="zh-CN"/>
        </w:rPr>
        <w:t>5.2</w:t>
      </w:r>
      <w:r>
        <w:rPr>
          <w:rFonts w:hint="eastAsia"/>
          <w:b/>
          <w:bCs/>
          <w:color w:val="auto"/>
          <w:sz w:val="24"/>
          <w:szCs w:val="24"/>
          <w:highlight w:val="none"/>
          <w:lang w:val="en-US" w:eastAsia="zh-CN"/>
        </w:rPr>
        <w:t>.</w:t>
      </w:r>
      <w:r>
        <w:rPr>
          <w:rFonts w:hint="eastAsia"/>
          <w:b/>
          <w:bCs/>
          <w:color w:val="auto"/>
          <w:sz w:val="24"/>
          <w:szCs w:val="24"/>
          <w:highlight w:val="none"/>
        </w:rPr>
        <w:t>政府采购异常低价审查</w:t>
      </w:r>
    </w:p>
    <w:p w14:paraId="6A7A5B8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5.2.1</w:t>
      </w:r>
      <w:r>
        <w:rPr>
          <w:rFonts w:hint="eastAsia"/>
          <w:color w:val="auto"/>
          <w:sz w:val="24"/>
          <w:szCs w:val="24"/>
          <w:highlight w:val="none"/>
        </w:rPr>
        <w:t>政府采购评审中出现下列情形之一的，评审委员会应当启动异常低价投标（响应）审查程序：</w:t>
      </w:r>
    </w:p>
    <w:p w14:paraId="5625AAC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投标（响应）报价低于全部通过符合性审查供应商投标（响应）报价平均值50%的，即投标（响应）报价&lt;全部通过符合性审查供应商投标（响应）报价平均值×50%；</w:t>
      </w:r>
    </w:p>
    <w:p w14:paraId="6D73972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rPr>
        <w:t>投标（响应）报价低于通过符合性审查的次低报价供应商投标（响应）报价50%的，即投标（响应）报价&lt;通过符合性审查的次低报价供应商投标（响应）报价×50%；</w:t>
      </w:r>
    </w:p>
    <w:p w14:paraId="465D4A7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rPr>
        <w:t>投标（响应）报价低于采购项目最高限价45%的，即投标（响应）报价&lt;采购项目最高限价×45%；</w:t>
      </w:r>
    </w:p>
    <w:p w14:paraId="78081D5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评审委员会基于专业判断，认为供应商报价过低，有可能影响产品质量或者不能诚信履约的其他情形。</w:t>
      </w:r>
    </w:p>
    <w:p w14:paraId="08143A5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5.2.2</w:t>
      </w:r>
      <w:r>
        <w:rPr>
          <w:rFonts w:hint="eastAsia"/>
          <w:color w:val="auto"/>
          <w:sz w:val="24"/>
          <w:szCs w:val="24"/>
          <w:highlight w:val="none"/>
        </w:rPr>
        <w:t>评审委员会启动异常低价投标（响应）审查后，属于前述第</w:t>
      </w: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项至第</w:t>
      </w: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679FD63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784FDBF">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b/>
          <w:bCs/>
          <w:color w:val="auto"/>
          <w:sz w:val="24"/>
          <w:szCs w:val="24"/>
          <w:highlight w:val="none"/>
          <w:lang w:val="zh-CN"/>
        </w:rPr>
        <w:t>5.</w:t>
      </w:r>
      <w:r>
        <w:rPr>
          <w:rFonts w:hint="eastAsia"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zh-CN"/>
        </w:rPr>
        <w:t>价格扣除：</w:t>
      </w:r>
      <w:r>
        <w:rPr>
          <w:rFonts w:hint="eastAsia" w:ascii="宋体" w:hAnsi="宋体" w:eastAsia="宋体" w:cs="宋体"/>
          <w:color w:val="auto"/>
          <w:sz w:val="24"/>
          <w:szCs w:val="24"/>
          <w:highlight w:val="none"/>
          <w:lang w:val="zh-CN"/>
        </w:rPr>
        <w:t xml:space="preserve"> </w:t>
      </w:r>
    </w:p>
    <w:p w14:paraId="1F4B5526">
      <w:pPr>
        <w:pStyle w:val="33"/>
        <w:keepNext w:val="0"/>
        <w:keepLines w:val="0"/>
        <w:pageBreakBefore w:val="0"/>
        <w:widowControl w:val="0"/>
        <w:numPr>
          <w:ilvl w:val="0"/>
          <w:numId w:val="0"/>
        </w:numPr>
        <w:shd w:val="clear" w:color="auto"/>
        <w:kinsoku/>
        <w:overflowPunct/>
        <w:topLinePunct w:val="0"/>
        <w:autoSpaceDE/>
        <w:autoSpaceDN/>
        <w:bidi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kern w:val="2"/>
          <w:sz w:val="24"/>
          <w:szCs w:val="24"/>
          <w:highlight w:val="none"/>
          <w:lang w:val="en-US" w:eastAsia="zh-CN" w:bidi="ar-SA"/>
        </w:rPr>
        <w:t>5.3.1</w:t>
      </w:r>
      <w:r>
        <w:rPr>
          <w:rFonts w:hint="eastAsia" w:ascii="宋体" w:hAnsi="宋体" w:eastAsia="宋体" w:cs="宋体"/>
          <w:color w:val="auto"/>
          <w:sz w:val="24"/>
          <w:szCs w:val="24"/>
          <w:highlight w:val="none"/>
        </w:rPr>
        <w:t>非专门面向中小企业的采购项目或采购包，对符合规定的小微企业（监狱企业、残疾人福利性单位、联合体各方均为小微企业的联合体、符合小微企业划分标准的个体工商户视同小微企业）报价按照竞争性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供应商须知前附表”中的规定扣除，对小微企业中的监狱企业、残疾人福利性单位的报价按照本</w:t>
      </w:r>
      <w:r>
        <w:rPr>
          <w:rFonts w:hint="eastAsia" w:ascii="宋体" w:hAnsi="宋体" w:eastAsia="宋体" w:cs="宋体"/>
          <w:color w:val="auto"/>
          <w:sz w:val="24"/>
          <w:szCs w:val="24"/>
          <w:highlight w:val="none"/>
          <w:lang w:val="en-US" w:eastAsia="zh-CN"/>
        </w:rPr>
        <w:t>竞争性谈判</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rPr>
        <w:t>须知前附表”中的规定扣除，用扣除后的价格</w:t>
      </w:r>
      <w:r>
        <w:rPr>
          <w:rFonts w:hint="eastAsia" w:cs="宋体"/>
          <w:color w:val="auto"/>
          <w:sz w:val="24"/>
          <w:szCs w:val="24"/>
          <w:highlight w:val="none"/>
          <w:lang w:val="en-US" w:eastAsia="zh-CN"/>
        </w:rPr>
        <w:t>参与</w:t>
      </w:r>
      <w:r>
        <w:rPr>
          <w:rFonts w:hint="eastAsia" w:ascii="宋体" w:hAnsi="宋体" w:eastAsia="宋体" w:cs="宋体"/>
          <w:color w:val="auto"/>
          <w:sz w:val="24"/>
          <w:szCs w:val="24"/>
          <w:highlight w:val="none"/>
        </w:rPr>
        <w:t>评审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采购产品纳入创新产品应用示范推荐目录内企业、采购产品获得节能产品或环境标志产品认证证书</w:t>
      </w:r>
      <w:r>
        <w:rPr>
          <w:rFonts w:hint="eastAsia" w:cs="宋体"/>
          <w:color w:val="auto"/>
          <w:sz w:val="24"/>
          <w:szCs w:val="24"/>
          <w:highlight w:val="none"/>
          <w:lang w:val="en-US" w:eastAsia="zh-CN"/>
        </w:rPr>
        <w:t>的供应商</w:t>
      </w:r>
      <w:r>
        <w:rPr>
          <w:rFonts w:hint="eastAsia" w:ascii="宋体" w:hAnsi="宋体" w:eastAsia="宋体" w:cs="宋体"/>
          <w:color w:val="auto"/>
          <w:sz w:val="24"/>
          <w:szCs w:val="24"/>
          <w:highlight w:val="none"/>
        </w:rPr>
        <w:t>按照本</w:t>
      </w:r>
      <w:r>
        <w:rPr>
          <w:rFonts w:hint="eastAsia" w:ascii="宋体" w:hAnsi="宋体" w:eastAsia="宋体" w:cs="宋体"/>
          <w:color w:val="auto"/>
          <w:sz w:val="24"/>
          <w:szCs w:val="24"/>
          <w:highlight w:val="none"/>
          <w:lang w:val="en-US" w:eastAsia="zh-CN"/>
        </w:rPr>
        <w:t>竞争性谈判</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rPr>
        <w:t>须知前附表”中的规定</w:t>
      </w:r>
      <w:r>
        <w:rPr>
          <w:rFonts w:hint="eastAsia" w:cs="宋体"/>
          <w:color w:val="auto"/>
          <w:sz w:val="24"/>
          <w:szCs w:val="24"/>
          <w:highlight w:val="none"/>
          <w:lang w:val="en-US" w:eastAsia="zh-CN"/>
        </w:rPr>
        <w:t>给予评审优惠</w:t>
      </w:r>
      <w:r>
        <w:rPr>
          <w:rFonts w:hint="eastAsia" w:ascii="宋体" w:hAnsi="宋体" w:eastAsia="宋体" w:cs="宋体"/>
          <w:color w:val="auto"/>
          <w:sz w:val="24"/>
          <w:szCs w:val="24"/>
          <w:highlight w:val="none"/>
        </w:rPr>
        <w:t>。</w:t>
      </w:r>
    </w:p>
    <w:p w14:paraId="72014FEF">
      <w:pPr>
        <w:pStyle w:val="33"/>
        <w:keepNext w:val="0"/>
        <w:keepLines w:val="0"/>
        <w:pageBreakBefore w:val="0"/>
        <w:widowControl w:val="0"/>
        <w:numPr>
          <w:ilvl w:val="0"/>
          <w:numId w:val="0"/>
        </w:numPr>
        <w:shd w:val="clear" w:color="auto"/>
        <w:kinsoku/>
        <w:overflowPunct/>
        <w:topLinePunct w:val="0"/>
        <w:autoSpaceDE/>
        <w:autoSpaceDN/>
        <w:bidi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kern w:val="2"/>
          <w:sz w:val="24"/>
          <w:szCs w:val="24"/>
          <w:highlight w:val="none"/>
          <w:lang w:val="en-US" w:eastAsia="zh-CN" w:bidi="ar-SA"/>
        </w:rPr>
        <w:t>5.3.2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p>
    <w:p w14:paraId="1A495953">
      <w:pPr>
        <w:pStyle w:val="33"/>
        <w:keepNext w:val="0"/>
        <w:keepLines w:val="0"/>
        <w:pageBreakBefore w:val="0"/>
        <w:widowControl w:val="0"/>
        <w:numPr>
          <w:ilvl w:val="0"/>
          <w:numId w:val="0"/>
        </w:numPr>
        <w:shd w:val="clear" w:color="auto"/>
        <w:kinsoku/>
        <w:overflowPunct/>
        <w:topLinePunct w:val="0"/>
        <w:autoSpaceDE/>
        <w:autoSpaceDN/>
        <w:bidi w:val="0"/>
        <w:spacing w:line="42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5.3.3</w:t>
      </w:r>
      <w:r>
        <w:rPr>
          <w:rFonts w:hint="eastAsia" w:ascii="宋体" w:hAnsi="宋体" w:eastAsia="宋体" w:cs="宋体"/>
          <w:color w:val="auto"/>
          <w:kern w:val="2"/>
          <w:sz w:val="24"/>
          <w:szCs w:val="24"/>
          <w:highlight w:val="none"/>
          <w:lang w:val="en-US" w:eastAsia="zh-CN" w:bidi="ar-SA"/>
        </w:rPr>
        <w:t>组成联合体或者接受分包的小微企业与联合体内其他企业、分包企业之间存在直接控股、管理关系的，不享受价格扣除优惠政策。</w:t>
      </w:r>
    </w:p>
    <w:p w14:paraId="60984AA9">
      <w:pPr>
        <w:pStyle w:val="33"/>
        <w:keepNext w:val="0"/>
        <w:keepLines w:val="0"/>
        <w:pageBreakBefore w:val="0"/>
        <w:widowControl w:val="0"/>
        <w:numPr>
          <w:ilvl w:val="0"/>
          <w:numId w:val="0"/>
        </w:numPr>
        <w:shd w:val="clear" w:color="auto"/>
        <w:kinsoku/>
        <w:overflowPunct/>
        <w:topLinePunct w:val="0"/>
        <w:autoSpaceDE/>
        <w:autoSpaceDN/>
        <w:bidi w:val="0"/>
        <w:spacing w:line="420" w:lineRule="exact"/>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5.3.4</w:t>
      </w: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19B743D0">
      <w:pPr>
        <w:pStyle w:val="33"/>
        <w:keepNext w:val="0"/>
        <w:keepLines w:val="0"/>
        <w:pageBreakBefore w:val="0"/>
        <w:widowControl w:val="0"/>
        <w:numPr>
          <w:ilvl w:val="0"/>
          <w:numId w:val="0"/>
        </w:numPr>
        <w:shd w:val="clear" w:color="auto"/>
        <w:kinsoku/>
        <w:overflowPunct/>
        <w:topLinePunct w:val="0"/>
        <w:autoSpaceDE/>
        <w:autoSpaceDN/>
        <w:bidi w:val="0"/>
        <w:spacing w:line="420" w:lineRule="exact"/>
        <w:ind w:firstLine="480" w:firstLineChars="200"/>
        <w:textAlignment w:val="auto"/>
        <w:rPr>
          <w:rFonts w:hint="eastAsia" w:ascii="宋体" w:hAnsi="宋体" w:eastAsia="宋体" w:cs="宋体"/>
          <w:color w:val="auto"/>
          <w:sz w:val="24"/>
          <w:szCs w:val="24"/>
          <w:highlight w:val="none"/>
        </w:rPr>
      </w:pPr>
      <w:r>
        <w:rPr>
          <w:rFonts w:hint="eastAsia" w:cs="宋体"/>
          <w:color w:val="auto"/>
          <w:kern w:val="2"/>
          <w:sz w:val="24"/>
          <w:szCs w:val="24"/>
          <w:highlight w:val="none"/>
          <w:lang w:val="en-US" w:eastAsia="zh-CN" w:bidi="ar-SA"/>
        </w:rPr>
        <w:t>5.3.5</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57E1355E">
      <w:pPr>
        <w:pStyle w:val="33"/>
        <w:keepNext w:val="0"/>
        <w:keepLines w:val="0"/>
        <w:pageBreakBefore w:val="0"/>
        <w:widowControl w:val="0"/>
        <w:shd w:val="clear"/>
        <w:kinsoku/>
        <w:overflowPunct/>
        <w:topLinePunct w:val="0"/>
        <w:autoSpaceDE/>
        <w:autoSpaceDN/>
        <w:bidi w:val="0"/>
        <w:adjustRightInd/>
        <w:jc w:val="both"/>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5.3.6</w:t>
      </w:r>
      <w:r>
        <w:rPr>
          <w:rFonts w:hint="eastAsia" w:ascii="宋体" w:hAnsi="宋体" w:eastAsia="宋体" w:cs="宋体"/>
          <w:color w:val="auto"/>
          <w:sz w:val="24"/>
          <w:szCs w:val="24"/>
          <w:highlight w:val="none"/>
          <w:lang w:val="en-US" w:eastAsia="zh-CN"/>
        </w:rPr>
        <w:t>若供应商同时属于小型或微型企业、监狱企业、残疾人福利性单位 中的两种及以上，将不重复享受小微企业价格扣减的优惠政策。</w:t>
      </w:r>
    </w:p>
    <w:p w14:paraId="25435DD2">
      <w:pPr>
        <w:pStyle w:val="33"/>
        <w:keepNext w:val="0"/>
        <w:keepLines w:val="0"/>
        <w:pageBreakBefore w:val="0"/>
        <w:widowControl w:val="0"/>
        <w:shd w:val="clear"/>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eastAsia="宋体"/>
          <w:snapToGrid w:val="0"/>
          <w:color w:val="auto"/>
          <w:sz w:val="24"/>
          <w:highlight w:val="none"/>
          <w:lang w:val="en-US" w:eastAsia="zh-CN"/>
        </w:rPr>
        <w:t>5.4</w:t>
      </w:r>
      <w:r>
        <w:rPr>
          <w:rFonts w:hint="eastAsia"/>
          <w:snapToGrid w:val="0"/>
          <w:color w:val="auto"/>
          <w:sz w:val="24"/>
          <w:highlight w:val="none"/>
          <w:lang w:val="en-US" w:eastAsia="zh-CN"/>
        </w:rPr>
        <w:t>供应商对其提供的产品出具《关于符合本国产品标准的声明函》（样式见附件1，以下简称《声明函》）或财政部会同有关部门规定的有关证明文件。出具符合要求的《声明函》或有关证明文件的，该产品视为本国产品。</w:t>
      </w:r>
    </w:p>
    <w:p w14:paraId="5E40AAE6">
      <w:pPr>
        <w:pStyle w:val="33"/>
        <w:shd w:val="clear"/>
        <w:jc w:val="both"/>
        <w:rPr>
          <w:rFonts w:hint="eastAsia" w:ascii="宋体" w:hAnsi="宋体" w:eastAsia="宋体" w:cs="宋体"/>
          <w:color w:val="auto"/>
          <w:sz w:val="24"/>
          <w:szCs w:val="24"/>
          <w:highlight w:val="none"/>
          <w:lang w:val="en-US" w:eastAsia="zh-CN"/>
        </w:rPr>
      </w:pPr>
      <w:r>
        <w:rPr>
          <w:rFonts w:hint="eastAsia"/>
          <w:snapToGrid w:val="0"/>
          <w:color w:val="auto"/>
          <w:sz w:val="24"/>
          <w:highlight w:val="none"/>
          <w:lang w:val="en-US" w:eastAsia="zh-CN"/>
        </w:rPr>
        <w:t>5.5</w:t>
      </w:r>
      <w:r>
        <w:rPr>
          <w:rFonts w:hint="eastAsia" w:eastAsia="宋体"/>
          <w:snapToGrid w:val="0"/>
          <w:color w:val="auto"/>
          <w:sz w:val="24"/>
          <w:highlight w:val="none"/>
          <w:lang w:val="en-US" w:eastAsia="zh-CN"/>
        </w:rPr>
        <w:t>采购标的仅包含单一产品时，</w:t>
      </w:r>
      <w:r>
        <w:rPr>
          <w:rFonts w:hint="eastAsia" w:ascii="宋体" w:hAnsi="宋体" w:eastAsia="宋体" w:cs="宋体"/>
          <w:color w:val="auto"/>
          <w:sz w:val="24"/>
          <w:szCs w:val="24"/>
          <w:highlight w:val="none"/>
          <w:lang w:val="en-US" w:eastAsia="zh-CN"/>
        </w:rPr>
        <w:t>政府采购活动中既有本国产品又有非本国产品参与竞争的，依法对本国产品给予价格评审优惠，对本国产品的报价给予20%的价格扣除，用扣除后的价格参与评审。对于仅有本国产品参与竞争的政府采购项目，本国产品不享受价格扣除评审优惠。</w:t>
      </w:r>
    </w:p>
    <w:p w14:paraId="65C3AFB4">
      <w:pPr>
        <w:pStyle w:val="33"/>
        <w:keepNext w:val="0"/>
        <w:keepLines w:val="0"/>
        <w:pageBreakBefore w:val="0"/>
        <w:widowControl w:val="0"/>
        <w:shd w:val="clear"/>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5.6采购标的中含有多种产品，供应商为该采购项目或者采购包提供的符合本国产品标准的产品成本之和占该供应商提供的全部产品成本之和的比例达到80%以上时，且供应商在投标（响应）文件中对此作出承诺</w:t>
      </w:r>
      <w:r>
        <w:rPr>
          <w:rFonts w:hint="eastAsia"/>
          <w:snapToGrid w:val="0"/>
          <w:color w:val="auto"/>
          <w:sz w:val="24"/>
          <w:highlight w:val="none"/>
          <w:lang w:val="en-US" w:eastAsia="zh-CN"/>
        </w:rPr>
        <w:t>，出具《</w:t>
      </w:r>
      <w:r>
        <w:rPr>
          <w:rFonts w:hint="eastAsia" w:eastAsia="宋体"/>
          <w:snapToGrid w:val="0"/>
          <w:color w:val="auto"/>
          <w:sz w:val="24"/>
          <w:highlight w:val="none"/>
          <w:lang w:val="en-US" w:eastAsia="zh-CN"/>
        </w:rPr>
        <w:t>本国产品成本占比承诺函</w:t>
      </w:r>
      <w:r>
        <w:rPr>
          <w:rFonts w:hint="eastAsia"/>
          <w:snapToGrid w:val="0"/>
          <w:color w:val="auto"/>
          <w:sz w:val="24"/>
          <w:highlight w:val="none"/>
          <w:lang w:val="en-US" w:eastAsia="zh-CN"/>
        </w:rPr>
        <w:t>》（样式见附件2，以下简称《承诺函》），</w:t>
      </w:r>
      <w:r>
        <w:rPr>
          <w:rFonts w:hint="eastAsia" w:eastAsia="宋体"/>
          <w:snapToGrid w:val="0"/>
          <w:color w:val="auto"/>
          <w:sz w:val="24"/>
          <w:highlight w:val="none"/>
          <w:lang w:val="en-US" w:eastAsia="zh-CN"/>
        </w:rPr>
        <w:t>则依法对该供应商提供的全部产品给予价格评审优惠，即对该供应商提供的全部产品的总报价给予20%的价格扣除，用扣除后的价格参与评审</w:t>
      </w:r>
      <w:r>
        <w:rPr>
          <w:rFonts w:hint="eastAsia"/>
          <w:snapToGrid w:val="0"/>
          <w:color w:val="auto"/>
          <w:sz w:val="24"/>
          <w:highlight w:val="none"/>
          <w:lang w:val="en-US" w:eastAsia="zh-CN"/>
        </w:rPr>
        <w:t>。若供应商所投产品均符合本国产品标准，且已提供《声明函》，可不填写《承诺函》。</w:t>
      </w:r>
    </w:p>
    <w:p w14:paraId="2D3F2273">
      <w:pPr>
        <w:pStyle w:val="33"/>
        <w:shd w:val="clear"/>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5.7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0393D35F">
      <w:pPr>
        <w:pStyle w:val="33"/>
        <w:shd w:val="clear"/>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对医疗器械产品，</w:t>
      </w:r>
      <w:r>
        <w:rPr>
          <w:rFonts w:hint="eastAsia"/>
          <w:snapToGrid w:val="0"/>
          <w:color w:val="auto"/>
          <w:sz w:val="24"/>
          <w:highlight w:val="none"/>
          <w:lang w:val="en-US" w:eastAsia="zh-CN"/>
        </w:rPr>
        <w:t>提供</w:t>
      </w:r>
      <w:r>
        <w:rPr>
          <w:rFonts w:hint="eastAsia" w:eastAsia="宋体"/>
          <w:snapToGrid w:val="0"/>
          <w:color w:val="auto"/>
          <w:sz w:val="24"/>
          <w:highlight w:val="none"/>
          <w:lang w:val="en-US" w:eastAsia="zh-CN"/>
        </w:rPr>
        <w:t>取得药品监督管理部门授予的准字号医疗器械注册证的，</w:t>
      </w:r>
      <w:r>
        <w:rPr>
          <w:rFonts w:hint="eastAsia"/>
          <w:snapToGrid w:val="0"/>
          <w:color w:val="auto"/>
          <w:sz w:val="24"/>
          <w:highlight w:val="none"/>
          <w:lang w:val="en-US" w:eastAsia="zh-CN"/>
        </w:rPr>
        <w:t>视为符合本国产品标准，无须填写</w:t>
      </w:r>
      <w:r>
        <w:rPr>
          <w:rFonts w:hint="eastAsia" w:eastAsia="宋体"/>
          <w:snapToGrid w:val="0"/>
          <w:color w:val="auto"/>
          <w:sz w:val="24"/>
          <w:highlight w:val="none"/>
          <w:lang w:val="en-US" w:eastAsia="zh-CN"/>
        </w:rPr>
        <w:t>《声明函》</w:t>
      </w:r>
      <w:r>
        <w:rPr>
          <w:rFonts w:hint="eastAsia"/>
          <w:snapToGrid w:val="0"/>
          <w:color w:val="auto"/>
          <w:sz w:val="24"/>
          <w:highlight w:val="none"/>
          <w:lang w:val="en-US" w:eastAsia="zh-CN"/>
        </w:rPr>
        <w:t>，</w:t>
      </w:r>
      <w:r>
        <w:rPr>
          <w:rFonts w:hint="eastAsia" w:ascii="宋体" w:hAnsi="宋体" w:eastAsia="宋体" w:cs="宋体"/>
          <w:color w:val="auto"/>
          <w:sz w:val="24"/>
          <w:szCs w:val="24"/>
          <w:highlight w:val="none"/>
          <w:lang w:val="en-US" w:eastAsia="zh-CN"/>
        </w:rPr>
        <w:t>报价给予20%的价格扣除，用扣除后的价格参与评审</w:t>
      </w:r>
      <w:r>
        <w:rPr>
          <w:rFonts w:hint="eastAsia" w:cs="宋体"/>
          <w:color w:val="auto"/>
          <w:sz w:val="24"/>
          <w:szCs w:val="24"/>
          <w:highlight w:val="none"/>
          <w:lang w:val="en-US" w:eastAsia="zh-CN"/>
        </w:rPr>
        <w:t>。</w:t>
      </w:r>
    </w:p>
    <w:p w14:paraId="58FAD26D">
      <w:pPr>
        <w:pStyle w:val="33"/>
        <w:shd w:val="clear"/>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5.8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5E5FD8B2">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60" w:after="60" w:line="420" w:lineRule="exact"/>
        <w:ind w:left="420" w:leftChars="0" w:hanging="420" w:firstLineChars="0"/>
        <w:textAlignment w:val="auto"/>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6.相同品牌处理原则</w:t>
      </w:r>
    </w:p>
    <w:p w14:paraId="4D6606A2">
      <w:pPr>
        <w:pStyle w:val="33"/>
        <w:keepNext w:val="0"/>
        <w:keepLines w:val="0"/>
        <w:pageBreakBefore w:val="0"/>
        <w:widowControl w:val="0"/>
        <w:numPr>
          <w:ilvl w:val="0"/>
          <w:numId w:val="0"/>
        </w:numPr>
        <w:shd w:val="clear" w:color="auto"/>
        <w:kinsoku/>
        <w:overflowPunct/>
        <w:topLinePunct w:val="0"/>
        <w:autoSpaceDE/>
        <w:autoSpaceDN/>
        <w:bidi w:val="0"/>
        <w:spacing w:line="420" w:lineRule="exact"/>
        <w:ind w:firstLine="480" w:firstLineChars="200"/>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6.1单一产品采购（或非单一产品采购中的核心产品），提供相同品牌产品的不同供应商参加同一项目下谈判的，以其中通过商务技术评审且最后报价最低的参加评审；报价相同的，由采购人确定或者采购人委托谈判小组以投票方式确定一个参加评审的供应商。</w:t>
      </w:r>
    </w:p>
    <w:p w14:paraId="5E195C1A">
      <w:pPr>
        <w:pStyle w:val="33"/>
        <w:keepNext w:val="0"/>
        <w:keepLines w:val="0"/>
        <w:pageBreakBefore w:val="0"/>
        <w:widowControl w:val="0"/>
        <w:numPr>
          <w:ilvl w:val="0"/>
          <w:numId w:val="0"/>
        </w:numPr>
        <w:shd w:val="clear" w:color="auto"/>
        <w:kinsoku/>
        <w:overflowPunct/>
        <w:topLinePunct w:val="0"/>
        <w:autoSpaceDE/>
        <w:autoSpaceDN/>
        <w:bidi w:val="0"/>
        <w:spacing w:line="420" w:lineRule="exact"/>
        <w:ind w:firstLine="480" w:firstLineChars="200"/>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6.2非单一产品采购项目，采购人应当根据采购项目技术构成、产品价格比重等合理确定一个核心产品（采购清单中作“与核心产品相同〈或同一〉品牌”要求的产品，视为一个核心产品），并以“核心产品”在谈判文件中载明，评审时按照前款规定处理。</w:t>
      </w:r>
    </w:p>
    <w:p w14:paraId="6D6DB070">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60" w:after="60" w:line="420" w:lineRule="exact"/>
        <w:ind w:left="420" w:leftChars="0" w:hanging="420" w:firstLineChars="0"/>
        <w:textAlignment w:val="auto"/>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7.确定成交候选供应商</w:t>
      </w:r>
    </w:p>
    <w:p w14:paraId="0A48BCBB">
      <w:pPr>
        <w:pStyle w:val="33"/>
        <w:keepNext w:val="0"/>
        <w:keepLines w:val="0"/>
        <w:pageBreakBefore w:val="0"/>
        <w:widowControl w:val="0"/>
        <w:numPr>
          <w:ilvl w:val="0"/>
          <w:numId w:val="0"/>
        </w:numPr>
        <w:shd w:val="clear" w:color="auto"/>
        <w:kinsoku/>
        <w:overflowPunct/>
        <w:topLinePunct w:val="0"/>
        <w:autoSpaceDE/>
        <w:autoSpaceDN/>
        <w:bidi w:val="0"/>
        <w:spacing w:line="420" w:lineRule="exact"/>
        <w:ind w:firstLine="480" w:firstLineChars="200"/>
        <w:textAlignment w:val="auto"/>
        <w:rPr>
          <w:rFonts w:hint="eastAsia" w:cs="宋体"/>
          <w:color w:val="auto"/>
          <w:sz w:val="24"/>
          <w:szCs w:val="24"/>
          <w:highlight w:val="none"/>
          <w:lang w:val="en-US" w:eastAsia="zh-CN"/>
        </w:rPr>
      </w:pPr>
      <w:r>
        <w:rPr>
          <w:rFonts w:hint="eastAsia" w:cs="宋体"/>
          <w:color w:val="auto"/>
          <w:sz w:val="24"/>
          <w:szCs w:val="24"/>
          <w:highlight w:val="none"/>
          <w:lang w:val="en-US" w:eastAsia="zh-CN"/>
        </w:rPr>
        <w:t>7.1谈判小组按照谈判文件确定的评审方法、程序及标准，对响应文件进行评审。评审结果按最后报价（因落实政府采购政策进行价格扣除的，以扣除后的价格计算）由低到高顺序排列。报价相同并列的按照“供应商须知前附表”的规定排序。响应文件全部实质性满足谈判文件要求且报价最低的供应商为排名第一的成交候选供应商。</w:t>
      </w:r>
    </w:p>
    <w:p w14:paraId="5C7A17A0">
      <w:pPr>
        <w:pStyle w:val="33"/>
        <w:pageBreakBefore w:val="0"/>
        <w:shd w:val="clear"/>
        <w:kinsoku/>
        <w:overflowPunct/>
        <w:topLinePunct w:val="0"/>
        <w:autoSpaceDE/>
        <w:autoSpaceDN/>
        <w:bidi w:val="0"/>
        <w:spacing w:line="440" w:lineRule="exact"/>
        <w:ind w:firstLine="480"/>
        <w:textAlignment w:val="auto"/>
        <w:rPr>
          <w:rFonts w:hint="eastAsia"/>
          <w:i w:val="0"/>
          <w:iCs w:val="0"/>
          <w:color w:val="auto"/>
          <w:highlight w:val="none"/>
          <w:lang w:val="en-US" w:eastAsia="zh-CN"/>
        </w:rPr>
      </w:pPr>
      <w:r>
        <w:rPr>
          <w:rFonts w:hint="eastAsia"/>
          <w:i w:val="0"/>
          <w:iCs w:val="0"/>
          <w:color w:val="auto"/>
          <w:highlight w:val="none"/>
          <w:lang w:val="en-US" w:eastAsia="zh-CN"/>
        </w:rPr>
        <w:t>7.2除资格性审查认定错误和价格计算错误外，采购人或者采购代理机构不得以任何理由组织重新评审。采购人、采购代理机构发现谈判小组未按照采购文件规定的评定成交的标准进行评审的，应当重新开展采购活动，并同时书面报告本级财政部门。</w:t>
      </w:r>
    </w:p>
    <w:p w14:paraId="4D6D309B">
      <w:pPr>
        <w:pStyle w:val="33"/>
        <w:pageBreakBefore w:val="0"/>
        <w:shd w:val="clear"/>
        <w:kinsoku/>
        <w:overflowPunct/>
        <w:topLinePunct w:val="0"/>
        <w:autoSpaceDE/>
        <w:autoSpaceDN/>
        <w:bidi w:val="0"/>
        <w:spacing w:line="440" w:lineRule="exact"/>
        <w:ind w:firstLine="480"/>
        <w:textAlignment w:val="auto"/>
        <w:rPr>
          <w:rFonts w:hint="eastAsia"/>
          <w:i w:val="0"/>
          <w:iCs w:val="0"/>
          <w:color w:val="auto"/>
          <w:highlight w:val="none"/>
          <w:lang w:val="en-US" w:eastAsia="zh-CN"/>
        </w:rPr>
      </w:pPr>
      <w:r>
        <w:rPr>
          <w:rFonts w:hint="eastAsia"/>
          <w:i w:val="0"/>
          <w:iCs w:val="0"/>
          <w:color w:val="auto"/>
          <w:highlight w:val="none"/>
          <w:lang w:val="en-US" w:eastAsia="zh-CN"/>
        </w:rPr>
        <w:t>7.3采购人或者采购代理机构不得通过对样品进行检测、对供应商进行考察等方式改变评审结果。</w:t>
      </w:r>
    </w:p>
    <w:p w14:paraId="1F8EBB86">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60" w:after="60" w:line="42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80" w:name="_Toc102114952"/>
      <w:bookmarkStart w:id="481" w:name="_Toc102057750"/>
      <w:bookmarkStart w:id="482" w:name="_Toc102116184"/>
      <w:bookmarkStart w:id="483" w:name="_Toc102116054"/>
      <w:bookmarkStart w:id="484" w:name="_Toc102056250"/>
      <w:bookmarkStart w:id="485" w:name="_Toc102119885"/>
      <w:r>
        <w:rPr>
          <w:rFonts w:hint="eastAsia" w:ascii="宋体" w:hAnsi="宋体" w:eastAsia="宋体" w:cs="宋体"/>
          <w:b/>
          <w:bCs/>
          <w:color w:val="auto"/>
          <w:kern w:val="2"/>
          <w:sz w:val="24"/>
          <w:szCs w:val="24"/>
          <w:highlight w:val="none"/>
          <w:lang w:val="en-US" w:eastAsia="zh-CN" w:bidi="ar-SA"/>
        </w:rPr>
        <w:t>8.评审报告</w:t>
      </w:r>
      <w:bookmarkEnd w:id="480"/>
      <w:bookmarkEnd w:id="481"/>
      <w:bookmarkEnd w:id="482"/>
      <w:bookmarkEnd w:id="483"/>
      <w:bookmarkEnd w:id="484"/>
      <w:bookmarkEnd w:id="485"/>
    </w:p>
    <w:p w14:paraId="1836027C">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8.1</w:t>
      </w:r>
      <w:r>
        <w:rPr>
          <w:rFonts w:hint="eastAsia" w:cs="宋体"/>
          <w:color w:val="auto"/>
          <w:sz w:val="24"/>
          <w:szCs w:val="24"/>
          <w:highlight w:val="none"/>
          <w:lang w:val="en-US" w:eastAsia="zh-CN"/>
        </w:rPr>
        <w:t>谈判小组依据评审结果，从质量和服务均能满足采购文件实质性响应要求的供应商中，按照最后报价（因落实政府采购政策进行价格扣除的，以扣除后的价格计算）由低到高的顺序向采购人推荐3家（公开招标的货物和服务项目，招标过程中提交投标文件或者经评审实质性响应招标文件要求的供应商只有2家时，经本级财政部门批准后采用竞争性谈判方式采购的可以为2家）以上成交候选供应商，并根据评审记录和评审结果编写评审报告</w:t>
      </w:r>
      <w:r>
        <w:rPr>
          <w:rFonts w:hint="eastAsia" w:ascii="宋体" w:hAnsi="宋体" w:eastAsia="宋体" w:cs="宋体"/>
          <w:color w:val="auto"/>
          <w:sz w:val="24"/>
          <w:szCs w:val="24"/>
          <w:highlight w:val="none"/>
          <w:lang w:eastAsia="zh-CN"/>
        </w:rPr>
        <w:t>。</w:t>
      </w:r>
    </w:p>
    <w:p w14:paraId="541E582F">
      <w:pPr>
        <w:pStyle w:val="33"/>
        <w:keepNext w:val="0"/>
        <w:keepLines w:val="0"/>
        <w:pageBreakBefore w:val="0"/>
        <w:widowControl w:val="0"/>
        <w:shd w:val="clear"/>
        <w:kinsoku/>
        <w:overflowPunct/>
        <w:topLinePunct w:val="0"/>
        <w:autoSpaceDE/>
        <w:autoSpaceDN/>
        <w:bidi w:val="0"/>
        <w:spacing w:line="420" w:lineRule="exact"/>
        <w:ind w:firstLine="480"/>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8.</w:t>
      </w:r>
      <w:bookmarkStart w:id="486" w:name="_Toc102119852"/>
      <w:bookmarkStart w:id="487" w:name="_Toc102116021"/>
      <w:bookmarkStart w:id="488" w:name="_Toc102056217"/>
      <w:bookmarkStart w:id="489" w:name="_Toc102057717"/>
      <w:bookmarkStart w:id="490" w:name="_Toc102116151"/>
      <w:bookmarkStart w:id="491" w:name="_Toc102114919"/>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评审报告应当由</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eastAsia="zh-CN"/>
        </w:rPr>
        <w:t>小组全体人员签字认可</w:t>
      </w:r>
      <w:r>
        <w:rPr>
          <w:rFonts w:hint="eastAsia" w:cs="Helvetica"/>
          <w:color w:val="auto"/>
          <w:szCs w:val="24"/>
          <w:highlight w:val="none"/>
          <w:lang w:val="zh-CN"/>
        </w:rPr>
        <w:t>，对自己的评审意见依法承担相应责任</w:t>
      </w:r>
      <w:r>
        <w:rPr>
          <w:rFonts w:hint="eastAsia" w:ascii="宋体" w:hAnsi="宋体" w:eastAsia="宋体" w:cs="宋体"/>
          <w:color w:val="auto"/>
          <w:sz w:val="24"/>
          <w:szCs w:val="24"/>
          <w:highlight w:val="none"/>
          <w:lang w:val="zh-CN" w:eastAsia="zh-CN"/>
        </w:rPr>
        <w:t>。</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eastAsia="zh-CN"/>
        </w:rPr>
        <w:t>小组成员对评审报告有异议的，</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eastAsia="zh-CN"/>
        </w:rPr>
        <w:t>小组按照少数服从多数的原则推荐成交候选供应商，采购程序继续进行。对评审报告有异议的</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eastAsia="zh-CN"/>
        </w:rPr>
        <w:t>小组成员，应当在报告上签署不同意见并说明理由，由</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eastAsia="zh-CN"/>
        </w:rPr>
        <w:t>小组书面记录相关情况。</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eastAsia="zh-CN"/>
        </w:rPr>
        <w:t>小组成员拒绝在报告上签字又不书面说明其不同意见和理由的，视为同意评审报告。</w:t>
      </w:r>
    </w:p>
    <w:p w14:paraId="25913F09">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60" w:after="60" w:line="42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92" w:name="_Toc102116022"/>
      <w:bookmarkStart w:id="493" w:name="_Toc102057718"/>
      <w:bookmarkStart w:id="494" w:name="_Toc102119853"/>
      <w:bookmarkStart w:id="495" w:name="_Toc102056218"/>
      <w:bookmarkStart w:id="496" w:name="_Toc102116152"/>
      <w:bookmarkStart w:id="497" w:name="_Toc102114920"/>
      <w:r>
        <w:rPr>
          <w:rFonts w:hint="eastAsia" w:ascii="宋体" w:hAnsi="宋体" w:eastAsia="宋体" w:cs="宋体"/>
          <w:b/>
          <w:bCs/>
          <w:color w:val="auto"/>
          <w:kern w:val="2"/>
          <w:sz w:val="24"/>
          <w:szCs w:val="24"/>
          <w:highlight w:val="none"/>
          <w:lang w:val="en-US" w:eastAsia="zh-CN" w:bidi="ar-SA"/>
        </w:rPr>
        <w:t>9.响应无效的情形</w:t>
      </w:r>
    </w:p>
    <w:p w14:paraId="21B88F58">
      <w:pPr>
        <w:keepNext w:val="0"/>
        <w:keepLines w:val="0"/>
        <w:pageBreakBefore w:val="0"/>
        <w:widowControl/>
        <w:suppressLineNumbers w:val="0"/>
        <w:shd w:val="clear"/>
        <w:kinsoku/>
        <w:overflowPunct/>
        <w:topLinePunct w:val="0"/>
        <w:autoSpaceDE/>
        <w:autoSpaceDN/>
        <w:bidi w:val="0"/>
        <w:adjustRightInd/>
        <w:snapToGrid/>
        <w:spacing w:line="42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9.1</w:t>
      </w:r>
      <w:r>
        <w:rPr>
          <w:rFonts w:hint="eastAsia" w:ascii="宋体" w:hAnsi="宋体" w:eastAsia="宋体" w:cs="宋体"/>
          <w:b w:val="0"/>
          <w:bCs w:val="0"/>
          <w:color w:val="auto"/>
          <w:sz w:val="24"/>
          <w:szCs w:val="24"/>
          <w:highlight w:val="none"/>
        </w:rPr>
        <w:t>供应商存在下列情况之一的，</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bCs/>
          <w:color w:val="auto"/>
          <w:sz w:val="24"/>
          <w:szCs w:val="24"/>
          <w:highlight w:val="none"/>
          <w:lang w:val="en-US" w:eastAsia="zh-CN"/>
        </w:rPr>
        <w:t>响应</w:t>
      </w:r>
      <w:r>
        <w:rPr>
          <w:rFonts w:hint="eastAsia" w:ascii="宋体" w:hAnsi="宋体" w:eastAsia="宋体" w:cs="宋体"/>
          <w:b/>
          <w:bCs/>
          <w:color w:val="auto"/>
          <w:sz w:val="24"/>
          <w:szCs w:val="24"/>
          <w:highlight w:val="none"/>
        </w:rPr>
        <w:t>无效</w:t>
      </w:r>
      <w:r>
        <w:rPr>
          <w:rFonts w:hint="eastAsia" w:ascii="宋体" w:hAnsi="宋体" w:eastAsia="宋体" w:cs="宋体"/>
          <w:b w:val="0"/>
          <w:bCs w:val="0"/>
          <w:color w:val="auto"/>
          <w:sz w:val="24"/>
          <w:szCs w:val="24"/>
          <w:highlight w:val="none"/>
        </w:rPr>
        <w:t>：</w:t>
      </w:r>
    </w:p>
    <w:p w14:paraId="702D1A6A">
      <w:pPr>
        <w:pStyle w:val="55"/>
        <w:keepNext w:val="0"/>
        <w:keepLines w:val="0"/>
        <w:pageBreakBefore w:val="0"/>
        <w:shd w:val="clear"/>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不同供应商的响应文件由同一单位或者个人编制；</w:t>
      </w:r>
    </w:p>
    <w:p w14:paraId="2B2A7ABE">
      <w:pPr>
        <w:pStyle w:val="55"/>
        <w:keepNext w:val="0"/>
        <w:keepLines w:val="0"/>
        <w:pageBreakBefore w:val="0"/>
        <w:shd w:val="clear"/>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不同供应商委托同一单位或者个人办理</w:t>
      </w:r>
      <w:r>
        <w:rPr>
          <w:rFonts w:hint="eastAsia" w:ascii="宋体" w:hAnsi="宋体" w:eastAsia="宋体" w:cs="宋体"/>
          <w:b w:val="0"/>
          <w:bCs w:val="0"/>
          <w:color w:val="auto"/>
          <w:sz w:val="24"/>
          <w:szCs w:val="24"/>
          <w:highlight w:val="none"/>
          <w:lang w:val="en-US" w:eastAsia="zh-CN"/>
        </w:rPr>
        <w:t>谈判响应</w:t>
      </w:r>
      <w:r>
        <w:rPr>
          <w:rFonts w:hint="eastAsia" w:ascii="宋体" w:hAnsi="宋体" w:eastAsia="宋体" w:cs="宋体"/>
          <w:b w:val="0"/>
          <w:bCs w:val="0"/>
          <w:color w:val="auto"/>
          <w:sz w:val="24"/>
          <w:szCs w:val="24"/>
          <w:highlight w:val="none"/>
        </w:rPr>
        <w:t>事宜；</w:t>
      </w:r>
    </w:p>
    <w:p w14:paraId="4EE2FB0A">
      <w:pPr>
        <w:pStyle w:val="55"/>
        <w:keepNext w:val="0"/>
        <w:keepLines w:val="0"/>
        <w:pageBreakBefore w:val="0"/>
        <w:shd w:val="clear"/>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不同供应商的响应文件载明的项目管理成员或者联系人员为同一人；</w:t>
      </w:r>
    </w:p>
    <w:p w14:paraId="53A78381">
      <w:pPr>
        <w:pStyle w:val="55"/>
        <w:keepNext w:val="0"/>
        <w:keepLines w:val="0"/>
        <w:pageBreakBefore w:val="0"/>
        <w:shd w:val="clear"/>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4）</w:t>
      </w:r>
      <w:r>
        <w:rPr>
          <w:rFonts w:hint="eastAsia" w:ascii="宋体" w:hAnsi="宋体" w:eastAsia="宋体" w:cs="宋体"/>
          <w:b w:val="0"/>
          <w:bCs w:val="0"/>
          <w:color w:val="auto"/>
          <w:sz w:val="24"/>
          <w:szCs w:val="24"/>
          <w:highlight w:val="none"/>
        </w:rPr>
        <w:t>不同供应商的响应文件异常一致或者</w:t>
      </w:r>
      <w:r>
        <w:rPr>
          <w:rFonts w:hint="eastAsia" w:ascii="宋体" w:hAnsi="宋体" w:eastAsia="宋体" w:cs="宋体"/>
          <w:b w:val="0"/>
          <w:bCs w:val="0"/>
          <w:color w:val="auto"/>
          <w:sz w:val="24"/>
          <w:szCs w:val="24"/>
          <w:highlight w:val="none"/>
          <w:lang w:val="en-US" w:eastAsia="zh-CN"/>
        </w:rPr>
        <w:t>谈判</w:t>
      </w:r>
      <w:r>
        <w:rPr>
          <w:rFonts w:hint="eastAsia" w:ascii="宋体" w:hAnsi="宋体" w:eastAsia="宋体" w:cs="宋体"/>
          <w:b w:val="0"/>
          <w:bCs w:val="0"/>
          <w:color w:val="auto"/>
          <w:sz w:val="24"/>
          <w:szCs w:val="24"/>
          <w:highlight w:val="none"/>
        </w:rPr>
        <w:t>报价呈规律性差异；</w:t>
      </w:r>
    </w:p>
    <w:p w14:paraId="60D5A539">
      <w:pPr>
        <w:pStyle w:val="55"/>
        <w:keepNext w:val="0"/>
        <w:keepLines w:val="0"/>
        <w:pageBreakBefore w:val="0"/>
        <w:shd w:val="clear"/>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5）</w:t>
      </w:r>
      <w:r>
        <w:rPr>
          <w:rFonts w:hint="eastAsia" w:ascii="宋体" w:hAnsi="宋体" w:eastAsia="宋体" w:cs="宋体"/>
          <w:b w:val="0"/>
          <w:bCs w:val="0"/>
          <w:color w:val="auto"/>
          <w:sz w:val="24"/>
          <w:szCs w:val="24"/>
          <w:highlight w:val="none"/>
        </w:rPr>
        <w:t>不同供应商的响应文件相互混装；</w:t>
      </w:r>
    </w:p>
    <w:p w14:paraId="2FF50D83">
      <w:pPr>
        <w:pStyle w:val="55"/>
        <w:keepNext w:val="0"/>
        <w:keepLines w:val="0"/>
        <w:pageBreakBefore w:val="0"/>
        <w:shd w:val="clear"/>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不同供应商的</w:t>
      </w:r>
      <w:r>
        <w:rPr>
          <w:rFonts w:hint="eastAsia" w:ascii="宋体" w:hAnsi="宋体" w:eastAsia="宋体" w:cs="宋体"/>
          <w:b w:val="0"/>
          <w:bCs w:val="0"/>
          <w:color w:val="auto"/>
          <w:sz w:val="24"/>
          <w:szCs w:val="24"/>
          <w:highlight w:val="none"/>
          <w:lang w:val="en-US" w:eastAsia="zh-CN"/>
        </w:rPr>
        <w:t>谈判</w:t>
      </w:r>
      <w:r>
        <w:rPr>
          <w:rFonts w:hint="eastAsia" w:ascii="宋体" w:hAnsi="宋体" w:eastAsia="宋体" w:cs="宋体"/>
          <w:b w:val="0"/>
          <w:bCs w:val="0"/>
          <w:color w:val="auto"/>
          <w:sz w:val="24"/>
          <w:szCs w:val="24"/>
          <w:highlight w:val="none"/>
        </w:rPr>
        <w:t>保证金从同一单位或者个人的账户转出</w:t>
      </w:r>
      <w:r>
        <w:rPr>
          <w:rFonts w:hint="eastAsia" w:ascii="宋体" w:hAnsi="宋体" w:eastAsia="宋体" w:cs="宋体"/>
          <w:b w:val="0"/>
          <w:bCs w:val="0"/>
          <w:color w:val="auto"/>
          <w:sz w:val="24"/>
          <w:szCs w:val="24"/>
          <w:highlight w:val="none"/>
          <w:lang w:val="en-US" w:eastAsia="zh-CN"/>
        </w:rPr>
        <w:t>；</w:t>
      </w:r>
    </w:p>
    <w:p w14:paraId="29DA958A">
      <w:pPr>
        <w:pStyle w:val="33"/>
        <w:keepNext w:val="0"/>
        <w:keepLines w:val="0"/>
        <w:pageBreakBefore w:val="0"/>
        <w:shd w:val="clear"/>
        <w:kinsoku/>
        <w:overflowPunct/>
        <w:topLinePunct w:val="0"/>
        <w:autoSpaceDE/>
        <w:autoSpaceDN/>
        <w:bidi w:val="0"/>
        <w:adjustRightInd/>
        <w:snapToGrid/>
        <w:spacing w:line="42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（7）法律、法规、规章和竞争性</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文件规定的其他响应无效的情形。</w:t>
      </w:r>
    </w:p>
    <w:p w14:paraId="51CFEB2F">
      <w:pPr>
        <w:pStyle w:val="55"/>
        <w:keepNext w:val="0"/>
        <w:keepLines w:val="0"/>
        <w:pageBreakBefore w:val="0"/>
        <w:shd w:val="clear"/>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rPr>
        <w:t xml:space="preserve"> </w:t>
      </w:r>
      <w:r>
        <w:rPr>
          <w:rFonts w:hint="eastAsia" w:ascii="宋体" w:hAnsi="宋体" w:eastAsia="宋体" w:cs="宋体"/>
          <w:b w:val="0"/>
          <w:bCs w:val="0"/>
          <w:color w:val="auto"/>
          <w:sz w:val="24"/>
          <w:szCs w:val="24"/>
          <w:highlight w:val="none"/>
          <w:lang w:val="en-US" w:eastAsia="zh-CN"/>
        </w:rPr>
        <w:t>谈判</w:t>
      </w:r>
      <w:r>
        <w:rPr>
          <w:rFonts w:hint="eastAsia" w:ascii="宋体" w:hAnsi="宋体" w:eastAsia="宋体" w:cs="宋体"/>
          <w:b w:val="0"/>
          <w:bCs w:val="0"/>
          <w:color w:val="auto"/>
          <w:sz w:val="24"/>
          <w:szCs w:val="24"/>
          <w:highlight w:val="none"/>
        </w:rPr>
        <w:t>小组应当审查</w:t>
      </w:r>
      <w:r>
        <w:rPr>
          <w:rFonts w:hint="eastAsia" w:ascii="宋体" w:hAnsi="宋体" w:eastAsia="宋体" w:cs="宋体"/>
          <w:b w:val="0"/>
          <w:bCs w:val="0"/>
          <w:color w:val="auto"/>
          <w:sz w:val="24"/>
          <w:szCs w:val="24"/>
          <w:highlight w:val="none"/>
          <w:lang w:val="en-US" w:eastAsia="zh-CN"/>
        </w:rPr>
        <w:t>所有供应商的</w:t>
      </w:r>
      <w:r>
        <w:rPr>
          <w:rFonts w:hint="eastAsia" w:ascii="宋体" w:hAnsi="宋体" w:eastAsia="宋体" w:cs="宋体"/>
          <w:b w:val="0"/>
          <w:bCs w:val="0"/>
          <w:color w:val="auto"/>
          <w:sz w:val="24"/>
          <w:szCs w:val="24"/>
          <w:highlight w:val="none"/>
        </w:rPr>
        <w:t>响应文件是否对竞争性</w:t>
      </w:r>
      <w:r>
        <w:rPr>
          <w:rFonts w:hint="eastAsia" w:ascii="宋体" w:hAnsi="宋体" w:eastAsia="宋体" w:cs="宋体"/>
          <w:b w:val="0"/>
          <w:bCs w:val="0"/>
          <w:color w:val="auto"/>
          <w:sz w:val="24"/>
          <w:szCs w:val="24"/>
          <w:highlight w:val="none"/>
          <w:lang w:val="en-US" w:eastAsia="zh-CN"/>
        </w:rPr>
        <w:t>谈判</w:t>
      </w:r>
      <w:r>
        <w:rPr>
          <w:rFonts w:hint="eastAsia" w:ascii="宋体" w:hAnsi="宋体" w:eastAsia="宋体" w:cs="宋体"/>
          <w:b w:val="0"/>
          <w:bCs w:val="0"/>
          <w:color w:val="auto"/>
          <w:sz w:val="24"/>
          <w:szCs w:val="24"/>
          <w:highlight w:val="none"/>
        </w:rPr>
        <w:t>文件提出的所有实质性要求和条件做出响应。未能实质</w:t>
      </w:r>
      <w:r>
        <w:rPr>
          <w:rFonts w:hint="eastAsia" w:ascii="宋体" w:hAnsi="宋体" w:eastAsia="宋体" w:cs="宋体"/>
          <w:b w:val="0"/>
          <w:bCs w:val="0"/>
          <w:color w:val="auto"/>
          <w:sz w:val="24"/>
          <w:szCs w:val="24"/>
          <w:highlight w:val="none"/>
          <w:lang w:val="en-US" w:eastAsia="zh-CN"/>
        </w:rPr>
        <w:t>性</w:t>
      </w:r>
      <w:r>
        <w:rPr>
          <w:rFonts w:hint="eastAsia" w:ascii="宋体" w:hAnsi="宋体" w:eastAsia="宋体" w:cs="宋体"/>
          <w:b w:val="0"/>
          <w:bCs w:val="0"/>
          <w:color w:val="auto"/>
          <w:sz w:val="24"/>
          <w:szCs w:val="24"/>
          <w:highlight w:val="none"/>
        </w:rPr>
        <w:t>响应的</w:t>
      </w:r>
      <w:r>
        <w:rPr>
          <w:rFonts w:hint="eastAsia" w:ascii="宋体" w:hAnsi="宋体" w:eastAsia="宋体" w:cs="宋体"/>
          <w:b w:val="0"/>
          <w:bCs w:val="0"/>
          <w:color w:val="auto"/>
          <w:sz w:val="24"/>
          <w:szCs w:val="24"/>
          <w:highlight w:val="none"/>
          <w:lang w:val="en-US" w:eastAsia="zh-CN"/>
        </w:rPr>
        <w:t>供应商</w:t>
      </w:r>
      <w:r>
        <w:rPr>
          <w:rFonts w:hint="eastAsia" w:ascii="宋体" w:hAnsi="宋体" w:eastAsia="宋体" w:cs="宋体"/>
          <w:b w:val="0"/>
          <w:bCs w:val="0"/>
          <w:color w:val="auto"/>
          <w:sz w:val="24"/>
          <w:szCs w:val="24"/>
          <w:highlight w:val="none"/>
        </w:rPr>
        <w:t>，其</w:t>
      </w:r>
      <w:r>
        <w:rPr>
          <w:rFonts w:hint="eastAsia" w:ascii="宋体" w:hAnsi="宋体" w:eastAsia="宋体" w:cs="宋体"/>
          <w:b/>
          <w:bCs/>
          <w:color w:val="auto"/>
          <w:sz w:val="24"/>
          <w:szCs w:val="24"/>
          <w:highlight w:val="none"/>
          <w:lang w:val="en-US" w:eastAsia="zh-CN"/>
        </w:rPr>
        <w:t>响应无效</w:t>
      </w:r>
      <w:r>
        <w:rPr>
          <w:rFonts w:hint="eastAsia" w:ascii="宋体" w:hAnsi="宋体" w:eastAsia="宋体" w:cs="宋体"/>
          <w:b w:val="0"/>
          <w:bCs w:val="0"/>
          <w:color w:val="auto"/>
          <w:sz w:val="24"/>
          <w:szCs w:val="24"/>
          <w:highlight w:val="none"/>
        </w:rPr>
        <w:t>。</w:t>
      </w:r>
    </w:p>
    <w:p w14:paraId="076ED559">
      <w:pPr>
        <w:keepNext w:val="0"/>
        <w:keepLines w:val="0"/>
        <w:pageBreakBefore w:val="0"/>
        <w:widowControl/>
        <w:suppressLineNumbers w:val="0"/>
        <w:shd w:val="clear"/>
        <w:kinsoku/>
        <w:overflowPunct/>
        <w:topLinePunct w:val="0"/>
        <w:autoSpaceDE/>
        <w:autoSpaceDN/>
        <w:bidi w:val="0"/>
        <w:adjustRightInd/>
        <w:snapToGrid/>
        <w:spacing w:line="420" w:lineRule="exact"/>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val="0"/>
          <w:bCs w:val="0"/>
          <w:color w:val="auto"/>
          <w:sz w:val="24"/>
          <w:szCs w:val="24"/>
          <w:highlight w:val="none"/>
          <w:lang w:val="en-US" w:eastAsia="zh-CN"/>
        </w:rPr>
        <w:t>9</w:t>
      </w:r>
      <w:r>
        <w:rPr>
          <w:rFonts w:hint="eastAsia" w:ascii="宋体" w:hAnsi="宋体" w:eastAsia="宋体" w:cs="宋体"/>
          <w:b w:val="0"/>
          <w:bCs w:val="0"/>
          <w:color w:val="auto"/>
          <w:sz w:val="24"/>
          <w:szCs w:val="24"/>
          <w:highlight w:val="none"/>
        </w:rPr>
        <w:t>.</w:t>
      </w:r>
      <w:r>
        <w:rPr>
          <w:rFonts w:hint="eastAsia" w:ascii="宋体" w:hAnsi="宋体" w:eastAsia="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rPr>
        <w:t xml:space="preserve"> 供应商不得误导、干扰</w:t>
      </w:r>
      <w:r>
        <w:rPr>
          <w:rFonts w:hint="eastAsia" w:cs="宋体"/>
          <w:b w:val="0"/>
          <w:bCs w:val="0"/>
          <w:color w:val="auto"/>
          <w:sz w:val="24"/>
          <w:szCs w:val="24"/>
          <w:highlight w:val="none"/>
          <w:lang w:val="en-US" w:eastAsia="zh-CN"/>
        </w:rPr>
        <w:t>谈判</w:t>
      </w:r>
      <w:r>
        <w:rPr>
          <w:rFonts w:hint="eastAsia" w:ascii="宋体" w:hAnsi="宋体" w:eastAsia="宋体" w:cs="宋体"/>
          <w:b w:val="0"/>
          <w:bCs w:val="0"/>
          <w:color w:val="auto"/>
          <w:sz w:val="24"/>
          <w:szCs w:val="24"/>
          <w:highlight w:val="none"/>
          <w:lang w:val="en-US" w:eastAsia="zh-CN"/>
        </w:rPr>
        <w:t>小组</w:t>
      </w:r>
      <w:r>
        <w:rPr>
          <w:rFonts w:hint="eastAsia" w:ascii="宋体" w:hAnsi="宋体" w:eastAsia="宋体" w:cs="宋体"/>
          <w:b w:val="0"/>
          <w:bCs w:val="0"/>
          <w:color w:val="auto"/>
          <w:sz w:val="24"/>
          <w:szCs w:val="24"/>
          <w:highlight w:val="none"/>
        </w:rPr>
        <w:t>的评审活动，否则其</w:t>
      </w:r>
      <w:r>
        <w:rPr>
          <w:rFonts w:hint="eastAsia" w:ascii="宋体" w:hAnsi="宋体" w:eastAsia="宋体" w:cs="宋体"/>
          <w:b/>
          <w:bCs/>
          <w:color w:val="auto"/>
          <w:sz w:val="24"/>
          <w:szCs w:val="24"/>
          <w:highlight w:val="none"/>
          <w:lang w:val="en-US" w:eastAsia="zh-CN"/>
        </w:rPr>
        <w:t>响应无效</w:t>
      </w:r>
      <w:r>
        <w:rPr>
          <w:rFonts w:hint="eastAsia" w:ascii="宋体" w:hAnsi="宋体" w:eastAsia="宋体" w:cs="宋体"/>
          <w:b w:val="0"/>
          <w:bCs w:val="0"/>
          <w:color w:val="auto"/>
          <w:sz w:val="24"/>
          <w:szCs w:val="24"/>
          <w:highlight w:val="none"/>
        </w:rPr>
        <w:t>。</w:t>
      </w:r>
    </w:p>
    <w:p w14:paraId="054A61A3">
      <w:pPr>
        <w:pStyle w:val="6"/>
        <w:keepNext w:val="0"/>
        <w:keepLines w:val="0"/>
        <w:pageBreakBefore w:val="0"/>
        <w:widowControl w:val="0"/>
        <w:numPr>
          <w:ilvl w:val="0"/>
          <w:numId w:val="0"/>
        </w:numPr>
        <w:shd w:val="clear"/>
        <w:kinsoku/>
        <w:wordWrap/>
        <w:overflowPunct/>
        <w:topLinePunct w:val="0"/>
        <w:autoSpaceDE/>
        <w:autoSpaceDN/>
        <w:bidi w:val="0"/>
        <w:adjustRightInd/>
        <w:snapToGrid/>
        <w:spacing w:before="60" w:after="60" w:line="420" w:lineRule="exact"/>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10.停止评审的情形</w:t>
      </w:r>
      <w:bookmarkEnd w:id="492"/>
      <w:bookmarkEnd w:id="493"/>
      <w:bookmarkEnd w:id="494"/>
      <w:bookmarkEnd w:id="495"/>
      <w:bookmarkEnd w:id="496"/>
      <w:bookmarkEnd w:id="497"/>
    </w:p>
    <w:p w14:paraId="58A3D9D5">
      <w:pPr>
        <w:keepNext w:val="0"/>
        <w:keepLines w:val="0"/>
        <w:pageBreakBefore w:val="0"/>
        <w:widowControl w:val="0"/>
        <w:suppressLineNumbers w:val="0"/>
        <w:shd w:val="clear"/>
        <w:kinsoku/>
        <w:overflowPunct/>
        <w:topLinePunct w:val="0"/>
        <w:autoSpaceDE/>
        <w:autoSpaceDN/>
        <w:bidi w:val="0"/>
        <w:adjustRightInd/>
        <w:snapToGrid/>
        <w:spacing w:line="420" w:lineRule="exact"/>
        <w:ind w:firstLine="480" w:firstLineChars="200"/>
        <w:jc w:val="lef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bidi="ar-SA"/>
        </w:rPr>
        <w:t>10</w:t>
      </w:r>
      <w:r>
        <w:rPr>
          <w:rFonts w:hint="eastAsia" w:ascii="宋体" w:hAnsi="宋体" w:eastAsia="宋体" w:cs="宋体"/>
          <w:color w:val="auto"/>
          <w:kern w:val="2"/>
          <w:sz w:val="24"/>
          <w:szCs w:val="24"/>
          <w:highlight w:val="none"/>
          <w:lang w:val="zh-CN" w:eastAsia="zh-CN" w:bidi="ar-SA"/>
        </w:rPr>
        <w:t>.1</w:t>
      </w:r>
      <w:r>
        <w:rPr>
          <w:rFonts w:hint="eastAsia" w:cs="宋体"/>
          <w:color w:val="auto"/>
          <w:kern w:val="2"/>
          <w:sz w:val="24"/>
          <w:szCs w:val="24"/>
          <w:highlight w:val="none"/>
          <w:lang w:val="en-US" w:eastAsia="zh-CN" w:bidi="ar-SA"/>
        </w:rPr>
        <w:t>谈判</w:t>
      </w:r>
      <w:r>
        <w:rPr>
          <w:rFonts w:hint="eastAsia" w:ascii="宋体" w:hAnsi="宋体" w:eastAsia="宋体" w:cs="宋体"/>
          <w:color w:val="auto"/>
          <w:kern w:val="2"/>
          <w:sz w:val="24"/>
          <w:szCs w:val="24"/>
          <w:highlight w:val="none"/>
          <w:lang w:val="en-US" w:eastAsia="zh-CN" w:bidi="ar-SA"/>
        </w:rPr>
        <w:t>小组在评审过程中发现供应商有行贿、提供虚假材料或者串通等违法行为的，应当及时向财政部门报告。</w:t>
      </w:r>
    </w:p>
    <w:p w14:paraId="47788DEC">
      <w:pPr>
        <w:pStyle w:val="33"/>
        <w:keepNext w:val="0"/>
        <w:keepLines w:val="0"/>
        <w:pageBreakBefore w:val="0"/>
        <w:widowControl w:val="0"/>
        <w:shd w:val="clear"/>
        <w:kinsoku/>
        <w:overflowPunct/>
        <w:topLinePunct w:val="0"/>
        <w:autoSpaceDE/>
        <w:autoSpaceDN/>
        <w:bidi w:val="0"/>
        <w:adjustRightInd/>
        <w:snapToGrid/>
        <w:spacing w:line="420" w:lineRule="exact"/>
        <w:ind w:firstLine="480"/>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10.2</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rPr>
        <w:t>小组发现</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rPr>
        <w:t>文件存在歧义、重大缺陷导致评审工作无法进行，或者</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rPr>
        <w:t>文件内容违反国家有关强制性规定的，应当停止评审工作，与采购人或者采购代理机构沟通并作书面记录。采购人或者采购代理机构确认后，应当修改</w:t>
      </w: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zh-CN"/>
        </w:rPr>
        <w:t>文件，重新组织采购活动。</w:t>
      </w:r>
    </w:p>
    <w:bookmarkEnd w:id="486"/>
    <w:bookmarkEnd w:id="487"/>
    <w:bookmarkEnd w:id="488"/>
    <w:bookmarkEnd w:id="489"/>
    <w:bookmarkEnd w:id="490"/>
    <w:bookmarkEnd w:id="491"/>
    <w:p w14:paraId="72A0944C">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480" w:lineRule="exact"/>
        <w:ind w:left="420" w:leftChars="0" w:hanging="420" w:firstLineChars="0"/>
        <w:textAlignment w:val="auto"/>
        <w:rPr>
          <w:rFonts w:hint="eastAsia" w:ascii="宋体" w:hAnsi="宋体" w:eastAsia="宋体" w:cs="宋体"/>
          <w:color w:val="auto"/>
          <w:sz w:val="28"/>
          <w:szCs w:val="28"/>
          <w:highlight w:val="none"/>
          <w:lang w:val="en-US" w:eastAsia="zh-CN"/>
        </w:rPr>
      </w:pPr>
      <w:bookmarkStart w:id="498" w:name="_Toc22597"/>
      <w:bookmarkStart w:id="499" w:name="_Toc27446"/>
      <w:r>
        <w:rPr>
          <w:rFonts w:hint="eastAsia" w:ascii="宋体" w:hAnsi="宋体" w:eastAsia="宋体" w:cs="宋体"/>
          <w:color w:val="auto"/>
          <w:sz w:val="28"/>
          <w:szCs w:val="28"/>
          <w:highlight w:val="none"/>
          <w:lang w:val="en-US" w:eastAsia="zh-CN"/>
        </w:rPr>
        <w:t>三、</w:t>
      </w:r>
      <w:r>
        <w:rPr>
          <w:rFonts w:hint="eastAsia" w:ascii="宋体" w:hAnsi="宋体" w:eastAsia="宋体" w:cs="宋体"/>
          <w:color w:val="auto"/>
          <w:sz w:val="28"/>
          <w:szCs w:val="28"/>
          <w:highlight w:val="none"/>
          <w:lang w:val="zh-CN" w:eastAsia="zh-CN"/>
        </w:rPr>
        <w:t>评审</w:t>
      </w:r>
      <w:r>
        <w:rPr>
          <w:rFonts w:hint="eastAsia" w:ascii="宋体" w:hAnsi="宋体" w:eastAsia="宋体" w:cs="宋体"/>
          <w:color w:val="auto"/>
          <w:sz w:val="28"/>
          <w:szCs w:val="28"/>
          <w:highlight w:val="none"/>
          <w:lang w:val="en-US" w:eastAsia="zh-CN"/>
        </w:rPr>
        <w:t>其他要求</w:t>
      </w:r>
      <w:bookmarkEnd w:id="498"/>
      <w:bookmarkEnd w:id="499"/>
    </w:p>
    <w:p w14:paraId="3B9B7B2C">
      <w:pPr>
        <w:pStyle w:val="33"/>
        <w:keepNext w:val="0"/>
        <w:keepLines w:val="0"/>
        <w:pageBreakBefore w:val="0"/>
        <w:widowControl w:val="0"/>
        <w:shd w:val="clear"/>
        <w:kinsoku/>
        <w:overflowPunct/>
        <w:topLinePunct w:val="0"/>
        <w:autoSpaceDE/>
        <w:autoSpaceDN/>
        <w:bidi w:val="0"/>
        <w:adjustRightInd/>
        <w:snapToGrid/>
        <w:spacing w:line="440" w:lineRule="exact"/>
        <w:ind w:firstLine="480" w:firstLineChars="0"/>
        <w:textAlignment w:val="auto"/>
        <w:rPr>
          <w:rFonts w:hint="eastAsia" w:ascii="宋体" w:hAnsi="宋体" w:eastAsia="宋体" w:cs="宋体"/>
          <w:iCs/>
          <w:color w:val="auto"/>
          <w:highlight w:val="none"/>
          <w:shd w:val="clear" w:color="auto" w:fill="FFFFFF" w:themeFill="background1"/>
          <w:lang w:val="en-US" w:eastAsia="zh-CN"/>
        </w:rPr>
      </w:pPr>
      <w:r>
        <w:rPr>
          <w:rFonts w:hint="eastAsia" w:cs="宋体"/>
          <w:iCs/>
          <w:color w:val="auto"/>
          <w:highlight w:val="none"/>
          <w:shd w:val="clear" w:color="auto" w:fill="FFFFFF" w:themeFill="background1"/>
          <w:lang w:val="en-US" w:eastAsia="zh-CN"/>
        </w:rPr>
        <w:t>无</w:t>
      </w:r>
    </w:p>
    <w:p w14:paraId="65250809">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40" w:after="140" w:line="480" w:lineRule="exact"/>
        <w:ind w:left="420" w:leftChars="0" w:hanging="420" w:firstLineChars="0"/>
        <w:textAlignment w:val="auto"/>
        <w:rPr>
          <w:rFonts w:hint="eastAsia" w:ascii="宋体" w:hAnsi="宋体" w:eastAsia="宋体" w:cs="宋体"/>
          <w:color w:val="auto"/>
          <w:sz w:val="28"/>
          <w:szCs w:val="28"/>
          <w:highlight w:val="none"/>
          <w:lang w:val="zh-CN" w:eastAsia="zh-CN"/>
        </w:rPr>
      </w:pPr>
      <w:bookmarkStart w:id="500" w:name="_Toc12134"/>
      <w:bookmarkStart w:id="501" w:name="_Toc28211"/>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评审标准</w:t>
      </w:r>
      <w:bookmarkEnd w:id="500"/>
      <w:bookmarkEnd w:id="501"/>
    </w:p>
    <w:p w14:paraId="0FAE5B4D">
      <w:pPr>
        <w:shd w:val="clear"/>
        <w:rPr>
          <w:rFonts w:hint="eastAsia" w:ascii="宋体" w:hAnsi="宋体" w:eastAsia="宋体" w:cs="宋体"/>
          <w:color w:val="auto"/>
          <w:sz w:val="28"/>
          <w:szCs w:val="28"/>
          <w:highlight w:val="none"/>
          <w:lang w:val="zh-CN" w:eastAsia="zh-CN"/>
        </w:rPr>
      </w:pPr>
      <w:r>
        <w:rPr>
          <w:rFonts w:hint="eastAsia" w:ascii="宋体" w:hAnsi="宋体" w:eastAsia="宋体" w:cs="宋体"/>
          <w:color w:val="auto"/>
          <w:sz w:val="28"/>
          <w:szCs w:val="28"/>
          <w:highlight w:val="none"/>
          <w:lang w:val="zh-CN" w:eastAsia="zh-CN"/>
        </w:rPr>
        <w:br w:type="page"/>
      </w:r>
    </w:p>
    <w:p w14:paraId="65074F9F">
      <w:pPr>
        <w:shd w:val="clear"/>
        <w:rPr>
          <w:rFonts w:hint="eastAsia"/>
          <w:color w:val="auto"/>
          <w:highlight w:val="none"/>
          <w:lang w:val="zh-CN" w:eastAsia="zh-CN"/>
        </w:rPr>
      </w:pPr>
    </w:p>
    <w:p w14:paraId="50D957CF">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46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02" w:name="_Toc9052"/>
      <w:bookmarkStart w:id="503" w:name="_Toc163493638"/>
      <w:r>
        <w:rPr>
          <w:rFonts w:hint="eastAsia" w:ascii="宋体" w:hAnsi="宋体" w:eastAsia="宋体" w:cs="宋体"/>
          <w:b/>
          <w:bCs/>
          <w:color w:val="auto"/>
          <w:kern w:val="2"/>
          <w:sz w:val="24"/>
          <w:szCs w:val="24"/>
          <w:highlight w:val="none"/>
          <w:lang w:val="en-US" w:eastAsia="zh-CN" w:bidi="ar-SA"/>
        </w:rPr>
        <w:t>（一）</w:t>
      </w:r>
      <w:r>
        <w:rPr>
          <w:rFonts w:hint="eastAsia" w:ascii="宋体" w:hAnsi="宋体" w:eastAsia="宋体" w:cs="宋体"/>
          <w:b/>
          <w:bCs/>
          <w:color w:val="auto"/>
          <w:kern w:val="2"/>
          <w:sz w:val="24"/>
          <w:szCs w:val="24"/>
          <w:highlight w:val="none"/>
          <w:lang w:val="zh-CN" w:eastAsia="zh-CN" w:bidi="ar-SA"/>
        </w:rPr>
        <w:t>资格审查表</w:t>
      </w:r>
      <w:bookmarkEnd w:id="502"/>
      <w:bookmarkEnd w:id="503"/>
    </w:p>
    <w:p w14:paraId="468FCB62">
      <w:pPr>
        <w:shd w:val="clear"/>
        <w:rPr>
          <w:rFonts w:hint="eastAsia" w:ascii="宋体" w:hAnsi="宋体" w:eastAsia="宋体" w:cs="宋体"/>
          <w:b/>
          <w:bCs/>
          <w:color w:val="auto"/>
          <w:kern w:val="2"/>
          <w:sz w:val="24"/>
          <w:szCs w:val="24"/>
          <w:highlight w:val="none"/>
          <w:lang w:val="zh-CN" w:eastAsia="zh-CN" w:bidi="ar-SA"/>
        </w:rPr>
      </w:pPr>
    </w:p>
    <w:tbl>
      <w:tblPr>
        <w:tblStyle w:val="27"/>
        <w:tblW w:w="57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57" w:type="dxa"/>
          <w:left w:w="108" w:type="dxa"/>
          <w:bottom w:w="57" w:type="dxa"/>
          <w:right w:w="108" w:type="dxa"/>
        </w:tblCellMar>
      </w:tblPr>
      <w:tblGrid>
        <w:gridCol w:w="790"/>
        <w:gridCol w:w="1779"/>
        <w:gridCol w:w="5911"/>
        <w:gridCol w:w="1397"/>
      </w:tblGrid>
      <w:tr w14:paraId="3820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506" w:hRule="atLeast"/>
          <w:jc w:val="center"/>
        </w:trPr>
        <w:tc>
          <w:tcPr>
            <w:tcW w:w="400" w:type="pct"/>
            <w:shd w:val="clear" w:color="auto" w:fill="auto"/>
            <w:vAlign w:val="center"/>
          </w:tcPr>
          <w:p w14:paraId="01EAF759">
            <w:pPr>
              <w:pStyle w:val="44"/>
              <w:shd w:val="clear"/>
              <w:spacing w:line="240" w:lineRule="auto"/>
              <w:jc w:val="center"/>
              <w:rPr>
                <w:rFonts w:hint="eastAsia" w:ascii="宋体" w:hAnsi="宋体" w:eastAsia="宋体" w:cs="宋体"/>
                <w:b/>
                <w:bCs/>
                <w:color w:val="auto"/>
                <w:sz w:val="21"/>
                <w:szCs w:val="21"/>
                <w:highlight w:val="none"/>
              </w:rPr>
            </w:pPr>
            <w:bookmarkStart w:id="504" w:name="_Toc156490348"/>
            <w:r>
              <w:rPr>
                <w:rFonts w:hint="eastAsia" w:ascii="宋体" w:hAnsi="宋体" w:eastAsia="宋体" w:cs="宋体"/>
                <w:b/>
                <w:bCs/>
                <w:color w:val="auto"/>
                <w:sz w:val="21"/>
                <w:szCs w:val="21"/>
                <w:highlight w:val="none"/>
              </w:rPr>
              <w:t>序号</w:t>
            </w:r>
          </w:p>
        </w:tc>
        <w:tc>
          <w:tcPr>
            <w:tcW w:w="900" w:type="pct"/>
            <w:shd w:val="clear" w:color="auto" w:fill="auto"/>
            <w:vAlign w:val="center"/>
          </w:tcPr>
          <w:p w14:paraId="3D378484">
            <w:pPr>
              <w:pStyle w:val="44"/>
              <w:shd w:val="clea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审查因素</w:t>
            </w:r>
          </w:p>
        </w:tc>
        <w:tc>
          <w:tcPr>
            <w:tcW w:w="2991" w:type="pct"/>
            <w:shd w:val="clear" w:color="auto" w:fill="auto"/>
            <w:vAlign w:val="center"/>
          </w:tcPr>
          <w:p w14:paraId="371C8F58">
            <w:pPr>
              <w:pStyle w:val="44"/>
              <w:shd w:val="clear"/>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审查内容</w:t>
            </w:r>
          </w:p>
        </w:tc>
        <w:tc>
          <w:tcPr>
            <w:tcW w:w="707" w:type="pct"/>
            <w:shd w:val="clear" w:color="auto" w:fill="auto"/>
            <w:vAlign w:val="center"/>
          </w:tcPr>
          <w:p w14:paraId="7919DF36">
            <w:pPr>
              <w:pStyle w:val="44"/>
              <w:shd w:val="clea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格式要求</w:t>
            </w:r>
          </w:p>
        </w:tc>
      </w:tr>
      <w:tr w14:paraId="6BEA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608" w:hRule="atLeast"/>
          <w:jc w:val="center"/>
        </w:trPr>
        <w:tc>
          <w:tcPr>
            <w:tcW w:w="400" w:type="pct"/>
            <w:shd w:val="clear" w:color="auto" w:fill="auto"/>
            <w:vAlign w:val="center"/>
          </w:tcPr>
          <w:p w14:paraId="67660E99">
            <w:pPr>
              <w:pStyle w:val="44"/>
              <w:shd w:val="clea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p>
        </w:tc>
        <w:tc>
          <w:tcPr>
            <w:tcW w:w="900" w:type="pct"/>
            <w:shd w:val="clear" w:color="auto" w:fill="auto"/>
            <w:vAlign w:val="center"/>
          </w:tcPr>
          <w:p w14:paraId="3AA250A6">
            <w:pPr>
              <w:pStyle w:val="44"/>
              <w:keepNext w:val="0"/>
              <w:keepLines w:val="0"/>
              <w:pageBreakBefore w:val="0"/>
              <w:widowControl w:val="0"/>
              <w:shd w:val="clear"/>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满足《政府采购法》第二十二条规定</w:t>
            </w:r>
          </w:p>
        </w:tc>
        <w:tc>
          <w:tcPr>
            <w:tcW w:w="2991" w:type="pct"/>
            <w:shd w:val="clear" w:color="auto" w:fill="auto"/>
            <w:vAlign w:val="center"/>
          </w:tcPr>
          <w:p w14:paraId="502E0E33">
            <w:pPr>
              <w:pStyle w:val="44"/>
              <w:shd w:val="clea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具体规定见“第一章 竞争性谈判公告”</w:t>
            </w:r>
          </w:p>
        </w:tc>
        <w:tc>
          <w:tcPr>
            <w:tcW w:w="707" w:type="pct"/>
            <w:shd w:val="clear" w:color="auto" w:fill="auto"/>
            <w:vAlign w:val="center"/>
          </w:tcPr>
          <w:p w14:paraId="4AD69B19">
            <w:pPr>
              <w:pStyle w:val="44"/>
              <w:shd w:val="clear"/>
              <w:spacing w:line="240" w:lineRule="auto"/>
              <w:jc w:val="center"/>
              <w:rPr>
                <w:rFonts w:hint="eastAsia" w:ascii="宋体" w:hAnsi="宋体" w:eastAsia="宋体" w:cs="宋体"/>
                <w:b/>
                <w:bCs/>
                <w:color w:val="auto"/>
                <w:sz w:val="21"/>
                <w:szCs w:val="21"/>
                <w:highlight w:val="none"/>
              </w:rPr>
            </w:pPr>
          </w:p>
        </w:tc>
      </w:tr>
      <w:tr w14:paraId="46A3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1796" w:hRule="atLeast"/>
          <w:jc w:val="center"/>
        </w:trPr>
        <w:tc>
          <w:tcPr>
            <w:tcW w:w="400" w:type="pct"/>
            <w:shd w:val="clear" w:color="auto" w:fill="auto"/>
            <w:vAlign w:val="center"/>
          </w:tcPr>
          <w:p w14:paraId="2FC50E41">
            <w:pPr>
              <w:pStyle w:val="44"/>
              <w:shd w:val="clea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1-1</w:t>
            </w:r>
          </w:p>
        </w:tc>
        <w:tc>
          <w:tcPr>
            <w:tcW w:w="900" w:type="pct"/>
            <w:shd w:val="clear" w:color="auto" w:fill="auto"/>
            <w:vAlign w:val="center"/>
          </w:tcPr>
          <w:p w14:paraId="37D7A6E3">
            <w:pPr>
              <w:pStyle w:val="44"/>
              <w:shd w:val="clea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营业执照等证明文件</w:t>
            </w:r>
          </w:p>
        </w:tc>
        <w:tc>
          <w:tcPr>
            <w:tcW w:w="2991" w:type="pct"/>
            <w:shd w:val="clear" w:color="auto" w:fill="auto"/>
            <w:vAlign w:val="center"/>
          </w:tcPr>
          <w:p w14:paraId="417B7527">
            <w:pPr>
              <w:keepNext w:val="0"/>
              <w:keepLines w:val="0"/>
              <w:pageBreakBefore w:val="0"/>
              <w:widowControl/>
              <w:suppressLineNumbers w:val="0"/>
              <w:shd w:val="clear"/>
              <w:kinsoku/>
              <w:wordWrap/>
              <w:overflowPunct/>
              <w:topLinePunct w:val="0"/>
              <w:autoSpaceDE/>
              <w:autoSpaceDN/>
              <w:bidi w:val="0"/>
              <w:adjustRightInd/>
              <w:snapToGrid/>
              <w:spacing w:line="300" w:lineRule="exact"/>
              <w:jc w:val="left"/>
              <w:textAlignment w:val="auto"/>
              <w:rPr>
                <w:rFonts w:hint="eastAsia" w:ascii="宋体" w:hAnsi="宋体" w:eastAsia="宋体" w:cs="宋体"/>
                <w:i w:val="0"/>
                <w:iCs w:val="0"/>
                <w:color w:val="auto"/>
                <w:spacing w:val="-6"/>
                <w:sz w:val="21"/>
                <w:szCs w:val="21"/>
                <w:highlight w:val="none"/>
              </w:rPr>
            </w:pPr>
            <w:r>
              <w:rPr>
                <w:rFonts w:hint="eastAsia" w:ascii="宋体" w:hAnsi="宋体" w:eastAsia="宋体" w:cs="宋体"/>
                <w:i w:val="0"/>
                <w:iCs w:val="0"/>
                <w:color w:val="auto"/>
                <w:spacing w:val="-6"/>
                <w:kern w:val="0"/>
                <w:sz w:val="21"/>
                <w:szCs w:val="21"/>
                <w:highlight w:val="none"/>
                <w:lang w:val="en-US" w:eastAsia="zh-CN" w:bidi="ar"/>
              </w:rPr>
              <w:t xml:space="preserve">供应商为企业（包括合伙企业）的，应提供有效的“营业执照”； </w:t>
            </w:r>
          </w:p>
          <w:p w14:paraId="55CBD279">
            <w:pPr>
              <w:keepNext w:val="0"/>
              <w:keepLines w:val="0"/>
              <w:pageBreakBefore w:val="0"/>
              <w:widowControl/>
              <w:suppressLineNumbers w:val="0"/>
              <w:shd w:val="clear"/>
              <w:kinsoku/>
              <w:wordWrap/>
              <w:overflowPunct/>
              <w:topLinePunct w:val="0"/>
              <w:autoSpaceDE/>
              <w:autoSpaceDN/>
              <w:bidi w:val="0"/>
              <w:adjustRightInd/>
              <w:snapToGrid/>
              <w:spacing w:line="300" w:lineRule="exact"/>
              <w:jc w:val="left"/>
              <w:textAlignment w:val="auto"/>
              <w:rPr>
                <w:rFonts w:hint="eastAsia" w:ascii="宋体" w:hAnsi="宋体" w:eastAsia="宋体" w:cs="宋体"/>
                <w:i w:val="0"/>
                <w:iCs w:val="0"/>
                <w:color w:val="auto"/>
                <w:spacing w:val="-6"/>
                <w:sz w:val="21"/>
                <w:szCs w:val="21"/>
                <w:highlight w:val="none"/>
              </w:rPr>
            </w:pPr>
            <w:r>
              <w:rPr>
                <w:rFonts w:hint="eastAsia" w:ascii="宋体" w:hAnsi="宋体" w:eastAsia="宋体" w:cs="宋体"/>
                <w:i w:val="0"/>
                <w:iCs w:val="0"/>
                <w:color w:val="auto"/>
                <w:spacing w:val="-6"/>
                <w:kern w:val="0"/>
                <w:sz w:val="21"/>
                <w:szCs w:val="21"/>
                <w:highlight w:val="none"/>
                <w:lang w:val="en-US" w:eastAsia="zh-CN" w:bidi="ar"/>
              </w:rPr>
              <w:t xml:space="preserve">供应商为事业单位的，应提供有效的“事业单位法人证书” ； </w:t>
            </w:r>
          </w:p>
          <w:p w14:paraId="633CFB81">
            <w:pPr>
              <w:keepNext w:val="0"/>
              <w:keepLines w:val="0"/>
              <w:pageBreakBefore w:val="0"/>
              <w:widowControl/>
              <w:suppressLineNumbers w:val="0"/>
              <w:shd w:val="clear"/>
              <w:tabs>
                <w:tab w:val="left" w:pos="5280"/>
              </w:tabs>
              <w:kinsoku/>
              <w:wordWrap/>
              <w:overflowPunct/>
              <w:topLinePunct w:val="0"/>
              <w:autoSpaceDE/>
              <w:autoSpaceDN/>
              <w:bidi w:val="0"/>
              <w:adjustRightInd/>
              <w:snapToGrid/>
              <w:spacing w:line="300" w:lineRule="exact"/>
              <w:jc w:val="left"/>
              <w:textAlignment w:val="auto"/>
              <w:rPr>
                <w:rFonts w:hint="eastAsia" w:ascii="宋体" w:hAnsi="宋体" w:eastAsia="宋体" w:cs="宋体"/>
                <w:i w:val="0"/>
                <w:iCs w:val="0"/>
                <w:color w:val="auto"/>
                <w:spacing w:val="-6"/>
                <w:sz w:val="21"/>
                <w:szCs w:val="21"/>
                <w:highlight w:val="none"/>
              </w:rPr>
            </w:pPr>
            <w:r>
              <w:rPr>
                <w:rFonts w:hint="eastAsia" w:ascii="宋体" w:hAnsi="宋体" w:eastAsia="宋体" w:cs="宋体"/>
                <w:i w:val="0"/>
                <w:iCs w:val="0"/>
                <w:color w:val="auto"/>
                <w:spacing w:val="-6"/>
                <w:kern w:val="0"/>
                <w:sz w:val="21"/>
                <w:szCs w:val="21"/>
                <w:highlight w:val="none"/>
                <w:lang w:val="en-US" w:eastAsia="zh-CN" w:bidi="ar"/>
              </w:rPr>
              <w:t xml:space="preserve">供应商是非企业机构的，应提供有效的“执业许可证”、“登记证书”等证明文件； </w:t>
            </w:r>
          </w:p>
          <w:p w14:paraId="41E5D4AB">
            <w:pPr>
              <w:keepNext w:val="0"/>
              <w:keepLines w:val="0"/>
              <w:pageBreakBefore w:val="0"/>
              <w:widowControl/>
              <w:suppressLineNumbers w:val="0"/>
              <w:shd w:val="clear"/>
              <w:kinsoku/>
              <w:wordWrap/>
              <w:overflowPunct/>
              <w:topLinePunct w:val="0"/>
              <w:autoSpaceDE/>
              <w:autoSpaceDN/>
              <w:bidi w:val="0"/>
              <w:adjustRightInd/>
              <w:snapToGrid/>
              <w:spacing w:line="300" w:lineRule="exact"/>
              <w:jc w:val="left"/>
              <w:textAlignment w:val="auto"/>
              <w:rPr>
                <w:rFonts w:hint="eastAsia" w:ascii="宋体" w:hAnsi="宋体" w:eastAsia="宋体" w:cs="宋体"/>
                <w:i w:val="0"/>
                <w:iCs w:val="0"/>
                <w:color w:val="auto"/>
                <w:spacing w:val="-6"/>
                <w:sz w:val="21"/>
                <w:szCs w:val="21"/>
                <w:highlight w:val="none"/>
              </w:rPr>
            </w:pPr>
            <w:r>
              <w:rPr>
                <w:rFonts w:hint="eastAsia" w:ascii="宋体" w:hAnsi="宋体" w:eastAsia="宋体" w:cs="宋体"/>
                <w:i w:val="0"/>
                <w:iCs w:val="0"/>
                <w:color w:val="auto"/>
                <w:spacing w:val="-6"/>
                <w:kern w:val="0"/>
                <w:sz w:val="21"/>
                <w:szCs w:val="21"/>
                <w:highlight w:val="none"/>
                <w:lang w:val="en-US" w:eastAsia="zh-CN" w:bidi="ar"/>
              </w:rPr>
              <w:t xml:space="preserve">供应商是个体工商户的，应提供有效的“个体工商户营业执照”； </w:t>
            </w:r>
          </w:p>
          <w:p w14:paraId="4600EC40">
            <w:pPr>
              <w:keepNext w:val="0"/>
              <w:keepLines w:val="0"/>
              <w:pageBreakBefore w:val="0"/>
              <w:widowControl/>
              <w:suppressLineNumbers w:val="0"/>
              <w:shd w:val="clear"/>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spacing w:val="-6"/>
                <w:sz w:val="21"/>
                <w:szCs w:val="21"/>
                <w:highlight w:val="none"/>
                <w:lang w:val="en-US" w:eastAsia="zh-CN"/>
              </w:rPr>
            </w:pPr>
            <w:r>
              <w:rPr>
                <w:rFonts w:hint="eastAsia" w:ascii="宋体" w:hAnsi="宋体" w:eastAsia="宋体" w:cs="宋体"/>
                <w:i w:val="0"/>
                <w:iCs w:val="0"/>
                <w:color w:val="auto"/>
                <w:spacing w:val="-6"/>
                <w:kern w:val="0"/>
                <w:sz w:val="21"/>
                <w:szCs w:val="21"/>
                <w:highlight w:val="none"/>
                <w:lang w:val="en-US" w:eastAsia="zh-CN" w:bidi="ar"/>
              </w:rPr>
              <w:t>供应商</w:t>
            </w:r>
            <w:r>
              <w:rPr>
                <w:rFonts w:hint="eastAsia" w:ascii="宋体" w:hAnsi="宋体" w:eastAsia="宋体" w:cs="宋体"/>
                <w:i w:val="0"/>
                <w:iCs w:val="0"/>
                <w:color w:val="auto"/>
                <w:spacing w:val="-11"/>
                <w:kern w:val="0"/>
                <w:sz w:val="21"/>
                <w:szCs w:val="21"/>
                <w:highlight w:val="none"/>
                <w:lang w:val="en-US" w:eastAsia="zh-CN" w:bidi="ar"/>
              </w:rPr>
              <w:t>是自然人的，应提供有效的自然人身份证明。</w:t>
            </w:r>
          </w:p>
        </w:tc>
        <w:tc>
          <w:tcPr>
            <w:tcW w:w="707" w:type="pct"/>
            <w:shd w:val="clear" w:color="auto" w:fill="auto"/>
            <w:vAlign w:val="center"/>
          </w:tcPr>
          <w:p w14:paraId="059E0055">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提供证明文件的电子件或电子证照</w:t>
            </w:r>
          </w:p>
        </w:tc>
      </w:tr>
      <w:tr w14:paraId="5756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488" w:hRule="atLeast"/>
          <w:jc w:val="center"/>
        </w:trPr>
        <w:tc>
          <w:tcPr>
            <w:tcW w:w="400" w:type="pct"/>
            <w:shd w:val="clear" w:color="auto" w:fill="auto"/>
            <w:vAlign w:val="center"/>
          </w:tcPr>
          <w:p w14:paraId="4176278F">
            <w:pPr>
              <w:pStyle w:val="44"/>
              <w:shd w:val="clear"/>
              <w:spacing w:line="24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1-2</w:t>
            </w:r>
          </w:p>
        </w:tc>
        <w:tc>
          <w:tcPr>
            <w:tcW w:w="900" w:type="pct"/>
            <w:shd w:val="clear" w:color="auto" w:fill="auto"/>
            <w:vAlign w:val="center"/>
          </w:tcPr>
          <w:p w14:paraId="0FA26F93">
            <w:pPr>
              <w:pStyle w:val="44"/>
              <w:shd w:val="clea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pacing w:val="-6"/>
                <w:kern w:val="0"/>
                <w:sz w:val="21"/>
                <w:szCs w:val="21"/>
                <w:highlight w:val="none"/>
                <w:lang w:val="en-US" w:eastAsia="zh-CN" w:bidi="ar"/>
              </w:rPr>
              <w:t>供应商</w:t>
            </w:r>
            <w:r>
              <w:rPr>
                <w:rFonts w:hint="eastAsia" w:ascii="宋体" w:hAnsi="宋体" w:eastAsia="宋体" w:cs="宋体"/>
                <w:color w:val="auto"/>
                <w:sz w:val="21"/>
                <w:szCs w:val="21"/>
                <w:highlight w:val="none"/>
                <w:lang w:val="en-US" w:eastAsia="zh-CN"/>
              </w:rPr>
              <w:t>信用承诺</w:t>
            </w:r>
          </w:p>
        </w:tc>
        <w:tc>
          <w:tcPr>
            <w:tcW w:w="2991" w:type="pct"/>
            <w:shd w:val="clear" w:color="auto" w:fill="auto"/>
            <w:vAlign w:val="center"/>
          </w:tcPr>
          <w:p w14:paraId="254F2F40">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spacing w:val="-6"/>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具体规定见“第一章 竞争性谈判公告”</w:t>
            </w:r>
          </w:p>
        </w:tc>
        <w:tc>
          <w:tcPr>
            <w:tcW w:w="707" w:type="pct"/>
            <w:shd w:val="clear" w:color="auto" w:fill="auto"/>
            <w:vAlign w:val="center"/>
          </w:tcPr>
          <w:p w14:paraId="7EECE0DA">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bidi="ar"/>
              </w:rPr>
            </w:pPr>
          </w:p>
        </w:tc>
      </w:tr>
      <w:tr w14:paraId="0883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500" w:hRule="atLeast"/>
          <w:jc w:val="center"/>
        </w:trPr>
        <w:tc>
          <w:tcPr>
            <w:tcW w:w="400" w:type="pct"/>
            <w:shd w:val="clear" w:color="auto" w:fill="auto"/>
            <w:vAlign w:val="center"/>
          </w:tcPr>
          <w:p w14:paraId="65F7D7D4">
            <w:pPr>
              <w:pStyle w:val="44"/>
              <w:shd w:val="clea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1-2</w:t>
            </w:r>
            <w:r>
              <w:rPr>
                <w:rFonts w:hint="eastAsia" w:cs="宋体"/>
                <w:b/>
                <w:bCs/>
                <w:color w:val="auto"/>
                <w:sz w:val="21"/>
                <w:szCs w:val="21"/>
                <w:highlight w:val="none"/>
                <w:lang w:val="en-US" w:eastAsia="zh-CN"/>
              </w:rPr>
              <w:t>-1</w:t>
            </w:r>
          </w:p>
        </w:tc>
        <w:tc>
          <w:tcPr>
            <w:tcW w:w="900" w:type="pct"/>
            <w:shd w:val="clear" w:color="auto" w:fill="auto"/>
            <w:vAlign w:val="center"/>
          </w:tcPr>
          <w:p w14:paraId="3F369769">
            <w:pPr>
              <w:pStyle w:val="44"/>
              <w:shd w:val="clea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kern w:val="0"/>
                <w:sz w:val="21"/>
                <w:szCs w:val="21"/>
                <w:highlight w:val="none"/>
                <w:lang w:val="en-US" w:eastAsia="zh-CN" w:bidi="ar"/>
              </w:rPr>
              <w:t>供应商</w:t>
            </w:r>
            <w:r>
              <w:rPr>
                <w:rFonts w:hint="eastAsia" w:ascii="宋体" w:hAnsi="宋体" w:eastAsia="宋体" w:cs="宋体"/>
                <w:color w:val="auto"/>
                <w:sz w:val="21"/>
                <w:szCs w:val="21"/>
                <w:highlight w:val="none"/>
                <w:lang w:val="en-US" w:eastAsia="zh-CN"/>
              </w:rPr>
              <w:t>信用承诺</w:t>
            </w:r>
          </w:p>
        </w:tc>
        <w:tc>
          <w:tcPr>
            <w:tcW w:w="2991" w:type="pct"/>
            <w:shd w:val="clear" w:color="auto" w:fill="auto"/>
            <w:vAlign w:val="center"/>
          </w:tcPr>
          <w:p w14:paraId="0A495102">
            <w:pPr>
              <w:pStyle w:val="44"/>
              <w:shd w:val="clea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提供了符合竞争性谈判文件要求的《兵团政府采购供应商信用承诺函》。</w:t>
            </w:r>
          </w:p>
        </w:tc>
        <w:tc>
          <w:tcPr>
            <w:tcW w:w="707" w:type="pct"/>
            <w:shd w:val="clear" w:color="auto" w:fill="auto"/>
            <w:vAlign w:val="center"/>
          </w:tcPr>
          <w:p w14:paraId="6C3E21E7">
            <w:pPr>
              <w:pStyle w:val="44"/>
              <w:keepNext w:val="0"/>
              <w:keepLines w:val="0"/>
              <w:pageBreakBefore w:val="0"/>
              <w:widowControl w:val="0"/>
              <w:shd w:val="clear"/>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格式见《第六章 响应文件格式》</w:t>
            </w:r>
          </w:p>
        </w:tc>
      </w:tr>
      <w:tr w14:paraId="6E67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2704" w:hRule="atLeast"/>
          <w:jc w:val="center"/>
        </w:trPr>
        <w:tc>
          <w:tcPr>
            <w:tcW w:w="400" w:type="pct"/>
            <w:shd w:val="clear" w:color="auto" w:fill="auto"/>
            <w:vAlign w:val="center"/>
          </w:tcPr>
          <w:p w14:paraId="6020E885">
            <w:pPr>
              <w:pStyle w:val="44"/>
              <w:shd w:val="clea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r>
              <w:rPr>
                <w:rFonts w:hint="eastAsia" w:cs="宋体"/>
                <w:b/>
                <w:bCs/>
                <w:color w:val="auto"/>
                <w:sz w:val="21"/>
                <w:szCs w:val="21"/>
                <w:highlight w:val="none"/>
                <w:lang w:val="en-US" w:eastAsia="zh-CN"/>
              </w:rPr>
              <w:t>2-2</w:t>
            </w:r>
          </w:p>
        </w:tc>
        <w:tc>
          <w:tcPr>
            <w:tcW w:w="900" w:type="pct"/>
            <w:shd w:val="clear" w:color="auto" w:fill="auto"/>
            <w:vAlign w:val="center"/>
          </w:tcPr>
          <w:p w14:paraId="69681D10">
            <w:pPr>
              <w:pStyle w:val="44"/>
              <w:shd w:val="clea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kern w:val="0"/>
                <w:sz w:val="21"/>
                <w:szCs w:val="21"/>
                <w:highlight w:val="none"/>
                <w:lang w:val="en-US" w:eastAsia="zh-CN" w:bidi="ar"/>
              </w:rPr>
              <w:t>供应商</w:t>
            </w:r>
            <w:r>
              <w:rPr>
                <w:rFonts w:hint="eastAsia" w:ascii="宋体" w:hAnsi="宋体" w:eastAsia="宋体" w:cs="宋体"/>
                <w:color w:val="auto"/>
                <w:sz w:val="21"/>
                <w:szCs w:val="21"/>
                <w:highlight w:val="none"/>
                <w:lang w:val="en-US" w:eastAsia="zh-CN"/>
              </w:rPr>
              <w:t>信用记录查询</w:t>
            </w:r>
          </w:p>
        </w:tc>
        <w:tc>
          <w:tcPr>
            <w:tcW w:w="2991" w:type="pct"/>
            <w:shd w:val="clear" w:color="auto" w:fill="auto"/>
            <w:vAlign w:val="center"/>
          </w:tcPr>
          <w:p w14:paraId="3640903D">
            <w:pPr>
              <w:pStyle w:val="44"/>
              <w:keepNext w:val="0"/>
              <w:keepLines w:val="0"/>
              <w:pageBreakBefore w:val="0"/>
              <w:widowControl w:val="0"/>
              <w:shd w:val="clear"/>
              <w:kinsoku/>
              <w:wordWrap w:val="0"/>
              <w:overflowPunct/>
              <w:topLinePunct w:val="0"/>
              <w:autoSpaceDE/>
              <w:autoSpaceDN/>
              <w:bidi w:val="0"/>
              <w:adjustRightInd/>
              <w:snapToGrid/>
              <w:spacing w:line="30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查询渠道：信用中国网站和中国政府采购网（ www.creditchina.gov.cn 、www.ccgp.gov.cn）；</w:t>
            </w:r>
            <w:r>
              <w:rPr>
                <w:rFonts w:hint="eastAsia" w:ascii="宋体" w:hAnsi="宋体" w:eastAsia="宋体" w:cs="宋体"/>
                <w:color w:val="auto"/>
                <w:sz w:val="21"/>
                <w:szCs w:val="21"/>
                <w:highlight w:val="none"/>
                <w:lang w:val="en-US" w:eastAsia="zh-CN"/>
              </w:rPr>
              <w:t xml:space="preserve"> </w:t>
            </w:r>
          </w:p>
          <w:p w14:paraId="270FA147">
            <w:pPr>
              <w:pStyle w:val="44"/>
              <w:keepNext w:val="0"/>
              <w:keepLines w:val="0"/>
              <w:pageBreakBefore w:val="0"/>
              <w:widowControl w:val="0"/>
              <w:shd w:val="clear"/>
              <w:kinsoku/>
              <w:overflowPunct/>
              <w:topLinePunct w:val="0"/>
              <w:autoSpaceDE/>
              <w:autoSpaceDN/>
              <w:bidi w:val="0"/>
              <w:adjustRightInd/>
              <w:snapToGrid/>
              <w:spacing w:line="30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截止时间：递交响应文件截止时间以后、资格审查阶段对供应商信用记录的实际查询时间； </w:t>
            </w:r>
          </w:p>
          <w:p w14:paraId="3CC5E33C">
            <w:pPr>
              <w:pStyle w:val="44"/>
              <w:keepNext w:val="0"/>
              <w:keepLines w:val="0"/>
              <w:pageBreakBefore w:val="0"/>
              <w:widowControl w:val="0"/>
              <w:shd w:val="clear"/>
              <w:kinsoku/>
              <w:overflowPunct/>
              <w:topLinePunct w:val="0"/>
              <w:autoSpaceDE/>
              <w:autoSpaceDN/>
              <w:bidi w:val="0"/>
              <w:adjustRightInd/>
              <w:snapToGrid/>
              <w:spacing w:line="30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信用信息查询记录和证据留存具体方式：查询结果网页打印页作为查询记录和证据，与其他采购文件一并保存； </w:t>
            </w:r>
          </w:p>
          <w:p w14:paraId="23E5D1AC">
            <w:pPr>
              <w:pStyle w:val="44"/>
              <w:keepNext w:val="0"/>
              <w:keepLines w:val="0"/>
              <w:pageBreakBefore w:val="0"/>
              <w:widowControl w:val="0"/>
              <w:shd w:val="clear"/>
              <w:kinsoku/>
              <w:overflowPunct/>
              <w:topLinePunct w:val="0"/>
              <w:autoSpaceDE/>
              <w:autoSpaceDN/>
              <w:bidi w:val="0"/>
              <w:adjustRightInd/>
              <w:snapToGrid/>
              <w:spacing w:line="30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pacing w:val="-6"/>
                <w:sz w:val="21"/>
                <w:szCs w:val="21"/>
                <w:highlight w:val="none"/>
                <w:lang w:val="en-US" w:eastAsia="zh-CN"/>
              </w:rPr>
              <w:t>信用记录的使用原</w:t>
            </w:r>
            <w:r>
              <w:rPr>
                <w:rFonts w:hint="eastAsia" w:ascii="宋体" w:hAnsi="宋体" w:eastAsia="宋体" w:cs="宋体"/>
                <w:color w:val="auto"/>
                <w:spacing w:val="-6"/>
                <w:sz w:val="21"/>
                <w:szCs w:val="21"/>
                <w:highlight w:val="none"/>
                <w:shd w:val="clear"/>
                <w:lang w:val="en-US" w:eastAsia="zh-CN"/>
              </w:rPr>
              <w:t>则：经认定被列入失信被执行人、重大税收违法失信主体、政府采购严重违法失信行为记录名单的</w:t>
            </w:r>
            <w:r>
              <w:rPr>
                <w:rFonts w:hint="eastAsia" w:ascii="宋体" w:hAnsi="宋体" w:eastAsia="宋体" w:cs="宋体"/>
                <w:color w:val="auto"/>
                <w:spacing w:val="-6"/>
                <w:kern w:val="0"/>
                <w:sz w:val="21"/>
                <w:szCs w:val="21"/>
                <w:highlight w:val="none"/>
                <w:shd w:val="clear"/>
                <w:lang w:val="en-US" w:eastAsia="zh-CN" w:bidi="ar"/>
              </w:rPr>
              <w:t>供应商</w:t>
            </w:r>
            <w:r>
              <w:rPr>
                <w:rFonts w:hint="eastAsia" w:ascii="宋体" w:hAnsi="宋体" w:eastAsia="宋体" w:cs="宋体"/>
                <w:color w:val="auto"/>
                <w:spacing w:val="-6"/>
                <w:sz w:val="21"/>
                <w:szCs w:val="21"/>
                <w:highlight w:val="none"/>
                <w:shd w:val="clear"/>
                <w:lang w:val="en-US" w:eastAsia="zh-CN"/>
              </w:rPr>
              <w:t>，</w:t>
            </w:r>
            <w:r>
              <w:rPr>
                <w:rFonts w:hint="eastAsia" w:ascii="宋体" w:hAnsi="宋体" w:eastAsia="宋体" w:cs="宋体"/>
                <w:b/>
                <w:bCs/>
                <w:color w:val="auto"/>
                <w:spacing w:val="-6"/>
                <w:sz w:val="21"/>
                <w:szCs w:val="21"/>
                <w:highlight w:val="none"/>
                <w:shd w:val="clear"/>
                <w:lang w:val="en-US" w:eastAsia="zh-CN"/>
              </w:rPr>
              <w:t>其谈判响应无效</w:t>
            </w:r>
            <w:r>
              <w:rPr>
                <w:rFonts w:hint="eastAsia" w:ascii="宋体" w:hAnsi="宋体" w:eastAsia="宋体" w:cs="宋体"/>
                <w:color w:val="auto"/>
                <w:spacing w:val="-6"/>
                <w:sz w:val="21"/>
                <w:szCs w:val="21"/>
                <w:highlight w:val="none"/>
                <w:shd w:val="clear"/>
                <w:lang w:val="en-US" w:eastAsia="zh-CN"/>
              </w:rPr>
              <w:t>。联合体形式响应的，联合体成员存在不良信用记录，视同联合体存</w:t>
            </w:r>
            <w:r>
              <w:rPr>
                <w:rFonts w:hint="eastAsia" w:ascii="宋体" w:hAnsi="宋体" w:eastAsia="宋体" w:cs="宋体"/>
                <w:color w:val="auto"/>
                <w:spacing w:val="-6"/>
                <w:sz w:val="21"/>
                <w:szCs w:val="21"/>
                <w:highlight w:val="none"/>
                <w:lang w:val="en-US" w:eastAsia="zh-CN"/>
              </w:rPr>
              <w:t>在不良信用记录。</w:t>
            </w:r>
          </w:p>
        </w:tc>
        <w:tc>
          <w:tcPr>
            <w:tcW w:w="707" w:type="pct"/>
            <w:shd w:val="clear" w:color="auto" w:fill="auto"/>
            <w:vAlign w:val="center"/>
          </w:tcPr>
          <w:p w14:paraId="7BC2D84A">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无须</w:t>
            </w:r>
            <w:r>
              <w:rPr>
                <w:rFonts w:hint="eastAsia" w:ascii="宋体" w:hAnsi="宋体" w:eastAsia="宋体" w:cs="宋体"/>
                <w:color w:val="auto"/>
                <w:spacing w:val="-6"/>
                <w:kern w:val="0"/>
                <w:sz w:val="21"/>
                <w:szCs w:val="21"/>
                <w:highlight w:val="none"/>
                <w:lang w:val="en-US" w:eastAsia="zh-CN" w:bidi="ar"/>
              </w:rPr>
              <w:t>供应商</w:t>
            </w:r>
            <w:r>
              <w:rPr>
                <w:rFonts w:hint="eastAsia" w:ascii="宋体" w:hAnsi="宋体" w:eastAsia="宋体" w:cs="宋体"/>
                <w:color w:val="auto"/>
                <w:kern w:val="0"/>
                <w:sz w:val="21"/>
                <w:szCs w:val="21"/>
                <w:highlight w:val="none"/>
                <w:lang w:val="en-US" w:eastAsia="zh-CN" w:bidi="ar"/>
              </w:rPr>
              <w:t>提供，由采购人或采购代理机构查询。</w:t>
            </w:r>
          </w:p>
          <w:p w14:paraId="5E098C36">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bidi="ar"/>
              </w:rPr>
            </w:pPr>
          </w:p>
        </w:tc>
      </w:tr>
      <w:tr w14:paraId="143B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440" w:hRule="atLeast"/>
          <w:jc w:val="center"/>
        </w:trPr>
        <w:tc>
          <w:tcPr>
            <w:tcW w:w="400" w:type="pct"/>
            <w:shd w:val="clear" w:color="auto" w:fill="auto"/>
            <w:vAlign w:val="center"/>
          </w:tcPr>
          <w:p w14:paraId="7290BB72">
            <w:pPr>
              <w:pStyle w:val="44"/>
              <w:shd w:val="clea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w:t>
            </w:r>
            <w:r>
              <w:rPr>
                <w:rFonts w:hint="eastAsia" w:cs="宋体"/>
                <w:b/>
                <w:bCs/>
                <w:color w:val="auto"/>
                <w:sz w:val="21"/>
                <w:szCs w:val="21"/>
                <w:highlight w:val="none"/>
                <w:lang w:val="en-US" w:eastAsia="zh-CN"/>
              </w:rPr>
              <w:t>3</w:t>
            </w:r>
          </w:p>
        </w:tc>
        <w:tc>
          <w:tcPr>
            <w:tcW w:w="900" w:type="pct"/>
            <w:shd w:val="clear" w:color="auto" w:fill="auto"/>
            <w:vAlign w:val="center"/>
          </w:tcPr>
          <w:p w14:paraId="0A3A5C74">
            <w:pPr>
              <w:pStyle w:val="44"/>
              <w:keepNext w:val="0"/>
              <w:keepLines w:val="0"/>
              <w:pageBreakBefore w:val="0"/>
              <w:widowControl w:val="0"/>
              <w:shd w:val="clear"/>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法律、行政法规规定的其他条件</w:t>
            </w:r>
          </w:p>
        </w:tc>
        <w:tc>
          <w:tcPr>
            <w:tcW w:w="2991" w:type="pct"/>
            <w:shd w:val="clear" w:color="auto" w:fill="auto"/>
            <w:vAlign w:val="center"/>
          </w:tcPr>
          <w:p w14:paraId="6B5BBDA4">
            <w:pPr>
              <w:pStyle w:val="44"/>
              <w:shd w:val="clea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法律、行政法规规定的其他条件</w:t>
            </w:r>
          </w:p>
        </w:tc>
        <w:tc>
          <w:tcPr>
            <w:tcW w:w="707" w:type="pct"/>
            <w:shd w:val="clear" w:color="auto" w:fill="auto"/>
            <w:vAlign w:val="center"/>
          </w:tcPr>
          <w:p w14:paraId="5839134B">
            <w:pPr>
              <w:pStyle w:val="44"/>
              <w:shd w:val="clear"/>
              <w:spacing w:line="240" w:lineRule="auto"/>
              <w:jc w:val="center"/>
              <w:rPr>
                <w:rFonts w:hint="eastAsia" w:ascii="宋体" w:hAnsi="宋体" w:eastAsia="宋体" w:cs="宋体"/>
                <w:b/>
                <w:bCs/>
                <w:color w:val="auto"/>
                <w:sz w:val="21"/>
                <w:szCs w:val="21"/>
                <w:highlight w:val="none"/>
              </w:rPr>
            </w:pPr>
          </w:p>
        </w:tc>
      </w:tr>
      <w:tr w14:paraId="1CB0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656" w:hRule="atLeast"/>
          <w:jc w:val="center"/>
        </w:trPr>
        <w:tc>
          <w:tcPr>
            <w:tcW w:w="400" w:type="pct"/>
            <w:shd w:val="clear" w:color="auto" w:fill="auto"/>
            <w:vAlign w:val="center"/>
          </w:tcPr>
          <w:p w14:paraId="6C255CE7">
            <w:pPr>
              <w:pStyle w:val="44"/>
              <w:shd w:val="clea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p>
        </w:tc>
        <w:tc>
          <w:tcPr>
            <w:tcW w:w="900" w:type="pct"/>
            <w:shd w:val="clear" w:color="auto" w:fill="auto"/>
            <w:vAlign w:val="center"/>
          </w:tcPr>
          <w:p w14:paraId="07A47C7F">
            <w:pPr>
              <w:pStyle w:val="44"/>
              <w:keepNext w:val="0"/>
              <w:keepLines w:val="0"/>
              <w:pageBreakBefore w:val="0"/>
              <w:widowControl w:val="0"/>
              <w:shd w:val="clear"/>
              <w:kinsoku/>
              <w:wordWrap/>
              <w:overflowPunct/>
              <w:topLinePunct w:val="0"/>
              <w:autoSpaceDE/>
              <w:autoSpaceDN/>
              <w:bidi w:val="0"/>
              <w:adjustRightInd/>
              <w:snapToGrid/>
              <w:spacing w:line="260" w:lineRule="exact"/>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落实政府采购政策需满足的资格要求</w:t>
            </w:r>
          </w:p>
        </w:tc>
        <w:tc>
          <w:tcPr>
            <w:tcW w:w="2991" w:type="pct"/>
            <w:shd w:val="clear" w:color="auto" w:fill="auto"/>
            <w:vAlign w:val="center"/>
          </w:tcPr>
          <w:p w14:paraId="7E0BC8AF">
            <w:pPr>
              <w:pStyle w:val="44"/>
              <w:shd w:val="clea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具体要求见“第一章 竞争性谈判公告”</w:t>
            </w:r>
          </w:p>
        </w:tc>
        <w:tc>
          <w:tcPr>
            <w:tcW w:w="707" w:type="pct"/>
            <w:shd w:val="clear" w:color="auto" w:fill="auto"/>
            <w:vAlign w:val="center"/>
          </w:tcPr>
          <w:p w14:paraId="31A26727">
            <w:pPr>
              <w:pStyle w:val="44"/>
              <w:shd w:val="clear"/>
              <w:spacing w:line="240" w:lineRule="auto"/>
              <w:jc w:val="center"/>
              <w:rPr>
                <w:rFonts w:hint="eastAsia" w:ascii="宋体" w:hAnsi="宋体" w:eastAsia="宋体" w:cs="宋体"/>
                <w:b/>
                <w:bCs/>
                <w:color w:val="auto"/>
                <w:sz w:val="21"/>
                <w:szCs w:val="21"/>
                <w:highlight w:val="none"/>
              </w:rPr>
            </w:pPr>
          </w:p>
        </w:tc>
      </w:tr>
      <w:tr w14:paraId="053C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606" w:hRule="atLeast"/>
          <w:jc w:val="center"/>
        </w:trPr>
        <w:tc>
          <w:tcPr>
            <w:tcW w:w="400" w:type="pct"/>
            <w:shd w:val="clear" w:color="auto" w:fill="auto"/>
            <w:vAlign w:val="center"/>
          </w:tcPr>
          <w:p w14:paraId="24FDDE2A">
            <w:pPr>
              <w:pStyle w:val="44"/>
              <w:shd w:val="clea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2-1</w:t>
            </w:r>
          </w:p>
        </w:tc>
        <w:tc>
          <w:tcPr>
            <w:tcW w:w="900" w:type="pct"/>
            <w:shd w:val="clear" w:color="auto" w:fill="auto"/>
            <w:vAlign w:val="center"/>
          </w:tcPr>
          <w:p w14:paraId="4B5BE3E6">
            <w:pPr>
              <w:pStyle w:val="44"/>
              <w:shd w:val="clea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中小企业政策</w:t>
            </w:r>
          </w:p>
        </w:tc>
        <w:tc>
          <w:tcPr>
            <w:tcW w:w="2991" w:type="pct"/>
            <w:shd w:val="clear" w:color="auto" w:fill="auto"/>
            <w:vAlign w:val="center"/>
          </w:tcPr>
          <w:p w14:paraId="5B522749">
            <w:pPr>
              <w:pStyle w:val="44"/>
              <w:shd w:val="clea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具体要求见</w:t>
            </w:r>
            <w:r>
              <w:rPr>
                <w:rFonts w:hint="eastAsia" w:ascii="宋体" w:hAnsi="宋体" w:eastAsia="宋体" w:cs="宋体"/>
                <w:color w:val="auto"/>
                <w:sz w:val="21"/>
                <w:szCs w:val="21"/>
                <w:highlight w:val="none"/>
                <w:lang w:val="en-US" w:eastAsia="zh-CN"/>
              </w:rPr>
              <w:t>“第一章 竞争性谈判公告”</w:t>
            </w:r>
          </w:p>
        </w:tc>
        <w:tc>
          <w:tcPr>
            <w:tcW w:w="707" w:type="pct"/>
            <w:shd w:val="clear" w:color="auto" w:fill="auto"/>
            <w:vAlign w:val="center"/>
          </w:tcPr>
          <w:p w14:paraId="6CB2E2F5">
            <w:pPr>
              <w:pStyle w:val="44"/>
              <w:shd w:val="clear"/>
              <w:spacing w:line="240" w:lineRule="auto"/>
              <w:jc w:val="center"/>
              <w:rPr>
                <w:rFonts w:hint="eastAsia" w:ascii="宋体" w:hAnsi="宋体" w:eastAsia="宋体" w:cs="宋体"/>
                <w:b/>
                <w:bCs/>
                <w:color w:val="auto"/>
                <w:sz w:val="21"/>
                <w:szCs w:val="21"/>
                <w:highlight w:val="none"/>
              </w:rPr>
            </w:pPr>
          </w:p>
        </w:tc>
      </w:tr>
      <w:tr w14:paraId="45AD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1680" w:hRule="atLeast"/>
          <w:jc w:val="center"/>
        </w:trPr>
        <w:tc>
          <w:tcPr>
            <w:tcW w:w="400" w:type="pct"/>
            <w:shd w:val="clear" w:color="auto" w:fill="auto"/>
            <w:vAlign w:val="center"/>
          </w:tcPr>
          <w:p w14:paraId="59D1182A">
            <w:pPr>
              <w:pStyle w:val="44"/>
              <w:shd w:val="clea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2-1-1</w:t>
            </w:r>
          </w:p>
        </w:tc>
        <w:tc>
          <w:tcPr>
            <w:tcW w:w="900" w:type="pct"/>
            <w:shd w:val="clear" w:color="auto" w:fill="auto"/>
            <w:vAlign w:val="center"/>
          </w:tcPr>
          <w:p w14:paraId="627BF512">
            <w:pPr>
              <w:pStyle w:val="44"/>
              <w:shd w:val="clea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lang w:val="en-US" w:eastAsia="zh-CN" w:bidi="ar"/>
              </w:rPr>
              <w:t>中小企业证明文件</w:t>
            </w:r>
          </w:p>
        </w:tc>
        <w:tc>
          <w:tcPr>
            <w:tcW w:w="2991" w:type="pct"/>
            <w:shd w:val="clear" w:color="auto" w:fill="auto"/>
            <w:vAlign w:val="center"/>
          </w:tcPr>
          <w:p w14:paraId="12EAD6DF">
            <w:pPr>
              <w:keepNext w:val="0"/>
              <w:keepLines w:val="0"/>
              <w:pageBreakBefore w:val="0"/>
              <w:widowControl/>
              <w:suppressLineNumbers w:val="0"/>
              <w:shd w:val="clear"/>
              <w:kinsoku/>
              <w:wordWrap/>
              <w:overflowPunct/>
              <w:topLinePunct w:val="0"/>
              <w:autoSpaceDE/>
              <w:autoSpaceDN/>
              <w:bidi w:val="0"/>
              <w:adjustRightInd/>
              <w:snapToGrid/>
              <w:spacing w:line="30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spacing w:val="-6"/>
                <w:kern w:val="0"/>
                <w:sz w:val="21"/>
                <w:szCs w:val="21"/>
                <w:highlight w:val="none"/>
                <w:lang w:val="en-US" w:eastAsia="zh-CN" w:bidi="ar"/>
              </w:rPr>
              <w:t>供应商</w:t>
            </w:r>
            <w:r>
              <w:rPr>
                <w:rFonts w:hint="eastAsia" w:ascii="宋体" w:hAnsi="宋体" w:eastAsia="宋体" w:cs="宋体"/>
                <w:color w:val="auto"/>
                <w:kern w:val="0"/>
                <w:sz w:val="21"/>
                <w:szCs w:val="21"/>
                <w:highlight w:val="none"/>
                <w:lang w:val="en-US" w:eastAsia="zh-CN" w:bidi="ar"/>
              </w:rPr>
              <w:t xml:space="preserve">单独响应的，应提供“中小企业声明函”或“残疾人福利性单位声明函”或由省级以上监狱管理局、戒毒管理局（含新疆生产建设兵团）出具的属于监狱企业的证明文件。 </w:t>
            </w:r>
          </w:p>
          <w:p w14:paraId="72881174">
            <w:pPr>
              <w:pStyle w:val="44"/>
              <w:keepNext w:val="0"/>
              <w:keepLines w:val="0"/>
              <w:pageBreakBefore w:val="0"/>
              <w:shd w:val="clear"/>
              <w:kinsoku/>
              <w:wordWrap/>
              <w:overflowPunct/>
              <w:topLinePunct w:val="0"/>
              <w:autoSpaceDE/>
              <w:autoSpaceDN/>
              <w:bidi w:val="0"/>
              <w:adjustRightInd/>
              <w:snapToGrid/>
              <w:spacing w:line="300" w:lineRule="exact"/>
              <w:jc w:val="both"/>
              <w:textAlignment w:val="auto"/>
              <w:rPr>
                <w:rFonts w:hint="eastAsia" w:ascii="宋体" w:hAnsi="宋体" w:eastAsia="宋体" w:cs="宋体"/>
                <w:color w:val="auto"/>
                <w:kern w:val="0"/>
                <w:sz w:val="21"/>
                <w:szCs w:val="21"/>
                <w:highlight w:val="none"/>
                <w:lang w:val="en-US" w:eastAsia="zh-CN" w:bidi="ar"/>
              </w:rPr>
            </w:pPr>
          </w:p>
        </w:tc>
        <w:tc>
          <w:tcPr>
            <w:tcW w:w="707" w:type="pct"/>
            <w:shd w:val="clear" w:color="auto" w:fill="auto"/>
            <w:vAlign w:val="center"/>
          </w:tcPr>
          <w:p w14:paraId="5FF76436">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格式见《第六章 响应文件格式》</w:t>
            </w:r>
          </w:p>
        </w:tc>
      </w:tr>
      <w:tr w14:paraId="771C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96" w:hRule="atLeast"/>
          <w:jc w:val="center"/>
        </w:trPr>
        <w:tc>
          <w:tcPr>
            <w:tcW w:w="400" w:type="pct"/>
            <w:shd w:val="clear" w:color="auto" w:fill="auto"/>
            <w:vAlign w:val="center"/>
          </w:tcPr>
          <w:p w14:paraId="561EE156">
            <w:pPr>
              <w:pStyle w:val="44"/>
              <w:shd w:val="clea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w:t>
            </w:r>
          </w:p>
        </w:tc>
        <w:tc>
          <w:tcPr>
            <w:tcW w:w="900" w:type="pct"/>
            <w:shd w:val="clear" w:color="auto" w:fill="auto"/>
            <w:vAlign w:val="center"/>
          </w:tcPr>
          <w:p w14:paraId="76B4DCC4">
            <w:pPr>
              <w:pStyle w:val="44"/>
              <w:shd w:val="clear"/>
              <w:spacing w:line="240" w:lineRule="auto"/>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本项目的特定资格要求</w:t>
            </w:r>
          </w:p>
        </w:tc>
        <w:tc>
          <w:tcPr>
            <w:tcW w:w="2991" w:type="pct"/>
            <w:shd w:val="clear" w:color="auto" w:fill="auto"/>
            <w:vAlign w:val="center"/>
          </w:tcPr>
          <w:p w14:paraId="2109B214">
            <w:pPr>
              <w:pStyle w:val="44"/>
              <w:shd w:val="clear"/>
              <w:spacing w:line="240" w:lineRule="auto"/>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见</w:t>
            </w:r>
            <w:r>
              <w:rPr>
                <w:rFonts w:hint="eastAsia" w:ascii="宋体" w:hAnsi="宋体" w:eastAsia="宋体" w:cs="宋体"/>
                <w:color w:val="auto"/>
                <w:sz w:val="21"/>
                <w:szCs w:val="21"/>
                <w:highlight w:val="none"/>
                <w:lang w:val="en-US" w:eastAsia="zh-CN"/>
              </w:rPr>
              <w:t>“第一章 竞争性谈判公告”</w:t>
            </w:r>
          </w:p>
        </w:tc>
        <w:tc>
          <w:tcPr>
            <w:tcW w:w="707" w:type="pct"/>
            <w:shd w:val="clear" w:color="auto" w:fill="auto"/>
            <w:vAlign w:val="center"/>
          </w:tcPr>
          <w:p w14:paraId="0A9CB89B">
            <w:pPr>
              <w:pStyle w:val="44"/>
              <w:keepNext w:val="0"/>
              <w:keepLines w:val="0"/>
              <w:pageBreakBefore w:val="0"/>
              <w:widowControl w:val="0"/>
              <w:shd w:val="clear"/>
              <w:kinsoku/>
              <w:wordWrap/>
              <w:overflowPunct/>
              <w:topLinePunct w:val="0"/>
              <w:autoSpaceDE/>
              <w:autoSpaceDN/>
              <w:bidi w:val="0"/>
              <w:adjustRightInd/>
              <w:snapToGrid/>
              <w:spacing w:line="280" w:lineRule="exact"/>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提供证明文件的电子件或电子证照</w:t>
            </w:r>
          </w:p>
        </w:tc>
      </w:tr>
      <w:tr w14:paraId="4D5F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1220" w:hRule="atLeast"/>
          <w:jc w:val="center"/>
        </w:trPr>
        <w:tc>
          <w:tcPr>
            <w:tcW w:w="400" w:type="pct"/>
            <w:shd w:val="clear" w:color="auto" w:fill="auto"/>
            <w:vAlign w:val="center"/>
          </w:tcPr>
          <w:p w14:paraId="127F32A0">
            <w:pPr>
              <w:pStyle w:val="44"/>
              <w:shd w:val="clea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3-1</w:t>
            </w:r>
          </w:p>
        </w:tc>
        <w:tc>
          <w:tcPr>
            <w:tcW w:w="900" w:type="pct"/>
            <w:shd w:val="clear" w:color="auto" w:fill="auto"/>
            <w:vAlign w:val="center"/>
          </w:tcPr>
          <w:p w14:paraId="74CDC7CB">
            <w:pPr>
              <w:pStyle w:val="44"/>
              <w:shd w:val="clear"/>
              <w:spacing w:line="240" w:lineRule="auto"/>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本项目对于联合体的要求</w:t>
            </w:r>
          </w:p>
        </w:tc>
        <w:tc>
          <w:tcPr>
            <w:tcW w:w="2991" w:type="pct"/>
            <w:shd w:val="clear" w:color="auto" w:fill="auto"/>
            <w:vAlign w:val="center"/>
          </w:tcPr>
          <w:p w14:paraId="5E4BFCDE">
            <w:pPr>
              <w:pStyle w:val="44"/>
              <w:keepNext w:val="0"/>
              <w:keepLines w:val="0"/>
              <w:pageBreakBefore w:val="0"/>
              <w:widowControl w:val="0"/>
              <w:shd w:val="clear"/>
              <w:kinsoku/>
              <w:wordWrap/>
              <w:overflowPunct/>
              <w:topLinePunct w:val="0"/>
              <w:autoSpaceDE/>
              <w:autoSpaceDN/>
              <w:bidi w:val="0"/>
              <w:adjustRightInd/>
              <w:snapToGrid/>
              <w:spacing w:line="280" w:lineRule="exact"/>
              <w:jc w:val="both"/>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本项目不接受联合体谈判，</w:t>
            </w:r>
            <w:r>
              <w:rPr>
                <w:rFonts w:hint="eastAsia" w:ascii="宋体" w:hAnsi="宋体" w:eastAsia="宋体" w:cs="宋体"/>
                <w:color w:val="auto"/>
                <w:spacing w:val="-6"/>
                <w:kern w:val="0"/>
                <w:sz w:val="21"/>
                <w:szCs w:val="21"/>
                <w:highlight w:val="none"/>
                <w:lang w:val="en-US" w:eastAsia="zh-CN" w:bidi="ar"/>
              </w:rPr>
              <w:t>供应商</w:t>
            </w:r>
            <w:r>
              <w:rPr>
                <w:rFonts w:hint="eastAsia" w:ascii="宋体" w:hAnsi="宋体" w:eastAsia="宋体" w:cs="宋体"/>
                <w:color w:val="auto"/>
                <w:kern w:val="0"/>
                <w:sz w:val="21"/>
                <w:szCs w:val="21"/>
                <w:highlight w:val="none"/>
                <w:lang w:val="en-US" w:eastAsia="zh-CN" w:bidi="ar"/>
              </w:rPr>
              <w:t>不得为联合体。</w:t>
            </w:r>
          </w:p>
        </w:tc>
        <w:tc>
          <w:tcPr>
            <w:tcW w:w="707" w:type="pct"/>
            <w:shd w:val="clear" w:color="auto" w:fill="auto"/>
            <w:vAlign w:val="center"/>
          </w:tcPr>
          <w:p w14:paraId="6997A46F">
            <w:pPr>
              <w:pStyle w:val="44"/>
              <w:shd w:val="clear"/>
              <w:spacing w:line="240" w:lineRule="auto"/>
              <w:jc w:val="left"/>
              <w:rPr>
                <w:rFonts w:hint="eastAsia"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w:t>
            </w:r>
          </w:p>
        </w:tc>
      </w:tr>
      <w:tr w14:paraId="2A13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720" w:hRule="atLeast"/>
          <w:jc w:val="center"/>
        </w:trPr>
        <w:tc>
          <w:tcPr>
            <w:tcW w:w="400" w:type="pct"/>
            <w:shd w:val="clear" w:color="auto" w:fill="auto"/>
            <w:vAlign w:val="center"/>
          </w:tcPr>
          <w:p w14:paraId="66900EDF">
            <w:pPr>
              <w:pStyle w:val="44"/>
              <w:shd w:val="clea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w:t>
            </w:r>
          </w:p>
        </w:tc>
        <w:tc>
          <w:tcPr>
            <w:tcW w:w="900" w:type="pct"/>
            <w:shd w:val="clear" w:color="auto" w:fill="auto"/>
            <w:vAlign w:val="center"/>
          </w:tcPr>
          <w:p w14:paraId="6ADA3BD7">
            <w:pPr>
              <w:pStyle w:val="44"/>
              <w:shd w:val="clear"/>
              <w:spacing w:line="240" w:lineRule="auto"/>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其他特定资格要求</w:t>
            </w:r>
          </w:p>
        </w:tc>
        <w:tc>
          <w:tcPr>
            <w:tcW w:w="2991" w:type="pct"/>
            <w:shd w:val="clear" w:color="auto" w:fill="auto"/>
            <w:vAlign w:val="center"/>
          </w:tcPr>
          <w:p w14:paraId="7C33D26F">
            <w:pPr>
              <w:pStyle w:val="44"/>
              <w:shd w:val="clear"/>
              <w:spacing w:line="240" w:lineRule="auto"/>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供应商需具有有效的兽药经营许可证</w:t>
            </w:r>
          </w:p>
        </w:tc>
        <w:tc>
          <w:tcPr>
            <w:tcW w:w="707" w:type="pct"/>
            <w:shd w:val="clear" w:color="auto" w:fill="auto"/>
            <w:vAlign w:val="center"/>
          </w:tcPr>
          <w:p w14:paraId="44A82A15">
            <w:pPr>
              <w:pStyle w:val="44"/>
              <w:keepNext w:val="0"/>
              <w:keepLines w:val="0"/>
              <w:pageBreakBefore w:val="0"/>
              <w:widowControl w:val="0"/>
              <w:shd w:val="clear"/>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auto"/>
                <w:kern w:val="0"/>
                <w:sz w:val="21"/>
                <w:szCs w:val="21"/>
                <w:highlight w:val="none"/>
                <w:lang w:val="en-US" w:eastAsia="zh-CN" w:bidi="ar"/>
              </w:rPr>
            </w:pPr>
            <w:bookmarkStart w:id="630" w:name="_GoBack"/>
            <w:r>
              <w:rPr>
                <w:rFonts w:hint="eastAsia" w:ascii="宋体" w:hAnsi="宋体" w:eastAsia="宋体" w:cs="宋体"/>
                <w:color w:val="auto"/>
                <w:kern w:val="0"/>
                <w:sz w:val="21"/>
                <w:szCs w:val="21"/>
                <w:highlight w:val="none"/>
                <w:lang w:val="en-US" w:eastAsia="zh-CN" w:bidi="ar"/>
              </w:rPr>
              <w:t>提供证明文件的电子件或电子证照</w:t>
            </w:r>
            <w:bookmarkEnd w:id="630"/>
          </w:p>
        </w:tc>
      </w:tr>
      <w:tr w14:paraId="40574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720" w:hRule="atLeast"/>
          <w:jc w:val="center"/>
        </w:trPr>
        <w:tc>
          <w:tcPr>
            <w:tcW w:w="400" w:type="pct"/>
            <w:shd w:val="clear" w:color="auto" w:fill="auto"/>
            <w:vAlign w:val="center"/>
          </w:tcPr>
          <w:p w14:paraId="4BE4D9B4">
            <w:pPr>
              <w:pStyle w:val="44"/>
              <w:shd w:val="clear"/>
              <w:spacing w:line="240" w:lineRule="auto"/>
              <w:jc w:val="center"/>
              <w:rPr>
                <w:rFonts w:hint="default" w:ascii="宋体" w:hAnsi="宋体" w:eastAsia="宋体" w:cs="宋体"/>
                <w:b/>
                <w:bCs/>
                <w:color w:val="auto"/>
                <w:sz w:val="21"/>
                <w:szCs w:val="21"/>
                <w:highlight w:val="none"/>
                <w:lang w:val="en-US" w:eastAsia="zh-CN"/>
              </w:rPr>
            </w:pPr>
            <w:r>
              <w:rPr>
                <w:rFonts w:hint="eastAsia" w:cs="宋体"/>
                <w:b/>
                <w:bCs/>
                <w:color w:val="auto"/>
                <w:sz w:val="21"/>
                <w:szCs w:val="21"/>
                <w:highlight w:val="none"/>
                <w:lang w:val="en-US" w:eastAsia="zh-CN"/>
              </w:rPr>
              <w:t>4</w:t>
            </w:r>
          </w:p>
        </w:tc>
        <w:tc>
          <w:tcPr>
            <w:tcW w:w="900" w:type="pct"/>
            <w:shd w:val="clear" w:color="auto" w:fill="auto"/>
            <w:vAlign w:val="center"/>
          </w:tcPr>
          <w:p w14:paraId="6E9AC213">
            <w:pPr>
              <w:pStyle w:val="44"/>
              <w:shd w:val="clear"/>
              <w:spacing w:line="240" w:lineRule="auto"/>
              <w:jc w:val="both"/>
              <w:rPr>
                <w:rFonts w:hint="default" w:ascii="宋体" w:hAnsi="宋体" w:eastAsia="宋体" w:cs="宋体"/>
                <w:color w:val="auto"/>
                <w:kern w:val="0"/>
                <w:sz w:val="21"/>
                <w:szCs w:val="21"/>
                <w:highlight w:val="none"/>
                <w:lang w:val="en-US" w:eastAsia="zh-CN" w:bidi="ar"/>
              </w:rPr>
            </w:pPr>
            <w:r>
              <w:rPr>
                <w:rFonts w:hint="eastAsia" w:cs="宋体"/>
                <w:color w:val="auto"/>
                <w:kern w:val="0"/>
                <w:sz w:val="21"/>
                <w:szCs w:val="21"/>
                <w:highlight w:val="none"/>
                <w:lang w:val="en-US" w:eastAsia="zh-CN" w:bidi="ar"/>
              </w:rPr>
              <w:t>其他资格要求</w:t>
            </w:r>
          </w:p>
        </w:tc>
        <w:tc>
          <w:tcPr>
            <w:tcW w:w="2991" w:type="pct"/>
            <w:shd w:val="clear" w:color="auto" w:fill="auto"/>
            <w:vAlign w:val="center"/>
          </w:tcPr>
          <w:p w14:paraId="0893F970">
            <w:pPr>
              <w:pStyle w:val="44"/>
              <w:shd w:val="clear"/>
              <w:spacing w:line="240" w:lineRule="auto"/>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（1）法定代表人或单位负责人为同一人或者存在直接控股、管理关系的不同供应商，不得参加同一合同项下的政府采购活动。</w:t>
            </w:r>
          </w:p>
          <w:p w14:paraId="02E1DA8B">
            <w:pPr>
              <w:pStyle w:val="44"/>
              <w:shd w:val="clear"/>
              <w:spacing w:line="240" w:lineRule="auto"/>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（2）除单一来源采购项目外，为采购项目提供整体设计、规范编制或者项目管理、监理、检测等服务的供应商，不得再参加该采购项目的其他采购活动。</w:t>
            </w:r>
          </w:p>
          <w:p w14:paraId="2D2E2D8E">
            <w:pPr>
              <w:pStyle w:val="44"/>
              <w:shd w:val="clear"/>
              <w:spacing w:line="240" w:lineRule="auto"/>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（3）供应商的信用行为：在资格审查阶段经查询，未被列入“失信被执行人”、“重大税收违法失信主体”、“政府采购严重违法失信行为记录名单”其中之一。如有以上不良信用记录之一的，其响应无效。</w:t>
            </w:r>
          </w:p>
        </w:tc>
        <w:tc>
          <w:tcPr>
            <w:tcW w:w="707" w:type="pct"/>
            <w:shd w:val="clear" w:color="auto" w:fill="auto"/>
            <w:vAlign w:val="center"/>
          </w:tcPr>
          <w:p w14:paraId="74CE8DE5">
            <w:pPr>
              <w:pStyle w:val="44"/>
              <w:keepNext w:val="0"/>
              <w:keepLines w:val="0"/>
              <w:pageBreakBefore w:val="0"/>
              <w:widowControl w:val="0"/>
              <w:shd w:val="clear"/>
              <w:kinsoku/>
              <w:wordWrap/>
              <w:overflowPunct/>
              <w:topLinePunct w:val="0"/>
              <w:autoSpaceDE/>
              <w:autoSpaceDN/>
              <w:bidi w:val="0"/>
              <w:adjustRightInd/>
              <w:snapToGrid/>
              <w:spacing w:line="280" w:lineRule="exact"/>
              <w:jc w:val="left"/>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提供声明函，格式自拟。</w:t>
            </w:r>
          </w:p>
        </w:tc>
      </w:tr>
    </w:tbl>
    <w:p w14:paraId="1C79E11B">
      <w:pPr>
        <w:shd w:val="clear"/>
        <w:rPr>
          <w:b/>
          <w:bCs/>
          <w:color w:val="auto"/>
          <w:sz w:val="21"/>
          <w:szCs w:val="21"/>
          <w:highlight w:val="none"/>
        </w:rPr>
      </w:pPr>
      <w:r>
        <w:rPr>
          <w:rFonts w:hint="eastAsia"/>
          <w:b/>
          <w:bCs/>
          <w:color w:val="auto"/>
          <w:sz w:val="21"/>
          <w:szCs w:val="21"/>
          <w:highlight w:val="none"/>
        </w:rPr>
        <w:t>备注：</w:t>
      </w:r>
    </w:p>
    <w:p w14:paraId="509818B3">
      <w:pPr>
        <w:pStyle w:val="37"/>
        <w:keepNext w:val="0"/>
        <w:keepLines w:val="0"/>
        <w:pageBreakBefore w:val="0"/>
        <w:widowControl w:val="0"/>
        <w:shd w:val="clear"/>
        <w:kinsoku/>
        <w:overflowPunct/>
        <w:topLinePunct w:val="0"/>
        <w:autoSpaceDE/>
        <w:autoSpaceDN/>
        <w:bidi w:val="0"/>
        <w:adjustRightInd/>
        <w:snapToGrid/>
        <w:spacing w:line="360" w:lineRule="exact"/>
        <w:ind w:firstLine="480"/>
        <w:textAlignment w:val="auto"/>
        <w:rPr>
          <w:rFonts w:hint="eastAsia" w:ascii="宋体" w:hAnsi="宋体" w:eastAsia="宋体" w:cs="宋体"/>
          <w:color w:val="auto"/>
          <w:spacing w:val="-6"/>
          <w:kern w:val="0"/>
          <w:sz w:val="21"/>
          <w:szCs w:val="21"/>
          <w:highlight w:val="none"/>
          <w:lang w:val="en-US" w:eastAsia="zh-CN" w:bidi="ar"/>
        </w:rPr>
      </w:pPr>
      <w:r>
        <w:rPr>
          <w:rFonts w:hint="eastAsia" w:ascii="宋体" w:hAnsi="宋体" w:eastAsia="宋体" w:cs="宋体"/>
          <w:color w:val="auto"/>
          <w:spacing w:val="-6"/>
          <w:kern w:val="0"/>
          <w:sz w:val="21"/>
          <w:szCs w:val="21"/>
          <w:highlight w:val="none"/>
          <w:lang w:val="en-US" w:eastAsia="zh-CN" w:bidi="ar"/>
        </w:rPr>
        <w:t>1.供应商须按上表格式要求提供相关证明文件，响应文件中须编入清晰的扫描件或网页截图。所有证明材料须清晰可辨认，如因证明材料模糊无法辨认，缺页、漏页导致无法进行评审认定的，责任由供应商承担。</w:t>
      </w:r>
    </w:p>
    <w:p w14:paraId="6B3A690E">
      <w:pPr>
        <w:pStyle w:val="37"/>
        <w:keepNext w:val="0"/>
        <w:keepLines w:val="0"/>
        <w:pageBreakBefore w:val="0"/>
        <w:widowControl w:val="0"/>
        <w:numPr>
          <w:ilvl w:val="0"/>
          <w:numId w:val="0"/>
        </w:numPr>
        <w:shd w:val="clear"/>
        <w:kinsoku/>
        <w:overflowPunct/>
        <w:topLinePunct w:val="0"/>
        <w:autoSpaceDE/>
        <w:autoSpaceDN/>
        <w:bidi w:val="0"/>
        <w:adjustRightInd/>
        <w:snapToGrid/>
        <w:spacing w:line="360" w:lineRule="exact"/>
        <w:ind w:firstLine="396" w:firstLineChars="200"/>
        <w:textAlignment w:val="auto"/>
        <w:rPr>
          <w:rFonts w:hint="eastAsia" w:ascii="宋体" w:hAnsi="宋体" w:eastAsia="宋体" w:cs="宋体"/>
          <w:color w:val="auto"/>
          <w:spacing w:val="-6"/>
          <w:kern w:val="0"/>
          <w:sz w:val="21"/>
          <w:szCs w:val="21"/>
          <w:highlight w:val="none"/>
          <w:lang w:val="en-US" w:eastAsia="zh-CN" w:bidi="ar"/>
        </w:rPr>
      </w:pPr>
      <w:r>
        <w:rPr>
          <w:rFonts w:hint="eastAsia" w:ascii="宋体" w:hAnsi="宋体" w:eastAsia="宋体" w:cs="宋体"/>
          <w:color w:val="auto"/>
          <w:spacing w:val="-6"/>
          <w:kern w:val="0"/>
          <w:sz w:val="21"/>
          <w:szCs w:val="21"/>
          <w:highlight w:val="none"/>
          <w:lang w:val="en-US" w:eastAsia="zh-CN" w:bidi="ar"/>
        </w:rPr>
        <w:t>2.</w:t>
      </w:r>
      <w:r>
        <w:rPr>
          <w:rFonts w:hint="eastAsia" w:ascii="宋体" w:hAnsi="宋体" w:eastAsia="宋体" w:cs="宋体"/>
          <w:color w:val="auto"/>
          <w:spacing w:val="-6"/>
          <w:kern w:val="0"/>
          <w:sz w:val="21"/>
          <w:szCs w:val="21"/>
          <w:highlight w:val="none"/>
          <w:lang w:val="zh-CN" w:eastAsia="zh-CN" w:bidi="ar"/>
        </w:rPr>
        <w:t>信用信息核</w:t>
      </w:r>
      <w:r>
        <w:rPr>
          <w:rFonts w:hint="eastAsia" w:ascii="宋体" w:hAnsi="宋体" w:eastAsia="宋体" w:cs="宋体"/>
          <w:color w:val="auto"/>
          <w:spacing w:val="-6"/>
          <w:kern w:val="0"/>
          <w:sz w:val="21"/>
          <w:szCs w:val="21"/>
          <w:highlight w:val="none"/>
          <w:lang w:val="en-US" w:eastAsia="zh-CN" w:bidi="ar"/>
        </w:rPr>
        <w:t>查</w:t>
      </w:r>
    </w:p>
    <w:p w14:paraId="693A48C3">
      <w:pPr>
        <w:pStyle w:val="33"/>
        <w:keepNext w:val="0"/>
        <w:keepLines w:val="0"/>
        <w:pageBreakBefore w:val="0"/>
        <w:widowControl w:val="0"/>
        <w:shd w:val="clear"/>
        <w:kinsoku/>
        <w:overflowPunct/>
        <w:topLinePunct w:val="0"/>
        <w:autoSpaceDE/>
        <w:autoSpaceDN/>
        <w:bidi w:val="0"/>
        <w:adjustRightInd/>
        <w:snapToGrid/>
        <w:spacing w:line="360" w:lineRule="exact"/>
        <w:ind w:firstLine="480"/>
        <w:textAlignment w:val="auto"/>
        <w:rPr>
          <w:rFonts w:hint="eastAsia" w:ascii="宋体" w:hAnsi="宋体" w:eastAsia="宋体" w:cs="宋体"/>
          <w:color w:val="auto"/>
          <w:spacing w:val="-6"/>
          <w:kern w:val="0"/>
          <w:sz w:val="21"/>
          <w:szCs w:val="21"/>
          <w:highlight w:val="none"/>
          <w:lang w:val="en-US" w:eastAsia="zh-CN" w:bidi="ar"/>
        </w:rPr>
      </w:pPr>
      <w:r>
        <w:rPr>
          <w:rFonts w:hint="eastAsia" w:ascii="宋体" w:hAnsi="宋体" w:eastAsia="宋体" w:cs="宋体"/>
          <w:color w:val="auto"/>
          <w:spacing w:val="-6"/>
          <w:kern w:val="0"/>
          <w:sz w:val="21"/>
          <w:szCs w:val="21"/>
          <w:highlight w:val="none"/>
          <w:lang w:val="en-US" w:eastAsia="zh-CN" w:bidi="ar"/>
        </w:rPr>
        <w:t>2.1资格审查阶段应当核查供应商信用记录，供应商被列入失信被执行人、重大税收违法失信主体、政府采购严重违法失信行为记录名单的，采购人拒绝其参与政府采购活动。</w:t>
      </w:r>
    </w:p>
    <w:p w14:paraId="3CDD2CE4">
      <w:pPr>
        <w:pStyle w:val="33"/>
        <w:keepNext w:val="0"/>
        <w:keepLines w:val="0"/>
        <w:pageBreakBefore w:val="0"/>
        <w:widowControl w:val="0"/>
        <w:shd w:val="clear"/>
        <w:kinsoku/>
        <w:overflowPunct/>
        <w:topLinePunct w:val="0"/>
        <w:autoSpaceDE/>
        <w:autoSpaceDN/>
        <w:bidi w:val="0"/>
        <w:adjustRightInd/>
        <w:snapToGrid/>
        <w:spacing w:line="360" w:lineRule="exact"/>
        <w:ind w:firstLine="480"/>
        <w:textAlignment w:val="auto"/>
        <w:rPr>
          <w:rFonts w:hint="eastAsia" w:ascii="宋体" w:hAnsi="宋体" w:eastAsia="宋体" w:cs="宋体"/>
          <w:color w:val="auto"/>
          <w:spacing w:val="-6"/>
          <w:kern w:val="0"/>
          <w:sz w:val="21"/>
          <w:szCs w:val="21"/>
          <w:highlight w:val="none"/>
          <w:lang w:val="en-US" w:eastAsia="zh-CN" w:bidi="ar"/>
        </w:rPr>
      </w:pPr>
      <w:r>
        <w:rPr>
          <w:rFonts w:hint="eastAsia" w:ascii="宋体" w:hAnsi="宋体" w:eastAsia="宋体" w:cs="宋体"/>
          <w:color w:val="auto"/>
          <w:spacing w:val="-6"/>
          <w:kern w:val="0"/>
          <w:sz w:val="21"/>
          <w:szCs w:val="21"/>
          <w:highlight w:val="none"/>
          <w:lang w:val="en-US" w:eastAsia="zh-CN" w:bidi="ar"/>
        </w:rPr>
        <w:t>2.2以联合体形式参与谈判的，应当核查联合体所有成员和信用记录，联合体成员存在不良信用记录的，视同联合体存在不良信用信息。</w:t>
      </w:r>
    </w:p>
    <w:p w14:paraId="5E74E935">
      <w:pPr>
        <w:pStyle w:val="37"/>
        <w:keepNext w:val="0"/>
        <w:keepLines w:val="0"/>
        <w:pageBreakBefore w:val="0"/>
        <w:widowControl w:val="0"/>
        <w:numPr>
          <w:ilvl w:val="0"/>
          <w:numId w:val="0"/>
        </w:numPr>
        <w:shd w:val="clear"/>
        <w:kinsoku/>
        <w:overflowPunct/>
        <w:topLinePunct w:val="0"/>
        <w:autoSpaceDE/>
        <w:autoSpaceDN/>
        <w:bidi w:val="0"/>
        <w:adjustRightInd/>
        <w:snapToGrid/>
        <w:spacing w:line="360" w:lineRule="exact"/>
        <w:ind w:firstLine="396" w:firstLineChars="200"/>
        <w:textAlignment w:val="auto"/>
        <w:rPr>
          <w:rFonts w:hint="eastAsia" w:ascii="宋体" w:hAnsi="宋体" w:eastAsia="宋体" w:cs="宋体"/>
          <w:color w:val="auto"/>
          <w:spacing w:val="-6"/>
          <w:kern w:val="0"/>
          <w:sz w:val="21"/>
          <w:szCs w:val="21"/>
          <w:highlight w:val="none"/>
          <w:lang w:val="en-US" w:eastAsia="zh-CN" w:bidi="ar"/>
        </w:rPr>
      </w:pPr>
      <w:r>
        <w:rPr>
          <w:rFonts w:hint="eastAsia" w:ascii="宋体" w:hAnsi="宋体" w:eastAsia="宋体" w:cs="宋体"/>
          <w:color w:val="auto"/>
          <w:spacing w:val="-6"/>
          <w:kern w:val="0"/>
          <w:sz w:val="21"/>
          <w:szCs w:val="21"/>
          <w:highlight w:val="none"/>
          <w:lang w:val="en-US" w:eastAsia="zh-CN" w:bidi="ar"/>
        </w:rPr>
        <w:t>3.对于响应文件中有任意一条不满足上表要求的，将导致其</w:t>
      </w:r>
      <w:r>
        <w:rPr>
          <w:rFonts w:hint="eastAsia" w:ascii="宋体" w:hAnsi="宋体" w:eastAsia="宋体" w:cs="宋体"/>
          <w:b/>
          <w:bCs/>
          <w:color w:val="auto"/>
          <w:spacing w:val="-6"/>
          <w:kern w:val="0"/>
          <w:sz w:val="21"/>
          <w:szCs w:val="21"/>
          <w:highlight w:val="none"/>
          <w:lang w:val="en-US" w:eastAsia="zh-CN" w:bidi="ar"/>
        </w:rPr>
        <w:t>响应无效</w:t>
      </w:r>
      <w:r>
        <w:rPr>
          <w:rFonts w:hint="eastAsia" w:ascii="宋体" w:hAnsi="宋体" w:eastAsia="宋体" w:cs="宋体"/>
          <w:color w:val="auto"/>
          <w:spacing w:val="-6"/>
          <w:kern w:val="0"/>
          <w:sz w:val="21"/>
          <w:szCs w:val="21"/>
          <w:highlight w:val="none"/>
          <w:lang w:val="en-US" w:eastAsia="zh-CN" w:bidi="ar"/>
        </w:rPr>
        <w:t>，不得进入下一项评审。</w:t>
      </w:r>
    </w:p>
    <w:p w14:paraId="55110B7F">
      <w:pPr>
        <w:shd w:val="clear"/>
        <w:rPr>
          <w:rFonts w:hint="eastAsia"/>
          <w:color w:val="auto"/>
          <w:highlight w:val="none"/>
        </w:rPr>
      </w:pPr>
      <w:r>
        <w:rPr>
          <w:rFonts w:hint="eastAsia"/>
          <w:color w:val="auto"/>
          <w:highlight w:val="none"/>
        </w:rPr>
        <w:br w:type="page"/>
      </w:r>
    </w:p>
    <w:p w14:paraId="613615CA">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05" w:name="_Toc31092"/>
      <w:bookmarkStart w:id="506" w:name="_Toc163493639"/>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符合性审查表</w:t>
      </w:r>
      <w:bookmarkEnd w:id="504"/>
      <w:bookmarkEnd w:id="505"/>
      <w:bookmarkEnd w:id="506"/>
    </w:p>
    <w:tbl>
      <w:tblPr>
        <w:tblStyle w:val="27"/>
        <w:tblW w:w="5424"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8"/>
        <w:gridCol w:w="1313"/>
        <w:gridCol w:w="5530"/>
        <w:gridCol w:w="873"/>
        <w:gridCol w:w="1097"/>
      </w:tblGrid>
      <w:tr w14:paraId="6867D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3" w:type="pct"/>
            <w:vMerge w:val="restart"/>
            <w:shd w:val="clear" w:color="auto" w:fill="auto"/>
            <w:vAlign w:val="center"/>
          </w:tcPr>
          <w:p w14:paraId="3B188FC3">
            <w:pPr>
              <w:pStyle w:val="44"/>
              <w:shd w:val="clear"/>
              <w:jc w:val="center"/>
              <w:rPr>
                <w:rFonts w:hint="eastAsia" w:ascii="宋体" w:hAnsi="宋体" w:eastAsia="宋体" w:cs="宋体"/>
                <w:b/>
                <w:bCs/>
                <w:color w:val="auto"/>
                <w:sz w:val="21"/>
                <w:szCs w:val="21"/>
                <w:highlight w:val="none"/>
                <w:lang w:val="zh-CN"/>
              </w:rPr>
            </w:pPr>
            <w:bookmarkStart w:id="507" w:name="_Toc163493640"/>
            <w:r>
              <w:rPr>
                <w:rFonts w:hint="eastAsia" w:ascii="宋体" w:hAnsi="宋体" w:eastAsia="宋体" w:cs="宋体"/>
                <w:b/>
                <w:bCs/>
                <w:color w:val="auto"/>
                <w:sz w:val="21"/>
                <w:szCs w:val="21"/>
                <w:highlight w:val="none"/>
                <w:lang w:val="zh-CN"/>
              </w:rPr>
              <w:t>序号</w:t>
            </w:r>
          </w:p>
        </w:tc>
        <w:tc>
          <w:tcPr>
            <w:tcW w:w="704" w:type="pct"/>
            <w:vMerge w:val="restart"/>
            <w:shd w:val="clear" w:color="auto" w:fill="auto"/>
            <w:vAlign w:val="center"/>
          </w:tcPr>
          <w:p w14:paraId="316B5F87">
            <w:pPr>
              <w:pStyle w:val="44"/>
              <w:shd w:val="clear"/>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2965" w:type="pct"/>
            <w:vMerge w:val="restart"/>
            <w:shd w:val="clear" w:color="auto" w:fill="auto"/>
            <w:vAlign w:val="center"/>
          </w:tcPr>
          <w:p w14:paraId="44B32FDC">
            <w:pPr>
              <w:pStyle w:val="44"/>
              <w:shd w:val="clear"/>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1056" w:type="pct"/>
            <w:gridSpan w:val="2"/>
            <w:shd w:val="clear" w:color="auto" w:fill="auto"/>
            <w:vAlign w:val="center"/>
          </w:tcPr>
          <w:p w14:paraId="2724C461">
            <w:pPr>
              <w:pStyle w:val="44"/>
              <w:shd w:val="clear"/>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6963B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3" w:type="pct"/>
            <w:vMerge w:val="continue"/>
            <w:shd w:val="clear" w:color="auto" w:fill="auto"/>
            <w:vAlign w:val="center"/>
          </w:tcPr>
          <w:p w14:paraId="1859AA86">
            <w:pPr>
              <w:pStyle w:val="44"/>
              <w:shd w:val="clear"/>
              <w:jc w:val="center"/>
              <w:rPr>
                <w:rFonts w:hint="eastAsia" w:ascii="宋体" w:hAnsi="宋体" w:eastAsia="宋体" w:cs="宋体"/>
                <w:b/>
                <w:bCs/>
                <w:color w:val="auto"/>
                <w:sz w:val="21"/>
                <w:szCs w:val="21"/>
                <w:highlight w:val="none"/>
                <w:lang w:val="zh-CN"/>
              </w:rPr>
            </w:pPr>
          </w:p>
        </w:tc>
        <w:tc>
          <w:tcPr>
            <w:tcW w:w="704" w:type="pct"/>
            <w:vMerge w:val="continue"/>
            <w:shd w:val="clear" w:color="auto" w:fill="auto"/>
            <w:vAlign w:val="center"/>
          </w:tcPr>
          <w:p w14:paraId="51EF0565">
            <w:pPr>
              <w:pStyle w:val="44"/>
              <w:shd w:val="clear"/>
              <w:jc w:val="center"/>
              <w:rPr>
                <w:rFonts w:hint="eastAsia" w:ascii="宋体" w:hAnsi="宋体" w:eastAsia="宋体" w:cs="宋体"/>
                <w:b/>
                <w:bCs/>
                <w:color w:val="auto"/>
                <w:sz w:val="21"/>
                <w:szCs w:val="21"/>
                <w:highlight w:val="none"/>
                <w:lang w:val="zh-CN"/>
              </w:rPr>
            </w:pPr>
          </w:p>
        </w:tc>
        <w:tc>
          <w:tcPr>
            <w:tcW w:w="2965" w:type="pct"/>
            <w:vMerge w:val="continue"/>
            <w:shd w:val="clear" w:color="auto" w:fill="auto"/>
            <w:vAlign w:val="center"/>
          </w:tcPr>
          <w:p w14:paraId="2128C077">
            <w:pPr>
              <w:pStyle w:val="44"/>
              <w:shd w:val="clear"/>
              <w:jc w:val="center"/>
              <w:rPr>
                <w:rFonts w:hint="eastAsia" w:ascii="宋体" w:hAnsi="宋体" w:eastAsia="宋体" w:cs="宋体"/>
                <w:b/>
                <w:bCs/>
                <w:color w:val="auto"/>
                <w:sz w:val="21"/>
                <w:szCs w:val="21"/>
                <w:highlight w:val="none"/>
                <w:lang w:val="zh-CN"/>
              </w:rPr>
            </w:pPr>
          </w:p>
        </w:tc>
        <w:tc>
          <w:tcPr>
            <w:tcW w:w="468" w:type="pct"/>
            <w:shd w:val="clear" w:color="auto" w:fill="auto"/>
            <w:vAlign w:val="center"/>
          </w:tcPr>
          <w:p w14:paraId="0CAA21D7">
            <w:pPr>
              <w:pStyle w:val="44"/>
              <w:shd w:val="clear"/>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588" w:type="pct"/>
            <w:shd w:val="clear" w:color="auto" w:fill="auto"/>
            <w:vAlign w:val="center"/>
          </w:tcPr>
          <w:p w14:paraId="15D1F439">
            <w:pPr>
              <w:pStyle w:val="44"/>
              <w:shd w:val="clear"/>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233AF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273" w:type="pct"/>
            <w:shd w:val="clear" w:color="auto" w:fill="auto"/>
            <w:vAlign w:val="center"/>
          </w:tcPr>
          <w:p w14:paraId="4A515C07">
            <w:pPr>
              <w:pStyle w:val="44"/>
              <w:numPr>
                <w:ilvl w:val="0"/>
                <w:numId w:val="0"/>
              </w:numPr>
              <w:shd w:val="clea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704" w:type="pct"/>
            <w:vAlign w:val="center"/>
          </w:tcPr>
          <w:p w14:paraId="5E0E3062">
            <w:pPr>
              <w:pStyle w:val="44"/>
              <w:shd w:val="clea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响应文件</w:t>
            </w:r>
            <w:r>
              <w:rPr>
                <w:rFonts w:hint="eastAsia" w:ascii="宋体" w:hAnsi="宋体" w:eastAsia="宋体" w:cs="宋体"/>
                <w:color w:val="auto"/>
                <w:sz w:val="21"/>
                <w:szCs w:val="21"/>
                <w:highlight w:val="none"/>
              </w:rPr>
              <w:t>签署</w:t>
            </w:r>
          </w:p>
        </w:tc>
        <w:tc>
          <w:tcPr>
            <w:tcW w:w="2965" w:type="pct"/>
            <w:shd w:val="clear" w:color="auto" w:fill="auto"/>
            <w:vAlign w:val="center"/>
          </w:tcPr>
          <w:p w14:paraId="0FA4ED80">
            <w:pPr>
              <w:pStyle w:val="44"/>
              <w:shd w:val="clear"/>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rPr>
              <w:t>响应文件</w:t>
            </w:r>
            <w:r>
              <w:rPr>
                <w:rFonts w:hint="eastAsia" w:ascii="宋体" w:hAnsi="宋体" w:eastAsia="宋体" w:cs="宋体"/>
                <w:color w:val="auto"/>
                <w:sz w:val="21"/>
                <w:szCs w:val="21"/>
                <w:highlight w:val="none"/>
                <w:lang w:val="en-US" w:eastAsia="zh-CN"/>
              </w:rPr>
              <w:t>按</w:t>
            </w:r>
            <w:r>
              <w:rPr>
                <w:rFonts w:hint="eastAsia" w:cs="宋体"/>
                <w:color w:val="auto"/>
                <w:sz w:val="21"/>
                <w:szCs w:val="21"/>
                <w:highlight w:val="none"/>
                <w:lang w:val="en-US" w:eastAsia="zh-CN"/>
              </w:rPr>
              <w:t>谈判</w:t>
            </w:r>
            <w:r>
              <w:rPr>
                <w:rFonts w:hint="eastAsia" w:ascii="宋体" w:hAnsi="宋体" w:eastAsia="宋体" w:cs="宋体"/>
                <w:color w:val="auto"/>
                <w:sz w:val="21"/>
                <w:szCs w:val="21"/>
                <w:highlight w:val="none"/>
                <w:lang w:val="en-US" w:eastAsia="zh-CN"/>
              </w:rPr>
              <w:t>文件要求签署、盖章的</w:t>
            </w:r>
          </w:p>
        </w:tc>
        <w:tc>
          <w:tcPr>
            <w:tcW w:w="468" w:type="pct"/>
            <w:shd w:val="clear" w:color="auto" w:fill="auto"/>
            <w:vAlign w:val="center"/>
          </w:tcPr>
          <w:p w14:paraId="1E1F1EB1">
            <w:pPr>
              <w:pStyle w:val="44"/>
              <w:shd w:val="clear"/>
              <w:rPr>
                <w:rFonts w:hint="eastAsia" w:ascii="宋体" w:hAnsi="宋体" w:eastAsia="宋体" w:cs="宋体"/>
                <w:color w:val="auto"/>
                <w:sz w:val="21"/>
                <w:szCs w:val="21"/>
                <w:highlight w:val="none"/>
                <w:lang w:val="zh-CN"/>
              </w:rPr>
            </w:pPr>
          </w:p>
        </w:tc>
        <w:tc>
          <w:tcPr>
            <w:tcW w:w="588" w:type="pct"/>
            <w:shd w:val="clear" w:color="auto" w:fill="auto"/>
            <w:vAlign w:val="center"/>
          </w:tcPr>
          <w:p w14:paraId="35325BAA">
            <w:pPr>
              <w:pStyle w:val="44"/>
              <w:shd w:val="clear"/>
              <w:rPr>
                <w:rFonts w:hint="eastAsia" w:ascii="宋体" w:hAnsi="宋体" w:eastAsia="宋体" w:cs="宋体"/>
                <w:color w:val="auto"/>
                <w:sz w:val="21"/>
                <w:szCs w:val="21"/>
                <w:highlight w:val="none"/>
                <w:lang w:val="zh-CN"/>
              </w:rPr>
            </w:pPr>
          </w:p>
        </w:tc>
      </w:tr>
      <w:tr w14:paraId="6BB86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3" w:type="pct"/>
            <w:shd w:val="clear" w:color="auto" w:fill="auto"/>
            <w:vAlign w:val="center"/>
          </w:tcPr>
          <w:p w14:paraId="70154C2F">
            <w:pPr>
              <w:pStyle w:val="44"/>
              <w:numPr>
                <w:ilvl w:val="0"/>
                <w:numId w:val="0"/>
              </w:numPr>
              <w:shd w:val="clea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704" w:type="pct"/>
            <w:shd w:val="clear" w:color="auto" w:fill="auto"/>
            <w:vAlign w:val="center"/>
          </w:tcPr>
          <w:p w14:paraId="1B390AF0">
            <w:pPr>
              <w:pStyle w:val="44"/>
              <w:shd w:val="clea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实质性要求</w:t>
            </w:r>
          </w:p>
        </w:tc>
        <w:tc>
          <w:tcPr>
            <w:tcW w:w="2965" w:type="pct"/>
            <w:shd w:val="clear" w:color="auto" w:fill="auto"/>
            <w:vAlign w:val="center"/>
          </w:tcPr>
          <w:p w14:paraId="6D95F485">
            <w:pPr>
              <w:pStyle w:val="44"/>
              <w:shd w:val="clea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响应文件</w:t>
            </w:r>
            <w:r>
              <w:rPr>
                <w:rFonts w:hint="eastAsia" w:ascii="宋体" w:hAnsi="宋体" w:eastAsia="宋体" w:cs="宋体"/>
                <w:color w:val="auto"/>
                <w:sz w:val="21"/>
                <w:szCs w:val="21"/>
                <w:highlight w:val="none"/>
                <w:lang w:val="zh-CN" w:eastAsia="zh-CN"/>
              </w:rPr>
              <w:t>满足</w:t>
            </w:r>
            <w:r>
              <w:rPr>
                <w:rFonts w:hint="eastAsia" w:cs="宋体"/>
                <w:color w:val="auto"/>
                <w:sz w:val="21"/>
                <w:szCs w:val="21"/>
                <w:highlight w:val="none"/>
                <w:lang w:val="en-US" w:eastAsia="zh-CN"/>
              </w:rPr>
              <w:t>谈判</w:t>
            </w:r>
            <w:r>
              <w:rPr>
                <w:rFonts w:hint="eastAsia" w:ascii="宋体" w:hAnsi="宋体" w:eastAsia="宋体" w:cs="宋体"/>
                <w:color w:val="auto"/>
                <w:sz w:val="21"/>
                <w:szCs w:val="21"/>
                <w:highlight w:val="none"/>
                <w:lang w:val="zh-CN" w:eastAsia="zh-CN"/>
              </w:rPr>
              <w:t>文件中标注“★”号的实质性条款（或指标）要求的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具体详见</w:t>
            </w:r>
            <w:r>
              <w:rPr>
                <w:rFonts w:hint="eastAsia" w:ascii="宋体" w:hAnsi="宋体" w:eastAsia="宋体" w:cs="宋体"/>
                <w:color w:val="auto"/>
                <w:sz w:val="21"/>
                <w:szCs w:val="21"/>
                <w:highlight w:val="none"/>
                <w:lang w:val="zh-CN"/>
              </w:rPr>
              <w:t>“实质性响应一览表”</w:t>
            </w:r>
          </w:p>
        </w:tc>
        <w:tc>
          <w:tcPr>
            <w:tcW w:w="468" w:type="pct"/>
            <w:shd w:val="clear" w:color="auto" w:fill="auto"/>
            <w:vAlign w:val="center"/>
          </w:tcPr>
          <w:p w14:paraId="4C63B966">
            <w:pPr>
              <w:pStyle w:val="44"/>
              <w:shd w:val="clear"/>
              <w:rPr>
                <w:rFonts w:hint="eastAsia" w:ascii="宋体" w:hAnsi="宋体" w:eastAsia="宋体" w:cs="宋体"/>
                <w:color w:val="auto"/>
                <w:sz w:val="21"/>
                <w:szCs w:val="21"/>
                <w:highlight w:val="none"/>
                <w:lang w:val="zh-CN"/>
              </w:rPr>
            </w:pPr>
          </w:p>
        </w:tc>
        <w:tc>
          <w:tcPr>
            <w:tcW w:w="588" w:type="pct"/>
            <w:shd w:val="clear" w:color="auto" w:fill="auto"/>
            <w:vAlign w:val="center"/>
          </w:tcPr>
          <w:p w14:paraId="5A615EFE">
            <w:pPr>
              <w:pStyle w:val="44"/>
              <w:shd w:val="clear"/>
              <w:rPr>
                <w:rFonts w:hint="eastAsia" w:ascii="宋体" w:hAnsi="宋体" w:eastAsia="宋体" w:cs="宋体"/>
                <w:color w:val="auto"/>
                <w:sz w:val="21"/>
                <w:szCs w:val="21"/>
                <w:highlight w:val="none"/>
                <w:lang w:val="zh-CN"/>
              </w:rPr>
            </w:pPr>
          </w:p>
        </w:tc>
      </w:tr>
      <w:tr w14:paraId="591B9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273" w:type="pct"/>
            <w:shd w:val="clear" w:color="auto" w:fill="auto"/>
            <w:vAlign w:val="center"/>
          </w:tcPr>
          <w:p w14:paraId="48860C47">
            <w:pPr>
              <w:pStyle w:val="44"/>
              <w:numPr>
                <w:ilvl w:val="0"/>
                <w:numId w:val="0"/>
              </w:numPr>
              <w:shd w:val="clea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704" w:type="pct"/>
            <w:vAlign w:val="center"/>
          </w:tcPr>
          <w:p w14:paraId="31EA832C">
            <w:pPr>
              <w:pStyle w:val="44"/>
              <w:shd w:val="clear"/>
              <w:rPr>
                <w:rFonts w:hint="eastAsia" w:ascii="宋体" w:hAnsi="宋体" w:eastAsia="宋体" w:cs="宋体"/>
                <w:color w:val="auto"/>
                <w:sz w:val="21"/>
                <w:szCs w:val="21"/>
                <w:highlight w:val="none"/>
                <w:lang w:val="zh-CN"/>
              </w:rPr>
            </w:pPr>
            <w:r>
              <w:rPr>
                <w:rFonts w:hint="eastAsia" w:cs="宋体"/>
                <w:color w:val="auto"/>
                <w:sz w:val="21"/>
                <w:szCs w:val="21"/>
                <w:highlight w:val="none"/>
                <w:lang w:val="en-US" w:eastAsia="zh-CN"/>
              </w:rPr>
              <w:t>谈判</w:t>
            </w:r>
            <w:r>
              <w:rPr>
                <w:rFonts w:hint="eastAsia" w:ascii="宋体" w:hAnsi="宋体" w:eastAsia="宋体" w:cs="宋体"/>
                <w:color w:val="auto"/>
                <w:sz w:val="21"/>
                <w:szCs w:val="21"/>
                <w:highlight w:val="none"/>
                <w:lang w:val="zh-CN"/>
              </w:rPr>
              <w:t>响应性报价</w:t>
            </w:r>
          </w:p>
        </w:tc>
        <w:tc>
          <w:tcPr>
            <w:tcW w:w="2965" w:type="pct"/>
            <w:shd w:val="clear" w:color="auto" w:fill="auto"/>
            <w:vAlign w:val="center"/>
          </w:tcPr>
          <w:p w14:paraId="02D97709">
            <w:pPr>
              <w:pStyle w:val="44"/>
              <w:shd w:val="clea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供应商报价未超过</w:t>
            </w:r>
            <w:r>
              <w:rPr>
                <w:rFonts w:hint="eastAsia" w:cs="宋体"/>
                <w:color w:val="auto"/>
                <w:sz w:val="21"/>
                <w:szCs w:val="21"/>
                <w:highlight w:val="none"/>
                <w:lang w:val="en-US" w:eastAsia="zh-CN"/>
              </w:rPr>
              <w:t>谈判</w:t>
            </w:r>
            <w:r>
              <w:rPr>
                <w:rFonts w:hint="eastAsia" w:ascii="宋体" w:hAnsi="宋体" w:eastAsia="宋体" w:cs="宋体"/>
                <w:color w:val="auto"/>
                <w:sz w:val="21"/>
                <w:szCs w:val="21"/>
                <w:highlight w:val="none"/>
                <w:lang w:val="en-US" w:eastAsia="zh-CN"/>
              </w:rPr>
              <w:t>文件中规定的最高限价或者预算金额的</w:t>
            </w:r>
          </w:p>
        </w:tc>
        <w:tc>
          <w:tcPr>
            <w:tcW w:w="468" w:type="pct"/>
            <w:shd w:val="clear" w:color="auto" w:fill="auto"/>
            <w:vAlign w:val="center"/>
          </w:tcPr>
          <w:p w14:paraId="18835E98">
            <w:pPr>
              <w:pStyle w:val="44"/>
              <w:shd w:val="clear"/>
              <w:rPr>
                <w:rFonts w:hint="eastAsia" w:ascii="宋体" w:hAnsi="宋体" w:eastAsia="宋体" w:cs="宋体"/>
                <w:color w:val="auto"/>
                <w:sz w:val="21"/>
                <w:szCs w:val="21"/>
                <w:highlight w:val="none"/>
                <w:lang w:val="zh-CN"/>
              </w:rPr>
            </w:pPr>
          </w:p>
        </w:tc>
        <w:tc>
          <w:tcPr>
            <w:tcW w:w="588" w:type="pct"/>
            <w:shd w:val="clear" w:color="auto" w:fill="auto"/>
            <w:vAlign w:val="center"/>
          </w:tcPr>
          <w:p w14:paraId="32826E79">
            <w:pPr>
              <w:pStyle w:val="44"/>
              <w:shd w:val="clear"/>
              <w:rPr>
                <w:rFonts w:hint="eastAsia" w:ascii="宋体" w:hAnsi="宋体" w:eastAsia="宋体" w:cs="宋体"/>
                <w:color w:val="auto"/>
                <w:sz w:val="21"/>
                <w:szCs w:val="21"/>
                <w:highlight w:val="none"/>
                <w:lang w:val="zh-CN"/>
              </w:rPr>
            </w:pPr>
          </w:p>
        </w:tc>
      </w:tr>
      <w:tr w14:paraId="0759F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3" w:type="pct"/>
            <w:shd w:val="clear" w:color="auto" w:fill="auto"/>
            <w:vAlign w:val="center"/>
          </w:tcPr>
          <w:p w14:paraId="55C41672">
            <w:pPr>
              <w:pStyle w:val="44"/>
              <w:shd w:val="clear"/>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4</w:t>
            </w:r>
          </w:p>
        </w:tc>
        <w:tc>
          <w:tcPr>
            <w:tcW w:w="704" w:type="pct"/>
            <w:shd w:val="clear" w:color="auto" w:fill="auto"/>
            <w:vAlign w:val="center"/>
          </w:tcPr>
          <w:p w14:paraId="165805AD">
            <w:pPr>
              <w:pStyle w:val="44"/>
              <w:shd w:val="clea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采购清单</w:t>
            </w:r>
          </w:p>
        </w:tc>
        <w:tc>
          <w:tcPr>
            <w:tcW w:w="2965" w:type="pct"/>
            <w:shd w:val="clear" w:color="auto" w:fill="auto"/>
            <w:vAlign w:val="center"/>
          </w:tcPr>
          <w:p w14:paraId="64323A44">
            <w:pPr>
              <w:pStyle w:val="44"/>
              <w:shd w:val="clea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未改变</w:t>
            </w:r>
            <w:r>
              <w:rPr>
                <w:rFonts w:hint="eastAsia" w:cs="宋体"/>
                <w:color w:val="auto"/>
                <w:kern w:val="2"/>
                <w:sz w:val="21"/>
                <w:szCs w:val="21"/>
                <w:highlight w:val="none"/>
                <w:lang w:val="en-US" w:eastAsia="zh-CN" w:bidi="ar-SA"/>
              </w:rPr>
              <w:t>谈判</w:t>
            </w:r>
            <w:r>
              <w:rPr>
                <w:rFonts w:hint="eastAsia" w:ascii="宋体" w:hAnsi="宋体" w:eastAsia="宋体" w:cs="宋体"/>
                <w:color w:val="auto"/>
                <w:kern w:val="2"/>
                <w:sz w:val="21"/>
                <w:szCs w:val="21"/>
                <w:highlight w:val="none"/>
                <w:lang w:val="en-US" w:eastAsia="zh-CN" w:bidi="ar-SA"/>
              </w:rPr>
              <w:t>文件提供的采购清单</w:t>
            </w:r>
            <w:r>
              <w:rPr>
                <w:rFonts w:hint="eastAsia" w:cs="宋体"/>
                <w:color w:val="auto"/>
                <w:kern w:val="2"/>
                <w:sz w:val="21"/>
                <w:szCs w:val="21"/>
                <w:highlight w:val="none"/>
                <w:lang w:val="en-US" w:eastAsia="zh-CN" w:bidi="ar-SA"/>
              </w:rPr>
              <w:t>数量</w:t>
            </w:r>
            <w:r>
              <w:rPr>
                <w:rFonts w:hint="eastAsia" w:ascii="宋体" w:hAnsi="宋体" w:eastAsia="宋体" w:cs="宋体"/>
                <w:color w:val="auto"/>
                <w:kern w:val="2"/>
                <w:sz w:val="21"/>
                <w:szCs w:val="21"/>
                <w:highlight w:val="none"/>
                <w:lang w:val="en-US" w:eastAsia="zh-CN" w:bidi="ar-SA"/>
              </w:rPr>
              <w:t>的</w:t>
            </w:r>
          </w:p>
        </w:tc>
        <w:tc>
          <w:tcPr>
            <w:tcW w:w="468" w:type="pct"/>
            <w:shd w:val="clear" w:color="auto" w:fill="auto"/>
            <w:vAlign w:val="center"/>
          </w:tcPr>
          <w:p w14:paraId="61407A1E">
            <w:pPr>
              <w:pStyle w:val="44"/>
              <w:shd w:val="clear"/>
              <w:rPr>
                <w:rFonts w:hint="eastAsia" w:ascii="宋体" w:hAnsi="宋体" w:eastAsia="宋体" w:cs="宋体"/>
                <w:color w:val="auto"/>
                <w:sz w:val="21"/>
                <w:szCs w:val="21"/>
                <w:highlight w:val="none"/>
                <w:lang w:val="zh-CN"/>
              </w:rPr>
            </w:pPr>
          </w:p>
        </w:tc>
        <w:tc>
          <w:tcPr>
            <w:tcW w:w="588" w:type="pct"/>
            <w:shd w:val="clear" w:color="auto" w:fill="auto"/>
            <w:vAlign w:val="center"/>
          </w:tcPr>
          <w:p w14:paraId="0B05B99E">
            <w:pPr>
              <w:pStyle w:val="44"/>
              <w:shd w:val="clear"/>
              <w:rPr>
                <w:rFonts w:hint="eastAsia" w:ascii="宋体" w:hAnsi="宋体" w:eastAsia="宋体" w:cs="宋体"/>
                <w:color w:val="auto"/>
                <w:sz w:val="21"/>
                <w:szCs w:val="21"/>
                <w:highlight w:val="none"/>
                <w:lang w:val="zh-CN"/>
              </w:rPr>
            </w:pPr>
          </w:p>
        </w:tc>
      </w:tr>
      <w:tr w14:paraId="7C77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3" w:type="pct"/>
            <w:shd w:val="clear" w:color="auto" w:fill="auto"/>
            <w:vAlign w:val="center"/>
          </w:tcPr>
          <w:p w14:paraId="0D25BA5B">
            <w:pPr>
              <w:pStyle w:val="44"/>
              <w:numPr>
                <w:ilvl w:val="0"/>
                <w:numId w:val="0"/>
              </w:numPr>
              <w:shd w:val="clea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5</w:t>
            </w:r>
          </w:p>
        </w:tc>
        <w:tc>
          <w:tcPr>
            <w:tcW w:w="704" w:type="pct"/>
            <w:vAlign w:val="center"/>
          </w:tcPr>
          <w:p w14:paraId="6B53D7DD">
            <w:pPr>
              <w:pStyle w:val="44"/>
              <w:shd w:val="clea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虚假材料</w:t>
            </w:r>
          </w:p>
        </w:tc>
        <w:tc>
          <w:tcPr>
            <w:tcW w:w="2965" w:type="pct"/>
            <w:shd w:val="clear" w:color="auto" w:fill="auto"/>
            <w:vAlign w:val="center"/>
          </w:tcPr>
          <w:p w14:paraId="3C241A91">
            <w:pPr>
              <w:pStyle w:val="44"/>
              <w:shd w:val="clea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提供虚假材料的</w:t>
            </w:r>
          </w:p>
        </w:tc>
        <w:tc>
          <w:tcPr>
            <w:tcW w:w="468" w:type="pct"/>
            <w:shd w:val="clear" w:color="auto" w:fill="auto"/>
            <w:vAlign w:val="center"/>
          </w:tcPr>
          <w:p w14:paraId="4B513014">
            <w:pPr>
              <w:pStyle w:val="44"/>
              <w:shd w:val="clear"/>
              <w:rPr>
                <w:rFonts w:hint="eastAsia" w:ascii="宋体" w:hAnsi="宋体" w:eastAsia="宋体" w:cs="宋体"/>
                <w:color w:val="auto"/>
                <w:sz w:val="21"/>
                <w:szCs w:val="21"/>
                <w:highlight w:val="none"/>
                <w:lang w:val="zh-CN"/>
              </w:rPr>
            </w:pPr>
          </w:p>
        </w:tc>
        <w:tc>
          <w:tcPr>
            <w:tcW w:w="588" w:type="pct"/>
            <w:shd w:val="clear" w:color="auto" w:fill="auto"/>
            <w:vAlign w:val="center"/>
          </w:tcPr>
          <w:p w14:paraId="48AFA180">
            <w:pPr>
              <w:pStyle w:val="44"/>
              <w:shd w:val="clear"/>
              <w:rPr>
                <w:rFonts w:hint="eastAsia" w:ascii="宋体" w:hAnsi="宋体" w:eastAsia="宋体" w:cs="宋体"/>
                <w:color w:val="auto"/>
                <w:sz w:val="21"/>
                <w:szCs w:val="21"/>
                <w:highlight w:val="none"/>
                <w:lang w:val="zh-CN"/>
              </w:rPr>
            </w:pPr>
          </w:p>
        </w:tc>
      </w:tr>
      <w:tr w14:paraId="37C41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273" w:type="pct"/>
            <w:shd w:val="clear" w:color="auto" w:fill="auto"/>
            <w:vAlign w:val="center"/>
          </w:tcPr>
          <w:p w14:paraId="31C12A1B">
            <w:pPr>
              <w:pStyle w:val="44"/>
              <w:numPr>
                <w:ilvl w:val="0"/>
                <w:numId w:val="0"/>
              </w:numPr>
              <w:shd w:val="clea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6</w:t>
            </w:r>
          </w:p>
        </w:tc>
        <w:tc>
          <w:tcPr>
            <w:tcW w:w="704" w:type="pct"/>
            <w:vAlign w:val="center"/>
          </w:tcPr>
          <w:p w14:paraId="55194F4F">
            <w:pPr>
              <w:pStyle w:val="44"/>
              <w:shd w:val="clea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谈判</w:t>
            </w:r>
            <w:r>
              <w:rPr>
                <w:rFonts w:hint="eastAsia" w:ascii="宋体" w:hAnsi="宋体" w:eastAsia="宋体" w:cs="宋体"/>
                <w:color w:val="auto"/>
                <w:sz w:val="21"/>
                <w:szCs w:val="21"/>
                <w:highlight w:val="none"/>
                <w:lang w:val="en-US" w:eastAsia="zh-CN"/>
              </w:rPr>
              <w:t>保证金</w:t>
            </w:r>
          </w:p>
        </w:tc>
        <w:tc>
          <w:tcPr>
            <w:tcW w:w="2965" w:type="pct"/>
            <w:shd w:val="clear" w:color="auto" w:fill="auto"/>
            <w:vAlign w:val="center"/>
          </w:tcPr>
          <w:p w14:paraId="4803457A">
            <w:pPr>
              <w:pStyle w:val="44"/>
              <w:shd w:val="clear"/>
              <w:rPr>
                <w:rFonts w:hint="eastAsia"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en-US" w:eastAsia="zh-CN"/>
              </w:rPr>
              <w:t>谈判</w:t>
            </w:r>
            <w:r>
              <w:rPr>
                <w:rFonts w:hint="eastAsia" w:ascii="宋体" w:hAnsi="宋体" w:eastAsia="宋体" w:cs="宋体"/>
                <w:color w:val="auto"/>
                <w:sz w:val="21"/>
                <w:szCs w:val="21"/>
                <w:highlight w:val="none"/>
                <w:lang w:val="en-US" w:eastAsia="zh-CN"/>
              </w:rPr>
              <w:t>文件规定应当缴纳的，供应商按</w:t>
            </w:r>
            <w:r>
              <w:rPr>
                <w:rFonts w:hint="eastAsia" w:cs="宋体"/>
                <w:color w:val="auto"/>
                <w:sz w:val="21"/>
                <w:szCs w:val="21"/>
                <w:highlight w:val="none"/>
                <w:lang w:val="en-US" w:eastAsia="zh-CN"/>
              </w:rPr>
              <w:t>谈判</w:t>
            </w:r>
            <w:r>
              <w:rPr>
                <w:rFonts w:hint="eastAsia" w:ascii="宋体" w:hAnsi="宋体" w:eastAsia="宋体" w:cs="宋体"/>
                <w:color w:val="auto"/>
                <w:sz w:val="21"/>
                <w:szCs w:val="21"/>
                <w:highlight w:val="none"/>
                <w:lang w:val="en-US" w:eastAsia="zh-CN"/>
              </w:rPr>
              <w:t>文件的规定缴纳</w:t>
            </w:r>
            <w:r>
              <w:rPr>
                <w:rFonts w:hint="eastAsia" w:cs="宋体"/>
                <w:color w:val="auto"/>
                <w:sz w:val="21"/>
                <w:szCs w:val="21"/>
                <w:highlight w:val="none"/>
                <w:lang w:val="en-US" w:eastAsia="zh-CN"/>
              </w:rPr>
              <w:t>谈判</w:t>
            </w:r>
            <w:r>
              <w:rPr>
                <w:rFonts w:hint="eastAsia" w:ascii="宋体" w:hAnsi="宋体" w:eastAsia="宋体" w:cs="宋体"/>
                <w:color w:val="auto"/>
                <w:sz w:val="21"/>
                <w:szCs w:val="21"/>
                <w:highlight w:val="none"/>
                <w:lang w:val="en-US" w:eastAsia="zh-CN"/>
              </w:rPr>
              <w:t>保证金的</w:t>
            </w:r>
          </w:p>
        </w:tc>
        <w:tc>
          <w:tcPr>
            <w:tcW w:w="468" w:type="pct"/>
            <w:shd w:val="clear" w:color="auto" w:fill="auto"/>
            <w:vAlign w:val="center"/>
          </w:tcPr>
          <w:p w14:paraId="194FF3C2">
            <w:pPr>
              <w:pStyle w:val="44"/>
              <w:shd w:val="clear"/>
              <w:rPr>
                <w:rFonts w:hint="eastAsia" w:ascii="宋体" w:hAnsi="宋体" w:eastAsia="宋体" w:cs="宋体"/>
                <w:color w:val="auto"/>
                <w:sz w:val="21"/>
                <w:szCs w:val="21"/>
                <w:highlight w:val="none"/>
                <w:lang w:val="zh-CN"/>
              </w:rPr>
            </w:pPr>
          </w:p>
        </w:tc>
        <w:tc>
          <w:tcPr>
            <w:tcW w:w="588" w:type="pct"/>
            <w:shd w:val="clear" w:color="auto" w:fill="auto"/>
            <w:vAlign w:val="center"/>
          </w:tcPr>
          <w:p w14:paraId="2372B823">
            <w:pPr>
              <w:pStyle w:val="44"/>
              <w:shd w:val="clear"/>
              <w:rPr>
                <w:rFonts w:hint="eastAsia" w:ascii="宋体" w:hAnsi="宋体" w:eastAsia="宋体" w:cs="宋体"/>
                <w:color w:val="auto"/>
                <w:sz w:val="21"/>
                <w:szCs w:val="21"/>
                <w:highlight w:val="none"/>
                <w:lang w:val="zh-CN"/>
              </w:rPr>
            </w:pPr>
          </w:p>
        </w:tc>
      </w:tr>
      <w:tr w14:paraId="30B89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3" w:type="pct"/>
            <w:shd w:val="clear" w:color="auto" w:fill="auto"/>
            <w:vAlign w:val="center"/>
          </w:tcPr>
          <w:p w14:paraId="6C002E13">
            <w:pPr>
              <w:pStyle w:val="44"/>
              <w:numPr>
                <w:ilvl w:val="0"/>
                <w:numId w:val="0"/>
              </w:numPr>
              <w:shd w:val="clear"/>
              <w:ind w:left="0" w:leftChars="0" w:firstLine="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en-US" w:eastAsia="zh-CN"/>
              </w:rPr>
              <w:t>7</w:t>
            </w:r>
          </w:p>
        </w:tc>
        <w:tc>
          <w:tcPr>
            <w:tcW w:w="704" w:type="pct"/>
            <w:vAlign w:val="center"/>
          </w:tcPr>
          <w:p w14:paraId="5C91A4A7">
            <w:pPr>
              <w:pStyle w:val="44"/>
              <w:shd w:val="clea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响应文件的澄清、说明、补正</w:t>
            </w:r>
          </w:p>
        </w:tc>
        <w:tc>
          <w:tcPr>
            <w:tcW w:w="2965" w:type="pct"/>
            <w:shd w:val="clear" w:color="auto" w:fill="auto"/>
            <w:vAlign w:val="center"/>
          </w:tcPr>
          <w:p w14:paraId="3E6052BB">
            <w:pPr>
              <w:pStyle w:val="44"/>
              <w:shd w:val="clea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eastAsia="zh-CN"/>
              </w:rPr>
              <w:t>评审期间,</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zh-CN" w:eastAsia="zh-CN"/>
              </w:rPr>
              <w:t>按</w:t>
            </w:r>
            <w:r>
              <w:rPr>
                <w:rFonts w:hint="eastAsia" w:cs="宋体"/>
                <w:color w:val="auto"/>
                <w:sz w:val="21"/>
                <w:szCs w:val="21"/>
                <w:highlight w:val="none"/>
                <w:lang w:val="en-US" w:eastAsia="zh-CN"/>
              </w:rPr>
              <w:t>谈判</w:t>
            </w:r>
            <w:r>
              <w:rPr>
                <w:rFonts w:hint="eastAsia" w:ascii="宋体" w:hAnsi="宋体" w:eastAsia="宋体" w:cs="宋体"/>
                <w:color w:val="auto"/>
                <w:sz w:val="21"/>
                <w:szCs w:val="21"/>
                <w:highlight w:val="none"/>
                <w:lang w:val="zh-CN" w:eastAsia="zh-CN"/>
              </w:rPr>
              <w:t>小组的要求提交经授权代表签字的澄清、说明、更正且澄清、说明、更正未超出响应文件范围或</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改变</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lang w:val="zh-CN" w:eastAsia="zh-CN"/>
              </w:rPr>
              <w:t>文件的实质性内容</w:t>
            </w:r>
          </w:p>
        </w:tc>
        <w:tc>
          <w:tcPr>
            <w:tcW w:w="468" w:type="pct"/>
            <w:shd w:val="clear" w:color="auto" w:fill="auto"/>
            <w:vAlign w:val="center"/>
          </w:tcPr>
          <w:p w14:paraId="1EA81190">
            <w:pPr>
              <w:pStyle w:val="44"/>
              <w:shd w:val="clear"/>
              <w:rPr>
                <w:rFonts w:hint="eastAsia" w:ascii="宋体" w:hAnsi="宋体" w:eastAsia="宋体" w:cs="宋体"/>
                <w:color w:val="auto"/>
                <w:sz w:val="21"/>
                <w:szCs w:val="21"/>
                <w:highlight w:val="none"/>
                <w:lang w:val="zh-CN"/>
              </w:rPr>
            </w:pPr>
          </w:p>
        </w:tc>
        <w:tc>
          <w:tcPr>
            <w:tcW w:w="588" w:type="pct"/>
            <w:shd w:val="clear" w:color="auto" w:fill="auto"/>
            <w:vAlign w:val="center"/>
          </w:tcPr>
          <w:p w14:paraId="2394B23D">
            <w:pPr>
              <w:pStyle w:val="44"/>
              <w:shd w:val="clear"/>
              <w:rPr>
                <w:rFonts w:hint="eastAsia" w:ascii="宋体" w:hAnsi="宋体" w:eastAsia="宋体" w:cs="宋体"/>
                <w:color w:val="auto"/>
                <w:sz w:val="21"/>
                <w:szCs w:val="21"/>
                <w:highlight w:val="none"/>
                <w:lang w:val="zh-CN"/>
              </w:rPr>
            </w:pPr>
          </w:p>
        </w:tc>
      </w:tr>
      <w:tr w14:paraId="6D40C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273" w:type="pct"/>
            <w:shd w:val="clear" w:color="auto" w:fill="auto"/>
            <w:vAlign w:val="center"/>
          </w:tcPr>
          <w:p w14:paraId="09617D9C">
            <w:pPr>
              <w:pStyle w:val="44"/>
              <w:numPr>
                <w:ilvl w:val="0"/>
                <w:numId w:val="0"/>
              </w:numPr>
              <w:shd w:val="clea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8</w:t>
            </w:r>
          </w:p>
        </w:tc>
        <w:tc>
          <w:tcPr>
            <w:tcW w:w="704" w:type="pct"/>
            <w:vAlign w:val="center"/>
          </w:tcPr>
          <w:p w14:paraId="2016E93A">
            <w:pPr>
              <w:pStyle w:val="44"/>
              <w:shd w:val="clea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供应商影响评审</w:t>
            </w:r>
          </w:p>
        </w:tc>
        <w:tc>
          <w:tcPr>
            <w:tcW w:w="2965" w:type="pct"/>
            <w:shd w:val="clear" w:color="auto" w:fill="auto"/>
            <w:vAlign w:val="center"/>
          </w:tcPr>
          <w:p w14:paraId="50B76BB4">
            <w:pPr>
              <w:pStyle w:val="44"/>
              <w:shd w:val="clea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val="zh-CN" w:eastAsia="zh-CN"/>
              </w:rPr>
              <w:t>对采购人、采购代理机构、</w:t>
            </w:r>
            <w:r>
              <w:rPr>
                <w:rFonts w:hint="eastAsia" w:cs="宋体"/>
                <w:color w:val="auto"/>
                <w:sz w:val="21"/>
                <w:szCs w:val="21"/>
                <w:highlight w:val="none"/>
                <w:lang w:val="en-US" w:eastAsia="zh-CN"/>
              </w:rPr>
              <w:t>谈判</w:t>
            </w:r>
            <w:r>
              <w:rPr>
                <w:rFonts w:hint="eastAsia" w:ascii="宋体" w:hAnsi="宋体" w:eastAsia="宋体" w:cs="宋体"/>
                <w:color w:val="auto"/>
                <w:sz w:val="21"/>
                <w:szCs w:val="21"/>
                <w:highlight w:val="none"/>
                <w:lang w:val="zh-CN" w:eastAsia="zh-CN"/>
              </w:rPr>
              <w:t>小组及其工作人员</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施加影响,</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val="zh-CN" w:eastAsia="zh-CN"/>
              </w:rPr>
              <w:t>有碍公平、公正</w:t>
            </w:r>
            <w:r>
              <w:rPr>
                <w:rFonts w:hint="eastAsia" w:ascii="宋体" w:hAnsi="宋体" w:eastAsia="宋体" w:cs="宋体"/>
                <w:color w:val="auto"/>
                <w:sz w:val="21"/>
                <w:szCs w:val="21"/>
                <w:highlight w:val="none"/>
                <w:lang w:val="en-US" w:eastAsia="zh-CN"/>
              </w:rPr>
              <w:t>行为的</w:t>
            </w:r>
          </w:p>
        </w:tc>
        <w:tc>
          <w:tcPr>
            <w:tcW w:w="468" w:type="pct"/>
            <w:shd w:val="clear" w:color="auto" w:fill="auto"/>
            <w:vAlign w:val="center"/>
          </w:tcPr>
          <w:p w14:paraId="75DB24A7">
            <w:pPr>
              <w:pStyle w:val="44"/>
              <w:shd w:val="clear"/>
              <w:rPr>
                <w:rFonts w:hint="eastAsia" w:ascii="宋体" w:hAnsi="宋体" w:eastAsia="宋体" w:cs="宋体"/>
                <w:color w:val="auto"/>
                <w:sz w:val="21"/>
                <w:szCs w:val="21"/>
                <w:highlight w:val="none"/>
                <w:lang w:val="zh-CN"/>
              </w:rPr>
            </w:pPr>
          </w:p>
        </w:tc>
        <w:tc>
          <w:tcPr>
            <w:tcW w:w="588" w:type="pct"/>
            <w:shd w:val="clear" w:color="auto" w:fill="auto"/>
            <w:vAlign w:val="center"/>
          </w:tcPr>
          <w:p w14:paraId="7D6DA84C">
            <w:pPr>
              <w:pStyle w:val="44"/>
              <w:shd w:val="clear"/>
              <w:rPr>
                <w:rFonts w:hint="eastAsia" w:ascii="宋体" w:hAnsi="宋体" w:eastAsia="宋体" w:cs="宋体"/>
                <w:color w:val="auto"/>
                <w:sz w:val="21"/>
                <w:szCs w:val="21"/>
                <w:highlight w:val="none"/>
                <w:lang w:val="zh-CN"/>
              </w:rPr>
            </w:pPr>
          </w:p>
        </w:tc>
      </w:tr>
      <w:tr w14:paraId="35AA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3" w:type="pct"/>
            <w:shd w:val="clear" w:color="auto" w:fill="auto"/>
            <w:vAlign w:val="center"/>
          </w:tcPr>
          <w:p w14:paraId="332BD4A6">
            <w:pPr>
              <w:pStyle w:val="44"/>
              <w:numPr>
                <w:ilvl w:val="0"/>
                <w:numId w:val="0"/>
              </w:numPr>
              <w:shd w:val="clea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9</w:t>
            </w:r>
          </w:p>
        </w:tc>
        <w:tc>
          <w:tcPr>
            <w:tcW w:w="704" w:type="pct"/>
            <w:vAlign w:val="center"/>
          </w:tcPr>
          <w:p w14:paraId="56EEFE7E">
            <w:pPr>
              <w:pStyle w:val="44"/>
              <w:shd w:val="clea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附加条件</w:t>
            </w:r>
          </w:p>
        </w:tc>
        <w:tc>
          <w:tcPr>
            <w:tcW w:w="2965" w:type="pct"/>
            <w:shd w:val="clear" w:color="auto" w:fill="auto"/>
            <w:vAlign w:val="center"/>
          </w:tcPr>
          <w:p w14:paraId="618DB2FB">
            <w:pPr>
              <w:pStyle w:val="44"/>
              <w:shd w:val="clea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响应文件没有采购人不能接受的附加条件的</w:t>
            </w:r>
          </w:p>
        </w:tc>
        <w:tc>
          <w:tcPr>
            <w:tcW w:w="468" w:type="pct"/>
            <w:shd w:val="clear" w:color="auto" w:fill="auto"/>
            <w:vAlign w:val="center"/>
          </w:tcPr>
          <w:p w14:paraId="36C2A679">
            <w:pPr>
              <w:pStyle w:val="44"/>
              <w:shd w:val="clear"/>
              <w:rPr>
                <w:rFonts w:hint="eastAsia" w:ascii="宋体" w:hAnsi="宋体" w:eastAsia="宋体" w:cs="宋体"/>
                <w:color w:val="auto"/>
                <w:sz w:val="21"/>
                <w:szCs w:val="21"/>
                <w:highlight w:val="none"/>
                <w:lang w:val="zh-CN"/>
              </w:rPr>
            </w:pPr>
          </w:p>
        </w:tc>
        <w:tc>
          <w:tcPr>
            <w:tcW w:w="588" w:type="pct"/>
            <w:shd w:val="clear" w:color="auto" w:fill="auto"/>
            <w:vAlign w:val="center"/>
          </w:tcPr>
          <w:p w14:paraId="73E4201A">
            <w:pPr>
              <w:pStyle w:val="44"/>
              <w:shd w:val="clear"/>
              <w:rPr>
                <w:rFonts w:hint="eastAsia" w:ascii="宋体" w:hAnsi="宋体" w:eastAsia="宋体" w:cs="宋体"/>
                <w:color w:val="auto"/>
                <w:sz w:val="21"/>
                <w:szCs w:val="21"/>
                <w:highlight w:val="none"/>
                <w:lang w:val="zh-CN"/>
              </w:rPr>
            </w:pPr>
          </w:p>
        </w:tc>
      </w:tr>
      <w:tr w14:paraId="56775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508" w:type="dxa"/>
            <w:shd w:val="clear" w:color="auto" w:fill="auto"/>
            <w:vAlign w:val="center"/>
          </w:tcPr>
          <w:p w14:paraId="3CD6AABE">
            <w:pPr>
              <w:pStyle w:val="44"/>
              <w:numPr>
                <w:ilvl w:val="0"/>
                <w:numId w:val="0"/>
              </w:numPr>
              <w:shd w:val="clea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10</w:t>
            </w:r>
          </w:p>
        </w:tc>
        <w:tc>
          <w:tcPr>
            <w:tcW w:w="704" w:type="pct"/>
            <w:vAlign w:val="center"/>
          </w:tcPr>
          <w:p w14:paraId="40726A5F">
            <w:pPr>
              <w:pStyle w:val="44"/>
              <w:shd w:val="clea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其他无效情形</w:t>
            </w:r>
          </w:p>
        </w:tc>
        <w:tc>
          <w:tcPr>
            <w:tcW w:w="2965" w:type="pct"/>
            <w:shd w:val="clear" w:color="auto" w:fill="auto"/>
            <w:vAlign w:val="center"/>
          </w:tcPr>
          <w:p w14:paraId="05CC0303">
            <w:pPr>
              <w:pStyle w:val="44"/>
              <w:shd w:val="clea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未出现</w:t>
            </w:r>
            <w:r>
              <w:rPr>
                <w:rFonts w:hint="eastAsia" w:ascii="宋体" w:hAnsi="宋体" w:eastAsia="宋体" w:cs="宋体"/>
                <w:color w:val="auto"/>
                <w:sz w:val="21"/>
                <w:szCs w:val="21"/>
                <w:highlight w:val="none"/>
                <w:lang w:val="zh-CN" w:eastAsia="zh-CN"/>
              </w:rPr>
              <w:t>法律、法规、规章以及本</w:t>
            </w:r>
            <w:r>
              <w:rPr>
                <w:rFonts w:hint="eastAsia" w:cs="宋体"/>
                <w:color w:val="auto"/>
                <w:sz w:val="21"/>
                <w:szCs w:val="21"/>
                <w:highlight w:val="none"/>
                <w:lang w:val="en-US" w:eastAsia="zh-CN"/>
              </w:rPr>
              <w:t>谈判</w:t>
            </w:r>
            <w:r>
              <w:rPr>
                <w:rFonts w:hint="eastAsia" w:ascii="宋体" w:hAnsi="宋体" w:eastAsia="宋体" w:cs="宋体"/>
                <w:color w:val="auto"/>
                <w:sz w:val="21"/>
                <w:szCs w:val="21"/>
                <w:highlight w:val="none"/>
                <w:lang w:val="zh-CN" w:eastAsia="zh-CN"/>
              </w:rPr>
              <w:t>文件规定属于</w:t>
            </w:r>
            <w:r>
              <w:rPr>
                <w:rFonts w:hint="eastAsia" w:ascii="宋体" w:hAnsi="宋体" w:eastAsia="宋体" w:cs="宋体"/>
                <w:color w:val="auto"/>
                <w:sz w:val="21"/>
                <w:szCs w:val="21"/>
                <w:highlight w:val="none"/>
                <w:lang w:val="en-US" w:eastAsia="zh-CN"/>
              </w:rPr>
              <w:t>响应</w:t>
            </w:r>
            <w:r>
              <w:rPr>
                <w:rFonts w:hint="eastAsia" w:ascii="宋体" w:hAnsi="宋体" w:eastAsia="宋体" w:cs="宋体"/>
                <w:color w:val="auto"/>
                <w:sz w:val="21"/>
                <w:szCs w:val="21"/>
                <w:highlight w:val="none"/>
                <w:lang w:val="zh-CN" w:eastAsia="zh-CN"/>
              </w:rPr>
              <w:t>无效的其他情形。</w:t>
            </w:r>
          </w:p>
        </w:tc>
        <w:tc>
          <w:tcPr>
            <w:tcW w:w="468" w:type="pct"/>
            <w:shd w:val="clear" w:color="auto" w:fill="auto"/>
            <w:vAlign w:val="center"/>
          </w:tcPr>
          <w:p w14:paraId="3A44DE13">
            <w:pPr>
              <w:pStyle w:val="44"/>
              <w:shd w:val="clear"/>
              <w:rPr>
                <w:rFonts w:hint="eastAsia" w:ascii="宋体" w:hAnsi="宋体" w:eastAsia="宋体" w:cs="宋体"/>
                <w:color w:val="auto"/>
                <w:sz w:val="21"/>
                <w:szCs w:val="21"/>
                <w:highlight w:val="none"/>
                <w:lang w:val="zh-CN"/>
              </w:rPr>
            </w:pPr>
          </w:p>
        </w:tc>
        <w:tc>
          <w:tcPr>
            <w:tcW w:w="588" w:type="pct"/>
            <w:shd w:val="clear" w:color="auto" w:fill="auto"/>
            <w:vAlign w:val="center"/>
          </w:tcPr>
          <w:p w14:paraId="5D1C94D8">
            <w:pPr>
              <w:pStyle w:val="44"/>
              <w:shd w:val="clear"/>
              <w:rPr>
                <w:rFonts w:hint="eastAsia" w:ascii="宋体" w:hAnsi="宋体" w:eastAsia="宋体" w:cs="宋体"/>
                <w:color w:val="auto"/>
                <w:sz w:val="21"/>
                <w:szCs w:val="21"/>
                <w:highlight w:val="none"/>
                <w:lang w:val="zh-CN"/>
              </w:rPr>
            </w:pPr>
          </w:p>
        </w:tc>
      </w:tr>
      <w:tr w14:paraId="2006F9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508" w:type="dxa"/>
            <w:shd w:val="clear" w:color="auto" w:fill="auto"/>
            <w:vAlign w:val="center"/>
          </w:tcPr>
          <w:p w14:paraId="4B367D96">
            <w:pPr>
              <w:pStyle w:val="44"/>
              <w:numPr>
                <w:ilvl w:val="0"/>
                <w:numId w:val="0"/>
              </w:numPr>
              <w:shd w:val="clear"/>
              <w:ind w:left="420" w:leftChars="0" w:hanging="420" w:firstLineChars="0"/>
              <w:jc w:val="center"/>
              <w:rPr>
                <w:rFonts w:hint="default"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11</w:t>
            </w:r>
          </w:p>
        </w:tc>
        <w:tc>
          <w:tcPr>
            <w:tcW w:w="704" w:type="pct"/>
            <w:vAlign w:val="center"/>
          </w:tcPr>
          <w:p w14:paraId="465AC3DC">
            <w:pPr>
              <w:pStyle w:val="44"/>
              <w:shd w:val="clea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报价合理性</w:t>
            </w:r>
          </w:p>
        </w:tc>
        <w:tc>
          <w:tcPr>
            <w:tcW w:w="2965" w:type="pct"/>
            <w:shd w:val="clear" w:color="auto" w:fill="auto"/>
            <w:vAlign w:val="center"/>
          </w:tcPr>
          <w:p w14:paraId="5CD27F40">
            <w:pPr>
              <w:pStyle w:val="44"/>
              <w:shd w:val="clea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报价合理，或报价通过</w:t>
            </w:r>
            <w:r>
              <w:rPr>
                <w:rFonts w:hint="eastAsia" w:cs="宋体"/>
                <w:color w:val="auto"/>
                <w:sz w:val="21"/>
                <w:szCs w:val="21"/>
                <w:highlight w:val="none"/>
                <w:lang w:val="en-US" w:eastAsia="zh-CN"/>
              </w:rPr>
              <w:t>谈判小组</w:t>
            </w:r>
            <w:r>
              <w:rPr>
                <w:rFonts w:hint="eastAsia" w:ascii="宋体" w:hAnsi="宋体" w:eastAsia="宋体" w:cs="宋体"/>
                <w:color w:val="auto"/>
                <w:sz w:val="21"/>
                <w:szCs w:val="21"/>
                <w:highlight w:val="none"/>
                <w:lang w:val="en-US" w:eastAsia="zh-CN"/>
              </w:rPr>
              <w:t>异常低价投标(响应)审查</w:t>
            </w:r>
          </w:p>
        </w:tc>
        <w:tc>
          <w:tcPr>
            <w:tcW w:w="468" w:type="pct"/>
            <w:shd w:val="clear" w:color="auto" w:fill="auto"/>
            <w:vAlign w:val="center"/>
          </w:tcPr>
          <w:p w14:paraId="7D95DA2D">
            <w:pPr>
              <w:pStyle w:val="44"/>
              <w:shd w:val="clear"/>
              <w:rPr>
                <w:rFonts w:hint="eastAsia" w:ascii="宋体" w:hAnsi="宋体" w:eastAsia="宋体" w:cs="宋体"/>
                <w:color w:val="auto"/>
                <w:sz w:val="21"/>
                <w:szCs w:val="21"/>
                <w:highlight w:val="none"/>
                <w:lang w:val="zh-CN"/>
              </w:rPr>
            </w:pPr>
          </w:p>
        </w:tc>
        <w:tc>
          <w:tcPr>
            <w:tcW w:w="588" w:type="pct"/>
            <w:shd w:val="clear" w:color="auto" w:fill="auto"/>
            <w:vAlign w:val="center"/>
          </w:tcPr>
          <w:p w14:paraId="2A4BA1E3">
            <w:pPr>
              <w:pStyle w:val="44"/>
              <w:shd w:val="clear"/>
              <w:rPr>
                <w:rFonts w:hint="eastAsia" w:ascii="宋体" w:hAnsi="宋体" w:eastAsia="宋体" w:cs="宋体"/>
                <w:color w:val="auto"/>
                <w:sz w:val="21"/>
                <w:szCs w:val="21"/>
                <w:highlight w:val="none"/>
                <w:lang w:val="zh-CN"/>
              </w:rPr>
            </w:pPr>
          </w:p>
        </w:tc>
      </w:tr>
    </w:tbl>
    <w:p w14:paraId="0005D1DC">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028E1FEF">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199811C3">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1AACC489">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0A621C99">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2E60AFF0">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3624643D">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6A22AD6B">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07D31EDD">
      <w:pPr>
        <w:shd w:val="clear"/>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br w:type="page"/>
      </w:r>
    </w:p>
    <w:p w14:paraId="3107E210">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符合性检查</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zh-CN" w:eastAsia="zh-CN" w:bidi="ar-SA"/>
        </w:rPr>
        <w:t>附表</w:t>
      </w:r>
    </w:p>
    <w:p w14:paraId="4F7CC118">
      <w:pPr>
        <w:pStyle w:val="5"/>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8"/>
          <w:szCs w:val="28"/>
          <w:highlight w:val="none"/>
          <w:lang w:val="zh-CN" w:eastAsia="zh-CN" w:bidi="ar-SA"/>
        </w:rPr>
      </w:pPr>
      <w:bookmarkStart w:id="508" w:name="_Toc18208"/>
      <w:r>
        <w:rPr>
          <w:rFonts w:hint="eastAsia" w:ascii="宋体" w:hAnsi="宋体" w:eastAsia="宋体" w:cstheme="minorBidi"/>
          <w:b/>
          <w:bCs/>
          <w:color w:val="auto"/>
          <w:kern w:val="2"/>
          <w:sz w:val="28"/>
          <w:szCs w:val="28"/>
          <w:highlight w:val="none"/>
          <w:lang w:val="zh-CN" w:eastAsia="zh-CN" w:bidi="ar-SA"/>
        </w:rPr>
        <w:t>实质性响应一览表</w:t>
      </w:r>
      <w:bookmarkEnd w:id="508"/>
    </w:p>
    <w:p w14:paraId="231F5A14">
      <w:pPr>
        <w:shd w:val="clear" w:color="auto"/>
        <w:tabs>
          <w:tab w:val="left" w:pos="3045"/>
        </w:tabs>
        <w:autoSpaceDE w:val="0"/>
        <w:autoSpaceDN w:val="0"/>
        <w:adjustRightInd w:val="0"/>
        <w:snapToGrid w:val="0"/>
        <w:spacing w:line="360" w:lineRule="exact"/>
        <w:jc w:val="center"/>
        <w:rPr>
          <w:rFonts w:hint="eastAsia" w:ascii="宋体" w:hAnsi="宋体" w:cs="宋体"/>
          <w:b/>
          <w:color w:val="auto"/>
          <w:sz w:val="24"/>
          <w:highlight w:val="none"/>
        </w:rPr>
      </w:pPr>
      <w:r>
        <w:rPr>
          <w:rFonts w:hint="eastAsia" w:ascii="宋体" w:hAnsi="宋体" w:cs="宋体"/>
          <w:b w:val="0"/>
          <w:bCs/>
          <w:color w:val="auto"/>
          <w:sz w:val="24"/>
          <w:highlight w:val="none"/>
        </w:rPr>
        <w:t>（供应商须对本附表所有内容逐条响应且无负偏离，否则</w:t>
      </w:r>
      <w:r>
        <w:rPr>
          <w:rFonts w:hint="eastAsia" w:cs="宋体"/>
          <w:b/>
          <w:color w:val="auto"/>
          <w:sz w:val="24"/>
          <w:highlight w:val="none"/>
          <w:lang w:val="en-US" w:eastAsia="zh-CN"/>
        </w:rPr>
        <w:t>响应</w:t>
      </w:r>
      <w:r>
        <w:rPr>
          <w:rFonts w:hint="eastAsia" w:ascii="宋体" w:hAnsi="宋体" w:cs="宋体"/>
          <w:b/>
          <w:color w:val="auto"/>
          <w:sz w:val="24"/>
          <w:highlight w:val="none"/>
        </w:rPr>
        <w:t>无效</w:t>
      </w:r>
      <w:r>
        <w:rPr>
          <w:rFonts w:hint="eastAsia" w:ascii="宋体" w:hAnsi="宋体" w:cs="宋体"/>
          <w:b w:val="0"/>
          <w:bCs/>
          <w:color w:val="auto"/>
          <w:sz w:val="24"/>
          <w:highlight w:val="none"/>
        </w:rPr>
        <w:t>）</w:t>
      </w:r>
    </w:p>
    <w:p w14:paraId="4F532689">
      <w:pPr>
        <w:pStyle w:val="21"/>
        <w:shd w:val="clear"/>
        <w:rPr>
          <w:rFonts w:hint="eastAsia" w:ascii="宋体" w:hAnsi="宋体" w:cs="宋体"/>
          <w:color w:val="auto"/>
          <w:highlight w:val="none"/>
        </w:rPr>
      </w:pPr>
    </w:p>
    <w:tbl>
      <w:tblPr>
        <w:tblStyle w:val="27"/>
        <w:tblW w:w="5271" w:type="pct"/>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466"/>
        <w:gridCol w:w="3204"/>
        <w:gridCol w:w="1973"/>
        <w:gridCol w:w="738"/>
      </w:tblGrid>
      <w:tr w14:paraId="1404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374" w:type="pct"/>
            <w:vMerge w:val="restart"/>
            <w:noWrap w:val="0"/>
            <w:vAlign w:val="center"/>
          </w:tcPr>
          <w:p w14:paraId="7974C545">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序号</w:t>
            </w:r>
          </w:p>
        </w:tc>
        <w:tc>
          <w:tcPr>
            <w:tcW w:w="3129" w:type="pct"/>
            <w:gridSpan w:val="2"/>
            <w:noWrap w:val="0"/>
            <w:vAlign w:val="center"/>
          </w:tcPr>
          <w:p w14:paraId="4F79053B">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谈判</w:t>
            </w:r>
            <w:r>
              <w:rPr>
                <w:rFonts w:hint="eastAsia" w:ascii="宋体" w:hAnsi="宋体" w:eastAsia="宋体" w:cs="宋体"/>
                <w:i w:val="0"/>
                <w:iCs w:val="0"/>
                <w:color w:val="auto"/>
                <w:sz w:val="21"/>
                <w:szCs w:val="21"/>
                <w:highlight w:val="none"/>
              </w:rPr>
              <w:t>文件要求的实质性响应内容</w:t>
            </w:r>
          </w:p>
        </w:tc>
        <w:tc>
          <w:tcPr>
            <w:tcW w:w="1088" w:type="pct"/>
            <w:vMerge w:val="restart"/>
            <w:noWrap w:val="0"/>
            <w:vAlign w:val="center"/>
          </w:tcPr>
          <w:p w14:paraId="1DFD5A16">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供应商</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rPr>
              <w:t>文件具体</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rPr>
              <w:t>内容</w:t>
            </w:r>
          </w:p>
        </w:tc>
        <w:tc>
          <w:tcPr>
            <w:tcW w:w="407" w:type="pct"/>
            <w:vMerge w:val="restart"/>
            <w:noWrap w:val="0"/>
            <w:vAlign w:val="center"/>
          </w:tcPr>
          <w:p w14:paraId="182E982A">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备注</w:t>
            </w:r>
          </w:p>
        </w:tc>
      </w:tr>
      <w:tr w14:paraId="3C4C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74" w:type="pct"/>
            <w:vMerge w:val="continue"/>
            <w:noWrap w:val="0"/>
            <w:vAlign w:val="center"/>
          </w:tcPr>
          <w:p w14:paraId="72371D4B">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p>
        </w:tc>
        <w:tc>
          <w:tcPr>
            <w:tcW w:w="1361" w:type="pct"/>
            <w:shd w:val="clear" w:color="auto" w:fill="auto"/>
            <w:noWrap w:val="0"/>
            <w:vAlign w:val="center"/>
          </w:tcPr>
          <w:p w14:paraId="1BF20816">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实质性要求</w:t>
            </w:r>
          </w:p>
        </w:tc>
        <w:tc>
          <w:tcPr>
            <w:tcW w:w="1768" w:type="pct"/>
            <w:shd w:val="clear" w:color="auto" w:fill="auto"/>
            <w:noWrap w:val="0"/>
            <w:vAlign w:val="center"/>
          </w:tcPr>
          <w:p w14:paraId="7E16D5CE">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谈判文件中的规定</w:t>
            </w:r>
          </w:p>
        </w:tc>
        <w:tc>
          <w:tcPr>
            <w:tcW w:w="1088" w:type="pct"/>
            <w:vMerge w:val="continue"/>
            <w:noWrap w:val="0"/>
            <w:vAlign w:val="center"/>
          </w:tcPr>
          <w:p w14:paraId="70107A50">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eastAsia="zh-CN"/>
              </w:rPr>
            </w:pPr>
          </w:p>
        </w:tc>
        <w:tc>
          <w:tcPr>
            <w:tcW w:w="407" w:type="pct"/>
            <w:vMerge w:val="continue"/>
            <w:noWrap w:val="0"/>
            <w:vAlign w:val="center"/>
          </w:tcPr>
          <w:p w14:paraId="34815FA2">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eastAsia="zh-CN"/>
              </w:rPr>
            </w:pPr>
          </w:p>
        </w:tc>
      </w:tr>
      <w:tr w14:paraId="6468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78" w:type="dxa"/>
            <w:noWrap w:val="0"/>
            <w:vAlign w:val="center"/>
          </w:tcPr>
          <w:p w14:paraId="1D030E8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w:t>
            </w:r>
          </w:p>
        </w:tc>
        <w:tc>
          <w:tcPr>
            <w:tcW w:w="1361" w:type="pct"/>
            <w:noWrap w:val="0"/>
            <w:vAlign w:val="center"/>
          </w:tcPr>
          <w:p w14:paraId="2AE01BED">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有效期</w:t>
            </w:r>
          </w:p>
        </w:tc>
        <w:tc>
          <w:tcPr>
            <w:tcW w:w="1768" w:type="pct"/>
            <w:noWrap w:val="0"/>
            <w:vAlign w:val="center"/>
          </w:tcPr>
          <w:p w14:paraId="27457AC5">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响应文件递交截止日期后90日历日。</w:t>
            </w:r>
          </w:p>
        </w:tc>
        <w:tc>
          <w:tcPr>
            <w:tcW w:w="1088" w:type="pct"/>
            <w:noWrap w:val="0"/>
            <w:vAlign w:val="center"/>
          </w:tcPr>
          <w:p w14:paraId="1B8FC55E">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7AC04232">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57FC7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78" w:type="dxa"/>
            <w:noWrap w:val="0"/>
            <w:vAlign w:val="center"/>
          </w:tcPr>
          <w:p w14:paraId="542521B4">
            <w:pPr>
              <w:keepNext w:val="0"/>
              <w:keepLines w:val="0"/>
              <w:widowControl/>
              <w:suppressLineNumbers w:val="0"/>
              <w:shd w:val="clear"/>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2</w:t>
            </w:r>
          </w:p>
        </w:tc>
        <w:tc>
          <w:tcPr>
            <w:tcW w:w="1361" w:type="pct"/>
            <w:noWrap w:val="0"/>
            <w:vAlign w:val="center"/>
          </w:tcPr>
          <w:p w14:paraId="31DA72EE">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★实物样品</w:t>
            </w:r>
          </w:p>
        </w:tc>
        <w:tc>
          <w:tcPr>
            <w:tcW w:w="1768" w:type="pct"/>
            <w:noWrap w:val="0"/>
            <w:vAlign w:val="center"/>
          </w:tcPr>
          <w:p w14:paraId="197E5397">
            <w:pPr>
              <w:pStyle w:val="44"/>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样品递交： </w:t>
            </w:r>
          </w:p>
          <w:p w14:paraId="7B6DFB19">
            <w:pPr>
              <w:pStyle w:val="44"/>
              <w:shd w:val="clear"/>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□不需要 </w:t>
            </w:r>
          </w:p>
          <w:p w14:paraId="32B171FC">
            <w:pPr>
              <w:pStyle w:val="44"/>
              <w:shd w:val="clear"/>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☑需要，具体要求如下： </w:t>
            </w:r>
          </w:p>
          <w:p w14:paraId="4A683A34">
            <w:pPr>
              <w:pStyle w:val="44"/>
              <w:shd w:val="clear"/>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1.样品制作的标准和要求：_</w:t>
            </w:r>
            <w:r>
              <w:rPr>
                <w:rFonts w:hint="eastAsia" w:ascii="宋体" w:hAnsi="宋体" w:eastAsia="宋体" w:cs="宋体"/>
                <w:color w:val="auto"/>
                <w:sz w:val="21"/>
                <w:szCs w:val="21"/>
                <w:highlight w:val="none"/>
                <w:u w:val="single"/>
                <w:lang w:val="en-US" w:eastAsia="zh-CN"/>
              </w:rPr>
              <w:t>详见第三章项目采购需求参数要求，样品递交明细及数量详见三章项目采购需求</w:t>
            </w:r>
            <w:r>
              <w:rPr>
                <w:rFonts w:hint="eastAsia" w:ascii="宋体" w:hAnsi="宋体" w:eastAsia="宋体" w:cs="宋体"/>
                <w:color w:val="auto"/>
                <w:sz w:val="21"/>
                <w:szCs w:val="21"/>
                <w:highlight w:val="none"/>
                <w:lang w:val="en-US" w:eastAsia="zh-CN"/>
              </w:rPr>
              <w:t xml:space="preserve">__； </w:t>
            </w:r>
          </w:p>
          <w:p w14:paraId="18F36E3F">
            <w:pPr>
              <w:pStyle w:val="44"/>
              <w:shd w:val="clear"/>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2.是否需要随样品提交相关检测报告： </w:t>
            </w:r>
          </w:p>
          <w:p w14:paraId="148F0742">
            <w:pPr>
              <w:pStyle w:val="44"/>
              <w:shd w:val="clea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□不需要 </w:t>
            </w:r>
          </w:p>
          <w:p w14:paraId="29B70089">
            <w:pPr>
              <w:pStyle w:val="44"/>
              <w:shd w:val="clea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☑需要 </w:t>
            </w:r>
          </w:p>
          <w:p w14:paraId="450022E5">
            <w:pPr>
              <w:pStyle w:val="44"/>
              <w:shd w:val="clear"/>
              <w:ind w:firstLine="210" w:firstLineChars="1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3.样品递交要求：</w:t>
            </w:r>
          </w:p>
          <w:p w14:paraId="05878337">
            <w:pPr>
              <w:pStyle w:val="44"/>
              <w:shd w:val="clea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递交时间：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响应截止时间前递交（并保证评审时可正常查看）未按规定时间递交样品的单位拒不接收。 </w:t>
            </w:r>
            <w:r>
              <w:rPr>
                <w:rFonts w:hint="eastAsia" w:ascii="宋体" w:hAnsi="宋体" w:eastAsia="宋体" w:cs="宋体"/>
                <w:color w:val="auto"/>
                <w:sz w:val="21"/>
                <w:szCs w:val="21"/>
                <w:highlight w:val="none"/>
                <w:lang w:val="en-US" w:eastAsia="zh-CN"/>
              </w:rPr>
              <w:t xml:space="preserve"> </w:t>
            </w:r>
          </w:p>
          <w:p w14:paraId="4B28A08F">
            <w:pPr>
              <w:pStyle w:val="44"/>
              <w:shd w:val="clear"/>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递交</w:t>
            </w:r>
            <w:r>
              <w:rPr>
                <w:rFonts w:hint="eastAsia" w:ascii="宋体" w:hAnsi="宋体" w:eastAsia="宋体" w:cs="宋体"/>
                <w:color w:val="auto"/>
                <w:sz w:val="21"/>
                <w:szCs w:val="21"/>
                <w:highlight w:val="none"/>
              </w:rPr>
              <w:t>地点：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邮寄或到采购代理公司现场递交（响应供应商递交的样品均统一保存，直至评审时开启，因邮寄或现场递交前导致产品损坏或任何损失均由各响应供应商承担）</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，逾期提供的样品将不予接受。</w:t>
            </w:r>
            <w:r>
              <w:rPr>
                <w:rFonts w:hint="eastAsia" w:ascii="宋体" w:hAnsi="宋体" w:eastAsia="宋体" w:cs="宋体"/>
                <w:color w:val="auto"/>
                <w:sz w:val="21"/>
                <w:szCs w:val="21"/>
                <w:highlight w:val="none"/>
                <w:lang w:val="en-US" w:eastAsia="zh-CN"/>
              </w:rPr>
              <w:t xml:space="preserve"> </w:t>
            </w:r>
          </w:p>
          <w:p w14:paraId="7E76028A">
            <w:pPr>
              <w:pStyle w:val="44"/>
              <w:shd w:val="clear"/>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4.未中标人样品退还：</w:t>
            </w:r>
            <w:r>
              <w:rPr>
                <w:rFonts w:hint="eastAsia" w:ascii="宋体" w:hAnsi="宋体" w:eastAsia="宋体" w:cs="宋体"/>
                <w:color w:val="auto"/>
                <w:sz w:val="21"/>
                <w:szCs w:val="21"/>
                <w:highlight w:val="none"/>
                <w:u w:val="single"/>
                <w:lang w:val="en-US" w:eastAsia="zh-CN"/>
              </w:rPr>
              <w:t xml:space="preserve"> 未中标供应商的样品，在收到通知后自行取回，当天未取回的，自行承担损坏、遗失等责任 </w:t>
            </w:r>
            <w:r>
              <w:rPr>
                <w:rFonts w:hint="eastAsia" w:ascii="宋体" w:hAnsi="宋体" w:eastAsia="宋体" w:cs="宋体"/>
                <w:color w:val="auto"/>
                <w:sz w:val="21"/>
                <w:szCs w:val="21"/>
                <w:highlight w:val="none"/>
                <w:lang w:val="en-US" w:eastAsia="zh-CN"/>
              </w:rPr>
              <w:t xml:space="preserve">； </w:t>
            </w:r>
          </w:p>
          <w:p w14:paraId="3B92CF4A">
            <w:pPr>
              <w:pStyle w:val="44"/>
              <w:shd w:val="clear"/>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5.中标人样品保管、封存及退还：</w:t>
            </w:r>
            <w:r>
              <w:rPr>
                <w:rFonts w:hint="eastAsia" w:ascii="宋体" w:hAnsi="宋体" w:eastAsia="宋体" w:cs="宋体"/>
                <w:color w:val="auto"/>
                <w:sz w:val="21"/>
                <w:szCs w:val="21"/>
                <w:highlight w:val="none"/>
                <w:u w:val="single"/>
                <w:lang w:val="en-US" w:eastAsia="zh-CN"/>
              </w:rPr>
              <w:t xml:space="preserve"> 评标完成后，样品封存。中标单位样品封存在采购人指定地点，作为验收依据。所供货物不得低于样品质量  </w:t>
            </w:r>
            <w:r>
              <w:rPr>
                <w:rFonts w:hint="eastAsia" w:ascii="宋体" w:hAnsi="宋体" w:eastAsia="宋体" w:cs="宋体"/>
                <w:color w:val="auto"/>
                <w:sz w:val="21"/>
                <w:szCs w:val="21"/>
                <w:highlight w:val="none"/>
                <w:lang w:val="en-US" w:eastAsia="zh-CN"/>
              </w:rPr>
              <w:t xml:space="preserve">； </w:t>
            </w:r>
          </w:p>
          <w:p w14:paraId="08BF63FB">
            <w:pPr>
              <w:pStyle w:val="44"/>
              <w:shd w:val="clear"/>
              <w:ind w:firstLine="210" w:firstLineChars="1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6.其他要求：</w:t>
            </w:r>
          </w:p>
          <w:p w14:paraId="6888EF4A">
            <w:pPr>
              <w:pStyle w:val="44"/>
              <w:shd w:val="clea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u w:val="single"/>
                <w:lang w:val="en-US" w:eastAsia="zh-CN"/>
              </w:rPr>
              <w:t>6.1 包装要求：</w:t>
            </w:r>
            <w:r>
              <w:rPr>
                <w:rFonts w:hint="eastAsia" w:ascii="宋体" w:hAnsi="宋体" w:eastAsia="宋体" w:cs="宋体"/>
                <w:color w:val="auto"/>
                <w:sz w:val="21"/>
                <w:szCs w:val="21"/>
                <w:highlight w:val="none"/>
                <w:lang w:val="en-US" w:eastAsia="zh-CN"/>
              </w:rPr>
              <w:t>①样品按采购标的分别密封包装，箱体加以密封，在外包装上注明供应商名称、项目名称及项目编号、样品明细及货物名称，并在密封处加盖公章。箱体上均应贴上封条。②还需提供所投样品检测报告原件或复印件加盖公章，并单独密封（不得随箱一同密封）。</w:t>
            </w:r>
          </w:p>
          <w:p w14:paraId="5741657C">
            <w:pPr>
              <w:pStyle w:val="44"/>
              <w:shd w:val="clear"/>
              <w:ind w:firstLine="210" w:firstLineChars="1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注：除可拆除的包装以外，样品本身不应有任何体现生产来源的标记、标签、标识及其标记、暗号（包括单位名称、品牌名称等任何标识均不得体现）。</w:t>
            </w:r>
          </w:p>
          <w:p w14:paraId="16269598">
            <w:pPr>
              <w:pStyle w:val="44"/>
              <w:shd w:val="clea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6.2评审方式：暗标评审。评审时，在相关监督人员的监督下拆封并用于评审时核验；供应商根据自身情况如实提供，如发现提供虚假材料，由此导致的一切后果均由供应商自行承担。</w:t>
            </w:r>
          </w:p>
          <w:p w14:paraId="27C89EF3">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color w:val="auto"/>
                <w:sz w:val="21"/>
                <w:szCs w:val="21"/>
                <w:highlight w:val="none"/>
                <w:lang w:val="en-US" w:eastAsia="zh-CN"/>
              </w:rPr>
              <w:t>6.3 评审要求：①供应商递交的样品本身含有任何关于供应商信息或品牌或标志性商标(图案)的标记、标识的、不符合前款要求的。②所递交样品种类不齐全。③ 未提交样品。④样品评审不合格。出现以上任意一种情形的，视为未实质性响应谈判文件。</w:t>
            </w:r>
          </w:p>
        </w:tc>
        <w:tc>
          <w:tcPr>
            <w:tcW w:w="1088" w:type="pct"/>
            <w:noWrap w:val="0"/>
            <w:vAlign w:val="center"/>
          </w:tcPr>
          <w:p w14:paraId="12D7A397">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7D9A25D8">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5D9EA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78" w:type="dxa"/>
            <w:noWrap w:val="0"/>
            <w:vAlign w:val="center"/>
          </w:tcPr>
          <w:p w14:paraId="5C44041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3</w:t>
            </w:r>
          </w:p>
        </w:tc>
        <w:tc>
          <w:tcPr>
            <w:tcW w:w="1361" w:type="pct"/>
            <w:noWrap w:val="0"/>
            <w:vAlign w:val="center"/>
          </w:tcPr>
          <w:p w14:paraId="3BA67202">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种犬粮</w:t>
            </w:r>
          </w:p>
        </w:tc>
        <w:tc>
          <w:tcPr>
            <w:tcW w:w="1768" w:type="pct"/>
            <w:noWrap w:val="0"/>
            <w:vAlign w:val="center"/>
          </w:tcPr>
          <w:p w14:paraId="30EBEFCC">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★蛋白质≥34%、粗脂肪≥31%、粗纤维≤5%、水溶性氯化物≥0.5%、钙≥1.9</w:t>
            </w:r>
            <w:r>
              <w:rPr>
                <w:rFonts w:hint="eastAsia" w:ascii="宋体" w:hAnsi="宋体" w:eastAsia="宋体" w:cs="宋体"/>
                <w:i w:val="0"/>
                <w:iCs w:val="0"/>
                <w:color w:val="auto"/>
                <w:sz w:val="21"/>
                <w:szCs w:val="21"/>
                <w:highlight w:val="none"/>
                <w:lang w:val="en-US" w:eastAsia="zh-CN"/>
              </w:rPr>
              <w:t>%</w:t>
            </w:r>
            <w:r>
              <w:rPr>
                <w:rFonts w:hint="eastAsia" w:ascii="宋体" w:hAnsi="宋体" w:eastAsia="宋体" w:cs="宋体"/>
                <w:i w:val="0"/>
                <w:iCs w:val="0"/>
                <w:color w:val="auto"/>
                <w:sz w:val="21"/>
                <w:szCs w:val="21"/>
                <w:highlight w:val="none"/>
              </w:rPr>
              <w:t>、总磷≥1.2</w:t>
            </w:r>
            <w:r>
              <w:rPr>
                <w:rFonts w:hint="eastAsia" w:ascii="宋体" w:hAnsi="宋体" w:eastAsia="宋体" w:cs="宋体"/>
                <w:i w:val="0"/>
                <w:iCs w:val="0"/>
                <w:color w:val="auto"/>
                <w:sz w:val="21"/>
                <w:szCs w:val="21"/>
                <w:highlight w:val="none"/>
                <w:lang w:val="en-US" w:eastAsia="zh-CN"/>
              </w:rPr>
              <w:t>%</w:t>
            </w:r>
            <w:r>
              <w:rPr>
                <w:rFonts w:hint="eastAsia" w:ascii="宋体" w:hAnsi="宋体" w:eastAsia="宋体" w:cs="宋体"/>
                <w:i w:val="0"/>
                <w:iCs w:val="0"/>
                <w:color w:val="auto"/>
                <w:sz w:val="21"/>
                <w:szCs w:val="21"/>
                <w:highlight w:val="none"/>
              </w:rPr>
              <w:t>、粗灰分≤9%、水分≤9%、赖氨酸≥1.6%；总砷≤2.0mg/kg、铅≤2.0mg/kg、氟≤100mg/kg、汞不得检出、镉≤0.5mg/kg；</w:t>
            </w:r>
          </w:p>
          <w:p w14:paraId="3AE63E8B">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黄曲霉毒素 B1不得检出、赭曲霉毒素A不得检出、玉米赤霉烯酮不得检出、呕吐毒素 ≤2.0mg/kg、六六六、滴滴涕、致病菌（沙门氏菌）、亚硝酸盐、三聚氰胺不得检出。</w:t>
            </w:r>
          </w:p>
          <w:p w14:paraId="0D08F6FE">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要求：适口性好，满足种犬生理需求；无霉变、结块、异物、异味；无掺假、无非法添加。</w:t>
            </w:r>
            <w:r>
              <w:rPr>
                <w:rFonts w:hint="eastAsia" w:ascii="宋体" w:hAnsi="宋体" w:eastAsia="宋体" w:cs="宋体"/>
                <w:i w:val="0"/>
                <w:iCs w:val="0"/>
                <w:color w:val="auto"/>
                <w:sz w:val="21"/>
                <w:szCs w:val="21"/>
                <w:highlight w:val="none"/>
                <w:lang w:val="en-US" w:eastAsia="zh-CN"/>
              </w:rPr>
              <w:t>注：以上技术参数均为实质性条款。</w:t>
            </w:r>
          </w:p>
        </w:tc>
        <w:tc>
          <w:tcPr>
            <w:tcW w:w="1088" w:type="pct"/>
            <w:noWrap w:val="0"/>
            <w:vAlign w:val="center"/>
          </w:tcPr>
          <w:p w14:paraId="344BBCA7">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212C9CCA">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5BF7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78" w:type="dxa"/>
            <w:noWrap w:val="0"/>
            <w:vAlign w:val="center"/>
          </w:tcPr>
          <w:p w14:paraId="0FD3F641">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4</w:t>
            </w:r>
          </w:p>
        </w:tc>
        <w:tc>
          <w:tcPr>
            <w:tcW w:w="1361" w:type="pct"/>
            <w:noWrap w:val="0"/>
            <w:vAlign w:val="center"/>
          </w:tcPr>
          <w:p w14:paraId="53A69521">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成犬粮</w:t>
            </w:r>
          </w:p>
        </w:tc>
        <w:tc>
          <w:tcPr>
            <w:tcW w:w="1768" w:type="pct"/>
            <w:noWrap w:val="0"/>
            <w:vAlign w:val="center"/>
          </w:tcPr>
          <w:p w14:paraId="79A2EDF6">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★蛋白质≥24%、粗脂肪≥15%、粗纤维≤5%、水溶性氯化物≥0.5%、钙≥1.3</w:t>
            </w:r>
            <w:r>
              <w:rPr>
                <w:rFonts w:hint="eastAsia" w:ascii="宋体" w:hAnsi="宋体" w:eastAsia="宋体" w:cs="宋体"/>
                <w:i w:val="0"/>
                <w:iCs w:val="0"/>
                <w:color w:val="auto"/>
                <w:sz w:val="21"/>
                <w:szCs w:val="21"/>
                <w:highlight w:val="none"/>
                <w:lang w:val="en-US" w:eastAsia="zh-CN"/>
              </w:rPr>
              <w:t>%</w:t>
            </w:r>
            <w:r>
              <w:rPr>
                <w:rFonts w:hint="eastAsia" w:ascii="宋体" w:hAnsi="宋体" w:eastAsia="宋体" w:cs="宋体"/>
                <w:i w:val="0"/>
                <w:iCs w:val="0"/>
                <w:color w:val="auto"/>
                <w:sz w:val="21"/>
                <w:szCs w:val="21"/>
                <w:highlight w:val="none"/>
              </w:rPr>
              <w:t>、总磷≥0.9</w:t>
            </w:r>
            <w:r>
              <w:rPr>
                <w:rFonts w:hint="eastAsia" w:ascii="宋体" w:hAnsi="宋体" w:eastAsia="宋体" w:cs="宋体"/>
                <w:i w:val="0"/>
                <w:iCs w:val="0"/>
                <w:color w:val="auto"/>
                <w:sz w:val="21"/>
                <w:szCs w:val="21"/>
                <w:highlight w:val="none"/>
                <w:lang w:val="en-US" w:eastAsia="zh-CN"/>
              </w:rPr>
              <w:t>%</w:t>
            </w:r>
            <w:r>
              <w:rPr>
                <w:rFonts w:hint="eastAsia" w:ascii="宋体" w:hAnsi="宋体" w:eastAsia="宋体" w:cs="宋体"/>
                <w:i w:val="0"/>
                <w:iCs w:val="0"/>
                <w:color w:val="auto"/>
                <w:sz w:val="21"/>
                <w:szCs w:val="21"/>
                <w:highlight w:val="none"/>
              </w:rPr>
              <w:t>、粗灰分≤9%、水分≤9%、赖氨酸≥1.1%；</w:t>
            </w:r>
          </w:p>
          <w:p w14:paraId="5C5CF7D7">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黄曲霉毒素 B1不得检出、赭曲霉毒素A不得检出、玉米赤霉烯酮不得检出、呕吐毒素 ≤2.0mg/kg、六六六、滴滴涕、致病菌（沙门氏菌）、亚硝酸盐、三聚氰胺不得检出。</w:t>
            </w:r>
            <w:r>
              <w:rPr>
                <w:rFonts w:hint="eastAsia" w:ascii="宋体" w:hAnsi="宋体" w:eastAsia="宋体" w:cs="宋体"/>
                <w:i w:val="0"/>
                <w:iCs w:val="0"/>
                <w:color w:val="auto"/>
                <w:sz w:val="21"/>
                <w:szCs w:val="21"/>
                <w:highlight w:val="none"/>
                <w:lang w:val="en-US" w:eastAsia="zh-CN"/>
              </w:rPr>
              <w:br w:type="textWrapping"/>
            </w:r>
            <w:r>
              <w:rPr>
                <w:rFonts w:hint="eastAsia" w:ascii="宋体" w:hAnsi="宋体" w:eastAsia="宋体" w:cs="宋体"/>
                <w:i w:val="0"/>
                <w:iCs w:val="0"/>
                <w:color w:val="auto"/>
                <w:sz w:val="21"/>
                <w:szCs w:val="21"/>
                <w:highlight w:val="none"/>
              </w:rPr>
              <w:t>要求：适口性好，满足</w:t>
            </w:r>
            <w:r>
              <w:rPr>
                <w:rFonts w:hint="eastAsia" w:ascii="宋体" w:hAnsi="宋体" w:eastAsia="宋体" w:cs="宋体"/>
                <w:i w:val="0"/>
                <w:iCs w:val="0"/>
                <w:color w:val="auto"/>
                <w:sz w:val="21"/>
                <w:szCs w:val="21"/>
                <w:highlight w:val="none"/>
                <w:lang w:val="en-US" w:eastAsia="zh-CN"/>
              </w:rPr>
              <w:t>成</w:t>
            </w:r>
            <w:r>
              <w:rPr>
                <w:rFonts w:hint="eastAsia" w:ascii="宋体" w:hAnsi="宋体" w:eastAsia="宋体" w:cs="宋体"/>
                <w:i w:val="0"/>
                <w:iCs w:val="0"/>
                <w:color w:val="auto"/>
                <w:sz w:val="21"/>
                <w:szCs w:val="21"/>
                <w:highlight w:val="none"/>
              </w:rPr>
              <w:t>犬生理需求；无霉变、结块、异物、异味；无掺假、无非法添加。</w:t>
            </w:r>
          </w:p>
          <w:p w14:paraId="788E1975">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注：以上技术参数均为实质性条款。</w:t>
            </w:r>
          </w:p>
        </w:tc>
        <w:tc>
          <w:tcPr>
            <w:tcW w:w="1088" w:type="pct"/>
            <w:noWrap w:val="0"/>
            <w:vAlign w:val="center"/>
          </w:tcPr>
          <w:p w14:paraId="396D0FFE">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345F87DE">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42C8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78" w:type="dxa"/>
            <w:noWrap w:val="0"/>
            <w:vAlign w:val="center"/>
          </w:tcPr>
          <w:p w14:paraId="487BA98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5</w:t>
            </w:r>
          </w:p>
        </w:tc>
        <w:tc>
          <w:tcPr>
            <w:tcW w:w="1361" w:type="pct"/>
            <w:noWrap w:val="0"/>
            <w:vAlign w:val="center"/>
          </w:tcPr>
          <w:p w14:paraId="6ECE64A7">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幼犬粮</w:t>
            </w:r>
          </w:p>
        </w:tc>
        <w:tc>
          <w:tcPr>
            <w:tcW w:w="1768" w:type="pct"/>
            <w:noWrap w:val="0"/>
            <w:vAlign w:val="center"/>
          </w:tcPr>
          <w:p w14:paraId="77E877CA">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★蛋白质≥29%、粗脂肪≥16%、粗纤维≤3%、水溶性氯化物≥0.2%、钙≥1.5%、总磷≥1%、粗灰分≤8%、水分≤8%、赖氨酸≥1.3%；总砷  ≤2.0mg/kg 、铅≤2.0mg/kg、氟≤100mg/kg、汞不得检出、镉 ≤0.5mg/kg；</w:t>
            </w:r>
          </w:p>
          <w:p w14:paraId="02A3733F">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黄曲霉毒素 B1不得检出、赭曲霉毒素A不得检出、玉米赤霉烯酮不得检出、呕吐毒素 ≤2.0mg/kg、六六六、滴滴涕、致病菌（沙门氏菌）、亚硝酸盐、三聚氰胺不得检出。</w:t>
            </w:r>
            <w:r>
              <w:rPr>
                <w:rFonts w:hint="eastAsia" w:ascii="宋体" w:hAnsi="宋体" w:eastAsia="宋体" w:cs="宋体"/>
                <w:i w:val="0"/>
                <w:iCs w:val="0"/>
                <w:color w:val="auto"/>
                <w:sz w:val="21"/>
                <w:szCs w:val="21"/>
                <w:highlight w:val="none"/>
                <w:lang w:val="en-US" w:eastAsia="zh-CN"/>
              </w:rPr>
              <w:br w:type="textWrapping"/>
            </w:r>
            <w:r>
              <w:rPr>
                <w:rFonts w:hint="eastAsia" w:ascii="宋体" w:hAnsi="宋体" w:eastAsia="宋体" w:cs="宋体"/>
                <w:i w:val="0"/>
                <w:iCs w:val="0"/>
                <w:color w:val="auto"/>
                <w:sz w:val="21"/>
                <w:szCs w:val="21"/>
                <w:highlight w:val="none"/>
              </w:rPr>
              <w:t>要求：适口性好，满足</w:t>
            </w:r>
            <w:r>
              <w:rPr>
                <w:rFonts w:hint="eastAsia" w:ascii="宋体" w:hAnsi="宋体" w:eastAsia="宋体" w:cs="宋体"/>
                <w:i w:val="0"/>
                <w:iCs w:val="0"/>
                <w:color w:val="auto"/>
                <w:sz w:val="21"/>
                <w:szCs w:val="21"/>
                <w:highlight w:val="none"/>
                <w:lang w:val="en-US" w:eastAsia="zh-CN"/>
              </w:rPr>
              <w:t>幼</w:t>
            </w:r>
            <w:r>
              <w:rPr>
                <w:rFonts w:hint="eastAsia" w:ascii="宋体" w:hAnsi="宋体" w:eastAsia="宋体" w:cs="宋体"/>
                <w:i w:val="0"/>
                <w:iCs w:val="0"/>
                <w:color w:val="auto"/>
                <w:sz w:val="21"/>
                <w:szCs w:val="21"/>
                <w:highlight w:val="none"/>
              </w:rPr>
              <w:t>犬生理需求；无霉变、结块、异物、异味；无掺假、无非法添加。</w:t>
            </w:r>
          </w:p>
          <w:p w14:paraId="4270D73F">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注：以上技术参数均为实质性条款。</w:t>
            </w:r>
          </w:p>
        </w:tc>
        <w:tc>
          <w:tcPr>
            <w:tcW w:w="1088" w:type="pct"/>
            <w:noWrap w:val="0"/>
            <w:vAlign w:val="center"/>
          </w:tcPr>
          <w:p w14:paraId="0A0641F0">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50A8FCF6">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4A3D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78" w:type="dxa"/>
            <w:noWrap w:val="0"/>
            <w:vAlign w:val="center"/>
          </w:tcPr>
          <w:p w14:paraId="311D01EA">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6</w:t>
            </w:r>
          </w:p>
        </w:tc>
        <w:tc>
          <w:tcPr>
            <w:tcW w:w="1361" w:type="pct"/>
            <w:noWrap w:val="0"/>
            <w:vAlign w:val="center"/>
          </w:tcPr>
          <w:p w14:paraId="100353AB">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牛  肉</w:t>
            </w:r>
          </w:p>
        </w:tc>
        <w:tc>
          <w:tcPr>
            <w:tcW w:w="1768" w:type="pct"/>
            <w:noWrap w:val="0"/>
            <w:vAlign w:val="center"/>
          </w:tcPr>
          <w:p w14:paraId="169FA58D">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★要求：非冷冻鲜肉，检疫合格。</w:t>
            </w:r>
          </w:p>
        </w:tc>
        <w:tc>
          <w:tcPr>
            <w:tcW w:w="1088" w:type="pct"/>
            <w:noWrap w:val="0"/>
            <w:vAlign w:val="center"/>
          </w:tcPr>
          <w:p w14:paraId="6D01071D">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1069A827">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29F8C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78" w:type="dxa"/>
            <w:noWrap w:val="0"/>
            <w:vAlign w:val="center"/>
          </w:tcPr>
          <w:p w14:paraId="40AD60A6">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7</w:t>
            </w:r>
          </w:p>
        </w:tc>
        <w:tc>
          <w:tcPr>
            <w:tcW w:w="1361" w:type="pct"/>
            <w:noWrap w:val="0"/>
            <w:vAlign w:val="center"/>
          </w:tcPr>
          <w:p w14:paraId="6B01AAF0">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犬用奶粉</w:t>
            </w:r>
          </w:p>
        </w:tc>
        <w:tc>
          <w:tcPr>
            <w:tcW w:w="1768" w:type="pct"/>
            <w:noWrap w:val="0"/>
            <w:vAlign w:val="center"/>
          </w:tcPr>
          <w:p w14:paraId="661A8059">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★原料组成：羊奶粉。</w:t>
            </w:r>
          </w:p>
          <w:p w14:paraId="6DA9CF98">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营养成分：每100克中营养成分脂肪≥20g，蛋白质≥10.0g，低聚半乳糖≥2.0g，维生素K1≥30μg，维生素B1≥400μg,烟酰胺≥4.0mg，维生素B6≥</w:t>
            </w:r>
            <w:r>
              <w:rPr>
                <w:rFonts w:hint="eastAsia" w:ascii="宋体" w:hAnsi="宋体" w:eastAsia="宋体" w:cs="宋体"/>
                <w:i w:val="0"/>
                <w:iCs w:val="0"/>
                <w:color w:val="auto"/>
                <w:sz w:val="21"/>
                <w:szCs w:val="21"/>
                <w:highlight w:val="none"/>
              </w:rPr>
              <w:t>300</w:t>
            </w:r>
            <w:r>
              <w:rPr>
                <w:rFonts w:hint="eastAsia" w:ascii="宋体" w:hAnsi="宋体" w:eastAsia="宋体" w:cs="宋体"/>
                <w:i w:val="0"/>
                <w:iCs w:val="0"/>
                <w:color w:val="auto"/>
                <w:sz w:val="21"/>
                <w:szCs w:val="21"/>
                <w:highlight w:val="none"/>
                <w:lang w:val="en-US" w:eastAsia="zh-CN"/>
              </w:rPr>
              <w:t>μg</w:t>
            </w:r>
            <w:r>
              <w:rPr>
                <w:rFonts w:hint="eastAsia" w:ascii="宋体" w:hAnsi="宋体" w:eastAsia="宋体" w:cs="宋体"/>
                <w:i w:val="0"/>
                <w:iCs w:val="0"/>
                <w:color w:val="auto"/>
                <w:sz w:val="21"/>
                <w:szCs w:val="21"/>
                <w:highlight w:val="none"/>
              </w:rPr>
              <w:t>/100g</w:t>
            </w:r>
            <w:r>
              <w:rPr>
                <w:rFonts w:hint="eastAsia" w:ascii="宋体" w:hAnsi="宋体" w:eastAsia="宋体" w:cs="宋体"/>
                <w:i w:val="0"/>
                <w:iCs w:val="0"/>
                <w:color w:val="auto"/>
                <w:sz w:val="21"/>
                <w:szCs w:val="21"/>
                <w:highlight w:val="none"/>
                <w:lang w:val="en-US" w:eastAsia="zh-CN"/>
              </w:rPr>
              <w:t>。</w:t>
            </w:r>
            <w:r>
              <w:rPr>
                <w:rFonts w:hint="eastAsia" w:ascii="宋体" w:hAnsi="宋体" w:eastAsia="宋体" w:cs="宋体"/>
                <w:i w:val="0"/>
                <w:iCs w:val="0"/>
                <w:color w:val="auto"/>
                <w:sz w:val="21"/>
                <w:szCs w:val="21"/>
                <w:highlight w:val="none"/>
                <w:lang w:val="en-US" w:eastAsia="zh-CN"/>
              </w:rPr>
              <w:br w:type="textWrapping"/>
            </w:r>
            <w:r>
              <w:rPr>
                <w:rFonts w:hint="eastAsia" w:ascii="宋体" w:hAnsi="宋体" w:eastAsia="宋体" w:cs="宋体"/>
                <w:i w:val="0"/>
                <w:iCs w:val="0"/>
                <w:color w:val="auto"/>
                <w:sz w:val="21"/>
                <w:szCs w:val="21"/>
                <w:highlight w:val="none"/>
                <w:lang w:val="en-US" w:eastAsia="zh-CN"/>
              </w:rPr>
              <w:t>要求：适口性好，满足幼犬生长发育需求。</w:t>
            </w:r>
          </w:p>
          <w:p w14:paraId="684BF96E">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注：以上技术参数均为实质性条款。</w:t>
            </w:r>
          </w:p>
        </w:tc>
        <w:tc>
          <w:tcPr>
            <w:tcW w:w="1088" w:type="pct"/>
            <w:noWrap w:val="0"/>
            <w:vAlign w:val="center"/>
          </w:tcPr>
          <w:p w14:paraId="573F2C64">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401E72F6">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7A7F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78" w:type="dxa"/>
            <w:noWrap w:val="0"/>
            <w:vAlign w:val="center"/>
          </w:tcPr>
          <w:p w14:paraId="290CC5A2">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8</w:t>
            </w:r>
          </w:p>
        </w:tc>
        <w:tc>
          <w:tcPr>
            <w:tcW w:w="1361" w:type="pct"/>
            <w:noWrap w:val="0"/>
            <w:vAlign w:val="center"/>
          </w:tcPr>
          <w:p w14:paraId="529E7F73">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鸡  蛋</w:t>
            </w:r>
          </w:p>
        </w:tc>
        <w:tc>
          <w:tcPr>
            <w:tcW w:w="1768" w:type="pct"/>
            <w:noWrap w:val="0"/>
            <w:vAlign w:val="center"/>
          </w:tcPr>
          <w:p w14:paraId="409129A7">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★新鲜鸡蛋，配送日期不超过生产后7天。</w:t>
            </w:r>
          </w:p>
        </w:tc>
        <w:tc>
          <w:tcPr>
            <w:tcW w:w="1088" w:type="pct"/>
            <w:noWrap w:val="0"/>
            <w:vAlign w:val="center"/>
          </w:tcPr>
          <w:p w14:paraId="4689C8A5">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616460E1">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22B25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78" w:type="dxa"/>
            <w:noWrap w:val="0"/>
            <w:vAlign w:val="center"/>
          </w:tcPr>
          <w:p w14:paraId="179068C0">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9</w:t>
            </w:r>
          </w:p>
        </w:tc>
        <w:tc>
          <w:tcPr>
            <w:tcW w:w="1361" w:type="pct"/>
            <w:noWrap w:val="0"/>
            <w:vAlign w:val="center"/>
          </w:tcPr>
          <w:p w14:paraId="121E601A">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犬罐头</w:t>
            </w:r>
          </w:p>
        </w:tc>
        <w:tc>
          <w:tcPr>
            <w:tcW w:w="1768" w:type="pct"/>
            <w:noWrap w:val="0"/>
            <w:vAlign w:val="center"/>
          </w:tcPr>
          <w:p w14:paraId="591E47DE">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★粗蛋白质≥6%、粗脂肪≥4%、粗纤维≤1.5%</w:t>
            </w:r>
          </w:p>
          <w:p w14:paraId="00830705">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注：以上技术参数均为实质性条款。</w:t>
            </w:r>
          </w:p>
        </w:tc>
        <w:tc>
          <w:tcPr>
            <w:tcW w:w="1088" w:type="pct"/>
            <w:noWrap w:val="0"/>
            <w:vAlign w:val="center"/>
          </w:tcPr>
          <w:p w14:paraId="46976D77">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2765F571">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16394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trPr>
        <w:tc>
          <w:tcPr>
            <w:tcW w:w="678" w:type="dxa"/>
            <w:noWrap w:val="0"/>
            <w:vAlign w:val="center"/>
          </w:tcPr>
          <w:p w14:paraId="6BBA063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10</w:t>
            </w:r>
          </w:p>
        </w:tc>
        <w:tc>
          <w:tcPr>
            <w:tcW w:w="1361" w:type="pct"/>
            <w:noWrap w:val="0"/>
            <w:vAlign w:val="center"/>
          </w:tcPr>
          <w:p w14:paraId="0E60B847">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犬用疫苗</w:t>
            </w:r>
          </w:p>
        </w:tc>
        <w:tc>
          <w:tcPr>
            <w:tcW w:w="1768" w:type="pct"/>
            <w:noWrap w:val="0"/>
            <w:vAlign w:val="center"/>
          </w:tcPr>
          <w:p w14:paraId="779D3CC0">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★适合对象：全年龄段全犬种。</w:t>
            </w:r>
            <w:r>
              <w:rPr>
                <w:rFonts w:hint="eastAsia" w:ascii="宋体" w:hAnsi="宋体" w:eastAsia="宋体" w:cs="宋体"/>
                <w:i w:val="0"/>
                <w:iCs w:val="0"/>
                <w:color w:val="auto"/>
                <w:sz w:val="21"/>
                <w:szCs w:val="21"/>
                <w:highlight w:val="none"/>
                <w:lang w:val="en-US" w:eastAsia="zh-CN"/>
              </w:rPr>
              <w:br w:type="textWrapping"/>
            </w:r>
            <w:r>
              <w:rPr>
                <w:rFonts w:hint="eastAsia" w:ascii="宋体" w:hAnsi="宋体" w:eastAsia="宋体" w:cs="宋体"/>
                <w:i w:val="0"/>
                <w:iCs w:val="0"/>
                <w:color w:val="auto"/>
                <w:sz w:val="21"/>
                <w:szCs w:val="21"/>
                <w:highlight w:val="none"/>
                <w:lang w:val="en-US" w:eastAsia="zh-CN"/>
              </w:rPr>
              <w:t>主要功效：预防犬瘟、细小、传染性肝炎、犬副流感、钩端螺旋体、狂犬等疾病。</w:t>
            </w:r>
          </w:p>
          <w:p w14:paraId="4918B6C6">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t>须取得国家兽药批准文号、在有效期内、冷链运输。</w:t>
            </w:r>
          </w:p>
          <w:p w14:paraId="2EAF820D">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注：以上技术参数均为实质性条款。</w:t>
            </w:r>
          </w:p>
        </w:tc>
        <w:tc>
          <w:tcPr>
            <w:tcW w:w="1088" w:type="pct"/>
            <w:noWrap w:val="0"/>
            <w:vAlign w:val="center"/>
          </w:tcPr>
          <w:p w14:paraId="2891EA9B">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05E67A72">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160B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78" w:type="dxa"/>
            <w:noWrap w:val="0"/>
            <w:vAlign w:val="center"/>
          </w:tcPr>
          <w:p w14:paraId="501E13E9">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11</w:t>
            </w:r>
          </w:p>
        </w:tc>
        <w:tc>
          <w:tcPr>
            <w:tcW w:w="1361" w:type="pct"/>
            <w:noWrap w:val="0"/>
            <w:vAlign w:val="center"/>
          </w:tcPr>
          <w:p w14:paraId="65BB59B1">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犬DNA试剂盒</w:t>
            </w:r>
          </w:p>
        </w:tc>
        <w:tc>
          <w:tcPr>
            <w:tcW w:w="1768" w:type="pct"/>
            <w:noWrap w:val="0"/>
            <w:vAlign w:val="center"/>
          </w:tcPr>
          <w:p w14:paraId="0AAF3A88">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1.★可检测不少于25个DNA基因座，包含热启动Taq酶、分子量内标和Allelic Ladder等。</w:t>
            </w:r>
          </w:p>
        </w:tc>
        <w:tc>
          <w:tcPr>
            <w:tcW w:w="1088" w:type="pct"/>
            <w:noWrap w:val="0"/>
            <w:vAlign w:val="center"/>
          </w:tcPr>
          <w:p w14:paraId="0ED460E3">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79B8A0DD">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6CBB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78" w:type="dxa"/>
            <w:noWrap w:val="0"/>
            <w:vAlign w:val="center"/>
          </w:tcPr>
          <w:p w14:paraId="28CC6CF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12</w:t>
            </w:r>
          </w:p>
        </w:tc>
        <w:tc>
          <w:tcPr>
            <w:tcW w:w="1361" w:type="pct"/>
            <w:noWrap w:val="0"/>
            <w:vAlign w:val="center"/>
          </w:tcPr>
          <w:p w14:paraId="1C9AFC62">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犬DNA试剂盒</w:t>
            </w:r>
          </w:p>
        </w:tc>
        <w:tc>
          <w:tcPr>
            <w:tcW w:w="1768" w:type="pct"/>
            <w:noWrap w:val="0"/>
            <w:vAlign w:val="center"/>
          </w:tcPr>
          <w:p w14:paraId="46223A2E">
            <w:pPr>
              <w:pStyle w:val="61"/>
              <w:keepNext w:val="0"/>
              <w:keepLines w:val="0"/>
              <w:pageBreakBefore w:val="0"/>
              <w:widowControl w:val="0"/>
              <w:shd w:val="clear" w:color="auto"/>
              <w:kinsoku/>
              <w:wordWrap/>
              <w:overflowPunct/>
              <w:topLinePunct w:val="0"/>
              <w:bidi w:val="0"/>
              <w:adjustRightInd/>
              <w:snapToGrid/>
              <w:spacing w:line="360" w:lineRule="exact"/>
              <w:ind w:firstLine="0" w:firstLineChars="0"/>
              <w:textAlignment w:val="auto"/>
              <w:rPr>
                <w:rFonts w:hint="eastAsia" w:ascii="宋体" w:hAnsi="宋体" w:eastAsia="宋体" w:cs="宋体"/>
                <w:i w:val="0"/>
                <w:iCs w:val="0"/>
                <w:color w:val="auto"/>
                <w:kern w:val="0"/>
                <w:sz w:val="21"/>
                <w:szCs w:val="21"/>
                <w:highlight w:val="none"/>
                <w:lang w:val="en-US" w:eastAsia="zh-CN" w:bidi="ar-SA"/>
              </w:rPr>
            </w:pPr>
            <w:r>
              <w:rPr>
                <w:rFonts w:hint="eastAsia" w:ascii="宋体" w:hAnsi="宋体" w:eastAsia="宋体" w:cs="宋体"/>
                <w:i w:val="0"/>
                <w:iCs w:val="0"/>
                <w:color w:val="auto"/>
                <w:kern w:val="0"/>
                <w:sz w:val="21"/>
                <w:szCs w:val="21"/>
                <w:highlight w:val="none"/>
                <w:lang w:val="en-US" w:eastAsia="zh-CN" w:bidi="ar-SA"/>
              </w:rPr>
              <w:t>2.★STR数据分型的DNA基因座需包含有PEZ1、PEZ2、FH2010、PEZ5、PEZ12、FH2328、PEZ21、PEZ3、PEZ6、PEZ8、VGL3112、FH2054、VWFX、FH2611、FH2132、PEZ20、PEZ15、FH2079、PEZ17、FH3313、FH2088、FH2001、FH2017、FH2107及DAmel等。</w:t>
            </w:r>
          </w:p>
        </w:tc>
        <w:tc>
          <w:tcPr>
            <w:tcW w:w="1088" w:type="pct"/>
            <w:noWrap w:val="0"/>
            <w:vAlign w:val="center"/>
          </w:tcPr>
          <w:p w14:paraId="5A56FEBE">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135B649A">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2F3F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78" w:type="dxa"/>
            <w:noWrap w:val="0"/>
            <w:vAlign w:val="center"/>
          </w:tcPr>
          <w:p w14:paraId="3FE9665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13</w:t>
            </w:r>
          </w:p>
        </w:tc>
        <w:tc>
          <w:tcPr>
            <w:tcW w:w="1361" w:type="pct"/>
            <w:noWrap w:val="0"/>
            <w:vAlign w:val="center"/>
          </w:tcPr>
          <w:p w14:paraId="66957625">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犬DNA试剂盒</w:t>
            </w:r>
          </w:p>
        </w:tc>
        <w:tc>
          <w:tcPr>
            <w:tcW w:w="1768" w:type="pct"/>
            <w:noWrap w:val="0"/>
            <w:vAlign w:val="center"/>
          </w:tcPr>
          <w:p w14:paraId="5FCDF232">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4.★试剂盒采用六色荧光技术，检测模板无需提取或纯化，直接使用血样采集卡或口腔拭子样本进行扩增。</w:t>
            </w:r>
          </w:p>
        </w:tc>
        <w:tc>
          <w:tcPr>
            <w:tcW w:w="1088" w:type="pct"/>
            <w:noWrap w:val="0"/>
            <w:vAlign w:val="center"/>
          </w:tcPr>
          <w:p w14:paraId="56E63EAD">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3CC63F88">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44276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78" w:type="dxa"/>
            <w:noWrap w:val="0"/>
            <w:vAlign w:val="center"/>
          </w:tcPr>
          <w:p w14:paraId="39A2273B">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14</w:t>
            </w:r>
          </w:p>
        </w:tc>
        <w:tc>
          <w:tcPr>
            <w:tcW w:w="1361" w:type="pct"/>
            <w:noWrap w:val="0"/>
            <w:vAlign w:val="center"/>
          </w:tcPr>
          <w:p w14:paraId="3F809599">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犬用芯片</w:t>
            </w:r>
          </w:p>
        </w:tc>
        <w:tc>
          <w:tcPr>
            <w:tcW w:w="1768" w:type="pct"/>
            <w:noWrap w:val="0"/>
            <w:vAlign w:val="center"/>
          </w:tcPr>
          <w:p w14:paraId="6B6A3F58">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★符合ISO11784/11785标准，芯片镀膜：芯片写保护技术，全球唯一ID。</w:t>
            </w:r>
          </w:p>
          <w:p w14:paraId="7148EBE2">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注：以上技术参数均为实质性条款。</w:t>
            </w:r>
          </w:p>
        </w:tc>
        <w:tc>
          <w:tcPr>
            <w:tcW w:w="1088" w:type="pct"/>
            <w:noWrap w:val="0"/>
            <w:vAlign w:val="center"/>
          </w:tcPr>
          <w:p w14:paraId="7BEE3EE2">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5C948231">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38E1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78" w:type="dxa"/>
            <w:noWrap w:val="0"/>
            <w:vAlign w:val="center"/>
          </w:tcPr>
          <w:p w14:paraId="6E256795">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15</w:t>
            </w:r>
          </w:p>
        </w:tc>
        <w:tc>
          <w:tcPr>
            <w:tcW w:w="1361" w:type="pct"/>
            <w:shd w:val="clear" w:color="auto" w:fill="auto"/>
            <w:noWrap w:val="0"/>
            <w:vAlign w:val="center"/>
          </w:tcPr>
          <w:p w14:paraId="5982B57A">
            <w:pPr>
              <w:pStyle w:val="44"/>
              <w:shd w:val="clea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其他要求</w:t>
            </w:r>
          </w:p>
        </w:tc>
        <w:tc>
          <w:tcPr>
            <w:tcW w:w="1768" w:type="pct"/>
            <w:noWrap w:val="0"/>
            <w:vAlign w:val="center"/>
          </w:tcPr>
          <w:p w14:paraId="70F27D87">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kern w:val="2"/>
                <w:sz w:val="21"/>
                <w:szCs w:val="21"/>
                <w:highlight w:val="none"/>
                <w:lang w:val="en-US" w:eastAsia="zh-CN" w:bidi="ar-SA"/>
              </w:rPr>
              <w:t>★2.供应商需须提供本次采购每一项货物的相关检测报告或正规进货渠道证明（如：犬粮、肉类、疫苗、药品、训练物品、犬用芯片等），如有一项不提供，代表此项参数不响应谈判文件要求，在投标响应时不得照搬照抄采购文件参数，否则视为不响应，将作无效投标处理。</w:t>
            </w:r>
          </w:p>
        </w:tc>
        <w:tc>
          <w:tcPr>
            <w:tcW w:w="1088" w:type="pct"/>
            <w:noWrap w:val="0"/>
            <w:vAlign w:val="center"/>
          </w:tcPr>
          <w:p w14:paraId="479DF9B1">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4938D177">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2021A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78" w:type="dxa"/>
            <w:noWrap w:val="0"/>
            <w:vAlign w:val="center"/>
          </w:tcPr>
          <w:p w14:paraId="5058964E">
            <w:pPr>
              <w:keepNext w:val="0"/>
              <w:keepLines w:val="0"/>
              <w:widowControl/>
              <w:suppressLineNumbers w:val="0"/>
              <w:shd w:val="clear"/>
              <w:jc w:val="center"/>
              <w:textAlignment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16</w:t>
            </w:r>
          </w:p>
        </w:tc>
        <w:tc>
          <w:tcPr>
            <w:tcW w:w="1361" w:type="pct"/>
            <w:shd w:val="clear" w:color="auto" w:fill="auto"/>
            <w:noWrap w:val="0"/>
            <w:vAlign w:val="center"/>
          </w:tcPr>
          <w:p w14:paraId="32998E24">
            <w:pPr>
              <w:pStyle w:val="44"/>
              <w:shd w:val="clea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其他要求</w:t>
            </w:r>
          </w:p>
        </w:tc>
        <w:tc>
          <w:tcPr>
            <w:tcW w:w="1768" w:type="pct"/>
            <w:noWrap w:val="0"/>
            <w:vAlign w:val="center"/>
          </w:tcPr>
          <w:p w14:paraId="5E0604E5">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★3.紧急情况：供应商必须在 24 小时内满足采购人的需求，在采购人外出（出乌鲁木齐）执行大型勤务任务时（如：全国大型安保活动、重特大案件选调、大型活动的警犬安全保卫、全国或地区性的训练比赛、离乌鲁木齐地区性警犬训练活动等。）供应商必须提供完善的后勤保障服务（包括但不限于：警务人员及警犬外出所需犬笼、外出时须将犬粮等耗材送至采购人指定地点、外出时所需的其他相关物资），供应商自行提供承诺，未提供或承诺内容不符合上述要求，视为响应无效。</w:t>
            </w:r>
          </w:p>
        </w:tc>
        <w:tc>
          <w:tcPr>
            <w:tcW w:w="1088" w:type="pct"/>
            <w:noWrap w:val="0"/>
            <w:vAlign w:val="center"/>
          </w:tcPr>
          <w:p w14:paraId="6BB07856">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3B06B257">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2894C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78" w:type="dxa"/>
            <w:noWrap w:val="0"/>
            <w:vAlign w:val="center"/>
          </w:tcPr>
          <w:p w14:paraId="2348158A">
            <w:pPr>
              <w:keepNext w:val="0"/>
              <w:keepLines w:val="0"/>
              <w:widowControl/>
              <w:suppressLineNumbers w:val="0"/>
              <w:shd w:val="clear"/>
              <w:jc w:val="center"/>
              <w:textAlignment w:val="center"/>
              <w:rPr>
                <w:rFonts w:hint="eastAsia" w:ascii="宋体" w:hAnsi="宋体" w:eastAsia="宋体" w:cs="宋体"/>
                <w:i w:val="0"/>
                <w:iCs w:val="0"/>
                <w:color w:val="000000"/>
                <w:kern w:val="0"/>
                <w:sz w:val="21"/>
                <w:szCs w:val="21"/>
                <w:highlight w:val="none"/>
                <w:u w:val="none"/>
                <w:lang w:val="en-US" w:eastAsia="zh-CN" w:bidi="ar"/>
              </w:rPr>
            </w:pPr>
            <w:r>
              <w:rPr>
                <w:rFonts w:hint="eastAsia" w:ascii="宋体" w:hAnsi="宋体" w:eastAsia="宋体" w:cs="宋体"/>
                <w:i w:val="0"/>
                <w:iCs w:val="0"/>
                <w:color w:val="000000"/>
                <w:kern w:val="0"/>
                <w:sz w:val="21"/>
                <w:szCs w:val="21"/>
                <w:highlight w:val="none"/>
                <w:u w:val="none"/>
                <w:lang w:val="en-US" w:eastAsia="zh-CN" w:bidi="ar"/>
              </w:rPr>
              <w:t>17</w:t>
            </w:r>
          </w:p>
        </w:tc>
        <w:tc>
          <w:tcPr>
            <w:tcW w:w="1361" w:type="pct"/>
            <w:shd w:val="clear" w:color="auto" w:fill="auto"/>
            <w:noWrap w:val="0"/>
            <w:vAlign w:val="center"/>
          </w:tcPr>
          <w:p w14:paraId="22767417">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★四、样品要求：</w:t>
            </w:r>
          </w:p>
          <w:p w14:paraId="2DC7820F">
            <w:pPr>
              <w:pStyle w:val="44"/>
              <w:shd w:val="clear"/>
              <w:rPr>
                <w:rFonts w:hint="eastAsia" w:ascii="宋体" w:hAnsi="宋体" w:eastAsia="宋体" w:cs="宋体"/>
                <w:i w:val="0"/>
                <w:iCs w:val="0"/>
                <w:color w:val="auto"/>
                <w:kern w:val="2"/>
                <w:sz w:val="21"/>
                <w:szCs w:val="21"/>
                <w:highlight w:val="none"/>
                <w:lang w:val="en-US" w:eastAsia="zh-CN" w:bidi="ar-SA"/>
              </w:rPr>
            </w:pPr>
          </w:p>
        </w:tc>
        <w:tc>
          <w:tcPr>
            <w:tcW w:w="1768" w:type="pct"/>
            <w:noWrap w:val="0"/>
            <w:vAlign w:val="center"/>
          </w:tcPr>
          <w:p w14:paraId="4594D8AE">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 xml:space="preserve">1.样品名称及数量：种犬粮、成犬粮、幼犬粮各1Kg </w:t>
            </w:r>
          </w:p>
          <w:p w14:paraId="5ACCD96A">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 xml:space="preserve">2.样品提供要求 </w:t>
            </w:r>
          </w:p>
          <w:p w14:paraId="7AD96E31">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2.1 供应商所递交的样品应与响应文件中所投产品一致，如不一致视为不响应谈判文件，其响应将被否决。</w:t>
            </w:r>
          </w:p>
          <w:p w14:paraId="327269F7">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2.2 所递交的样品外观正常，颜色均匀，不得出现霉变、结块、异物。</w:t>
            </w:r>
          </w:p>
          <w:p w14:paraId="567A4A19">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2.3 所递交的样品应有饲料原料固有气味，无酸败、腐臭、霉变等异味。</w:t>
            </w:r>
          </w:p>
        </w:tc>
        <w:tc>
          <w:tcPr>
            <w:tcW w:w="1088" w:type="pct"/>
            <w:noWrap w:val="0"/>
            <w:vAlign w:val="center"/>
          </w:tcPr>
          <w:p w14:paraId="7B210CC8">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7" w:type="pct"/>
            <w:noWrap w:val="0"/>
            <w:vAlign w:val="center"/>
          </w:tcPr>
          <w:p w14:paraId="7A499DC7">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bl>
    <w:p w14:paraId="4E3EBD01">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5DFE4AA9">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7BE5F824">
      <w:pPr>
        <w:shd w:val="clear"/>
        <w:rPr>
          <w:rFonts w:hint="eastAsia" w:ascii="宋体" w:hAnsi="宋体" w:eastAsia="宋体" w:cs="宋体"/>
          <w:b/>
          <w:bCs/>
          <w:color w:val="auto"/>
          <w:kern w:val="2"/>
          <w:sz w:val="24"/>
          <w:szCs w:val="24"/>
          <w:highlight w:val="none"/>
          <w:lang w:val="en-US" w:eastAsia="zh-CN" w:bidi="ar-SA"/>
        </w:rPr>
      </w:pPr>
      <w:bookmarkStart w:id="509" w:name="_Toc7219"/>
      <w:r>
        <w:rPr>
          <w:rFonts w:hint="eastAsia" w:ascii="宋体" w:hAnsi="宋体" w:eastAsia="宋体" w:cs="宋体"/>
          <w:b/>
          <w:bCs/>
          <w:color w:val="auto"/>
          <w:kern w:val="2"/>
          <w:sz w:val="24"/>
          <w:szCs w:val="24"/>
          <w:highlight w:val="none"/>
          <w:lang w:val="en-US" w:eastAsia="zh-CN" w:bidi="ar-SA"/>
        </w:rPr>
        <w:br w:type="page"/>
      </w:r>
    </w:p>
    <w:p w14:paraId="3D420025">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480" w:lineRule="exact"/>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en-US" w:eastAsia="zh-CN" w:bidi="ar-SA"/>
        </w:rPr>
        <w:t>（三）</w:t>
      </w:r>
      <w:r>
        <w:rPr>
          <w:rFonts w:hint="eastAsia" w:cs="宋体"/>
          <w:b/>
          <w:bCs/>
          <w:color w:val="auto"/>
          <w:kern w:val="2"/>
          <w:sz w:val="24"/>
          <w:szCs w:val="24"/>
          <w:highlight w:val="none"/>
          <w:lang w:val="en-US" w:eastAsia="zh-CN" w:bidi="ar-SA"/>
        </w:rPr>
        <w:t>商务技术</w:t>
      </w:r>
      <w:r>
        <w:rPr>
          <w:rFonts w:hint="eastAsia" w:ascii="宋体" w:hAnsi="宋体" w:eastAsia="宋体" w:cs="宋体"/>
          <w:b/>
          <w:bCs/>
          <w:color w:val="auto"/>
          <w:kern w:val="2"/>
          <w:sz w:val="24"/>
          <w:szCs w:val="24"/>
          <w:highlight w:val="none"/>
          <w:lang w:val="zh-CN" w:eastAsia="zh-CN" w:bidi="ar-SA"/>
        </w:rPr>
        <w:t>评</w:t>
      </w:r>
      <w:r>
        <w:rPr>
          <w:rFonts w:hint="eastAsia" w:cs="宋体"/>
          <w:b/>
          <w:bCs/>
          <w:color w:val="auto"/>
          <w:kern w:val="2"/>
          <w:sz w:val="24"/>
          <w:szCs w:val="24"/>
          <w:highlight w:val="none"/>
          <w:lang w:val="en-US" w:eastAsia="zh-CN" w:bidi="ar-SA"/>
        </w:rPr>
        <w:t>审</w:t>
      </w:r>
      <w:bookmarkEnd w:id="507"/>
      <w:bookmarkEnd w:id="509"/>
    </w:p>
    <w:p w14:paraId="756FB9B3">
      <w:pPr>
        <w:keepNext w:val="0"/>
        <w:keepLines w:val="0"/>
        <w:pageBreakBefore w:val="0"/>
        <w:widowControl w:val="0"/>
        <w:shd w:val="clear"/>
        <w:kinsoku/>
        <w:wordWrap/>
        <w:overflowPunct/>
        <w:topLinePunct w:val="0"/>
        <w:autoSpaceDE/>
        <w:autoSpaceDN/>
        <w:bidi w:val="0"/>
        <w:adjustRightInd/>
        <w:snapToGrid/>
        <w:spacing w:line="440" w:lineRule="exact"/>
        <w:ind w:firstLine="420" w:firstLineChars="200"/>
        <w:textAlignment w:val="auto"/>
        <w:rPr>
          <w:rFonts w:hint="eastAsia"/>
          <w:color w:val="auto"/>
          <w:sz w:val="21"/>
          <w:szCs w:val="21"/>
          <w:highlight w:val="none"/>
          <w:lang w:val="en-US" w:eastAsia="zh-CN"/>
        </w:rPr>
      </w:pPr>
      <w:r>
        <w:rPr>
          <w:rFonts w:hint="eastAsia"/>
          <w:color w:val="auto"/>
          <w:sz w:val="21"/>
          <w:szCs w:val="21"/>
          <w:highlight w:val="none"/>
          <w:lang w:val="en-US" w:eastAsia="zh-CN"/>
        </w:rPr>
        <w:t>谈判小组根据本章的评审标准以及谈判文件实质性变动的内容，按谈判文件要求对修正后的响应文件进行商务技术评审，未实质性响应谈判文件要求的响应文件按无效响应处理。</w:t>
      </w:r>
    </w:p>
    <w:p w14:paraId="06EEC6BD">
      <w:pPr>
        <w:shd w:val="clear"/>
        <w:jc w:val="center"/>
        <w:rPr>
          <w:rFonts w:hint="default"/>
          <w:color w:val="auto"/>
          <w:sz w:val="21"/>
          <w:szCs w:val="21"/>
          <w:highlight w:val="none"/>
          <w:lang w:val="en-US" w:eastAsia="zh-CN"/>
        </w:rPr>
      </w:pPr>
      <w:r>
        <w:rPr>
          <w:rFonts w:hint="eastAsia"/>
          <w:color w:val="auto"/>
          <w:sz w:val="21"/>
          <w:szCs w:val="21"/>
          <w:highlight w:val="none"/>
          <w:lang w:val="en-US" w:eastAsia="zh-CN"/>
        </w:rPr>
        <w:t>【注：以下评审分项根据项目实际情况可自行设置或选用。】</w:t>
      </w:r>
    </w:p>
    <w:tbl>
      <w:tblPr>
        <w:tblStyle w:val="27"/>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9"/>
        <w:gridCol w:w="1593"/>
        <w:gridCol w:w="3415"/>
        <w:gridCol w:w="1358"/>
        <w:gridCol w:w="1361"/>
      </w:tblGrid>
      <w:tr w14:paraId="517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458" w:type="pct"/>
            <w:vMerge w:val="restart"/>
            <w:shd w:val="clear" w:color="auto" w:fill="auto"/>
            <w:vAlign w:val="center"/>
          </w:tcPr>
          <w:p w14:paraId="4924CA4E">
            <w:pPr>
              <w:pStyle w:val="44"/>
              <w:shd w:val="clea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w:t>
            </w:r>
            <w:r>
              <w:rPr>
                <w:rFonts w:hint="eastAsia" w:cs="宋体"/>
                <w:b/>
                <w:bCs/>
                <w:color w:val="auto"/>
                <w:sz w:val="21"/>
                <w:szCs w:val="21"/>
                <w:highlight w:val="none"/>
                <w:lang w:val="en-US" w:eastAsia="zh-CN"/>
              </w:rPr>
              <w:t>审</w:t>
            </w:r>
            <w:r>
              <w:rPr>
                <w:rFonts w:hint="eastAsia" w:ascii="宋体" w:hAnsi="宋体" w:eastAsia="宋体" w:cs="宋体"/>
                <w:b/>
                <w:bCs/>
                <w:color w:val="auto"/>
                <w:sz w:val="21"/>
                <w:szCs w:val="21"/>
                <w:highlight w:val="none"/>
              </w:rPr>
              <w:t>项目</w:t>
            </w:r>
          </w:p>
        </w:tc>
        <w:tc>
          <w:tcPr>
            <w:tcW w:w="936" w:type="pct"/>
            <w:vMerge w:val="restart"/>
            <w:shd w:val="clear" w:color="auto" w:fill="auto"/>
            <w:vAlign w:val="center"/>
          </w:tcPr>
          <w:p w14:paraId="7A3DCB70">
            <w:pPr>
              <w:pStyle w:val="44"/>
              <w:shd w:val="clear"/>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w:t>
            </w:r>
            <w:r>
              <w:rPr>
                <w:rFonts w:hint="eastAsia" w:cs="宋体"/>
                <w:b/>
                <w:bCs/>
                <w:color w:val="auto"/>
                <w:sz w:val="21"/>
                <w:szCs w:val="21"/>
                <w:highlight w:val="none"/>
                <w:lang w:val="en-US" w:eastAsia="zh-CN"/>
              </w:rPr>
              <w:t>审</w:t>
            </w:r>
            <w:r>
              <w:rPr>
                <w:rFonts w:hint="eastAsia" w:ascii="宋体" w:hAnsi="宋体" w:eastAsia="宋体" w:cs="宋体"/>
                <w:b/>
                <w:bCs/>
                <w:color w:val="auto"/>
                <w:sz w:val="21"/>
                <w:szCs w:val="21"/>
                <w:highlight w:val="none"/>
              </w:rPr>
              <w:t>分项</w:t>
            </w:r>
          </w:p>
        </w:tc>
        <w:tc>
          <w:tcPr>
            <w:tcW w:w="2007" w:type="pct"/>
            <w:vMerge w:val="restart"/>
            <w:shd w:val="clear" w:color="auto" w:fill="auto"/>
            <w:vAlign w:val="center"/>
          </w:tcPr>
          <w:p w14:paraId="65B86E0D">
            <w:pPr>
              <w:pStyle w:val="44"/>
              <w:shd w:val="clear"/>
              <w:jc w:val="center"/>
              <w:rPr>
                <w:rFonts w:hint="default" w:ascii="宋体" w:hAnsi="宋体" w:eastAsia="宋体" w:cs="宋体"/>
                <w:b/>
                <w:bCs/>
                <w:color w:val="auto"/>
                <w:sz w:val="21"/>
                <w:szCs w:val="21"/>
                <w:highlight w:val="none"/>
                <w:lang w:val="en-US" w:eastAsia="zh-CN"/>
              </w:rPr>
            </w:pPr>
            <w:r>
              <w:rPr>
                <w:rFonts w:hint="eastAsia" w:cs="宋体"/>
                <w:b/>
                <w:bCs/>
                <w:color w:val="auto"/>
                <w:sz w:val="21"/>
                <w:szCs w:val="21"/>
                <w:highlight w:val="none"/>
                <w:lang w:val="en-US" w:eastAsia="zh-CN"/>
              </w:rPr>
              <w:t>评审标准及要求</w:t>
            </w:r>
          </w:p>
        </w:tc>
        <w:tc>
          <w:tcPr>
            <w:tcW w:w="1598" w:type="pct"/>
            <w:gridSpan w:val="2"/>
            <w:shd w:val="clear" w:color="auto" w:fill="auto"/>
            <w:vAlign w:val="center"/>
          </w:tcPr>
          <w:p w14:paraId="467A385D">
            <w:pPr>
              <w:pStyle w:val="44"/>
              <w:shd w:val="clear"/>
              <w:jc w:val="center"/>
              <w:rPr>
                <w:rFonts w:hint="default" w:ascii="宋体" w:hAnsi="宋体" w:eastAsia="宋体" w:cs="宋体"/>
                <w:b/>
                <w:bCs/>
                <w:color w:val="auto"/>
                <w:sz w:val="21"/>
                <w:szCs w:val="21"/>
                <w:highlight w:val="none"/>
                <w:lang w:val="en-US" w:eastAsia="zh-CN"/>
              </w:rPr>
            </w:pPr>
            <w:r>
              <w:rPr>
                <w:rFonts w:hint="eastAsia" w:cs="宋体"/>
                <w:b/>
                <w:bCs/>
                <w:color w:val="auto"/>
                <w:sz w:val="21"/>
                <w:szCs w:val="21"/>
                <w:highlight w:val="none"/>
                <w:lang w:val="en-US" w:eastAsia="zh-CN"/>
              </w:rPr>
              <w:t>是否符合</w:t>
            </w:r>
          </w:p>
        </w:tc>
      </w:tr>
      <w:tr w14:paraId="6616B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blHeader/>
          <w:jc w:val="center"/>
        </w:trPr>
        <w:tc>
          <w:tcPr>
            <w:tcW w:w="458" w:type="pct"/>
            <w:vMerge w:val="continue"/>
            <w:shd w:val="clear" w:color="auto" w:fill="auto"/>
            <w:vAlign w:val="center"/>
          </w:tcPr>
          <w:p w14:paraId="76B3497F">
            <w:pPr>
              <w:pStyle w:val="44"/>
              <w:shd w:val="clear"/>
              <w:jc w:val="center"/>
              <w:rPr>
                <w:rFonts w:hint="eastAsia" w:ascii="宋体" w:hAnsi="宋体" w:eastAsia="宋体" w:cs="宋体"/>
                <w:b/>
                <w:bCs/>
                <w:color w:val="auto"/>
                <w:sz w:val="21"/>
                <w:szCs w:val="21"/>
                <w:highlight w:val="none"/>
              </w:rPr>
            </w:pPr>
          </w:p>
        </w:tc>
        <w:tc>
          <w:tcPr>
            <w:tcW w:w="936" w:type="pct"/>
            <w:vMerge w:val="continue"/>
            <w:shd w:val="clear" w:color="auto" w:fill="auto"/>
            <w:vAlign w:val="center"/>
          </w:tcPr>
          <w:p w14:paraId="1505C6F8">
            <w:pPr>
              <w:pStyle w:val="44"/>
              <w:shd w:val="clear"/>
              <w:jc w:val="center"/>
              <w:rPr>
                <w:rFonts w:hint="eastAsia" w:ascii="宋体" w:hAnsi="宋体" w:eastAsia="宋体" w:cs="宋体"/>
                <w:b/>
                <w:bCs/>
                <w:color w:val="auto"/>
                <w:sz w:val="21"/>
                <w:szCs w:val="21"/>
                <w:highlight w:val="none"/>
              </w:rPr>
            </w:pPr>
          </w:p>
        </w:tc>
        <w:tc>
          <w:tcPr>
            <w:tcW w:w="2007" w:type="pct"/>
            <w:vMerge w:val="continue"/>
            <w:shd w:val="clear" w:color="auto" w:fill="auto"/>
            <w:vAlign w:val="center"/>
          </w:tcPr>
          <w:p w14:paraId="1B61E1E4">
            <w:pPr>
              <w:pStyle w:val="44"/>
              <w:shd w:val="clear"/>
              <w:jc w:val="center"/>
              <w:rPr>
                <w:rFonts w:hint="eastAsia" w:cs="宋体"/>
                <w:b/>
                <w:bCs/>
                <w:color w:val="auto"/>
                <w:sz w:val="21"/>
                <w:szCs w:val="21"/>
                <w:highlight w:val="none"/>
                <w:lang w:val="en-US" w:eastAsia="zh-CN"/>
              </w:rPr>
            </w:pPr>
          </w:p>
        </w:tc>
        <w:tc>
          <w:tcPr>
            <w:tcW w:w="798" w:type="pct"/>
            <w:shd w:val="clear" w:color="auto" w:fill="auto"/>
            <w:vAlign w:val="center"/>
          </w:tcPr>
          <w:p w14:paraId="3AE7A0AC">
            <w:pPr>
              <w:pStyle w:val="44"/>
              <w:shd w:val="clear"/>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符合</w:t>
            </w:r>
          </w:p>
        </w:tc>
        <w:tc>
          <w:tcPr>
            <w:tcW w:w="800" w:type="pct"/>
            <w:shd w:val="clear" w:color="auto" w:fill="auto"/>
            <w:vAlign w:val="center"/>
          </w:tcPr>
          <w:p w14:paraId="02B8954C">
            <w:pPr>
              <w:pStyle w:val="44"/>
              <w:shd w:val="clear"/>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不符合</w:t>
            </w:r>
          </w:p>
        </w:tc>
      </w:tr>
      <w:tr w14:paraId="1CB1E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458" w:type="pct"/>
            <w:vAlign w:val="center"/>
          </w:tcPr>
          <w:p w14:paraId="6C0619A6">
            <w:pPr>
              <w:pStyle w:val="44"/>
              <w:shd w:val="clea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商务</w:t>
            </w:r>
            <w:r>
              <w:rPr>
                <w:rFonts w:hint="eastAsia" w:cs="宋体"/>
                <w:color w:val="auto"/>
                <w:sz w:val="21"/>
                <w:szCs w:val="21"/>
                <w:highlight w:val="none"/>
                <w:lang w:val="en-US" w:eastAsia="zh-CN"/>
              </w:rPr>
              <w:t>评审</w:t>
            </w:r>
          </w:p>
        </w:tc>
        <w:tc>
          <w:tcPr>
            <w:tcW w:w="936" w:type="pct"/>
            <w:tcBorders>
              <w:top w:val="single" w:color="auto" w:sz="4" w:space="0"/>
            </w:tcBorders>
            <w:vAlign w:val="center"/>
          </w:tcPr>
          <w:p w14:paraId="7B47B92D">
            <w:pPr>
              <w:pStyle w:val="44"/>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质保期</w:t>
            </w:r>
          </w:p>
        </w:tc>
        <w:tc>
          <w:tcPr>
            <w:tcW w:w="2007" w:type="pct"/>
            <w:vAlign w:val="center"/>
          </w:tcPr>
          <w:p w14:paraId="4E7EA155">
            <w:pPr>
              <w:pStyle w:val="44"/>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自合同签订之日起一年</w:t>
            </w:r>
          </w:p>
        </w:tc>
        <w:tc>
          <w:tcPr>
            <w:tcW w:w="798" w:type="pct"/>
            <w:vAlign w:val="center"/>
          </w:tcPr>
          <w:p w14:paraId="00872C1F">
            <w:pPr>
              <w:pStyle w:val="44"/>
              <w:numPr>
                <w:ilvl w:val="0"/>
                <w:numId w:val="0"/>
              </w:numPr>
              <w:shd w:val="clear"/>
              <w:rPr>
                <w:rFonts w:hint="eastAsia" w:ascii="宋体" w:hAnsi="宋体" w:eastAsia="宋体" w:cs="宋体"/>
                <w:color w:val="auto"/>
                <w:sz w:val="21"/>
                <w:szCs w:val="21"/>
                <w:highlight w:val="none"/>
                <w:lang w:val="en-US" w:eastAsia="zh-CN"/>
              </w:rPr>
            </w:pPr>
          </w:p>
        </w:tc>
        <w:tc>
          <w:tcPr>
            <w:tcW w:w="800" w:type="pct"/>
            <w:vAlign w:val="center"/>
          </w:tcPr>
          <w:p w14:paraId="4382E864">
            <w:pPr>
              <w:pStyle w:val="44"/>
              <w:numPr>
                <w:ilvl w:val="0"/>
                <w:numId w:val="0"/>
              </w:numPr>
              <w:shd w:val="clear"/>
              <w:rPr>
                <w:rFonts w:hint="eastAsia" w:ascii="宋体" w:hAnsi="宋体" w:eastAsia="宋体" w:cs="宋体"/>
                <w:color w:val="auto"/>
                <w:sz w:val="21"/>
                <w:szCs w:val="21"/>
                <w:highlight w:val="none"/>
                <w:lang w:val="en-US" w:eastAsia="zh-CN"/>
              </w:rPr>
            </w:pPr>
          </w:p>
        </w:tc>
      </w:tr>
      <w:tr w14:paraId="51A03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58" w:type="pct"/>
            <w:vMerge w:val="restart"/>
            <w:vAlign w:val="center"/>
          </w:tcPr>
          <w:p w14:paraId="3C5A6CF4">
            <w:pPr>
              <w:pStyle w:val="44"/>
              <w:shd w:val="clear"/>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技术</w:t>
            </w:r>
            <w:r>
              <w:rPr>
                <w:rFonts w:hint="eastAsia" w:cs="宋体"/>
                <w:color w:val="auto"/>
                <w:sz w:val="21"/>
                <w:szCs w:val="21"/>
                <w:highlight w:val="none"/>
                <w:lang w:val="en-US" w:eastAsia="zh-CN"/>
              </w:rPr>
              <w:t>评审</w:t>
            </w:r>
          </w:p>
        </w:tc>
        <w:tc>
          <w:tcPr>
            <w:tcW w:w="936" w:type="pct"/>
            <w:tcBorders>
              <w:top w:val="single" w:color="auto" w:sz="4" w:space="0"/>
            </w:tcBorders>
            <w:vAlign w:val="center"/>
          </w:tcPr>
          <w:p w14:paraId="1ECFDBB7">
            <w:pPr>
              <w:pStyle w:val="44"/>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技术指标响应</w:t>
            </w:r>
          </w:p>
        </w:tc>
        <w:tc>
          <w:tcPr>
            <w:tcW w:w="2007" w:type="pct"/>
            <w:vAlign w:val="center"/>
          </w:tcPr>
          <w:p w14:paraId="35C961A9">
            <w:pPr>
              <w:pStyle w:val="44"/>
              <w:shd w:val="clear"/>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供应商提供的产品参数、数量等满足谈判文件</w:t>
            </w:r>
            <w:r>
              <w:rPr>
                <w:rFonts w:hint="eastAsia" w:cs="宋体"/>
                <w:color w:val="auto"/>
                <w:sz w:val="21"/>
                <w:szCs w:val="21"/>
                <w:highlight w:val="none"/>
                <w:lang w:val="en-US" w:eastAsia="zh-CN"/>
              </w:rPr>
              <w:t>实质性条款</w:t>
            </w:r>
            <w:r>
              <w:rPr>
                <w:rFonts w:hint="default" w:ascii="宋体" w:hAnsi="宋体" w:eastAsia="宋体" w:cs="宋体"/>
                <w:color w:val="auto"/>
                <w:sz w:val="21"/>
                <w:szCs w:val="21"/>
                <w:highlight w:val="none"/>
                <w:lang w:val="en-US" w:eastAsia="zh-CN"/>
              </w:rPr>
              <w:t>要求</w:t>
            </w:r>
          </w:p>
        </w:tc>
        <w:tc>
          <w:tcPr>
            <w:tcW w:w="798" w:type="pct"/>
            <w:vAlign w:val="center"/>
          </w:tcPr>
          <w:p w14:paraId="5050357A">
            <w:pPr>
              <w:pStyle w:val="44"/>
              <w:shd w:val="clear"/>
              <w:rPr>
                <w:rFonts w:hint="eastAsia" w:ascii="宋体" w:hAnsi="宋体" w:eastAsia="宋体" w:cs="宋体"/>
                <w:color w:val="auto"/>
                <w:sz w:val="21"/>
                <w:szCs w:val="21"/>
                <w:highlight w:val="none"/>
              </w:rPr>
            </w:pPr>
          </w:p>
        </w:tc>
        <w:tc>
          <w:tcPr>
            <w:tcW w:w="800" w:type="pct"/>
            <w:vAlign w:val="center"/>
          </w:tcPr>
          <w:p w14:paraId="1BEE6E54">
            <w:pPr>
              <w:pStyle w:val="44"/>
              <w:shd w:val="clear"/>
              <w:rPr>
                <w:rFonts w:hint="eastAsia" w:ascii="宋体" w:hAnsi="宋体" w:eastAsia="宋体" w:cs="宋体"/>
                <w:color w:val="auto"/>
                <w:sz w:val="21"/>
                <w:szCs w:val="21"/>
                <w:highlight w:val="none"/>
              </w:rPr>
            </w:pPr>
          </w:p>
        </w:tc>
      </w:tr>
      <w:tr w14:paraId="25E7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58" w:type="pct"/>
            <w:vMerge w:val="continue"/>
            <w:vAlign w:val="center"/>
          </w:tcPr>
          <w:p w14:paraId="62F7D0DC">
            <w:pPr>
              <w:pStyle w:val="44"/>
              <w:shd w:val="clear"/>
              <w:jc w:val="center"/>
              <w:rPr>
                <w:rFonts w:hint="eastAsia" w:ascii="宋体" w:hAnsi="宋体" w:eastAsia="宋体" w:cs="宋体"/>
                <w:color w:val="auto"/>
                <w:sz w:val="21"/>
                <w:szCs w:val="21"/>
                <w:highlight w:val="none"/>
              </w:rPr>
            </w:pPr>
          </w:p>
        </w:tc>
        <w:tc>
          <w:tcPr>
            <w:tcW w:w="936" w:type="pct"/>
            <w:tcBorders>
              <w:top w:val="single" w:color="auto" w:sz="4" w:space="0"/>
            </w:tcBorders>
            <w:vAlign w:val="center"/>
          </w:tcPr>
          <w:p w14:paraId="6EC421A7">
            <w:pPr>
              <w:pStyle w:val="44"/>
              <w:shd w:val="clear"/>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样品</w:t>
            </w:r>
          </w:p>
        </w:tc>
        <w:tc>
          <w:tcPr>
            <w:tcW w:w="2007" w:type="pct"/>
            <w:vAlign w:val="center"/>
          </w:tcPr>
          <w:p w14:paraId="4BE4F466">
            <w:pPr>
              <w:pStyle w:val="44"/>
              <w:shd w:val="clear"/>
              <w:jc w:val="center"/>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供应商</w:t>
            </w:r>
            <w:r>
              <w:rPr>
                <w:rFonts w:hint="eastAsia" w:cs="宋体"/>
                <w:color w:val="auto"/>
                <w:sz w:val="21"/>
                <w:szCs w:val="21"/>
                <w:highlight w:val="none"/>
                <w:lang w:val="en-US" w:eastAsia="zh-CN"/>
              </w:rPr>
              <w:t>是否提供样品、所提供样品是否符合采购文件中的样品要求。</w:t>
            </w:r>
          </w:p>
        </w:tc>
        <w:tc>
          <w:tcPr>
            <w:tcW w:w="798" w:type="pct"/>
            <w:vAlign w:val="center"/>
          </w:tcPr>
          <w:p w14:paraId="1719E8B8">
            <w:pPr>
              <w:pStyle w:val="44"/>
              <w:shd w:val="clear"/>
              <w:rPr>
                <w:rFonts w:hint="eastAsia" w:ascii="宋体" w:hAnsi="宋体" w:eastAsia="宋体" w:cs="宋体"/>
                <w:color w:val="auto"/>
                <w:sz w:val="21"/>
                <w:szCs w:val="21"/>
                <w:highlight w:val="none"/>
              </w:rPr>
            </w:pPr>
          </w:p>
        </w:tc>
        <w:tc>
          <w:tcPr>
            <w:tcW w:w="800" w:type="pct"/>
            <w:vAlign w:val="center"/>
          </w:tcPr>
          <w:p w14:paraId="2DA640B0">
            <w:pPr>
              <w:pStyle w:val="44"/>
              <w:shd w:val="clear"/>
              <w:rPr>
                <w:rFonts w:hint="eastAsia" w:ascii="宋体" w:hAnsi="宋体" w:eastAsia="宋体" w:cs="宋体"/>
                <w:color w:val="auto"/>
                <w:sz w:val="21"/>
                <w:szCs w:val="21"/>
                <w:highlight w:val="none"/>
              </w:rPr>
            </w:pPr>
          </w:p>
        </w:tc>
      </w:tr>
      <w:tr w14:paraId="5AAF6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458" w:type="pct"/>
            <w:vMerge w:val="continue"/>
            <w:vAlign w:val="center"/>
          </w:tcPr>
          <w:p w14:paraId="56F56FD4">
            <w:pPr>
              <w:pStyle w:val="44"/>
              <w:shd w:val="clear"/>
              <w:jc w:val="center"/>
              <w:rPr>
                <w:rFonts w:hint="eastAsia" w:ascii="宋体" w:hAnsi="宋体" w:eastAsia="宋体" w:cs="宋体"/>
                <w:color w:val="auto"/>
                <w:sz w:val="21"/>
                <w:szCs w:val="21"/>
                <w:highlight w:val="none"/>
              </w:rPr>
            </w:pPr>
          </w:p>
        </w:tc>
        <w:tc>
          <w:tcPr>
            <w:tcW w:w="936" w:type="pct"/>
            <w:vAlign w:val="center"/>
          </w:tcPr>
          <w:p w14:paraId="733B408C">
            <w:pPr>
              <w:pStyle w:val="44"/>
              <w:shd w:val="clear"/>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创新、节能、环境标志产品</w:t>
            </w:r>
          </w:p>
        </w:tc>
        <w:tc>
          <w:tcPr>
            <w:tcW w:w="2007" w:type="pct"/>
            <w:vAlign w:val="center"/>
          </w:tcPr>
          <w:p w14:paraId="4B3A3686">
            <w:pPr>
              <w:pStyle w:val="44"/>
              <w:shd w:val="clea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所响应产品纳入创新产品应用示范推荐目录内企业、所响应产品获得节能产品或环境标志产品认证证书的供应商给予 1% 评审优惠。</w:t>
            </w:r>
          </w:p>
        </w:tc>
        <w:tc>
          <w:tcPr>
            <w:tcW w:w="798" w:type="pct"/>
            <w:vAlign w:val="center"/>
          </w:tcPr>
          <w:p w14:paraId="5D5BAFC6">
            <w:pPr>
              <w:pStyle w:val="44"/>
              <w:shd w:val="clear"/>
              <w:rPr>
                <w:rFonts w:hint="eastAsia" w:ascii="宋体" w:hAnsi="宋体" w:eastAsia="宋体" w:cs="宋体"/>
                <w:color w:val="auto"/>
                <w:sz w:val="21"/>
                <w:szCs w:val="21"/>
                <w:highlight w:val="none"/>
                <w:lang w:val="en-US" w:eastAsia="zh-CN"/>
              </w:rPr>
            </w:pPr>
          </w:p>
        </w:tc>
        <w:tc>
          <w:tcPr>
            <w:tcW w:w="800" w:type="pct"/>
            <w:vAlign w:val="center"/>
          </w:tcPr>
          <w:p w14:paraId="214C9964">
            <w:pPr>
              <w:pStyle w:val="44"/>
              <w:shd w:val="clear"/>
              <w:rPr>
                <w:rFonts w:hint="eastAsia" w:ascii="宋体" w:hAnsi="宋体" w:eastAsia="宋体" w:cs="宋体"/>
                <w:color w:val="auto"/>
                <w:sz w:val="21"/>
                <w:szCs w:val="21"/>
                <w:highlight w:val="none"/>
                <w:lang w:val="en-US" w:eastAsia="zh-CN"/>
              </w:rPr>
            </w:pPr>
          </w:p>
        </w:tc>
      </w:tr>
      <w:tr w14:paraId="106A4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401" w:type="pct"/>
            <w:gridSpan w:val="3"/>
            <w:vAlign w:val="center"/>
          </w:tcPr>
          <w:p w14:paraId="584FE2D2">
            <w:pPr>
              <w:pStyle w:val="44"/>
              <w:shd w:val="clea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评审结果</w:t>
            </w:r>
          </w:p>
        </w:tc>
        <w:tc>
          <w:tcPr>
            <w:tcW w:w="798" w:type="pct"/>
            <w:vAlign w:val="center"/>
          </w:tcPr>
          <w:p w14:paraId="5010D6DA">
            <w:pPr>
              <w:pStyle w:val="44"/>
              <w:shd w:val="clear"/>
              <w:rPr>
                <w:rFonts w:hint="eastAsia" w:ascii="宋体" w:hAnsi="宋体" w:eastAsia="宋体" w:cs="宋体"/>
                <w:color w:val="auto"/>
                <w:sz w:val="21"/>
                <w:szCs w:val="21"/>
                <w:highlight w:val="none"/>
              </w:rPr>
            </w:pPr>
          </w:p>
        </w:tc>
        <w:tc>
          <w:tcPr>
            <w:tcW w:w="800" w:type="pct"/>
            <w:vAlign w:val="center"/>
          </w:tcPr>
          <w:p w14:paraId="5CF73AE9">
            <w:pPr>
              <w:pStyle w:val="44"/>
              <w:shd w:val="clear"/>
              <w:rPr>
                <w:rFonts w:hint="eastAsia" w:ascii="宋体" w:hAnsi="宋体" w:eastAsia="宋体" w:cs="宋体"/>
                <w:color w:val="auto"/>
                <w:sz w:val="21"/>
                <w:szCs w:val="21"/>
                <w:highlight w:val="none"/>
              </w:rPr>
            </w:pPr>
          </w:p>
        </w:tc>
      </w:tr>
    </w:tbl>
    <w:p w14:paraId="12B23B4E">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480" w:lineRule="exact"/>
        <w:ind w:left="420" w:leftChars="0" w:hanging="420" w:firstLineChars="0"/>
        <w:textAlignment w:val="auto"/>
        <w:rPr>
          <w:rFonts w:hint="default"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w:t>
      </w:r>
      <w:r>
        <w:rPr>
          <w:rFonts w:hint="eastAsia"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en-US" w:eastAsia="zh-CN" w:bidi="ar-SA"/>
        </w:rPr>
        <w:t>）</w:t>
      </w:r>
      <w:r>
        <w:rPr>
          <w:rFonts w:hint="eastAsia" w:cs="宋体"/>
          <w:b/>
          <w:bCs/>
          <w:color w:val="auto"/>
          <w:kern w:val="2"/>
          <w:sz w:val="24"/>
          <w:szCs w:val="24"/>
          <w:highlight w:val="none"/>
          <w:lang w:val="en-US" w:eastAsia="zh-CN" w:bidi="ar-SA"/>
        </w:rPr>
        <w:t>报价评审</w:t>
      </w:r>
    </w:p>
    <w:tbl>
      <w:tblPr>
        <w:tblStyle w:val="27"/>
        <w:tblW w:w="49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1171"/>
        <w:gridCol w:w="6112"/>
      </w:tblGrid>
      <w:tr w14:paraId="42948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1397" w:type="pct"/>
            <w:gridSpan w:val="2"/>
            <w:shd w:val="clear" w:color="auto" w:fill="auto"/>
            <w:vAlign w:val="center"/>
          </w:tcPr>
          <w:p w14:paraId="461B3465">
            <w:pPr>
              <w:pStyle w:val="44"/>
              <w:shd w:val="clear"/>
              <w:jc w:val="center"/>
              <w:rPr>
                <w:rFonts w:hint="default" w:ascii="宋体" w:hAnsi="宋体" w:eastAsia="宋体" w:cs="宋体"/>
                <w:b/>
                <w:bCs/>
                <w:color w:val="auto"/>
                <w:kern w:val="2"/>
                <w:sz w:val="21"/>
                <w:szCs w:val="21"/>
                <w:highlight w:val="none"/>
                <w:lang w:val="en-US" w:eastAsia="zh-CN" w:bidi="ar-SA"/>
              </w:rPr>
            </w:pPr>
            <w:r>
              <w:rPr>
                <w:rFonts w:hint="eastAsia" w:cs="宋体"/>
                <w:b/>
                <w:bCs/>
                <w:color w:val="auto"/>
                <w:kern w:val="2"/>
                <w:sz w:val="21"/>
                <w:szCs w:val="21"/>
                <w:highlight w:val="none"/>
                <w:lang w:val="en-US" w:eastAsia="zh-CN" w:bidi="ar-SA"/>
              </w:rPr>
              <w:t>评审项目</w:t>
            </w:r>
          </w:p>
        </w:tc>
        <w:tc>
          <w:tcPr>
            <w:tcW w:w="3602" w:type="pct"/>
            <w:shd w:val="clear" w:color="auto" w:fill="auto"/>
            <w:vAlign w:val="center"/>
          </w:tcPr>
          <w:p w14:paraId="7189BDF0">
            <w:pPr>
              <w:pStyle w:val="44"/>
              <w:shd w:val="clear"/>
              <w:jc w:val="center"/>
              <w:rPr>
                <w:rFonts w:hint="eastAsia" w:ascii="宋体" w:hAnsi="宋体" w:eastAsia="宋体" w:cs="宋体"/>
                <w:color w:val="auto"/>
                <w:kern w:val="2"/>
                <w:sz w:val="21"/>
                <w:szCs w:val="21"/>
                <w:highlight w:val="none"/>
                <w:lang w:val="en-US" w:eastAsia="zh-CN" w:bidi="ar-SA"/>
              </w:rPr>
            </w:pPr>
            <w:r>
              <w:rPr>
                <w:rFonts w:hint="eastAsia" w:cs="宋体"/>
                <w:b/>
                <w:bCs/>
                <w:color w:val="auto"/>
                <w:sz w:val="21"/>
                <w:szCs w:val="21"/>
                <w:highlight w:val="none"/>
                <w:lang w:val="en-US" w:eastAsia="zh-CN"/>
              </w:rPr>
              <w:t>评审标准及要求</w:t>
            </w:r>
          </w:p>
        </w:tc>
      </w:tr>
      <w:tr w14:paraId="374E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1" w:hRule="atLeast"/>
          <w:jc w:val="center"/>
        </w:trPr>
        <w:tc>
          <w:tcPr>
            <w:tcW w:w="707" w:type="pct"/>
            <w:shd w:val="clear" w:color="auto" w:fill="auto"/>
            <w:vAlign w:val="center"/>
          </w:tcPr>
          <w:p w14:paraId="0163FD9C">
            <w:pPr>
              <w:pStyle w:val="44"/>
              <w:shd w:val="clea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价格</w:t>
            </w:r>
            <w:r>
              <w:rPr>
                <w:rFonts w:hint="eastAsia" w:cs="宋体"/>
                <w:color w:val="auto"/>
                <w:sz w:val="21"/>
                <w:szCs w:val="21"/>
                <w:highlight w:val="none"/>
                <w:lang w:val="en-US" w:eastAsia="zh-CN"/>
              </w:rPr>
              <w:t>评审</w:t>
            </w:r>
          </w:p>
        </w:tc>
        <w:tc>
          <w:tcPr>
            <w:tcW w:w="689" w:type="pct"/>
            <w:tcBorders>
              <w:top w:val="single" w:color="auto" w:sz="4" w:space="0"/>
            </w:tcBorders>
            <w:shd w:val="clear" w:color="auto" w:fill="auto"/>
            <w:vAlign w:val="center"/>
          </w:tcPr>
          <w:p w14:paraId="42B70C88">
            <w:pPr>
              <w:pStyle w:val="44"/>
              <w:shd w:val="clea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最后</w:t>
            </w:r>
            <w:r>
              <w:rPr>
                <w:rFonts w:hint="eastAsia" w:ascii="宋体" w:hAnsi="宋体" w:eastAsia="宋体" w:cs="宋体"/>
                <w:color w:val="auto"/>
                <w:sz w:val="21"/>
                <w:szCs w:val="21"/>
                <w:highlight w:val="none"/>
              </w:rPr>
              <w:t>报价</w:t>
            </w:r>
          </w:p>
        </w:tc>
        <w:tc>
          <w:tcPr>
            <w:tcW w:w="3602" w:type="pct"/>
            <w:shd w:val="clear" w:color="auto" w:fill="auto"/>
            <w:vAlign w:val="center"/>
          </w:tcPr>
          <w:p w14:paraId="747D8086">
            <w:pPr>
              <w:pStyle w:val="44"/>
              <w:shd w:val="clea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满足竞争性</w:t>
            </w:r>
            <w:r>
              <w:rPr>
                <w:rFonts w:hint="eastAsia" w:cs="宋体"/>
                <w:color w:val="auto"/>
                <w:sz w:val="21"/>
                <w:szCs w:val="21"/>
                <w:highlight w:val="none"/>
                <w:lang w:val="en-US" w:eastAsia="zh-CN"/>
              </w:rPr>
              <w:t>谈判</w:t>
            </w:r>
            <w:r>
              <w:rPr>
                <w:rFonts w:hint="eastAsia" w:ascii="宋体" w:hAnsi="宋体" w:eastAsia="宋体" w:cs="宋体"/>
                <w:color w:val="auto"/>
                <w:sz w:val="21"/>
                <w:szCs w:val="21"/>
                <w:highlight w:val="none"/>
              </w:rPr>
              <w:t>文件要求</w:t>
            </w:r>
            <w:r>
              <w:rPr>
                <w:rFonts w:hint="eastAsia" w:cs="宋体"/>
                <w:color w:val="auto"/>
                <w:sz w:val="21"/>
                <w:szCs w:val="21"/>
                <w:highlight w:val="none"/>
                <w:lang w:val="en-US" w:eastAsia="zh-CN"/>
              </w:rPr>
              <w:t>的供应商按</w:t>
            </w:r>
            <w:r>
              <w:rPr>
                <w:rFonts w:hint="eastAsia" w:ascii="宋体" w:hAnsi="宋体" w:eastAsia="宋体" w:cs="宋体"/>
                <w:color w:val="auto"/>
                <w:sz w:val="21"/>
                <w:szCs w:val="21"/>
                <w:highlight w:val="none"/>
                <w:lang w:val="en-US" w:eastAsia="zh-CN"/>
              </w:rPr>
              <w:t>最后</w:t>
            </w: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zh-CN"/>
              </w:rPr>
              <w:t>由低到高顺序排列</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报价相同</w:t>
            </w:r>
            <w:r>
              <w:rPr>
                <w:rFonts w:hint="eastAsia" w:cs="宋体"/>
                <w:color w:val="auto"/>
                <w:sz w:val="21"/>
                <w:szCs w:val="21"/>
                <w:highlight w:val="none"/>
                <w:lang w:val="en-US" w:eastAsia="zh-CN"/>
              </w:rPr>
              <w:t>并列的</w:t>
            </w:r>
            <w:r>
              <w:rPr>
                <w:rFonts w:hint="eastAsia" w:ascii="宋体" w:hAnsi="宋体" w:eastAsia="宋体" w:cs="宋体"/>
                <w:color w:val="auto"/>
                <w:sz w:val="21"/>
                <w:szCs w:val="21"/>
                <w:highlight w:val="none"/>
                <w:lang w:val="en-US" w:eastAsia="zh-CN"/>
              </w:rPr>
              <w:t>按照“供应商须知前附表”的规定排序。</w:t>
            </w:r>
          </w:p>
          <w:p w14:paraId="29CEECA4">
            <w:pPr>
              <w:pStyle w:val="44"/>
              <w:shd w:val="clear"/>
              <w:rPr>
                <w:rFonts w:hint="eastAsia" w:ascii="宋体" w:hAnsi="宋体" w:eastAsia="宋体" w:cs="宋体"/>
                <w:color w:val="auto"/>
                <w:sz w:val="21"/>
                <w:szCs w:val="21"/>
                <w:highlight w:val="none"/>
              </w:rPr>
            </w:pPr>
          </w:p>
          <w:p w14:paraId="24BC5FEC">
            <w:pPr>
              <w:pStyle w:val="44"/>
              <w:shd w:val="clea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备注：符合供应商须知中价格扣除规定的，在评审时予以价格扣除，用扣除后的</w:t>
            </w:r>
            <w:r>
              <w:rPr>
                <w:rFonts w:hint="eastAsia" w:ascii="宋体" w:hAnsi="宋体" w:eastAsia="宋体" w:cs="宋体"/>
                <w:color w:val="auto"/>
                <w:sz w:val="21"/>
                <w:szCs w:val="21"/>
                <w:highlight w:val="none"/>
                <w:lang w:val="en-US" w:eastAsia="zh-CN"/>
              </w:rPr>
              <w:t>最后报价</w:t>
            </w:r>
            <w:r>
              <w:rPr>
                <w:rFonts w:hint="eastAsia" w:ascii="宋体" w:hAnsi="宋体" w:eastAsia="宋体" w:cs="宋体"/>
                <w:color w:val="auto"/>
                <w:sz w:val="21"/>
                <w:szCs w:val="21"/>
                <w:highlight w:val="none"/>
              </w:rPr>
              <w:t>参与评审。</w:t>
            </w:r>
          </w:p>
        </w:tc>
      </w:tr>
    </w:tbl>
    <w:p w14:paraId="59EC86DB">
      <w:pPr>
        <w:shd w:val="clear"/>
        <w:rPr>
          <w:rFonts w:hint="eastAsia"/>
          <w:color w:val="auto"/>
          <w:highlight w:val="none"/>
          <w:lang w:val="en-US" w:eastAsia="zh-CN"/>
        </w:rPr>
      </w:pPr>
    </w:p>
    <w:p w14:paraId="35D02736">
      <w:pPr>
        <w:pStyle w:val="3"/>
        <w:keepNext/>
        <w:keepLines/>
        <w:pageBreakBefore w:val="0"/>
        <w:widowControl w:val="0"/>
        <w:numPr>
          <w:ilvl w:val="0"/>
          <w:numId w:val="0"/>
        </w:numPr>
        <w:shd w:val="clear"/>
        <w:kinsoku/>
        <w:wordWrap/>
        <w:overflowPunct/>
        <w:topLinePunct w:val="0"/>
        <w:autoSpaceDE/>
        <w:autoSpaceDN/>
        <w:bidi w:val="0"/>
        <w:adjustRightInd/>
        <w:snapToGrid/>
        <w:spacing w:before="220" w:after="210" w:line="360" w:lineRule="auto"/>
        <w:ind w:left="420" w:leftChars="0" w:hanging="420" w:firstLineChars="0"/>
        <w:textAlignment w:val="auto"/>
        <w:rPr>
          <w:rFonts w:hint="eastAsia" w:ascii="宋体" w:hAnsi="宋体" w:eastAsia="黑体" w:cstheme="minorBidi"/>
          <w:b/>
          <w:bCs/>
          <w:color w:val="auto"/>
          <w:kern w:val="44"/>
          <w:sz w:val="44"/>
          <w:szCs w:val="44"/>
          <w:highlight w:val="none"/>
          <w:lang w:val="en-US" w:eastAsia="zh-CN" w:bidi="ar-SA"/>
        </w:rPr>
      </w:pPr>
    </w:p>
    <w:p w14:paraId="7696E341">
      <w:pPr>
        <w:shd w:val="clear"/>
        <w:rPr>
          <w:rFonts w:hint="eastAsia" w:ascii="宋体" w:hAnsi="宋体" w:eastAsia="宋体" w:cs="宋体"/>
          <w:b/>
          <w:bCs/>
          <w:color w:val="auto"/>
          <w:kern w:val="44"/>
          <w:sz w:val="36"/>
          <w:szCs w:val="36"/>
          <w:highlight w:val="none"/>
          <w:lang w:val="en-US" w:eastAsia="zh-CN" w:bidi="ar-SA"/>
        </w:rPr>
      </w:pPr>
      <w:bookmarkStart w:id="510" w:name="_Toc6370"/>
      <w:bookmarkStart w:id="511" w:name="_Toc29904"/>
      <w:r>
        <w:rPr>
          <w:rFonts w:hint="eastAsia" w:ascii="宋体" w:hAnsi="宋体" w:eastAsia="宋体" w:cs="宋体"/>
          <w:b/>
          <w:bCs/>
          <w:color w:val="auto"/>
          <w:kern w:val="44"/>
          <w:sz w:val="36"/>
          <w:szCs w:val="36"/>
          <w:highlight w:val="none"/>
          <w:lang w:val="en-US" w:eastAsia="zh-CN" w:bidi="ar-SA"/>
        </w:rPr>
        <w:br w:type="page"/>
      </w:r>
    </w:p>
    <w:p w14:paraId="2419524B">
      <w:pPr>
        <w:pStyle w:val="3"/>
        <w:keepNext/>
        <w:keepLines/>
        <w:pageBreakBefore w:val="0"/>
        <w:widowControl w:val="0"/>
        <w:numPr>
          <w:ilvl w:val="0"/>
          <w:numId w:val="0"/>
        </w:numPr>
        <w:shd w:val="clea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zh-CN" w:eastAsia="zh-CN" w:bidi="ar-SA"/>
        </w:rPr>
      </w:pPr>
      <w:r>
        <w:rPr>
          <w:rFonts w:hint="eastAsia" w:ascii="宋体" w:hAnsi="宋体" w:eastAsia="宋体" w:cs="宋体"/>
          <w:b/>
          <w:bCs/>
          <w:color w:val="auto"/>
          <w:kern w:val="44"/>
          <w:sz w:val="36"/>
          <w:szCs w:val="36"/>
          <w:highlight w:val="none"/>
          <w:lang w:val="en-US" w:eastAsia="zh-CN" w:bidi="ar-SA"/>
        </w:rPr>
        <w:t xml:space="preserve">第五章 </w:t>
      </w:r>
      <w:r>
        <w:rPr>
          <w:rFonts w:hint="eastAsia" w:ascii="宋体" w:hAnsi="宋体" w:eastAsia="宋体" w:cs="宋体"/>
          <w:b/>
          <w:bCs/>
          <w:color w:val="auto"/>
          <w:kern w:val="44"/>
          <w:sz w:val="36"/>
          <w:szCs w:val="36"/>
          <w:highlight w:val="none"/>
          <w:lang w:val="zh-CN" w:eastAsia="zh-CN" w:bidi="ar-SA"/>
        </w:rPr>
        <w:t>合同草案</w:t>
      </w:r>
      <w:bookmarkEnd w:id="510"/>
      <w:bookmarkEnd w:id="511"/>
    </w:p>
    <w:p w14:paraId="0F73DEB3">
      <w:pPr>
        <w:shd w:val="clear"/>
        <w:wordWrap w:val="0"/>
        <w:jc w:val="center"/>
        <w:rPr>
          <w:rFonts w:hint="eastAsia" w:eastAsia="宋体"/>
          <w:bCs/>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rPr>
        <w:t>此合同书仅作为签订正式合同时的参考，正式合同书应包括本参考格式的内容</w:t>
      </w:r>
      <w:r>
        <w:rPr>
          <w:rFonts w:hint="eastAsia"/>
          <w:color w:val="auto"/>
          <w:sz w:val="24"/>
          <w:szCs w:val="24"/>
          <w:highlight w:val="none"/>
          <w:lang w:eastAsia="zh-CN"/>
        </w:rPr>
        <w:t>】</w:t>
      </w:r>
    </w:p>
    <w:p w14:paraId="51E629DD">
      <w:pPr>
        <w:shd w:val="clear"/>
        <w:wordWrap w:val="0"/>
        <w:rPr>
          <w:bCs/>
          <w:color w:val="auto"/>
          <w:sz w:val="28"/>
          <w:szCs w:val="28"/>
          <w:highlight w:val="none"/>
        </w:rPr>
      </w:pPr>
      <w:r>
        <w:rPr>
          <w:rFonts w:hint="eastAsia" w:cs="Helvetica"/>
          <w:bCs/>
          <w:color w:val="auto"/>
          <w:sz w:val="24"/>
          <w:szCs w:val="24"/>
          <w:highlight w:val="none"/>
          <w:lang w:val="zh-CN"/>
        </w:rPr>
        <w:t>合同编号：</w:t>
      </w:r>
      <w:r>
        <w:rPr>
          <w:rFonts w:hint="eastAsia" w:cs="Helvetica"/>
          <w:bCs/>
          <w:color w:val="auto"/>
          <w:sz w:val="24"/>
          <w:szCs w:val="24"/>
          <w:highlight w:val="none"/>
          <w:u w:val="single"/>
        </w:rPr>
        <w:t xml:space="preserve">              </w:t>
      </w:r>
    </w:p>
    <w:p w14:paraId="453FD5DE">
      <w:pPr>
        <w:pStyle w:val="12"/>
        <w:shd w:val="clear"/>
        <w:spacing w:after="0"/>
        <w:jc w:val="center"/>
        <w:rPr>
          <w:rFonts w:ascii="宋体" w:hAnsi="宋体" w:cs="宋体"/>
          <w:b/>
          <w:bCs/>
          <w:color w:val="auto"/>
          <w:spacing w:val="-20"/>
          <w:kern w:val="44"/>
          <w:sz w:val="48"/>
          <w:szCs w:val="48"/>
          <w:highlight w:val="none"/>
        </w:rPr>
      </w:pPr>
      <w:bookmarkStart w:id="512" w:name="_Toc3995"/>
    </w:p>
    <w:p w14:paraId="4DD54709">
      <w:pPr>
        <w:pStyle w:val="12"/>
        <w:shd w:val="clear"/>
        <w:spacing w:after="0"/>
        <w:jc w:val="center"/>
        <w:rPr>
          <w:rFonts w:ascii="宋体" w:hAnsi="宋体" w:cs="宋体"/>
          <w:b/>
          <w:bCs/>
          <w:color w:val="auto"/>
          <w:spacing w:val="-20"/>
          <w:kern w:val="44"/>
          <w:sz w:val="48"/>
          <w:szCs w:val="48"/>
          <w:highlight w:val="none"/>
        </w:rPr>
      </w:pPr>
    </w:p>
    <w:p w14:paraId="1471AFF4">
      <w:pPr>
        <w:pStyle w:val="12"/>
        <w:shd w:val="clear"/>
        <w:spacing w:after="0"/>
        <w:jc w:val="center"/>
        <w:rPr>
          <w:rFonts w:ascii="宋体" w:hAnsi="宋体" w:cs="宋体"/>
          <w:b/>
          <w:bCs/>
          <w:color w:val="auto"/>
          <w:spacing w:val="-20"/>
          <w:kern w:val="44"/>
          <w:sz w:val="48"/>
          <w:szCs w:val="48"/>
          <w:highlight w:val="none"/>
        </w:rPr>
      </w:pPr>
    </w:p>
    <w:p w14:paraId="71BEC943">
      <w:pPr>
        <w:pStyle w:val="12"/>
        <w:shd w:val="clear"/>
        <w:spacing w:after="0"/>
        <w:jc w:val="center"/>
        <w:rPr>
          <w:rFonts w:hint="eastAsia" w:ascii="宋体" w:hAnsi="宋体" w:eastAsia="宋体" w:cs="宋体"/>
          <w:b/>
          <w:bCs/>
          <w:color w:val="auto"/>
          <w:spacing w:val="-20"/>
          <w:kern w:val="44"/>
          <w:sz w:val="44"/>
          <w:szCs w:val="44"/>
          <w:highlight w:val="none"/>
        </w:rPr>
      </w:pPr>
      <w:r>
        <w:rPr>
          <w:rFonts w:hint="eastAsia" w:ascii="宋体" w:hAnsi="宋体" w:eastAsia="宋体" w:cs="宋体"/>
          <w:b/>
          <w:bCs/>
          <w:color w:val="auto"/>
          <w:spacing w:val="-20"/>
          <w:kern w:val="44"/>
          <w:sz w:val="44"/>
          <w:szCs w:val="44"/>
          <w:highlight w:val="none"/>
        </w:rPr>
        <w:t>政府采购</w:t>
      </w:r>
      <w:r>
        <w:rPr>
          <w:rFonts w:hint="eastAsia" w:ascii="宋体" w:hAnsi="宋体" w:eastAsia="宋体" w:cs="宋体"/>
          <w:b/>
          <w:bCs/>
          <w:color w:val="auto"/>
          <w:spacing w:val="-20"/>
          <w:kern w:val="44"/>
          <w:sz w:val="44"/>
          <w:szCs w:val="44"/>
          <w:highlight w:val="none"/>
          <w:lang w:eastAsia="zh-CN"/>
        </w:rPr>
        <w:t>货物买卖</w:t>
      </w:r>
      <w:r>
        <w:rPr>
          <w:rFonts w:hint="eastAsia" w:ascii="宋体" w:hAnsi="宋体" w:eastAsia="宋体" w:cs="宋体"/>
          <w:b/>
          <w:bCs/>
          <w:color w:val="auto"/>
          <w:spacing w:val="-20"/>
          <w:kern w:val="44"/>
          <w:sz w:val="44"/>
          <w:szCs w:val="44"/>
          <w:highlight w:val="none"/>
        </w:rPr>
        <w:t>合同</w:t>
      </w:r>
    </w:p>
    <w:p w14:paraId="2D8DEEA6">
      <w:pPr>
        <w:pStyle w:val="12"/>
        <w:shd w:val="clear"/>
        <w:spacing w:after="0"/>
        <w:jc w:val="center"/>
        <w:rPr>
          <w:rFonts w:hint="eastAsia" w:ascii="宋体" w:hAnsi="宋体" w:eastAsia="宋体" w:cs="宋体"/>
          <w:b/>
          <w:bCs/>
          <w:color w:val="auto"/>
          <w:spacing w:val="-20"/>
          <w:kern w:val="44"/>
          <w:sz w:val="44"/>
          <w:szCs w:val="44"/>
          <w:highlight w:val="none"/>
          <w:lang w:eastAsia="zh-CN"/>
        </w:rPr>
      </w:pPr>
      <w:r>
        <w:rPr>
          <w:rFonts w:hint="eastAsia" w:ascii="宋体" w:hAnsi="宋体" w:eastAsia="宋体" w:cs="宋体"/>
          <w:b/>
          <w:bCs/>
          <w:color w:val="auto"/>
          <w:spacing w:val="-20"/>
          <w:kern w:val="44"/>
          <w:sz w:val="44"/>
          <w:szCs w:val="44"/>
          <w:highlight w:val="none"/>
          <w:lang w:eastAsia="zh-CN"/>
        </w:rPr>
        <w:t>（试行）</w:t>
      </w:r>
    </w:p>
    <w:p w14:paraId="6894012D">
      <w:pPr>
        <w:shd w:val="clear"/>
        <w:rPr>
          <w:rFonts w:ascii="宋体" w:hAnsi="宋体" w:cs="宋体"/>
          <w:b/>
          <w:bCs/>
          <w:color w:val="auto"/>
          <w:spacing w:val="-20"/>
          <w:kern w:val="44"/>
          <w:sz w:val="40"/>
          <w:szCs w:val="40"/>
          <w:highlight w:val="none"/>
        </w:rPr>
      </w:pPr>
    </w:p>
    <w:p w14:paraId="1F202B9E">
      <w:pPr>
        <w:shd w:val="clear"/>
        <w:rPr>
          <w:rFonts w:ascii="宋体" w:hAnsi="宋体" w:cs="宋体"/>
          <w:b/>
          <w:bCs/>
          <w:color w:val="auto"/>
          <w:spacing w:val="-20"/>
          <w:kern w:val="44"/>
          <w:sz w:val="40"/>
          <w:szCs w:val="40"/>
          <w:highlight w:val="none"/>
        </w:rPr>
      </w:pPr>
    </w:p>
    <w:p w14:paraId="081AFCCE">
      <w:pPr>
        <w:shd w:val="clear"/>
        <w:rPr>
          <w:rFonts w:ascii="宋体" w:hAnsi="宋体" w:cs="宋体"/>
          <w:b/>
          <w:bCs/>
          <w:color w:val="auto"/>
          <w:spacing w:val="-20"/>
          <w:kern w:val="44"/>
          <w:sz w:val="40"/>
          <w:szCs w:val="40"/>
          <w:highlight w:val="none"/>
        </w:rPr>
      </w:pPr>
    </w:p>
    <w:p w14:paraId="098EC355">
      <w:pPr>
        <w:shd w:val="clear"/>
        <w:spacing w:line="360" w:lineRule="auto"/>
        <w:ind w:left="480" w:leftChars="200"/>
        <w:rPr>
          <w:color w:val="auto"/>
          <w:sz w:val="36"/>
          <w:szCs w:val="36"/>
          <w:highlight w:val="none"/>
        </w:rPr>
      </w:pPr>
      <w:r>
        <w:rPr>
          <w:rFonts w:hint="eastAsia" w:ascii="宋体" w:hAnsi="宋体" w:cs="宋体"/>
          <w:color w:val="auto"/>
          <w:kern w:val="0"/>
          <w:sz w:val="36"/>
          <w:szCs w:val="36"/>
          <w:highlight w:val="none"/>
        </w:rPr>
        <w:t>项目名称：</w:t>
      </w:r>
      <w:r>
        <w:rPr>
          <w:rFonts w:hint="eastAsia"/>
          <w:color w:val="auto"/>
          <w:sz w:val="36"/>
          <w:szCs w:val="36"/>
          <w:highlight w:val="none"/>
          <w:u w:val="single"/>
          <w:lang w:val="en-US" w:eastAsia="zh-CN"/>
        </w:rPr>
        <w:t>2026年兵团某单位警犬繁育及驯养项目（二次）</w:t>
      </w:r>
      <w:r>
        <w:rPr>
          <w:rFonts w:hint="eastAsia"/>
          <w:color w:val="auto"/>
          <w:sz w:val="36"/>
          <w:szCs w:val="36"/>
          <w:highlight w:val="none"/>
          <w:u w:val="single"/>
        </w:rPr>
        <w:t xml:space="preserve">                            </w:t>
      </w:r>
    </w:p>
    <w:p w14:paraId="23CADBAB">
      <w:pPr>
        <w:shd w:val="clear"/>
        <w:spacing w:line="360" w:lineRule="auto"/>
        <w:ind w:left="480" w:leftChars="200"/>
        <w:rPr>
          <w:color w:val="auto"/>
          <w:sz w:val="36"/>
          <w:szCs w:val="36"/>
          <w:highlight w:val="none"/>
          <w:u w:val="single"/>
        </w:rPr>
      </w:pPr>
      <w:r>
        <w:rPr>
          <w:rFonts w:hint="eastAsia"/>
          <w:color w:val="auto"/>
          <w:sz w:val="36"/>
          <w:szCs w:val="36"/>
          <w:highlight w:val="none"/>
        </w:rPr>
        <w:t>合同编号：</w:t>
      </w:r>
      <w:r>
        <w:rPr>
          <w:rFonts w:hint="eastAsia"/>
          <w:color w:val="auto"/>
          <w:sz w:val="36"/>
          <w:szCs w:val="36"/>
          <w:highlight w:val="none"/>
          <w:u w:val="single"/>
        </w:rPr>
        <w:t xml:space="preserve">                             </w:t>
      </w:r>
    </w:p>
    <w:p w14:paraId="75ED7ACB">
      <w:pPr>
        <w:shd w:val="clear"/>
        <w:spacing w:line="360" w:lineRule="auto"/>
        <w:ind w:left="480" w:leftChars="200"/>
        <w:rPr>
          <w:color w:val="auto"/>
          <w:sz w:val="36"/>
          <w:szCs w:val="36"/>
          <w:highlight w:val="none"/>
        </w:rPr>
      </w:pPr>
      <w:r>
        <w:rPr>
          <w:rFonts w:hint="eastAsia"/>
          <w:color w:val="auto"/>
          <w:sz w:val="36"/>
          <w:szCs w:val="36"/>
          <w:highlight w:val="none"/>
        </w:rPr>
        <w:t>甲    方：</w:t>
      </w:r>
      <w:r>
        <w:rPr>
          <w:rFonts w:hint="eastAsia"/>
          <w:color w:val="auto"/>
          <w:sz w:val="36"/>
          <w:szCs w:val="36"/>
          <w:highlight w:val="none"/>
          <w:u w:val="single"/>
        </w:rPr>
        <w:t xml:space="preserve">                             </w:t>
      </w:r>
    </w:p>
    <w:p w14:paraId="773FB2EF">
      <w:pPr>
        <w:shd w:val="clear"/>
        <w:spacing w:line="360" w:lineRule="auto"/>
        <w:ind w:left="480" w:leftChars="200"/>
        <w:rPr>
          <w:color w:val="auto"/>
          <w:sz w:val="36"/>
          <w:szCs w:val="36"/>
          <w:highlight w:val="none"/>
          <w:u w:val="single"/>
        </w:rPr>
      </w:pPr>
      <w:r>
        <w:rPr>
          <w:rFonts w:hint="eastAsia"/>
          <w:color w:val="auto"/>
          <w:sz w:val="36"/>
          <w:szCs w:val="36"/>
          <w:highlight w:val="none"/>
        </w:rPr>
        <w:t>乙    方：</w:t>
      </w:r>
      <w:r>
        <w:rPr>
          <w:rFonts w:hint="eastAsia"/>
          <w:color w:val="auto"/>
          <w:sz w:val="36"/>
          <w:szCs w:val="36"/>
          <w:highlight w:val="none"/>
          <w:u w:val="single"/>
        </w:rPr>
        <w:t xml:space="preserve">                             </w:t>
      </w:r>
    </w:p>
    <w:p w14:paraId="2CBA5AAC">
      <w:pPr>
        <w:shd w:val="clear"/>
        <w:spacing w:line="360" w:lineRule="auto"/>
        <w:ind w:left="480" w:leftChars="200"/>
        <w:rPr>
          <w:color w:val="auto"/>
          <w:sz w:val="36"/>
          <w:szCs w:val="36"/>
          <w:highlight w:val="none"/>
        </w:rPr>
      </w:pPr>
      <w:r>
        <w:rPr>
          <w:rFonts w:hint="eastAsia"/>
          <w:color w:val="auto"/>
          <w:sz w:val="36"/>
          <w:szCs w:val="36"/>
          <w:highlight w:val="none"/>
        </w:rPr>
        <w:t>签订时间：</w:t>
      </w:r>
      <w:r>
        <w:rPr>
          <w:rFonts w:hint="eastAsia"/>
          <w:color w:val="auto"/>
          <w:sz w:val="36"/>
          <w:szCs w:val="36"/>
          <w:highlight w:val="none"/>
          <w:u w:val="single"/>
        </w:rPr>
        <w:t xml:space="preserve">      </w:t>
      </w:r>
      <w:r>
        <w:rPr>
          <w:color w:val="auto"/>
          <w:sz w:val="36"/>
          <w:szCs w:val="36"/>
          <w:highlight w:val="none"/>
          <w:u w:val="single"/>
        </w:rPr>
        <w:t xml:space="preserve">           </w:t>
      </w:r>
      <w:r>
        <w:rPr>
          <w:rFonts w:hint="eastAsia"/>
          <w:color w:val="auto"/>
          <w:sz w:val="36"/>
          <w:szCs w:val="36"/>
          <w:highlight w:val="none"/>
          <w:u w:val="single"/>
        </w:rPr>
        <w:t xml:space="preserve">            </w:t>
      </w:r>
    </w:p>
    <w:p w14:paraId="32D9847D">
      <w:pPr>
        <w:shd w:val="clear"/>
        <w:rPr>
          <w:color w:val="auto"/>
          <w:highlight w:val="none"/>
        </w:rPr>
      </w:pPr>
    </w:p>
    <w:p w14:paraId="6DC7E545">
      <w:pPr>
        <w:shd w:val="clear"/>
        <w:rPr>
          <w:rFonts w:eastAsia="黑体"/>
          <w:color w:val="auto"/>
          <w:sz w:val="44"/>
          <w:szCs w:val="44"/>
          <w:highlight w:val="none"/>
        </w:rPr>
      </w:pPr>
      <w:r>
        <w:rPr>
          <w:rFonts w:eastAsia="黑体"/>
          <w:color w:val="auto"/>
          <w:sz w:val="44"/>
          <w:szCs w:val="44"/>
          <w:highlight w:val="none"/>
        </w:rPr>
        <w:br w:type="page"/>
      </w:r>
    </w:p>
    <w:bookmarkEnd w:id="512"/>
    <w:p w14:paraId="7BC43630">
      <w:pPr>
        <w:pStyle w:val="12"/>
        <w:shd w:val="clear"/>
        <w:spacing w:before="78" w:line="219" w:lineRule="auto"/>
        <w:ind w:left="2675"/>
        <w:outlineLvl w:val="1"/>
        <w:rPr>
          <w:spacing w:val="-1"/>
          <w:sz w:val="24"/>
          <w:szCs w:val="24"/>
          <w:highlight w:val="none"/>
        </w:rPr>
      </w:pPr>
    </w:p>
    <w:p w14:paraId="23165CDA">
      <w:pPr>
        <w:pStyle w:val="12"/>
        <w:shd w:val="clear"/>
        <w:spacing w:before="78" w:line="219" w:lineRule="auto"/>
        <w:ind w:left="2675"/>
        <w:outlineLvl w:val="1"/>
        <w:rPr>
          <w:sz w:val="24"/>
          <w:szCs w:val="24"/>
          <w:highlight w:val="none"/>
        </w:rPr>
      </w:pPr>
      <w:r>
        <w:rPr>
          <w:spacing w:val="-1"/>
          <w:sz w:val="24"/>
          <w:szCs w:val="24"/>
          <w:highlight w:val="none"/>
        </w:rPr>
        <w:t>第一节 政府采购合同协议书</w:t>
      </w:r>
    </w:p>
    <w:p w14:paraId="60F920B3">
      <w:pPr>
        <w:shd w:val="clear"/>
        <w:spacing w:line="436" w:lineRule="auto"/>
        <w:rPr>
          <w:rFonts w:ascii="Arial"/>
          <w:sz w:val="21"/>
          <w:highlight w:val="none"/>
        </w:rPr>
      </w:pPr>
    </w:p>
    <w:p w14:paraId="332359D4">
      <w:pPr>
        <w:pStyle w:val="12"/>
        <w:shd w:val="clear"/>
        <w:spacing w:before="78" w:line="219" w:lineRule="auto"/>
        <w:ind w:left="54"/>
        <w:rPr>
          <w:sz w:val="24"/>
          <w:szCs w:val="24"/>
          <w:highlight w:val="none"/>
        </w:rPr>
      </w:pPr>
      <w:r>
        <w:rPr>
          <w:spacing w:val="-1"/>
          <w:sz w:val="24"/>
          <w:szCs w:val="24"/>
          <w:highlight w:val="none"/>
        </w:rPr>
        <w:t>甲方（全称</w:t>
      </w:r>
      <w:r>
        <w:rPr>
          <w:spacing w:val="-11"/>
          <w:sz w:val="24"/>
          <w:szCs w:val="24"/>
          <w:highlight w:val="none"/>
        </w:rPr>
        <w:t>）：</w:t>
      </w:r>
      <w:r>
        <w:rPr>
          <w:sz w:val="24"/>
          <w:szCs w:val="24"/>
          <w:highlight w:val="none"/>
          <w:u w:val="single" w:color="auto"/>
        </w:rPr>
        <w:t xml:space="preserve">                        </w:t>
      </w:r>
      <w:r>
        <w:rPr>
          <w:spacing w:val="-11"/>
          <w:sz w:val="24"/>
          <w:szCs w:val="24"/>
          <w:highlight w:val="none"/>
        </w:rPr>
        <w:t>（</w:t>
      </w:r>
      <w:r>
        <w:rPr>
          <w:spacing w:val="-1"/>
          <w:sz w:val="24"/>
          <w:szCs w:val="24"/>
          <w:highlight w:val="none"/>
        </w:rPr>
        <w:t>采购人）</w:t>
      </w:r>
    </w:p>
    <w:p w14:paraId="65A67471">
      <w:pPr>
        <w:pStyle w:val="12"/>
        <w:shd w:val="clear"/>
        <w:spacing w:before="113" w:line="219" w:lineRule="auto"/>
        <w:ind w:left="46"/>
        <w:rPr>
          <w:sz w:val="24"/>
          <w:szCs w:val="24"/>
          <w:highlight w:val="none"/>
        </w:rPr>
      </w:pPr>
      <w:r>
        <w:rPr>
          <w:sz w:val="24"/>
          <w:szCs w:val="24"/>
          <w:highlight w:val="none"/>
        </w:rPr>
        <w:t>乙方（全称</w:t>
      </w:r>
      <w:r>
        <w:rPr>
          <w:spacing w:val="-12"/>
          <w:sz w:val="24"/>
          <w:szCs w:val="24"/>
          <w:highlight w:val="none"/>
        </w:rPr>
        <w:t>）：</w:t>
      </w:r>
      <w:r>
        <w:rPr>
          <w:sz w:val="24"/>
          <w:szCs w:val="24"/>
          <w:highlight w:val="none"/>
          <w:u w:val="single" w:color="auto"/>
        </w:rPr>
        <w:t xml:space="preserve">                        </w:t>
      </w:r>
      <w:r>
        <w:rPr>
          <w:spacing w:val="-12"/>
          <w:sz w:val="24"/>
          <w:szCs w:val="24"/>
          <w:highlight w:val="none"/>
        </w:rPr>
        <w:t>（</w:t>
      </w:r>
      <w:r>
        <w:rPr>
          <w:sz w:val="24"/>
          <w:szCs w:val="24"/>
          <w:highlight w:val="none"/>
        </w:rPr>
        <w:t>供应商）</w:t>
      </w:r>
    </w:p>
    <w:p w14:paraId="01D633AB">
      <w:pPr>
        <w:shd w:val="clear"/>
        <w:spacing w:line="438" w:lineRule="auto"/>
        <w:rPr>
          <w:rFonts w:ascii="Arial"/>
          <w:sz w:val="21"/>
          <w:highlight w:val="none"/>
        </w:rPr>
      </w:pPr>
    </w:p>
    <w:p w14:paraId="1159F1B6">
      <w:pPr>
        <w:pStyle w:val="12"/>
        <w:shd w:val="clear"/>
        <w:spacing w:before="78" w:line="307" w:lineRule="auto"/>
        <w:ind w:left="24" w:firstLine="480"/>
        <w:jc w:val="both"/>
        <w:rPr>
          <w:sz w:val="24"/>
          <w:szCs w:val="24"/>
          <w:highlight w:val="none"/>
        </w:rPr>
      </w:pPr>
      <w:r>
        <w:rPr>
          <w:spacing w:val="-3"/>
          <w:sz w:val="24"/>
          <w:szCs w:val="24"/>
          <w:highlight w:val="none"/>
        </w:rPr>
        <w:t>依据《中华人民共和国民法典》、《中华人民共和国政府采</w:t>
      </w:r>
      <w:r>
        <w:rPr>
          <w:spacing w:val="-4"/>
          <w:sz w:val="24"/>
          <w:szCs w:val="24"/>
          <w:highlight w:val="none"/>
        </w:rPr>
        <w:t>购法》等有关的法律法规，以及本采购项目的招标/谈判文件等采购文件、乙方的《投标（响应）</w:t>
      </w:r>
      <w:r>
        <w:rPr>
          <w:spacing w:val="-3"/>
          <w:sz w:val="24"/>
          <w:szCs w:val="24"/>
          <w:highlight w:val="none"/>
        </w:rPr>
        <w:t>文件》及《中标（成交）通知书》，甲乙双方同意签订本合同。具体情况及要求</w:t>
      </w:r>
      <w:r>
        <w:rPr>
          <w:spacing w:val="-4"/>
          <w:sz w:val="24"/>
          <w:szCs w:val="24"/>
          <w:highlight w:val="none"/>
        </w:rPr>
        <w:t>如下：</w:t>
      </w:r>
    </w:p>
    <w:p w14:paraId="73031823">
      <w:pPr>
        <w:pStyle w:val="12"/>
        <w:shd w:val="clear"/>
        <w:spacing w:line="219" w:lineRule="auto"/>
        <w:ind w:left="521"/>
        <w:rPr>
          <w:sz w:val="24"/>
          <w:szCs w:val="24"/>
          <w:highlight w:val="none"/>
        </w:rPr>
      </w:pPr>
      <w:r>
        <w:rPr>
          <w:b/>
          <w:bCs/>
          <w:spacing w:val="-9"/>
          <w:sz w:val="24"/>
          <w:szCs w:val="24"/>
          <w:highlight w:val="none"/>
        </w:rPr>
        <w:t>1.</w:t>
      </w:r>
      <w:r>
        <w:rPr>
          <w:spacing w:val="15"/>
          <w:sz w:val="24"/>
          <w:szCs w:val="24"/>
          <w:highlight w:val="none"/>
        </w:rPr>
        <w:t xml:space="preserve"> </w:t>
      </w:r>
      <w:r>
        <w:rPr>
          <w:b/>
          <w:bCs/>
          <w:spacing w:val="-9"/>
          <w:sz w:val="24"/>
          <w:szCs w:val="24"/>
          <w:highlight w:val="none"/>
        </w:rPr>
        <w:t>项目信息</w:t>
      </w:r>
    </w:p>
    <w:p w14:paraId="657F4C2B">
      <w:pPr>
        <w:pStyle w:val="12"/>
        <w:shd w:val="clear"/>
        <w:spacing w:before="117" w:line="307" w:lineRule="auto"/>
        <w:ind w:left="1101" w:right="99" w:hanging="587"/>
        <w:rPr>
          <w:spacing w:val="6"/>
          <w:sz w:val="24"/>
          <w:szCs w:val="24"/>
          <w:highlight w:val="none"/>
          <w:u w:val="single" w:color="auto"/>
        </w:rPr>
      </w:pPr>
      <w:r>
        <w:rPr>
          <w:spacing w:val="-1"/>
          <w:sz w:val="24"/>
          <w:szCs w:val="24"/>
          <w:highlight w:val="none"/>
        </w:rPr>
        <w:t>（1）采购项目名称：</w:t>
      </w:r>
      <w:r>
        <w:rPr>
          <w:rFonts w:hint="eastAsia"/>
          <w:spacing w:val="-1"/>
          <w:sz w:val="24"/>
          <w:szCs w:val="24"/>
          <w:highlight w:val="none"/>
          <w:u w:val="single"/>
          <w:lang w:val="en-US" w:eastAsia="zh-CN"/>
        </w:rPr>
        <w:t>2026年兵团某单位警犬繁育及驯养项目（二次）</w:t>
      </w:r>
      <w:r>
        <w:rPr>
          <w:spacing w:val="6"/>
          <w:sz w:val="24"/>
          <w:szCs w:val="24"/>
          <w:highlight w:val="none"/>
          <w:u w:val="single" w:color="auto"/>
        </w:rPr>
        <w:t xml:space="preserve">  </w:t>
      </w:r>
    </w:p>
    <w:p w14:paraId="5F019784">
      <w:pPr>
        <w:pStyle w:val="12"/>
        <w:shd w:val="clear"/>
        <w:spacing w:before="117" w:line="307" w:lineRule="auto"/>
        <w:ind w:left="1250" w:leftChars="521" w:right="99" w:firstLine="52" w:firstLineChars="22"/>
        <w:rPr>
          <w:sz w:val="24"/>
          <w:szCs w:val="24"/>
          <w:highlight w:val="none"/>
        </w:rPr>
      </w:pPr>
      <w:r>
        <w:rPr>
          <w:spacing w:val="-1"/>
          <w:sz w:val="24"/>
          <w:szCs w:val="24"/>
          <w:highlight w:val="none"/>
        </w:rPr>
        <w:t>采购项目编号：</w:t>
      </w:r>
      <w:r>
        <w:rPr>
          <w:sz w:val="24"/>
          <w:szCs w:val="24"/>
          <w:highlight w:val="none"/>
          <w:u w:val="single" w:color="auto"/>
        </w:rPr>
        <w:t xml:space="preserve">   </w:t>
      </w:r>
      <w:r>
        <w:rPr>
          <w:rFonts w:hint="eastAsia"/>
          <w:sz w:val="24"/>
          <w:szCs w:val="24"/>
          <w:highlight w:val="none"/>
          <w:u w:val="single" w:color="auto"/>
          <w:lang w:val="en-US" w:eastAsia="zh-CN"/>
        </w:rPr>
        <w:t>XJBTB[</w:t>
      </w:r>
      <w:r>
        <w:rPr>
          <w:rFonts w:hint="eastAsia"/>
          <w:sz w:val="24"/>
          <w:szCs w:val="24"/>
          <w:highlight w:val="none"/>
          <w:u w:val="single" w:color="auto"/>
        </w:rPr>
        <w:t>2026</w:t>
      </w:r>
      <w:r>
        <w:rPr>
          <w:rFonts w:hint="eastAsia"/>
          <w:sz w:val="24"/>
          <w:szCs w:val="24"/>
          <w:highlight w:val="none"/>
          <w:u w:val="single" w:color="auto"/>
          <w:lang w:val="en-US" w:eastAsia="zh-CN"/>
        </w:rPr>
        <w:t xml:space="preserve">]676号（二次） </w:t>
      </w:r>
      <w:r>
        <w:rPr>
          <w:sz w:val="24"/>
          <w:szCs w:val="24"/>
          <w:highlight w:val="none"/>
          <w:u w:val="single" w:color="auto"/>
        </w:rPr>
        <w:t xml:space="preserve">  </w:t>
      </w:r>
    </w:p>
    <w:p w14:paraId="799DF84B">
      <w:pPr>
        <w:pStyle w:val="12"/>
        <w:shd w:val="clear"/>
        <w:spacing w:before="1" w:line="218" w:lineRule="auto"/>
        <w:ind w:left="514"/>
        <w:rPr>
          <w:sz w:val="24"/>
          <w:szCs w:val="24"/>
          <w:highlight w:val="none"/>
        </w:rPr>
      </w:pPr>
      <w:r>
        <w:rPr>
          <w:spacing w:val="-3"/>
          <w:sz w:val="24"/>
          <w:szCs w:val="24"/>
          <w:highlight w:val="none"/>
        </w:rPr>
        <w:t>（2）采购计划编号：</w:t>
      </w:r>
      <w:r>
        <w:rPr>
          <w:sz w:val="24"/>
          <w:szCs w:val="24"/>
          <w:highlight w:val="none"/>
          <w:u w:val="single" w:color="auto"/>
        </w:rPr>
        <w:t xml:space="preserve">  XJBTB[2026]656号   </w:t>
      </w:r>
    </w:p>
    <w:p w14:paraId="5E9BEE7A">
      <w:pPr>
        <w:pStyle w:val="12"/>
        <w:shd w:val="clear"/>
        <w:spacing w:before="117" w:line="219" w:lineRule="auto"/>
        <w:ind w:left="514"/>
        <w:rPr>
          <w:sz w:val="24"/>
          <w:szCs w:val="24"/>
          <w:highlight w:val="none"/>
        </w:rPr>
      </w:pPr>
      <w:r>
        <w:rPr>
          <w:spacing w:val="-3"/>
          <w:sz w:val="24"/>
          <w:szCs w:val="24"/>
          <w:highlight w:val="none"/>
        </w:rPr>
        <w:t>（3）项目内容：</w:t>
      </w:r>
    </w:p>
    <w:p w14:paraId="3F7838EF">
      <w:pPr>
        <w:pStyle w:val="12"/>
        <w:shd w:val="clear"/>
        <w:spacing w:before="115" w:line="219" w:lineRule="auto"/>
        <w:ind w:left="1102"/>
        <w:rPr>
          <w:sz w:val="24"/>
          <w:szCs w:val="24"/>
          <w:highlight w:val="none"/>
        </w:rPr>
      </w:pPr>
      <w:r>
        <w:rPr>
          <w:spacing w:val="-1"/>
          <w:sz w:val="24"/>
          <w:szCs w:val="24"/>
          <w:highlight w:val="none"/>
        </w:rPr>
        <w:t>采购标的及数量（台/套/个/架/组等</w:t>
      </w:r>
      <w:r>
        <w:rPr>
          <w:spacing w:val="4"/>
          <w:sz w:val="24"/>
          <w:szCs w:val="24"/>
          <w:highlight w:val="none"/>
        </w:rPr>
        <w:t>）：</w:t>
      </w:r>
      <w:r>
        <w:rPr>
          <w:sz w:val="24"/>
          <w:szCs w:val="24"/>
          <w:highlight w:val="none"/>
          <w:u w:val="single" w:color="auto"/>
        </w:rPr>
        <w:t xml:space="preserve">                       </w:t>
      </w:r>
    </w:p>
    <w:p w14:paraId="0EAF16CF">
      <w:pPr>
        <w:pStyle w:val="12"/>
        <w:shd w:val="clear"/>
        <w:spacing w:before="115" w:line="219" w:lineRule="auto"/>
        <w:ind w:left="1123"/>
        <w:rPr>
          <w:sz w:val="24"/>
          <w:szCs w:val="24"/>
          <w:highlight w:val="none"/>
        </w:rPr>
      </w:pPr>
      <w:r>
        <w:rPr>
          <w:spacing w:val="-5"/>
          <w:sz w:val="24"/>
          <w:szCs w:val="24"/>
          <w:highlight w:val="none"/>
        </w:rPr>
        <w:t>品牌：</w:t>
      </w:r>
      <w:r>
        <w:rPr>
          <w:sz w:val="24"/>
          <w:szCs w:val="24"/>
          <w:highlight w:val="none"/>
          <w:u w:val="single" w:color="auto"/>
        </w:rPr>
        <w:t xml:space="preserve">                     </w:t>
      </w:r>
      <w:r>
        <w:rPr>
          <w:spacing w:val="-110"/>
          <w:sz w:val="24"/>
          <w:szCs w:val="24"/>
          <w:highlight w:val="none"/>
        </w:rPr>
        <w:t xml:space="preserve"> </w:t>
      </w:r>
      <w:r>
        <w:rPr>
          <w:spacing w:val="-5"/>
          <w:sz w:val="24"/>
          <w:szCs w:val="24"/>
          <w:highlight w:val="none"/>
        </w:rPr>
        <w:t>规格型号：</w:t>
      </w:r>
      <w:r>
        <w:rPr>
          <w:sz w:val="24"/>
          <w:szCs w:val="24"/>
          <w:highlight w:val="none"/>
          <w:u w:val="single" w:color="auto"/>
        </w:rPr>
        <w:t xml:space="preserve">                      </w:t>
      </w:r>
    </w:p>
    <w:p w14:paraId="680C7BB8">
      <w:pPr>
        <w:pStyle w:val="12"/>
        <w:shd w:val="clear"/>
        <w:spacing w:before="104" w:line="227" w:lineRule="auto"/>
        <w:ind w:left="514"/>
        <w:rPr>
          <w:sz w:val="24"/>
          <w:szCs w:val="24"/>
          <w:highlight w:val="none"/>
        </w:rPr>
      </w:pPr>
      <w:r>
        <w:rPr>
          <w:sz w:val="24"/>
          <w:szCs w:val="24"/>
          <w:highlight w:val="none"/>
        </w:rPr>
        <w:t>（4）政府采购组织形式：</w:t>
      </w:r>
      <w:r>
        <w:rPr>
          <w:rFonts w:ascii="Wingdings" w:hAnsi="Wingdings" w:eastAsia="Wingdings" w:cs="Wingdings"/>
          <w:sz w:val="24"/>
          <w:szCs w:val="24"/>
          <w:highlight w:val="none"/>
        </w:rPr>
        <w:t>o</w:t>
      </w:r>
      <w:r>
        <w:rPr>
          <w:sz w:val="24"/>
          <w:szCs w:val="24"/>
          <w:highlight w:val="none"/>
        </w:rPr>
        <w:t xml:space="preserve">政府集中采购  </w:t>
      </w:r>
      <w:r>
        <w:rPr>
          <w:rFonts w:ascii="Wingdings" w:hAnsi="Wingdings" w:eastAsia="Wingdings" w:cs="Wingdings"/>
          <w:sz w:val="24"/>
          <w:szCs w:val="24"/>
          <w:highlight w:val="none"/>
        </w:rPr>
        <w:t>o</w:t>
      </w:r>
      <w:r>
        <w:rPr>
          <w:sz w:val="24"/>
          <w:szCs w:val="24"/>
          <w:highlight w:val="none"/>
        </w:rPr>
        <w:t xml:space="preserve">部门集中采购 </w:t>
      </w:r>
      <w:r>
        <w:rPr>
          <w:spacing w:val="-1"/>
          <w:sz w:val="24"/>
          <w:szCs w:val="24"/>
          <w:highlight w:val="none"/>
        </w:rPr>
        <w:t xml:space="preserve"> </w:t>
      </w:r>
      <w:r>
        <w:rPr>
          <w:position w:val="-4"/>
          <w:sz w:val="24"/>
          <w:szCs w:val="24"/>
          <w:highlight w:val="none"/>
        </w:rPr>
        <w:drawing>
          <wp:inline distT="0" distB="0" distL="0" distR="0">
            <wp:extent cx="122555" cy="16827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5"/>
                    <a:stretch>
                      <a:fillRect/>
                    </a:stretch>
                  </pic:blipFill>
                  <pic:spPr>
                    <a:xfrm>
                      <a:off x="0" y="0"/>
                      <a:ext cx="122986" cy="168859"/>
                    </a:xfrm>
                    <a:prstGeom prst="rect">
                      <a:avLst/>
                    </a:prstGeom>
                  </pic:spPr>
                </pic:pic>
              </a:graphicData>
            </a:graphic>
          </wp:inline>
        </w:drawing>
      </w:r>
      <w:r>
        <w:rPr>
          <w:spacing w:val="-1"/>
          <w:sz w:val="24"/>
          <w:szCs w:val="24"/>
          <w:highlight w:val="none"/>
        </w:rPr>
        <w:t>分散采购</w:t>
      </w:r>
    </w:p>
    <w:p w14:paraId="4A10B263">
      <w:pPr>
        <w:pStyle w:val="12"/>
        <w:shd w:val="clear"/>
        <w:spacing w:before="106" w:line="227" w:lineRule="auto"/>
        <w:ind w:left="514"/>
        <w:rPr>
          <w:sz w:val="24"/>
          <w:szCs w:val="24"/>
          <w:highlight w:val="none"/>
        </w:rPr>
      </w:pPr>
      <w:r>
        <w:rPr>
          <w:sz w:val="24"/>
          <w:szCs w:val="24"/>
          <w:highlight w:val="none"/>
        </w:rPr>
        <w:t>（5）政府采购方式：</w:t>
      </w:r>
      <w:r>
        <w:rPr>
          <w:rFonts w:ascii="Wingdings" w:hAnsi="Wingdings" w:eastAsia="Wingdings" w:cs="Wingdings"/>
          <w:sz w:val="24"/>
          <w:szCs w:val="24"/>
          <w:highlight w:val="none"/>
        </w:rPr>
        <w:t>o</w:t>
      </w:r>
      <w:r>
        <w:rPr>
          <w:sz w:val="24"/>
          <w:szCs w:val="24"/>
          <w:highlight w:val="none"/>
        </w:rPr>
        <w:t xml:space="preserve">公开招标 </w:t>
      </w:r>
      <w:r>
        <w:rPr>
          <w:rFonts w:ascii="Wingdings" w:hAnsi="Wingdings" w:eastAsia="Wingdings" w:cs="Wingdings"/>
          <w:sz w:val="24"/>
          <w:szCs w:val="24"/>
          <w:highlight w:val="none"/>
        </w:rPr>
        <w:t>o</w:t>
      </w:r>
      <w:r>
        <w:rPr>
          <w:sz w:val="24"/>
          <w:szCs w:val="24"/>
          <w:highlight w:val="none"/>
        </w:rPr>
        <w:t xml:space="preserve">邀请招标 </w:t>
      </w:r>
      <w:r>
        <w:rPr>
          <w:position w:val="-4"/>
          <w:sz w:val="24"/>
          <w:szCs w:val="24"/>
          <w:highlight w:val="none"/>
        </w:rPr>
        <w:drawing>
          <wp:inline distT="0" distB="0" distL="0" distR="0">
            <wp:extent cx="122555" cy="16827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6"/>
                    <a:stretch>
                      <a:fillRect/>
                    </a:stretch>
                  </pic:blipFill>
                  <pic:spPr>
                    <a:xfrm>
                      <a:off x="0" y="0"/>
                      <a:ext cx="122986" cy="168859"/>
                    </a:xfrm>
                    <a:prstGeom prst="rect">
                      <a:avLst/>
                    </a:prstGeom>
                  </pic:spPr>
                </pic:pic>
              </a:graphicData>
            </a:graphic>
          </wp:inline>
        </w:drawing>
      </w:r>
      <w:r>
        <w:rPr>
          <w:sz w:val="24"/>
          <w:szCs w:val="24"/>
          <w:highlight w:val="none"/>
        </w:rPr>
        <w:t xml:space="preserve">竞争性谈判 </w:t>
      </w:r>
      <w:r>
        <w:rPr>
          <w:rFonts w:ascii="Wingdings" w:hAnsi="Wingdings" w:eastAsia="Wingdings" w:cs="Wingdings"/>
          <w:spacing w:val="-1"/>
          <w:sz w:val="24"/>
          <w:szCs w:val="24"/>
          <w:highlight w:val="none"/>
        </w:rPr>
        <w:t>o</w:t>
      </w:r>
      <w:r>
        <w:rPr>
          <w:spacing w:val="-1"/>
          <w:sz w:val="24"/>
          <w:szCs w:val="24"/>
          <w:highlight w:val="none"/>
        </w:rPr>
        <w:t>竞争性磋商</w:t>
      </w:r>
    </w:p>
    <w:p w14:paraId="5C921E98">
      <w:pPr>
        <w:pStyle w:val="12"/>
        <w:shd w:val="clear"/>
        <w:spacing w:before="102" w:line="307" w:lineRule="auto"/>
        <w:ind w:left="514" w:right="113" w:firstLine="2279"/>
        <w:rPr>
          <w:sz w:val="24"/>
          <w:szCs w:val="24"/>
          <w:highlight w:val="none"/>
        </w:rPr>
      </w:pPr>
      <w:r>
        <w:rPr>
          <w:rFonts w:ascii="Wingdings" w:hAnsi="Wingdings" w:eastAsia="Wingdings" w:cs="Wingdings"/>
          <w:spacing w:val="-4"/>
          <w:sz w:val="24"/>
          <w:szCs w:val="24"/>
          <w:highlight w:val="none"/>
        </w:rPr>
        <w:t>o</w:t>
      </w:r>
      <w:r>
        <w:rPr>
          <w:spacing w:val="-4"/>
          <w:sz w:val="24"/>
          <w:szCs w:val="24"/>
          <w:highlight w:val="none"/>
        </w:rPr>
        <w:t xml:space="preserve">询价 </w:t>
      </w:r>
      <w:r>
        <w:rPr>
          <w:rFonts w:ascii="Wingdings" w:hAnsi="Wingdings" w:eastAsia="Wingdings" w:cs="Wingdings"/>
          <w:spacing w:val="-4"/>
          <w:sz w:val="24"/>
          <w:szCs w:val="24"/>
          <w:highlight w:val="none"/>
        </w:rPr>
        <w:t>o</w:t>
      </w:r>
      <w:r>
        <w:rPr>
          <w:spacing w:val="-4"/>
          <w:sz w:val="24"/>
          <w:szCs w:val="24"/>
          <w:highlight w:val="none"/>
        </w:rPr>
        <w:t>单一来源</w:t>
      </w:r>
      <w:r>
        <w:rPr>
          <w:spacing w:val="27"/>
          <w:sz w:val="24"/>
          <w:szCs w:val="24"/>
          <w:highlight w:val="none"/>
        </w:rPr>
        <w:t xml:space="preserve"> </w:t>
      </w:r>
      <w:r>
        <w:rPr>
          <w:rFonts w:ascii="Wingdings" w:hAnsi="Wingdings" w:eastAsia="Wingdings" w:cs="Wingdings"/>
          <w:spacing w:val="-4"/>
          <w:sz w:val="24"/>
          <w:szCs w:val="24"/>
          <w:highlight w:val="none"/>
        </w:rPr>
        <w:t>o</w:t>
      </w:r>
      <w:r>
        <w:rPr>
          <w:spacing w:val="-4"/>
          <w:sz w:val="24"/>
          <w:szCs w:val="24"/>
          <w:highlight w:val="none"/>
        </w:rPr>
        <w:t>框架协议</w:t>
      </w:r>
      <w:r>
        <w:rPr>
          <w:spacing w:val="20"/>
          <w:sz w:val="24"/>
          <w:szCs w:val="24"/>
          <w:highlight w:val="none"/>
        </w:rPr>
        <w:t xml:space="preserve"> </w:t>
      </w:r>
      <w:r>
        <w:rPr>
          <w:rFonts w:ascii="Wingdings" w:hAnsi="Wingdings" w:eastAsia="Wingdings" w:cs="Wingdings"/>
          <w:spacing w:val="-4"/>
          <w:sz w:val="24"/>
          <w:szCs w:val="24"/>
          <w:highlight w:val="none"/>
        </w:rPr>
        <w:t>o</w:t>
      </w:r>
      <w:r>
        <w:rPr>
          <w:spacing w:val="-4"/>
          <w:sz w:val="24"/>
          <w:szCs w:val="24"/>
          <w:highlight w:val="none"/>
        </w:rPr>
        <w:t>其他：</w:t>
      </w:r>
      <w:r>
        <w:rPr>
          <w:sz w:val="24"/>
          <w:szCs w:val="24"/>
          <w:highlight w:val="none"/>
          <w:u w:val="single" w:color="auto"/>
        </w:rPr>
        <w:t xml:space="preserve">          </w:t>
      </w:r>
      <w:r>
        <w:rPr>
          <w:spacing w:val="-1"/>
          <w:sz w:val="24"/>
          <w:szCs w:val="24"/>
          <w:highlight w:val="none"/>
        </w:rPr>
        <w:t>（注：在框架协议采购的第二阶段，可选择使用该合同文本）</w:t>
      </w:r>
    </w:p>
    <w:p w14:paraId="1A1E35D6">
      <w:pPr>
        <w:pStyle w:val="12"/>
        <w:shd w:val="clear"/>
        <w:spacing w:before="5" w:line="227" w:lineRule="auto"/>
        <w:ind w:left="634"/>
        <w:rPr>
          <w:sz w:val="24"/>
          <w:szCs w:val="24"/>
          <w:highlight w:val="none"/>
        </w:rPr>
      </w:pPr>
      <w:r>
        <w:rPr>
          <w:spacing w:val="-1"/>
          <w:sz w:val="24"/>
          <w:szCs w:val="24"/>
          <w:highlight w:val="none"/>
        </w:rPr>
        <w:t>（6）中标（成交）采购标的制造商是否为中小企业：</w:t>
      </w:r>
      <w:r>
        <w:rPr>
          <w:spacing w:val="-89"/>
          <w:sz w:val="24"/>
          <w:szCs w:val="24"/>
          <w:highlight w:val="none"/>
        </w:rPr>
        <w:t xml:space="preserve"> </w:t>
      </w:r>
      <w:r>
        <w:rPr>
          <w:position w:val="-4"/>
          <w:sz w:val="24"/>
          <w:szCs w:val="24"/>
          <w:highlight w:val="none"/>
        </w:rPr>
        <w:drawing>
          <wp:inline distT="0" distB="0" distL="0" distR="0">
            <wp:extent cx="122555" cy="16827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6"/>
                    <a:stretch>
                      <a:fillRect/>
                    </a:stretch>
                  </pic:blipFill>
                  <pic:spPr>
                    <a:xfrm>
                      <a:off x="0" y="0"/>
                      <a:ext cx="122986" cy="168859"/>
                    </a:xfrm>
                    <a:prstGeom prst="rect">
                      <a:avLst/>
                    </a:prstGeom>
                  </pic:spPr>
                </pic:pic>
              </a:graphicData>
            </a:graphic>
          </wp:inline>
        </w:drawing>
      </w:r>
      <w:r>
        <w:rPr>
          <w:spacing w:val="-1"/>
          <w:sz w:val="24"/>
          <w:szCs w:val="24"/>
          <w:highlight w:val="none"/>
        </w:rPr>
        <w:t xml:space="preserve">是      </w:t>
      </w:r>
      <w:r>
        <w:rPr>
          <w:rFonts w:ascii="Wingdings" w:hAnsi="Wingdings" w:eastAsia="Wingdings" w:cs="Wingdings"/>
          <w:spacing w:val="-1"/>
          <w:sz w:val="24"/>
          <w:szCs w:val="24"/>
          <w:highlight w:val="none"/>
        </w:rPr>
        <w:t>o</w:t>
      </w:r>
      <w:r>
        <w:rPr>
          <w:spacing w:val="-1"/>
          <w:sz w:val="24"/>
          <w:szCs w:val="24"/>
          <w:highlight w:val="none"/>
        </w:rPr>
        <w:t>否</w:t>
      </w:r>
    </w:p>
    <w:p w14:paraId="66269C9A">
      <w:pPr>
        <w:pStyle w:val="12"/>
        <w:shd w:val="clear"/>
        <w:spacing w:before="101" w:line="308" w:lineRule="auto"/>
        <w:ind w:left="504" w:right="99" w:hanging="43"/>
        <w:rPr>
          <w:spacing w:val="-19"/>
          <w:sz w:val="24"/>
          <w:szCs w:val="24"/>
          <w:highlight w:val="none"/>
        </w:rPr>
      </w:pPr>
      <w:r>
        <w:rPr>
          <w:spacing w:val="-18"/>
          <w:sz w:val="24"/>
          <w:szCs w:val="24"/>
          <w:highlight w:val="none"/>
        </w:rPr>
        <w:t>本合同是否为专门面向中小企业的采购合同（中小企业预留合同</w:t>
      </w:r>
      <w:r>
        <w:rPr>
          <w:spacing w:val="-38"/>
          <w:sz w:val="24"/>
          <w:szCs w:val="24"/>
          <w:highlight w:val="none"/>
        </w:rPr>
        <w:t>）：</w:t>
      </w:r>
      <w:r>
        <w:rPr>
          <w:position w:val="-4"/>
          <w:sz w:val="24"/>
          <w:szCs w:val="24"/>
          <w:highlight w:val="none"/>
        </w:rPr>
        <w:drawing>
          <wp:inline distT="0" distB="0" distL="0" distR="0">
            <wp:extent cx="122555" cy="1682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6"/>
                    <a:stretch>
                      <a:fillRect/>
                    </a:stretch>
                  </pic:blipFill>
                  <pic:spPr>
                    <a:xfrm>
                      <a:off x="0" y="0"/>
                      <a:ext cx="122986" cy="168859"/>
                    </a:xfrm>
                    <a:prstGeom prst="rect">
                      <a:avLst/>
                    </a:prstGeom>
                  </pic:spPr>
                </pic:pic>
              </a:graphicData>
            </a:graphic>
          </wp:inline>
        </w:drawing>
      </w:r>
      <w:r>
        <w:rPr>
          <w:spacing w:val="-18"/>
          <w:sz w:val="24"/>
          <w:szCs w:val="24"/>
          <w:highlight w:val="none"/>
        </w:rPr>
        <w:t>是</w:t>
      </w:r>
      <w:r>
        <w:rPr>
          <w:spacing w:val="-19"/>
          <w:sz w:val="24"/>
          <w:szCs w:val="24"/>
          <w:highlight w:val="none"/>
        </w:rPr>
        <w:t xml:space="preserve">    </w:t>
      </w:r>
      <w:r>
        <w:rPr>
          <w:rFonts w:ascii="Wingdings" w:hAnsi="Wingdings" w:eastAsia="Wingdings" w:cs="Wingdings"/>
          <w:spacing w:val="-19"/>
          <w:sz w:val="24"/>
          <w:szCs w:val="24"/>
          <w:highlight w:val="none"/>
        </w:rPr>
        <w:t>o</w:t>
      </w:r>
      <w:r>
        <w:rPr>
          <w:spacing w:val="-19"/>
          <w:sz w:val="24"/>
          <w:szCs w:val="24"/>
          <w:highlight w:val="none"/>
        </w:rPr>
        <w:t>否</w:t>
      </w:r>
    </w:p>
    <w:p w14:paraId="1481108E">
      <w:pPr>
        <w:pStyle w:val="12"/>
        <w:shd w:val="clear"/>
        <w:spacing w:before="101" w:line="308" w:lineRule="auto"/>
        <w:ind w:left="504" w:right="99" w:hanging="43"/>
        <w:rPr>
          <w:spacing w:val="-6"/>
          <w:sz w:val="24"/>
          <w:szCs w:val="24"/>
          <w:highlight w:val="none"/>
        </w:rPr>
      </w:pPr>
      <w:r>
        <w:rPr>
          <w:spacing w:val="-5"/>
          <w:sz w:val="24"/>
          <w:szCs w:val="24"/>
          <w:highlight w:val="none"/>
        </w:rPr>
        <w:t>若本项目不专门面向中小企业采购，是否给予小微企业评审优惠：</w:t>
      </w:r>
      <w:r>
        <w:rPr>
          <w:rFonts w:ascii="Wingdings" w:hAnsi="Wingdings" w:eastAsia="Wingdings" w:cs="Wingdings"/>
          <w:spacing w:val="-5"/>
          <w:sz w:val="24"/>
          <w:szCs w:val="24"/>
          <w:highlight w:val="none"/>
        </w:rPr>
        <w:t>o</w:t>
      </w:r>
      <w:r>
        <w:rPr>
          <w:spacing w:val="-5"/>
          <w:sz w:val="24"/>
          <w:szCs w:val="24"/>
          <w:highlight w:val="none"/>
        </w:rPr>
        <w:t>是</w:t>
      </w:r>
      <w:r>
        <w:rPr>
          <w:spacing w:val="-6"/>
          <w:sz w:val="24"/>
          <w:szCs w:val="24"/>
          <w:highlight w:val="none"/>
        </w:rPr>
        <w:t xml:space="preserve"> </w:t>
      </w:r>
      <w:r>
        <w:rPr>
          <w:rFonts w:ascii="Wingdings" w:hAnsi="Wingdings" w:eastAsia="Wingdings" w:cs="Wingdings"/>
          <w:spacing w:val="-6"/>
          <w:sz w:val="24"/>
          <w:szCs w:val="24"/>
          <w:highlight w:val="none"/>
        </w:rPr>
        <w:t>o</w:t>
      </w:r>
      <w:r>
        <w:rPr>
          <w:spacing w:val="-6"/>
          <w:sz w:val="24"/>
          <w:szCs w:val="24"/>
          <w:highlight w:val="none"/>
        </w:rPr>
        <w:t>否</w:t>
      </w:r>
    </w:p>
    <w:p w14:paraId="69C7E1CD">
      <w:pPr>
        <w:pStyle w:val="12"/>
        <w:shd w:val="clear"/>
        <w:spacing w:before="101" w:line="308" w:lineRule="auto"/>
        <w:ind w:left="504" w:right="99" w:hanging="43"/>
        <w:rPr>
          <w:sz w:val="24"/>
          <w:szCs w:val="24"/>
          <w:highlight w:val="none"/>
        </w:rPr>
      </w:pPr>
      <w:r>
        <w:rPr>
          <w:sz w:val="24"/>
          <w:szCs w:val="24"/>
          <w:highlight w:val="none"/>
        </w:rPr>
        <w:t>中标（成交）采购标的制造商是否为残疾人福</w:t>
      </w:r>
      <w:r>
        <w:rPr>
          <w:spacing w:val="-1"/>
          <w:sz w:val="24"/>
          <w:szCs w:val="24"/>
          <w:highlight w:val="none"/>
        </w:rPr>
        <w:t>利性单位：</w:t>
      </w:r>
      <w:r>
        <w:rPr>
          <w:rFonts w:ascii="Wingdings" w:hAnsi="Wingdings" w:eastAsia="Wingdings" w:cs="Wingdings"/>
          <w:spacing w:val="-1"/>
          <w:sz w:val="24"/>
          <w:szCs w:val="24"/>
          <w:highlight w:val="none"/>
        </w:rPr>
        <w:t>o</w:t>
      </w:r>
      <w:r>
        <w:rPr>
          <w:spacing w:val="-1"/>
          <w:sz w:val="24"/>
          <w:szCs w:val="24"/>
          <w:highlight w:val="none"/>
        </w:rPr>
        <w:t xml:space="preserve">是   </w:t>
      </w:r>
      <w:r>
        <w:rPr>
          <w:rFonts w:ascii="Wingdings" w:hAnsi="Wingdings" w:eastAsia="Wingdings" w:cs="Wingdings"/>
          <w:spacing w:val="-1"/>
          <w:sz w:val="24"/>
          <w:szCs w:val="24"/>
          <w:highlight w:val="none"/>
        </w:rPr>
        <w:t>o</w:t>
      </w:r>
      <w:r>
        <w:rPr>
          <w:spacing w:val="-1"/>
          <w:sz w:val="24"/>
          <w:szCs w:val="24"/>
          <w:highlight w:val="none"/>
        </w:rPr>
        <w:t>否</w:t>
      </w:r>
    </w:p>
    <w:p w14:paraId="6F0F9124">
      <w:pPr>
        <w:pStyle w:val="12"/>
        <w:shd w:val="clear"/>
        <w:spacing w:before="1" w:line="238" w:lineRule="auto"/>
        <w:ind w:left="526"/>
        <w:rPr>
          <w:sz w:val="24"/>
          <w:szCs w:val="24"/>
          <w:highlight w:val="none"/>
        </w:rPr>
      </w:pPr>
      <w:r>
        <w:rPr>
          <w:spacing w:val="-1"/>
          <w:sz w:val="24"/>
          <w:szCs w:val="24"/>
          <w:highlight w:val="none"/>
        </w:rPr>
        <w:t>中标（成交）采购标的制造商是否为监狱企业：</w:t>
      </w:r>
      <w:r>
        <w:rPr>
          <w:rFonts w:ascii="Wingdings" w:hAnsi="Wingdings" w:eastAsia="Wingdings" w:cs="Wingdings"/>
          <w:spacing w:val="-1"/>
          <w:sz w:val="24"/>
          <w:szCs w:val="24"/>
          <w:highlight w:val="none"/>
        </w:rPr>
        <w:t>o</w:t>
      </w:r>
      <w:r>
        <w:rPr>
          <w:spacing w:val="-1"/>
          <w:sz w:val="24"/>
          <w:szCs w:val="24"/>
          <w:highlight w:val="none"/>
        </w:rPr>
        <w:t xml:space="preserve">是       </w:t>
      </w:r>
      <w:r>
        <w:rPr>
          <w:rFonts w:ascii="Wingdings" w:hAnsi="Wingdings" w:eastAsia="Wingdings" w:cs="Wingdings"/>
          <w:spacing w:val="-2"/>
          <w:sz w:val="24"/>
          <w:szCs w:val="24"/>
          <w:highlight w:val="none"/>
        </w:rPr>
        <w:t>o</w:t>
      </w:r>
      <w:r>
        <w:rPr>
          <w:spacing w:val="-2"/>
          <w:sz w:val="24"/>
          <w:szCs w:val="24"/>
          <w:highlight w:val="none"/>
        </w:rPr>
        <w:t>否</w:t>
      </w:r>
    </w:p>
    <w:p w14:paraId="710405BD">
      <w:pPr>
        <w:pStyle w:val="12"/>
        <w:shd w:val="clear"/>
        <w:spacing w:before="91" w:line="227" w:lineRule="auto"/>
        <w:ind w:left="514"/>
        <w:rPr>
          <w:sz w:val="24"/>
          <w:szCs w:val="24"/>
          <w:highlight w:val="none"/>
        </w:rPr>
      </w:pPr>
      <w:r>
        <w:rPr>
          <w:spacing w:val="-1"/>
          <w:sz w:val="24"/>
          <w:szCs w:val="24"/>
          <w:highlight w:val="none"/>
        </w:rPr>
        <w:t>（7）合同是否分包：</w:t>
      </w:r>
      <w:r>
        <w:rPr>
          <w:rFonts w:ascii="Wingdings" w:hAnsi="Wingdings" w:eastAsia="Wingdings" w:cs="Wingdings"/>
          <w:spacing w:val="-1"/>
          <w:sz w:val="24"/>
          <w:szCs w:val="24"/>
          <w:highlight w:val="none"/>
        </w:rPr>
        <w:t>o</w:t>
      </w:r>
      <w:r>
        <w:rPr>
          <w:spacing w:val="-1"/>
          <w:sz w:val="24"/>
          <w:szCs w:val="24"/>
          <w:highlight w:val="none"/>
        </w:rPr>
        <w:t xml:space="preserve">是       </w:t>
      </w:r>
      <w:r>
        <w:rPr>
          <w:position w:val="-4"/>
          <w:sz w:val="24"/>
          <w:szCs w:val="24"/>
          <w:highlight w:val="none"/>
        </w:rPr>
        <w:drawing>
          <wp:inline distT="0" distB="0" distL="0" distR="0">
            <wp:extent cx="122555" cy="1682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
                    <a:stretch>
                      <a:fillRect/>
                    </a:stretch>
                  </pic:blipFill>
                  <pic:spPr>
                    <a:xfrm>
                      <a:off x="0" y="0"/>
                      <a:ext cx="122986" cy="168859"/>
                    </a:xfrm>
                    <a:prstGeom prst="rect">
                      <a:avLst/>
                    </a:prstGeom>
                  </pic:spPr>
                </pic:pic>
              </a:graphicData>
            </a:graphic>
          </wp:inline>
        </w:drawing>
      </w:r>
      <w:r>
        <w:rPr>
          <w:spacing w:val="-1"/>
          <w:sz w:val="24"/>
          <w:szCs w:val="24"/>
          <w:highlight w:val="none"/>
        </w:rPr>
        <w:t>否</w:t>
      </w:r>
    </w:p>
    <w:p w14:paraId="1497811C">
      <w:pPr>
        <w:pStyle w:val="12"/>
        <w:shd w:val="clear"/>
        <w:spacing w:before="118" w:line="219" w:lineRule="auto"/>
        <w:ind w:left="626"/>
        <w:rPr>
          <w:sz w:val="24"/>
          <w:szCs w:val="24"/>
          <w:highlight w:val="none"/>
        </w:rPr>
      </w:pPr>
      <w:r>
        <w:rPr>
          <w:spacing w:val="-2"/>
          <w:sz w:val="24"/>
          <w:szCs w:val="24"/>
          <w:highlight w:val="none"/>
        </w:rPr>
        <w:t>分包主要内容：</w:t>
      </w:r>
      <w:r>
        <w:rPr>
          <w:sz w:val="24"/>
          <w:szCs w:val="24"/>
          <w:highlight w:val="none"/>
          <w:u w:val="single" w:color="auto"/>
        </w:rPr>
        <w:t xml:space="preserve">                                            </w:t>
      </w:r>
    </w:p>
    <w:p w14:paraId="31C84795">
      <w:pPr>
        <w:pStyle w:val="12"/>
        <w:shd w:val="clear"/>
        <w:spacing w:before="112" w:line="304" w:lineRule="auto"/>
        <w:ind w:left="626" w:right="39"/>
        <w:rPr>
          <w:sz w:val="24"/>
          <w:szCs w:val="24"/>
          <w:highlight w:val="none"/>
        </w:rPr>
      </w:pPr>
      <w:r>
        <w:rPr>
          <w:spacing w:val="-1"/>
          <w:sz w:val="24"/>
          <w:szCs w:val="24"/>
          <w:highlight w:val="none"/>
        </w:rPr>
        <w:t>分包供应商/制造商名称（如供应商和制造商不同，请分别填写</w:t>
      </w:r>
      <w:r>
        <w:rPr>
          <w:spacing w:val="7"/>
          <w:sz w:val="24"/>
          <w:szCs w:val="24"/>
          <w:highlight w:val="none"/>
        </w:rPr>
        <w:t>）：</w:t>
      </w:r>
      <w:r>
        <w:rPr>
          <w:sz w:val="24"/>
          <w:szCs w:val="24"/>
          <w:highlight w:val="none"/>
          <w:u w:val="single" w:color="auto"/>
        </w:rPr>
        <w:t xml:space="preserve">     </w:t>
      </w:r>
      <w:r>
        <w:rPr>
          <w:spacing w:val="-4"/>
          <w:sz w:val="24"/>
          <w:szCs w:val="24"/>
          <w:highlight w:val="none"/>
        </w:rPr>
        <w:t>分包供应商/制造商类型（如果供应商和制造商不同，只填写制造商类型</w:t>
      </w:r>
      <w:r>
        <w:rPr>
          <w:spacing w:val="-58"/>
          <w:w w:val="91"/>
          <w:sz w:val="24"/>
          <w:szCs w:val="24"/>
          <w:highlight w:val="none"/>
        </w:rPr>
        <w:t>）：</w:t>
      </w:r>
    </w:p>
    <w:p w14:paraId="3676A83F">
      <w:pPr>
        <w:pStyle w:val="12"/>
        <w:shd w:val="clear"/>
        <w:spacing w:before="1" w:line="239" w:lineRule="auto"/>
        <w:ind w:left="634"/>
        <w:rPr>
          <w:sz w:val="24"/>
          <w:szCs w:val="24"/>
          <w:highlight w:val="none"/>
        </w:rPr>
      </w:pPr>
      <w:r>
        <w:rPr>
          <w:rFonts w:ascii="Wingdings" w:hAnsi="Wingdings" w:eastAsia="Wingdings" w:cs="Wingdings"/>
          <w:spacing w:val="-3"/>
          <w:sz w:val="24"/>
          <w:szCs w:val="24"/>
          <w:highlight w:val="none"/>
        </w:rPr>
        <w:t>o</w:t>
      </w:r>
      <w:r>
        <w:rPr>
          <w:spacing w:val="-3"/>
          <w:sz w:val="24"/>
          <w:szCs w:val="24"/>
          <w:highlight w:val="none"/>
        </w:rPr>
        <w:t xml:space="preserve">大型企业  </w:t>
      </w:r>
      <w:r>
        <w:rPr>
          <w:rFonts w:ascii="Wingdings" w:hAnsi="Wingdings" w:eastAsia="Wingdings" w:cs="Wingdings"/>
          <w:spacing w:val="-3"/>
          <w:sz w:val="24"/>
          <w:szCs w:val="24"/>
          <w:highlight w:val="none"/>
        </w:rPr>
        <w:t>o</w:t>
      </w:r>
      <w:r>
        <w:rPr>
          <w:spacing w:val="-3"/>
          <w:sz w:val="24"/>
          <w:szCs w:val="24"/>
          <w:highlight w:val="none"/>
        </w:rPr>
        <w:t>中型企业</w:t>
      </w:r>
      <w:r>
        <w:rPr>
          <w:spacing w:val="14"/>
          <w:sz w:val="24"/>
          <w:szCs w:val="24"/>
          <w:highlight w:val="none"/>
        </w:rPr>
        <w:t xml:space="preserve">  </w:t>
      </w:r>
      <w:r>
        <w:rPr>
          <w:rFonts w:ascii="Wingdings" w:hAnsi="Wingdings" w:eastAsia="Wingdings" w:cs="Wingdings"/>
          <w:spacing w:val="-3"/>
          <w:sz w:val="24"/>
          <w:szCs w:val="24"/>
          <w:highlight w:val="none"/>
        </w:rPr>
        <w:t>o</w:t>
      </w:r>
      <w:r>
        <w:rPr>
          <w:spacing w:val="-3"/>
          <w:sz w:val="24"/>
          <w:szCs w:val="24"/>
          <w:highlight w:val="none"/>
        </w:rPr>
        <w:t>小微型企业</w:t>
      </w:r>
    </w:p>
    <w:p w14:paraId="695FF387">
      <w:pPr>
        <w:pStyle w:val="12"/>
        <w:shd w:val="clear"/>
        <w:spacing w:before="87"/>
        <w:ind w:left="634"/>
        <w:rPr>
          <w:sz w:val="24"/>
          <w:szCs w:val="24"/>
          <w:highlight w:val="none"/>
        </w:rPr>
      </w:pPr>
      <w:r>
        <w:rPr>
          <w:rFonts w:ascii="Wingdings" w:hAnsi="Wingdings" w:eastAsia="Wingdings" w:cs="Wingdings"/>
          <w:spacing w:val="-3"/>
          <w:sz w:val="24"/>
          <w:szCs w:val="24"/>
          <w:highlight w:val="none"/>
        </w:rPr>
        <w:t>o</w:t>
      </w:r>
      <w:r>
        <w:rPr>
          <w:spacing w:val="-3"/>
          <w:sz w:val="24"/>
          <w:szCs w:val="24"/>
          <w:highlight w:val="none"/>
        </w:rPr>
        <w:t xml:space="preserve">残疾人福利性单位 </w:t>
      </w:r>
      <w:r>
        <w:rPr>
          <w:rFonts w:ascii="Wingdings" w:hAnsi="Wingdings" w:eastAsia="Wingdings" w:cs="Wingdings"/>
          <w:spacing w:val="-3"/>
          <w:sz w:val="24"/>
          <w:szCs w:val="24"/>
          <w:highlight w:val="none"/>
        </w:rPr>
        <w:t>o</w:t>
      </w:r>
      <w:r>
        <w:rPr>
          <w:spacing w:val="-3"/>
          <w:sz w:val="24"/>
          <w:szCs w:val="24"/>
          <w:highlight w:val="none"/>
        </w:rPr>
        <w:t>监狱企业</w:t>
      </w:r>
      <w:r>
        <w:rPr>
          <w:spacing w:val="29"/>
          <w:sz w:val="24"/>
          <w:szCs w:val="24"/>
          <w:highlight w:val="none"/>
        </w:rPr>
        <w:t xml:space="preserve"> </w:t>
      </w:r>
      <w:r>
        <w:rPr>
          <w:rFonts w:ascii="Wingdings" w:hAnsi="Wingdings" w:eastAsia="Wingdings" w:cs="Wingdings"/>
          <w:spacing w:val="-3"/>
          <w:sz w:val="24"/>
          <w:szCs w:val="24"/>
          <w:highlight w:val="none"/>
        </w:rPr>
        <w:t>o</w:t>
      </w:r>
      <w:r>
        <w:rPr>
          <w:spacing w:val="-3"/>
          <w:sz w:val="24"/>
          <w:szCs w:val="24"/>
          <w:highlight w:val="none"/>
        </w:rPr>
        <w:t>其他</w:t>
      </w:r>
    </w:p>
    <w:p w14:paraId="421602B3">
      <w:pPr>
        <w:pStyle w:val="12"/>
        <w:shd w:val="clear"/>
        <w:spacing w:before="88" w:line="239" w:lineRule="auto"/>
        <w:ind w:left="514"/>
        <w:rPr>
          <w:sz w:val="24"/>
          <w:szCs w:val="24"/>
          <w:highlight w:val="none"/>
        </w:rPr>
      </w:pPr>
      <w:r>
        <w:rPr>
          <w:spacing w:val="-1"/>
          <w:sz w:val="24"/>
          <w:szCs w:val="24"/>
          <w:highlight w:val="none"/>
        </w:rPr>
        <w:t>（8）中标（成交）供应商是否为外商投资企业：</w:t>
      </w:r>
      <w:r>
        <w:rPr>
          <w:rFonts w:ascii="Wingdings" w:hAnsi="Wingdings" w:eastAsia="Wingdings" w:cs="Wingdings"/>
          <w:spacing w:val="-1"/>
          <w:sz w:val="24"/>
          <w:szCs w:val="24"/>
          <w:highlight w:val="none"/>
        </w:rPr>
        <w:t>o</w:t>
      </w:r>
      <w:r>
        <w:rPr>
          <w:spacing w:val="-1"/>
          <w:sz w:val="24"/>
          <w:szCs w:val="24"/>
          <w:highlight w:val="none"/>
        </w:rPr>
        <w:t xml:space="preserve">是       </w:t>
      </w:r>
      <w:r>
        <w:rPr>
          <w:rFonts w:ascii="Wingdings" w:hAnsi="Wingdings" w:eastAsia="Wingdings" w:cs="Wingdings"/>
          <w:spacing w:val="-1"/>
          <w:sz w:val="24"/>
          <w:szCs w:val="24"/>
          <w:highlight w:val="none"/>
        </w:rPr>
        <w:t>o</w:t>
      </w:r>
      <w:r>
        <w:rPr>
          <w:spacing w:val="-1"/>
          <w:sz w:val="24"/>
          <w:szCs w:val="24"/>
          <w:highlight w:val="none"/>
        </w:rPr>
        <w:t>否</w:t>
      </w:r>
    </w:p>
    <w:p w14:paraId="3679D88B">
      <w:pPr>
        <w:pStyle w:val="12"/>
        <w:shd w:val="clear"/>
        <w:spacing w:before="91" w:line="239" w:lineRule="auto"/>
        <w:ind w:left="1074"/>
        <w:rPr>
          <w:sz w:val="24"/>
          <w:szCs w:val="24"/>
          <w:highlight w:val="none"/>
        </w:rPr>
      </w:pPr>
      <w:r>
        <w:rPr>
          <w:spacing w:val="-20"/>
          <w:sz w:val="24"/>
          <w:szCs w:val="24"/>
          <w:highlight w:val="none"/>
        </w:rPr>
        <w:t>外商投资企业类型：</w:t>
      </w:r>
      <w:r>
        <w:rPr>
          <w:rFonts w:ascii="Wingdings" w:hAnsi="Wingdings" w:eastAsia="Wingdings" w:cs="Wingdings"/>
          <w:spacing w:val="-20"/>
          <w:sz w:val="24"/>
          <w:szCs w:val="24"/>
          <w:highlight w:val="none"/>
        </w:rPr>
        <w:t>o</w:t>
      </w:r>
      <w:r>
        <w:rPr>
          <w:spacing w:val="-20"/>
          <w:sz w:val="24"/>
          <w:szCs w:val="24"/>
          <w:highlight w:val="none"/>
        </w:rPr>
        <w:t>全部由外国投资者投资</w:t>
      </w:r>
      <w:r>
        <w:rPr>
          <w:spacing w:val="85"/>
          <w:sz w:val="24"/>
          <w:szCs w:val="24"/>
          <w:highlight w:val="none"/>
        </w:rPr>
        <w:t xml:space="preserve"> </w:t>
      </w:r>
      <w:r>
        <w:rPr>
          <w:rFonts w:ascii="Wingdings" w:hAnsi="Wingdings" w:eastAsia="Wingdings" w:cs="Wingdings"/>
          <w:spacing w:val="-20"/>
          <w:sz w:val="24"/>
          <w:szCs w:val="24"/>
          <w:highlight w:val="none"/>
        </w:rPr>
        <w:t>o</w:t>
      </w:r>
      <w:r>
        <w:rPr>
          <w:spacing w:val="-20"/>
          <w:sz w:val="24"/>
          <w:szCs w:val="24"/>
          <w:highlight w:val="none"/>
        </w:rPr>
        <w:t>部分由外国投资者投资</w:t>
      </w:r>
    </w:p>
    <w:p w14:paraId="6CDB7407">
      <w:pPr>
        <w:pStyle w:val="12"/>
        <w:shd w:val="clear"/>
        <w:spacing w:before="100" w:line="219" w:lineRule="auto"/>
        <w:ind w:left="514"/>
        <w:rPr>
          <w:sz w:val="24"/>
          <w:szCs w:val="24"/>
          <w:highlight w:val="none"/>
        </w:rPr>
      </w:pPr>
      <w:r>
        <w:rPr>
          <w:spacing w:val="-2"/>
          <w:sz w:val="24"/>
          <w:szCs w:val="24"/>
          <w:highlight w:val="none"/>
        </w:rPr>
        <w:t>（9）是否涉及进口产品：</w:t>
      </w:r>
    </w:p>
    <w:p w14:paraId="3978B5A7">
      <w:pPr>
        <w:pStyle w:val="12"/>
        <w:shd w:val="clear"/>
        <w:spacing w:before="78" w:line="239" w:lineRule="auto"/>
        <w:ind w:left="634"/>
        <w:rPr>
          <w:sz w:val="24"/>
          <w:szCs w:val="24"/>
          <w:highlight w:val="none"/>
        </w:rPr>
      </w:pPr>
      <w:r>
        <w:rPr>
          <w:rFonts w:ascii="Wingdings" w:hAnsi="Wingdings" w:eastAsia="Wingdings" w:cs="Wingdings"/>
          <w:spacing w:val="-2"/>
          <w:sz w:val="24"/>
          <w:szCs w:val="24"/>
          <w:highlight w:val="none"/>
        </w:rPr>
        <w:t>o</w:t>
      </w:r>
      <w:r>
        <w:rPr>
          <w:spacing w:val="-2"/>
          <w:sz w:val="24"/>
          <w:szCs w:val="24"/>
          <w:highlight w:val="none"/>
        </w:rPr>
        <w:t>是，《政府采购品目分类目录》底级品目</w:t>
      </w:r>
      <w:r>
        <w:rPr>
          <w:spacing w:val="-3"/>
          <w:sz w:val="24"/>
          <w:szCs w:val="24"/>
          <w:highlight w:val="none"/>
        </w:rPr>
        <w:t>名称：</w:t>
      </w:r>
      <w:r>
        <w:rPr>
          <w:spacing w:val="-3"/>
          <w:sz w:val="24"/>
          <w:szCs w:val="24"/>
          <w:highlight w:val="none"/>
          <w:u w:val="single" w:color="auto"/>
        </w:rPr>
        <w:t xml:space="preserve">     </w:t>
      </w:r>
      <w:r>
        <w:rPr>
          <w:spacing w:val="-109"/>
          <w:sz w:val="24"/>
          <w:szCs w:val="24"/>
          <w:highlight w:val="none"/>
        </w:rPr>
        <w:t xml:space="preserve"> </w:t>
      </w:r>
      <w:r>
        <w:rPr>
          <w:spacing w:val="-3"/>
          <w:sz w:val="24"/>
          <w:szCs w:val="24"/>
          <w:highlight w:val="none"/>
        </w:rPr>
        <w:t>金额：</w:t>
      </w:r>
      <w:r>
        <w:rPr>
          <w:spacing w:val="-3"/>
          <w:sz w:val="24"/>
          <w:szCs w:val="24"/>
          <w:highlight w:val="none"/>
          <w:u w:val="single" w:color="auto"/>
        </w:rPr>
        <w:t xml:space="preserve">          </w:t>
      </w:r>
    </w:p>
    <w:p w14:paraId="15D706FA">
      <w:pPr>
        <w:pStyle w:val="12"/>
        <w:shd w:val="clear"/>
        <w:spacing w:before="103" w:line="307" w:lineRule="auto"/>
        <w:ind w:left="634" w:right="14" w:firstLine="564"/>
        <w:rPr>
          <w:spacing w:val="-4"/>
          <w:sz w:val="24"/>
          <w:szCs w:val="24"/>
          <w:highlight w:val="none"/>
          <w:u w:val="single" w:color="auto"/>
        </w:rPr>
      </w:pPr>
      <w:r>
        <w:rPr>
          <w:spacing w:val="-3"/>
          <w:sz w:val="24"/>
          <w:szCs w:val="24"/>
          <w:highlight w:val="none"/>
        </w:rPr>
        <w:t>国别：</w:t>
      </w:r>
      <w:r>
        <w:rPr>
          <w:spacing w:val="-3"/>
          <w:sz w:val="24"/>
          <w:szCs w:val="24"/>
          <w:highlight w:val="none"/>
          <w:u w:val="single" w:color="auto"/>
        </w:rPr>
        <w:t xml:space="preserve">        </w:t>
      </w:r>
      <w:r>
        <w:rPr>
          <w:spacing w:val="29"/>
          <w:sz w:val="24"/>
          <w:szCs w:val="24"/>
          <w:highlight w:val="none"/>
        </w:rPr>
        <w:t xml:space="preserve"> </w:t>
      </w:r>
      <w:r>
        <w:rPr>
          <w:spacing w:val="-3"/>
          <w:sz w:val="24"/>
          <w:szCs w:val="24"/>
          <w:highlight w:val="none"/>
        </w:rPr>
        <w:t>品牌：</w:t>
      </w:r>
      <w:r>
        <w:rPr>
          <w:sz w:val="24"/>
          <w:szCs w:val="24"/>
          <w:highlight w:val="none"/>
          <w:u w:val="single" w:color="auto"/>
        </w:rPr>
        <w:t xml:space="preserve">        </w:t>
      </w:r>
      <w:r>
        <w:rPr>
          <w:spacing w:val="11"/>
          <w:sz w:val="24"/>
          <w:szCs w:val="24"/>
          <w:highlight w:val="none"/>
        </w:rPr>
        <w:t xml:space="preserve"> </w:t>
      </w:r>
      <w:r>
        <w:rPr>
          <w:spacing w:val="-3"/>
          <w:sz w:val="24"/>
          <w:szCs w:val="24"/>
          <w:highlight w:val="none"/>
        </w:rPr>
        <w:t>规格型号：</w:t>
      </w:r>
      <w:r>
        <w:rPr>
          <w:spacing w:val="-3"/>
          <w:sz w:val="24"/>
          <w:szCs w:val="24"/>
          <w:highlight w:val="none"/>
          <w:u w:val="single" w:color="auto"/>
        </w:rPr>
        <w:t xml:space="preserve">                 </w:t>
      </w:r>
      <w:r>
        <w:rPr>
          <w:spacing w:val="-4"/>
          <w:sz w:val="24"/>
          <w:szCs w:val="24"/>
          <w:highlight w:val="none"/>
          <w:u w:val="single" w:color="auto"/>
        </w:rPr>
        <w:t xml:space="preserve">   </w:t>
      </w:r>
    </w:p>
    <w:p w14:paraId="07888E18">
      <w:pPr>
        <w:pStyle w:val="12"/>
        <w:shd w:val="clear"/>
        <w:spacing w:before="103" w:line="307" w:lineRule="auto"/>
        <w:ind w:right="14" w:firstLine="654" w:firstLineChars="300"/>
        <w:rPr>
          <w:sz w:val="24"/>
          <w:szCs w:val="24"/>
          <w:highlight w:val="none"/>
        </w:rPr>
      </w:pPr>
      <w:r>
        <w:rPr>
          <w:rFonts w:ascii="Wingdings" w:hAnsi="Wingdings" w:eastAsia="Wingdings" w:cs="Wingdings"/>
          <w:spacing w:val="-11"/>
          <w:sz w:val="24"/>
          <w:szCs w:val="24"/>
          <w:highlight w:val="none"/>
        </w:rPr>
        <w:sym w:font="Wingdings" w:char="00FE"/>
      </w:r>
      <w:r>
        <w:rPr>
          <w:spacing w:val="-11"/>
          <w:sz w:val="24"/>
          <w:szCs w:val="24"/>
          <w:highlight w:val="none"/>
        </w:rPr>
        <w:t>否</w:t>
      </w:r>
    </w:p>
    <w:p w14:paraId="1B477B1B">
      <w:pPr>
        <w:pStyle w:val="12"/>
        <w:shd w:val="clear"/>
        <w:spacing w:line="219" w:lineRule="auto"/>
        <w:ind w:left="514"/>
        <w:rPr>
          <w:sz w:val="24"/>
          <w:szCs w:val="24"/>
          <w:highlight w:val="none"/>
        </w:rPr>
      </w:pPr>
      <w:r>
        <w:rPr>
          <w:spacing w:val="-2"/>
          <w:sz w:val="24"/>
          <w:szCs w:val="24"/>
          <w:highlight w:val="none"/>
        </w:rPr>
        <w:t>（10）是否涉及节能产品：</w:t>
      </w:r>
    </w:p>
    <w:p w14:paraId="2435C6B6">
      <w:pPr>
        <w:pStyle w:val="12"/>
        <w:shd w:val="clear"/>
        <w:spacing w:before="103" w:line="239" w:lineRule="auto"/>
        <w:ind w:left="514"/>
        <w:rPr>
          <w:sz w:val="24"/>
          <w:szCs w:val="24"/>
          <w:highlight w:val="none"/>
        </w:rPr>
      </w:pPr>
      <w:r>
        <w:rPr>
          <w:rFonts w:ascii="Wingdings" w:hAnsi="Wingdings" w:eastAsia="Wingdings" w:cs="Wingdings"/>
          <w:spacing w:val="-1"/>
          <w:sz w:val="24"/>
          <w:szCs w:val="24"/>
          <w:highlight w:val="none"/>
        </w:rPr>
        <w:t>o</w:t>
      </w:r>
      <w:r>
        <w:rPr>
          <w:spacing w:val="-1"/>
          <w:sz w:val="24"/>
          <w:szCs w:val="24"/>
          <w:highlight w:val="none"/>
        </w:rPr>
        <w:t>是，《节能产品政府采购品目清单》的底级品目名称：</w:t>
      </w:r>
      <w:r>
        <w:rPr>
          <w:sz w:val="24"/>
          <w:szCs w:val="24"/>
          <w:highlight w:val="none"/>
          <w:u w:val="single" w:color="auto"/>
        </w:rPr>
        <w:t xml:space="preserve">               </w:t>
      </w:r>
    </w:p>
    <w:p w14:paraId="091523FA">
      <w:pPr>
        <w:pStyle w:val="12"/>
        <w:shd w:val="clear"/>
        <w:spacing w:before="90" w:line="239" w:lineRule="auto"/>
        <w:ind w:left="1186"/>
        <w:rPr>
          <w:sz w:val="24"/>
          <w:szCs w:val="24"/>
          <w:highlight w:val="none"/>
        </w:rPr>
      </w:pPr>
      <w:r>
        <w:rPr>
          <w:rFonts w:ascii="Wingdings" w:hAnsi="Wingdings" w:eastAsia="Wingdings" w:cs="Wingdings"/>
          <w:spacing w:val="-5"/>
          <w:sz w:val="24"/>
          <w:szCs w:val="24"/>
          <w:highlight w:val="none"/>
        </w:rPr>
        <w:t>o</w:t>
      </w:r>
      <w:r>
        <w:rPr>
          <w:spacing w:val="-5"/>
          <w:sz w:val="24"/>
          <w:szCs w:val="24"/>
          <w:highlight w:val="none"/>
        </w:rPr>
        <w:t>强制采购</w:t>
      </w:r>
      <w:r>
        <w:rPr>
          <w:spacing w:val="3"/>
          <w:sz w:val="24"/>
          <w:szCs w:val="24"/>
          <w:highlight w:val="none"/>
        </w:rPr>
        <w:t xml:space="preserve">       </w:t>
      </w:r>
      <w:r>
        <w:rPr>
          <w:rFonts w:ascii="Wingdings" w:hAnsi="Wingdings" w:eastAsia="Wingdings" w:cs="Wingdings"/>
          <w:spacing w:val="-5"/>
          <w:sz w:val="24"/>
          <w:szCs w:val="24"/>
          <w:highlight w:val="none"/>
        </w:rPr>
        <w:t>o</w:t>
      </w:r>
      <w:r>
        <w:rPr>
          <w:spacing w:val="-5"/>
          <w:sz w:val="24"/>
          <w:szCs w:val="24"/>
          <w:highlight w:val="none"/>
        </w:rPr>
        <w:t>优先采购</w:t>
      </w:r>
    </w:p>
    <w:p w14:paraId="41CAB239">
      <w:pPr>
        <w:pStyle w:val="12"/>
        <w:shd w:val="clear"/>
        <w:spacing w:before="88"/>
        <w:ind w:left="514"/>
        <w:rPr>
          <w:sz w:val="24"/>
          <w:szCs w:val="24"/>
          <w:highlight w:val="none"/>
        </w:rPr>
      </w:pPr>
      <w:r>
        <w:rPr>
          <w:rFonts w:ascii="Wingdings" w:hAnsi="Wingdings" w:eastAsia="Wingdings" w:cs="Wingdings"/>
          <w:spacing w:val="-11"/>
          <w:sz w:val="24"/>
          <w:szCs w:val="24"/>
          <w:highlight w:val="none"/>
        </w:rPr>
        <w:sym w:font="Wingdings" w:char="00FE"/>
      </w:r>
      <w:r>
        <w:rPr>
          <w:spacing w:val="-11"/>
          <w:sz w:val="24"/>
          <w:szCs w:val="24"/>
          <w:highlight w:val="none"/>
        </w:rPr>
        <w:t>否</w:t>
      </w:r>
    </w:p>
    <w:p w14:paraId="0A16A5A3">
      <w:pPr>
        <w:pStyle w:val="12"/>
        <w:shd w:val="clear"/>
        <w:spacing w:before="100" w:line="219" w:lineRule="auto"/>
        <w:ind w:left="507"/>
        <w:rPr>
          <w:sz w:val="24"/>
          <w:szCs w:val="24"/>
          <w:highlight w:val="none"/>
        </w:rPr>
      </w:pPr>
      <w:r>
        <w:rPr>
          <w:spacing w:val="-2"/>
          <w:sz w:val="24"/>
          <w:szCs w:val="24"/>
          <w:highlight w:val="none"/>
        </w:rPr>
        <w:t>是否涉及环境标志产品：</w:t>
      </w:r>
    </w:p>
    <w:p w14:paraId="459F4FF5">
      <w:pPr>
        <w:pStyle w:val="12"/>
        <w:shd w:val="clear"/>
        <w:spacing w:before="104" w:line="239" w:lineRule="auto"/>
        <w:ind w:left="514"/>
        <w:rPr>
          <w:sz w:val="24"/>
          <w:szCs w:val="24"/>
          <w:highlight w:val="none"/>
        </w:rPr>
      </w:pPr>
      <w:r>
        <w:rPr>
          <w:rFonts w:ascii="Wingdings" w:hAnsi="Wingdings" w:eastAsia="Wingdings" w:cs="Wingdings"/>
          <w:spacing w:val="-1"/>
          <w:sz w:val="24"/>
          <w:szCs w:val="24"/>
          <w:highlight w:val="none"/>
        </w:rPr>
        <w:t>o</w:t>
      </w:r>
      <w:r>
        <w:rPr>
          <w:spacing w:val="-1"/>
          <w:sz w:val="24"/>
          <w:szCs w:val="24"/>
          <w:highlight w:val="none"/>
        </w:rPr>
        <w:t>是，《环境标志产品政府采购品目清单》的底级品目名称：</w:t>
      </w:r>
      <w:r>
        <w:rPr>
          <w:sz w:val="24"/>
          <w:szCs w:val="24"/>
          <w:highlight w:val="none"/>
          <w:u w:val="single" w:color="auto"/>
        </w:rPr>
        <w:t xml:space="preserve">           </w:t>
      </w:r>
    </w:p>
    <w:p w14:paraId="536CCA3B">
      <w:pPr>
        <w:pStyle w:val="12"/>
        <w:shd w:val="clear"/>
        <w:spacing w:before="88" w:line="239" w:lineRule="auto"/>
        <w:ind w:left="1186"/>
        <w:rPr>
          <w:sz w:val="24"/>
          <w:szCs w:val="24"/>
          <w:highlight w:val="none"/>
        </w:rPr>
      </w:pPr>
      <w:r>
        <w:rPr>
          <w:rFonts w:ascii="Wingdings" w:hAnsi="Wingdings" w:eastAsia="Wingdings" w:cs="Wingdings"/>
          <w:spacing w:val="-5"/>
          <w:sz w:val="24"/>
          <w:szCs w:val="24"/>
          <w:highlight w:val="none"/>
        </w:rPr>
        <w:t>o</w:t>
      </w:r>
      <w:r>
        <w:rPr>
          <w:spacing w:val="-5"/>
          <w:sz w:val="24"/>
          <w:szCs w:val="24"/>
          <w:highlight w:val="none"/>
        </w:rPr>
        <w:t>强制采购</w:t>
      </w:r>
      <w:r>
        <w:rPr>
          <w:spacing w:val="3"/>
          <w:sz w:val="24"/>
          <w:szCs w:val="24"/>
          <w:highlight w:val="none"/>
        </w:rPr>
        <w:t xml:space="preserve">       </w:t>
      </w:r>
      <w:r>
        <w:rPr>
          <w:rFonts w:ascii="Wingdings" w:hAnsi="Wingdings" w:eastAsia="Wingdings" w:cs="Wingdings"/>
          <w:spacing w:val="-5"/>
          <w:sz w:val="24"/>
          <w:szCs w:val="24"/>
          <w:highlight w:val="none"/>
        </w:rPr>
        <w:t>o</w:t>
      </w:r>
      <w:r>
        <w:rPr>
          <w:spacing w:val="-5"/>
          <w:sz w:val="24"/>
          <w:szCs w:val="24"/>
          <w:highlight w:val="none"/>
        </w:rPr>
        <w:t>优先采购</w:t>
      </w:r>
    </w:p>
    <w:p w14:paraId="4F49B886">
      <w:pPr>
        <w:pStyle w:val="12"/>
        <w:shd w:val="clear"/>
        <w:spacing w:before="90"/>
        <w:ind w:left="514"/>
        <w:rPr>
          <w:sz w:val="24"/>
          <w:szCs w:val="24"/>
          <w:highlight w:val="none"/>
        </w:rPr>
      </w:pPr>
      <w:r>
        <w:rPr>
          <w:rFonts w:ascii="Wingdings" w:hAnsi="Wingdings" w:eastAsia="Wingdings" w:cs="Wingdings"/>
          <w:spacing w:val="-11"/>
          <w:sz w:val="24"/>
          <w:szCs w:val="24"/>
          <w:highlight w:val="none"/>
        </w:rPr>
        <w:sym w:font="Wingdings" w:char="00FE"/>
      </w:r>
      <w:r>
        <w:rPr>
          <w:spacing w:val="-11"/>
          <w:sz w:val="24"/>
          <w:szCs w:val="24"/>
          <w:highlight w:val="none"/>
        </w:rPr>
        <w:t>否</w:t>
      </w:r>
    </w:p>
    <w:p w14:paraId="62A2B271">
      <w:pPr>
        <w:pStyle w:val="12"/>
        <w:shd w:val="clear"/>
        <w:spacing w:before="101" w:line="219" w:lineRule="auto"/>
        <w:ind w:left="507"/>
        <w:rPr>
          <w:sz w:val="24"/>
          <w:szCs w:val="24"/>
          <w:highlight w:val="none"/>
        </w:rPr>
      </w:pPr>
      <w:r>
        <w:rPr>
          <w:spacing w:val="-2"/>
          <w:sz w:val="24"/>
          <w:szCs w:val="24"/>
          <w:highlight w:val="none"/>
        </w:rPr>
        <w:t>是否涉及绿色产品：</w:t>
      </w:r>
    </w:p>
    <w:p w14:paraId="2E03FE5B">
      <w:pPr>
        <w:pStyle w:val="12"/>
        <w:shd w:val="clear"/>
        <w:spacing w:before="101" w:line="239" w:lineRule="auto"/>
        <w:ind w:left="514"/>
        <w:rPr>
          <w:sz w:val="24"/>
          <w:szCs w:val="24"/>
          <w:highlight w:val="none"/>
        </w:rPr>
      </w:pPr>
      <w:r>
        <w:rPr>
          <w:rFonts w:ascii="Wingdings" w:hAnsi="Wingdings" w:eastAsia="Wingdings" w:cs="Wingdings"/>
          <w:spacing w:val="-1"/>
          <w:sz w:val="24"/>
          <w:szCs w:val="24"/>
          <w:highlight w:val="none"/>
        </w:rPr>
        <w:t>o</w:t>
      </w:r>
      <w:r>
        <w:rPr>
          <w:spacing w:val="-1"/>
          <w:sz w:val="24"/>
          <w:szCs w:val="24"/>
          <w:highlight w:val="none"/>
        </w:rPr>
        <w:t>是，绿色产品政府采购相关政策确定的底级品目名称：</w:t>
      </w:r>
      <w:r>
        <w:rPr>
          <w:sz w:val="24"/>
          <w:szCs w:val="24"/>
          <w:highlight w:val="none"/>
          <w:u w:val="single" w:color="auto"/>
        </w:rPr>
        <w:t xml:space="preserve">               </w:t>
      </w:r>
    </w:p>
    <w:p w14:paraId="7CA1050E">
      <w:pPr>
        <w:pStyle w:val="12"/>
        <w:shd w:val="clear"/>
        <w:spacing w:before="90" w:line="239" w:lineRule="auto"/>
        <w:ind w:left="1186"/>
        <w:rPr>
          <w:sz w:val="24"/>
          <w:szCs w:val="24"/>
          <w:highlight w:val="none"/>
        </w:rPr>
      </w:pPr>
      <w:r>
        <w:rPr>
          <w:rFonts w:ascii="Wingdings" w:hAnsi="Wingdings" w:eastAsia="Wingdings" w:cs="Wingdings"/>
          <w:spacing w:val="-5"/>
          <w:sz w:val="24"/>
          <w:szCs w:val="24"/>
          <w:highlight w:val="none"/>
        </w:rPr>
        <w:t>o</w:t>
      </w:r>
      <w:r>
        <w:rPr>
          <w:spacing w:val="-5"/>
          <w:sz w:val="24"/>
          <w:szCs w:val="24"/>
          <w:highlight w:val="none"/>
        </w:rPr>
        <w:t>强制采购</w:t>
      </w:r>
      <w:r>
        <w:rPr>
          <w:spacing w:val="3"/>
          <w:sz w:val="24"/>
          <w:szCs w:val="24"/>
          <w:highlight w:val="none"/>
        </w:rPr>
        <w:t xml:space="preserve">       </w:t>
      </w:r>
      <w:r>
        <w:rPr>
          <w:rFonts w:ascii="Wingdings" w:hAnsi="Wingdings" w:eastAsia="Wingdings" w:cs="Wingdings"/>
          <w:spacing w:val="-5"/>
          <w:sz w:val="24"/>
          <w:szCs w:val="24"/>
          <w:highlight w:val="none"/>
        </w:rPr>
        <w:t>o</w:t>
      </w:r>
      <w:r>
        <w:rPr>
          <w:spacing w:val="-5"/>
          <w:sz w:val="24"/>
          <w:szCs w:val="24"/>
          <w:highlight w:val="none"/>
        </w:rPr>
        <w:t>优先采购</w:t>
      </w:r>
    </w:p>
    <w:p w14:paraId="0ECB0216">
      <w:pPr>
        <w:pStyle w:val="12"/>
        <w:shd w:val="clear"/>
        <w:spacing w:before="91"/>
        <w:ind w:left="514"/>
        <w:rPr>
          <w:sz w:val="24"/>
          <w:szCs w:val="24"/>
          <w:highlight w:val="none"/>
        </w:rPr>
      </w:pPr>
      <w:r>
        <w:rPr>
          <w:rFonts w:ascii="Wingdings" w:hAnsi="Wingdings" w:eastAsia="Wingdings" w:cs="Wingdings"/>
          <w:spacing w:val="-11"/>
          <w:sz w:val="24"/>
          <w:szCs w:val="24"/>
          <w:highlight w:val="none"/>
        </w:rPr>
        <w:sym w:font="Wingdings" w:char="00FE"/>
      </w:r>
      <w:r>
        <w:rPr>
          <w:spacing w:val="-11"/>
          <w:sz w:val="24"/>
          <w:szCs w:val="24"/>
          <w:highlight w:val="none"/>
        </w:rPr>
        <w:t>否</w:t>
      </w:r>
    </w:p>
    <w:p w14:paraId="60F47931">
      <w:pPr>
        <w:pStyle w:val="12"/>
        <w:shd w:val="clear"/>
        <w:spacing w:before="97" w:line="305" w:lineRule="auto"/>
        <w:ind w:left="34" w:right="13" w:firstLine="480"/>
        <w:jc w:val="both"/>
        <w:rPr>
          <w:sz w:val="24"/>
          <w:szCs w:val="24"/>
          <w:highlight w:val="none"/>
        </w:rPr>
      </w:pPr>
      <w:r>
        <w:rPr>
          <w:spacing w:val="-3"/>
          <w:sz w:val="24"/>
          <w:szCs w:val="24"/>
          <w:highlight w:val="none"/>
        </w:rPr>
        <w:t>（11）涉及商品包装和快递包装的，是否参</w:t>
      </w:r>
      <w:r>
        <w:rPr>
          <w:spacing w:val="-4"/>
          <w:sz w:val="24"/>
          <w:szCs w:val="24"/>
          <w:highlight w:val="none"/>
        </w:rPr>
        <w:t>考《商品包装政府采购需求标准</w:t>
      </w:r>
      <w:r>
        <w:rPr>
          <w:spacing w:val="-3"/>
          <w:sz w:val="24"/>
          <w:szCs w:val="24"/>
          <w:highlight w:val="none"/>
        </w:rPr>
        <w:t>（试行）》、《快递包装政府采购需求标准（试行）》</w:t>
      </w:r>
      <w:r>
        <w:rPr>
          <w:spacing w:val="-4"/>
          <w:sz w:val="24"/>
          <w:szCs w:val="24"/>
          <w:highlight w:val="none"/>
        </w:rPr>
        <w:t>明确产品及相关快递服务</w:t>
      </w:r>
      <w:r>
        <w:rPr>
          <w:spacing w:val="-3"/>
          <w:sz w:val="24"/>
          <w:szCs w:val="24"/>
          <w:highlight w:val="none"/>
        </w:rPr>
        <w:t>的具体包装要求：</w:t>
      </w:r>
    </w:p>
    <w:p w14:paraId="69E8EB35">
      <w:pPr>
        <w:pStyle w:val="12"/>
        <w:shd w:val="clear"/>
        <w:ind w:left="514"/>
        <w:rPr>
          <w:sz w:val="24"/>
          <w:szCs w:val="24"/>
          <w:highlight w:val="none"/>
        </w:rPr>
      </w:pPr>
      <w:r>
        <w:rPr>
          <w:rFonts w:ascii="Wingdings" w:hAnsi="Wingdings" w:eastAsia="Wingdings" w:cs="Wingdings"/>
          <w:spacing w:val="-8"/>
          <w:sz w:val="24"/>
          <w:szCs w:val="24"/>
          <w:highlight w:val="none"/>
        </w:rPr>
        <w:sym w:font="Wingdings" w:char="00FE"/>
      </w:r>
      <w:r>
        <w:rPr>
          <w:spacing w:val="-8"/>
          <w:sz w:val="24"/>
          <w:szCs w:val="24"/>
          <w:highlight w:val="none"/>
        </w:rPr>
        <w:t>是</w:t>
      </w:r>
      <w:r>
        <w:rPr>
          <w:spacing w:val="2"/>
          <w:sz w:val="24"/>
          <w:szCs w:val="24"/>
          <w:highlight w:val="none"/>
        </w:rPr>
        <w:t xml:space="preserve">       </w:t>
      </w:r>
      <w:r>
        <w:rPr>
          <w:rFonts w:ascii="Wingdings" w:hAnsi="Wingdings" w:eastAsia="Wingdings" w:cs="Wingdings"/>
          <w:spacing w:val="-8"/>
          <w:sz w:val="24"/>
          <w:szCs w:val="24"/>
          <w:highlight w:val="none"/>
        </w:rPr>
        <w:t>o</w:t>
      </w:r>
      <w:r>
        <w:rPr>
          <w:spacing w:val="-8"/>
          <w:sz w:val="24"/>
          <w:szCs w:val="24"/>
          <w:highlight w:val="none"/>
        </w:rPr>
        <w:t>否</w:t>
      </w:r>
      <w:r>
        <w:rPr>
          <w:spacing w:val="4"/>
          <w:sz w:val="24"/>
          <w:szCs w:val="24"/>
          <w:highlight w:val="none"/>
        </w:rPr>
        <w:t xml:space="preserve">      </w:t>
      </w:r>
      <w:r>
        <w:rPr>
          <w:rFonts w:ascii="Wingdings" w:hAnsi="Wingdings" w:eastAsia="Wingdings" w:cs="Wingdings"/>
          <w:spacing w:val="-8"/>
          <w:sz w:val="24"/>
          <w:szCs w:val="24"/>
          <w:highlight w:val="none"/>
        </w:rPr>
        <w:t>o</w:t>
      </w:r>
      <w:r>
        <w:rPr>
          <w:spacing w:val="-8"/>
          <w:sz w:val="24"/>
          <w:szCs w:val="24"/>
          <w:highlight w:val="none"/>
        </w:rPr>
        <w:t>不涉及</w:t>
      </w:r>
    </w:p>
    <w:p w14:paraId="71CDCDAD">
      <w:pPr>
        <w:pStyle w:val="12"/>
        <w:shd w:val="clear"/>
        <w:spacing w:before="101" w:line="219" w:lineRule="auto"/>
        <w:ind w:left="506"/>
        <w:rPr>
          <w:sz w:val="24"/>
          <w:szCs w:val="24"/>
          <w:highlight w:val="none"/>
        </w:rPr>
      </w:pPr>
      <w:r>
        <w:rPr>
          <w:b/>
          <w:bCs/>
          <w:spacing w:val="-6"/>
          <w:sz w:val="24"/>
          <w:szCs w:val="24"/>
          <w:highlight w:val="none"/>
        </w:rPr>
        <w:t>2.</w:t>
      </w:r>
      <w:r>
        <w:rPr>
          <w:spacing w:val="12"/>
          <w:sz w:val="24"/>
          <w:szCs w:val="24"/>
          <w:highlight w:val="none"/>
        </w:rPr>
        <w:t xml:space="preserve"> </w:t>
      </w:r>
      <w:r>
        <w:rPr>
          <w:b/>
          <w:bCs/>
          <w:spacing w:val="-6"/>
          <w:sz w:val="24"/>
          <w:szCs w:val="24"/>
          <w:highlight w:val="none"/>
        </w:rPr>
        <w:t>合同金额</w:t>
      </w:r>
    </w:p>
    <w:p w14:paraId="6A6E7345">
      <w:pPr>
        <w:pStyle w:val="12"/>
        <w:shd w:val="clear"/>
        <w:spacing w:before="116" w:line="307" w:lineRule="auto"/>
        <w:ind w:left="2065" w:right="40" w:hanging="1551"/>
        <w:rPr>
          <w:sz w:val="24"/>
          <w:szCs w:val="24"/>
          <w:highlight w:val="none"/>
        </w:rPr>
      </w:pPr>
      <w:r>
        <w:rPr>
          <w:sz w:val="24"/>
          <w:szCs w:val="24"/>
          <w:highlight w:val="none"/>
        </w:rPr>
        <w:t>（1）合同金额小写：</w:t>
      </w:r>
      <w:r>
        <w:rPr>
          <w:sz w:val="24"/>
          <w:szCs w:val="24"/>
          <w:highlight w:val="none"/>
          <w:u w:val="single" w:color="auto"/>
        </w:rPr>
        <w:t xml:space="preserve">                        </w:t>
      </w:r>
      <w:r>
        <w:rPr>
          <w:spacing w:val="-1"/>
          <w:sz w:val="24"/>
          <w:szCs w:val="24"/>
          <w:highlight w:val="none"/>
          <w:u w:val="single" w:color="auto"/>
        </w:rPr>
        <w:t xml:space="preserve">                      </w:t>
      </w:r>
      <w:r>
        <w:rPr>
          <w:spacing w:val="-3"/>
          <w:sz w:val="24"/>
          <w:szCs w:val="24"/>
          <w:highlight w:val="none"/>
        </w:rPr>
        <w:t>大写：</w:t>
      </w:r>
      <w:r>
        <w:rPr>
          <w:spacing w:val="-3"/>
          <w:sz w:val="24"/>
          <w:szCs w:val="24"/>
          <w:highlight w:val="none"/>
          <w:u w:val="single" w:color="auto"/>
        </w:rPr>
        <w:t xml:space="preserve">                                               </w:t>
      </w:r>
    </w:p>
    <w:p w14:paraId="597E23AE">
      <w:pPr>
        <w:pStyle w:val="12"/>
        <w:shd w:val="clear"/>
        <w:spacing w:before="1" w:line="219" w:lineRule="auto"/>
        <w:ind w:left="1226"/>
        <w:rPr>
          <w:sz w:val="24"/>
          <w:szCs w:val="24"/>
          <w:highlight w:val="none"/>
        </w:rPr>
      </w:pPr>
      <w:r>
        <w:rPr>
          <w:spacing w:val="-2"/>
          <w:sz w:val="24"/>
          <w:szCs w:val="24"/>
          <w:highlight w:val="none"/>
        </w:rPr>
        <w:t>分包金额（如有）小写：</w:t>
      </w:r>
      <w:r>
        <w:rPr>
          <w:sz w:val="24"/>
          <w:szCs w:val="24"/>
          <w:highlight w:val="none"/>
          <w:u w:val="single" w:color="auto"/>
        </w:rPr>
        <w:t xml:space="preserve">                   </w:t>
      </w:r>
    </w:p>
    <w:p w14:paraId="714BB7EB">
      <w:pPr>
        <w:pStyle w:val="12"/>
        <w:shd w:val="clear"/>
        <w:spacing w:before="116" w:line="307" w:lineRule="auto"/>
        <w:ind w:left="994" w:right="2580" w:firstLine="1071"/>
        <w:rPr>
          <w:sz w:val="24"/>
          <w:szCs w:val="24"/>
          <w:highlight w:val="none"/>
        </w:rPr>
      </w:pPr>
      <w:r>
        <w:rPr>
          <w:spacing w:val="-5"/>
          <w:sz w:val="24"/>
          <w:szCs w:val="24"/>
          <w:highlight w:val="none"/>
        </w:rPr>
        <w:t>大写：</w:t>
      </w:r>
      <w:r>
        <w:rPr>
          <w:sz w:val="24"/>
          <w:szCs w:val="24"/>
          <w:highlight w:val="none"/>
          <w:u w:val="single" w:color="auto"/>
        </w:rPr>
        <w:t xml:space="preserve">                       </w:t>
      </w:r>
      <w:r>
        <w:rPr>
          <w:spacing w:val="-3"/>
          <w:sz w:val="24"/>
          <w:szCs w:val="24"/>
          <w:highlight w:val="none"/>
        </w:rPr>
        <w:t>（注：固定单价合同应填写单价和最高限价）</w:t>
      </w:r>
    </w:p>
    <w:p w14:paraId="0F88BE73">
      <w:pPr>
        <w:pStyle w:val="12"/>
        <w:shd w:val="clear"/>
        <w:spacing w:before="1" w:line="217" w:lineRule="auto"/>
        <w:ind w:left="514"/>
        <w:rPr>
          <w:sz w:val="24"/>
          <w:szCs w:val="24"/>
          <w:highlight w:val="none"/>
        </w:rPr>
      </w:pPr>
      <w:r>
        <w:rPr>
          <w:spacing w:val="-1"/>
          <w:sz w:val="24"/>
          <w:szCs w:val="24"/>
          <w:highlight w:val="none"/>
        </w:rPr>
        <w:t>（2）合同定价方式（采用组合定价方式的，可以勾选多项</w:t>
      </w:r>
      <w:r>
        <w:rPr>
          <w:spacing w:val="2"/>
          <w:sz w:val="24"/>
          <w:szCs w:val="24"/>
          <w:highlight w:val="none"/>
        </w:rPr>
        <w:t>）：</w:t>
      </w:r>
    </w:p>
    <w:p w14:paraId="5768CC49">
      <w:pPr>
        <w:pStyle w:val="12"/>
        <w:shd w:val="clear"/>
        <w:spacing w:before="106" w:line="238" w:lineRule="auto"/>
        <w:ind w:left="1114"/>
        <w:rPr>
          <w:sz w:val="24"/>
          <w:szCs w:val="24"/>
          <w:highlight w:val="none"/>
        </w:rPr>
      </w:pPr>
      <w:r>
        <w:rPr>
          <w:rFonts w:ascii="Wingdings" w:hAnsi="Wingdings" w:eastAsia="Wingdings" w:cs="Wingdings"/>
          <w:spacing w:val="-3"/>
          <w:sz w:val="24"/>
          <w:szCs w:val="24"/>
          <w:highlight w:val="none"/>
        </w:rPr>
        <w:sym w:font="Wingdings" w:char="00FE"/>
      </w:r>
      <w:r>
        <w:rPr>
          <w:spacing w:val="-3"/>
          <w:sz w:val="24"/>
          <w:szCs w:val="24"/>
          <w:highlight w:val="none"/>
        </w:rPr>
        <w:t xml:space="preserve">固定总价 </w:t>
      </w:r>
      <w:r>
        <w:rPr>
          <w:rFonts w:ascii="Wingdings" w:hAnsi="Wingdings" w:eastAsia="Wingdings" w:cs="Wingdings"/>
          <w:spacing w:val="-3"/>
          <w:sz w:val="24"/>
          <w:szCs w:val="24"/>
          <w:highlight w:val="none"/>
        </w:rPr>
        <w:t>o</w:t>
      </w:r>
      <w:r>
        <w:rPr>
          <w:spacing w:val="-3"/>
          <w:sz w:val="24"/>
          <w:szCs w:val="24"/>
          <w:highlight w:val="none"/>
        </w:rPr>
        <w:t xml:space="preserve">固定单价 </w:t>
      </w:r>
      <w:r>
        <w:rPr>
          <w:rFonts w:ascii="Wingdings" w:hAnsi="Wingdings" w:eastAsia="Wingdings" w:cs="Wingdings"/>
          <w:spacing w:val="-3"/>
          <w:sz w:val="24"/>
          <w:szCs w:val="24"/>
          <w:highlight w:val="none"/>
        </w:rPr>
        <w:t>o</w:t>
      </w:r>
      <w:r>
        <w:rPr>
          <w:spacing w:val="-3"/>
          <w:sz w:val="24"/>
          <w:szCs w:val="24"/>
          <w:highlight w:val="none"/>
        </w:rPr>
        <w:t>固定费率</w:t>
      </w:r>
      <w:r>
        <w:rPr>
          <w:spacing w:val="22"/>
          <w:sz w:val="24"/>
          <w:szCs w:val="24"/>
          <w:highlight w:val="none"/>
        </w:rPr>
        <w:t xml:space="preserve"> </w:t>
      </w:r>
      <w:r>
        <w:rPr>
          <w:rFonts w:ascii="Wingdings" w:hAnsi="Wingdings" w:eastAsia="Wingdings" w:cs="Wingdings"/>
          <w:spacing w:val="-3"/>
          <w:sz w:val="24"/>
          <w:szCs w:val="24"/>
          <w:highlight w:val="none"/>
        </w:rPr>
        <w:t>o</w:t>
      </w:r>
      <w:r>
        <w:rPr>
          <w:spacing w:val="-3"/>
          <w:sz w:val="24"/>
          <w:szCs w:val="24"/>
          <w:highlight w:val="none"/>
        </w:rPr>
        <w:t>成本补偿</w:t>
      </w:r>
      <w:r>
        <w:rPr>
          <w:spacing w:val="20"/>
          <w:sz w:val="24"/>
          <w:szCs w:val="24"/>
          <w:highlight w:val="none"/>
        </w:rPr>
        <w:t xml:space="preserve"> </w:t>
      </w:r>
      <w:r>
        <w:rPr>
          <w:rFonts w:ascii="Wingdings" w:hAnsi="Wingdings" w:eastAsia="Wingdings" w:cs="Wingdings"/>
          <w:spacing w:val="-3"/>
          <w:sz w:val="24"/>
          <w:szCs w:val="24"/>
          <w:highlight w:val="none"/>
        </w:rPr>
        <w:t>o</w:t>
      </w:r>
      <w:r>
        <w:rPr>
          <w:spacing w:val="-3"/>
          <w:sz w:val="24"/>
          <w:szCs w:val="24"/>
          <w:highlight w:val="none"/>
        </w:rPr>
        <w:t>绩效激励</w:t>
      </w:r>
      <w:r>
        <w:rPr>
          <w:spacing w:val="20"/>
          <w:sz w:val="24"/>
          <w:szCs w:val="24"/>
          <w:highlight w:val="none"/>
        </w:rPr>
        <w:t xml:space="preserve"> </w:t>
      </w:r>
      <w:r>
        <w:rPr>
          <w:rFonts w:ascii="Wingdings" w:hAnsi="Wingdings" w:eastAsia="Wingdings" w:cs="Wingdings"/>
          <w:spacing w:val="-3"/>
          <w:sz w:val="24"/>
          <w:szCs w:val="24"/>
          <w:highlight w:val="none"/>
        </w:rPr>
        <w:t>o</w:t>
      </w:r>
      <w:r>
        <w:rPr>
          <w:spacing w:val="-3"/>
          <w:sz w:val="24"/>
          <w:szCs w:val="24"/>
          <w:highlight w:val="none"/>
        </w:rPr>
        <w:t>其他</w:t>
      </w:r>
    </w:p>
    <w:p w14:paraId="7A06BCBD">
      <w:pPr>
        <w:pStyle w:val="12"/>
        <w:shd w:val="clear"/>
        <w:spacing w:before="101" w:line="219" w:lineRule="auto"/>
        <w:ind w:left="514"/>
        <w:rPr>
          <w:sz w:val="24"/>
          <w:szCs w:val="24"/>
          <w:highlight w:val="none"/>
        </w:rPr>
      </w:pPr>
      <w:r>
        <w:rPr>
          <w:spacing w:val="-2"/>
          <w:sz w:val="24"/>
          <w:szCs w:val="24"/>
          <w:highlight w:val="none"/>
        </w:rPr>
        <w:t>（3）付款方式（按项目实际勾选填写</w:t>
      </w:r>
      <w:r>
        <w:rPr>
          <w:spacing w:val="6"/>
          <w:sz w:val="24"/>
          <w:szCs w:val="24"/>
          <w:highlight w:val="none"/>
        </w:rPr>
        <w:t>）：</w:t>
      </w:r>
    </w:p>
    <w:p w14:paraId="5EFC241B">
      <w:pPr>
        <w:pStyle w:val="12"/>
        <w:shd w:val="clear"/>
        <w:spacing w:before="105" w:line="239" w:lineRule="auto"/>
        <w:ind w:left="1114"/>
        <w:rPr>
          <w:sz w:val="24"/>
          <w:szCs w:val="24"/>
          <w:highlight w:val="none"/>
        </w:rPr>
      </w:pPr>
      <w:r>
        <w:rPr>
          <w:rFonts w:ascii="Wingdings" w:hAnsi="Wingdings" w:eastAsia="Wingdings" w:cs="Wingdings"/>
          <w:spacing w:val="-4"/>
          <w:sz w:val="24"/>
          <w:szCs w:val="24"/>
          <w:highlight w:val="none"/>
        </w:rPr>
        <w:t>o</w:t>
      </w:r>
      <w:r>
        <w:rPr>
          <w:spacing w:val="-4"/>
          <w:sz w:val="24"/>
          <w:szCs w:val="24"/>
          <w:highlight w:val="none"/>
        </w:rPr>
        <w:t>全额付款：</w:t>
      </w:r>
      <w:r>
        <w:rPr>
          <w:sz w:val="24"/>
          <w:szCs w:val="24"/>
          <w:highlight w:val="none"/>
          <w:u w:val="single" w:color="auto"/>
        </w:rPr>
        <w:t xml:space="preserve">                                                 </w:t>
      </w:r>
    </w:p>
    <w:p w14:paraId="0AA5F205">
      <w:pPr>
        <w:pStyle w:val="12"/>
        <w:shd w:val="clear"/>
        <w:spacing w:before="90" w:line="305" w:lineRule="auto"/>
        <w:ind w:left="24" w:right="16" w:firstLine="1089"/>
        <w:rPr>
          <w:sz w:val="24"/>
          <w:szCs w:val="24"/>
          <w:highlight w:val="none"/>
        </w:rPr>
      </w:pPr>
      <w:r>
        <w:rPr>
          <w:position w:val="-4"/>
          <w:sz w:val="24"/>
          <w:szCs w:val="24"/>
          <w:highlight w:val="none"/>
        </w:rPr>
        <w:drawing>
          <wp:inline distT="0" distB="0" distL="0" distR="0">
            <wp:extent cx="122555" cy="16827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6"/>
                    <a:stretch>
                      <a:fillRect/>
                    </a:stretch>
                  </pic:blipFill>
                  <pic:spPr>
                    <a:xfrm>
                      <a:off x="0" y="0"/>
                      <a:ext cx="122986" cy="168859"/>
                    </a:xfrm>
                    <a:prstGeom prst="rect">
                      <a:avLst/>
                    </a:prstGeom>
                  </pic:spPr>
                </pic:pic>
              </a:graphicData>
            </a:graphic>
          </wp:inline>
        </w:drawing>
      </w:r>
      <w:r>
        <w:rPr>
          <w:spacing w:val="3"/>
          <w:sz w:val="24"/>
          <w:szCs w:val="24"/>
          <w:highlight w:val="none"/>
        </w:rPr>
        <w:t>分期付款：</w:t>
      </w:r>
      <w:r>
        <w:rPr>
          <w:spacing w:val="3"/>
          <w:sz w:val="24"/>
          <w:szCs w:val="24"/>
          <w:highlight w:val="none"/>
          <w:u w:val="single" w:color="auto"/>
        </w:rPr>
        <w:t>合同签订</w:t>
      </w:r>
      <w:r>
        <w:rPr>
          <w:rFonts w:hint="eastAsia"/>
          <w:spacing w:val="3"/>
          <w:sz w:val="24"/>
          <w:szCs w:val="24"/>
          <w:highlight w:val="none"/>
          <w:u w:val="single" w:color="auto"/>
          <w:lang w:val="en-US" w:eastAsia="zh-CN"/>
        </w:rPr>
        <w:t>生效</w:t>
      </w:r>
      <w:r>
        <w:rPr>
          <w:spacing w:val="3"/>
          <w:sz w:val="24"/>
          <w:szCs w:val="24"/>
          <w:highlight w:val="none"/>
          <w:u w:val="single" w:color="auto"/>
        </w:rPr>
        <w:t>后支付合同金额的</w:t>
      </w:r>
      <w:r>
        <w:rPr>
          <w:spacing w:val="-41"/>
          <w:sz w:val="24"/>
          <w:szCs w:val="24"/>
          <w:highlight w:val="none"/>
          <w:u w:val="single" w:color="auto"/>
        </w:rPr>
        <w:t xml:space="preserve"> </w:t>
      </w:r>
      <w:r>
        <w:rPr>
          <w:spacing w:val="3"/>
          <w:sz w:val="24"/>
          <w:szCs w:val="24"/>
          <w:highlight w:val="none"/>
          <w:u w:val="single" w:color="auto"/>
        </w:rPr>
        <w:t>50%，所有产品到货且验收</w:t>
      </w:r>
      <w:r>
        <w:rPr>
          <w:spacing w:val="-1"/>
          <w:sz w:val="24"/>
          <w:szCs w:val="24"/>
          <w:highlight w:val="none"/>
          <w:u w:val="single" w:color="auto"/>
        </w:rPr>
        <w:t>合格后</w:t>
      </w:r>
      <w:r>
        <w:rPr>
          <w:rFonts w:hint="eastAsia"/>
          <w:spacing w:val="-1"/>
          <w:sz w:val="24"/>
          <w:szCs w:val="24"/>
          <w:highlight w:val="none"/>
          <w:u w:val="single" w:color="auto"/>
          <w:lang w:val="en-US" w:eastAsia="zh-CN"/>
        </w:rPr>
        <w:t xml:space="preserve">  个工作日内</w:t>
      </w:r>
      <w:r>
        <w:rPr>
          <w:spacing w:val="-1"/>
          <w:sz w:val="24"/>
          <w:szCs w:val="24"/>
          <w:highlight w:val="none"/>
          <w:u w:val="single" w:color="auto"/>
        </w:rPr>
        <w:t>支付合同金额的</w:t>
      </w:r>
      <w:r>
        <w:rPr>
          <w:spacing w:val="-46"/>
          <w:sz w:val="24"/>
          <w:szCs w:val="24"/>
          <w:highlight w:val="none"/>
          <w:u w:val="single" w:color="auto"/>
        </w:rPr>
        <w:t xml:space="preserve"> </w:t>
      </w:r>
      <w:r>
        <w:rPr>
          <w:spacing w:val="-1"/>
          <w:sz w:val="24"/>
          <w:szCs w:val="24"/>
          <w:highlight w:val="none"/>
          <w:u w:val="single" w:color="auto"/>
        </w:rPr>
        <w:t>50%</w:t>
      </w:r>
      <w:r>
        <w:rPr>
          <w:spacing w:val="-1"/>
          <w:sz w:val="24"/>
          <w:szCs w:val="24"/>
          <w:highlight w:val="none"/>
        </w:rPr>
        <w:t>，其中涉及预付</w:t>
      </w:r>
      <w:r>
        <w:rPr>
          <w:spacing w:val="-2"/>
          <w:sz w:val="24"/>
          <w:szCs w:val="24"/>
          <w:highlight w:val="none"/>
        </w:rPr>
        <w:t>款的：</w:t>
      </w:r>
      <w:r>
        <w:rPr>
          <w:sz w:val="24"/>
          <w:szCs w:val="24"/>
          <w:highlight w:val="none"/>
          <w:u w:val="single" w:color="auto"/>
        </w:rPr>
        <w:t xml:space="preserve">                 </w:t>
      </w:r>
    </w:p>
    <w:p w14:paraId="5146300B">
      <w:pPr>
        <w:pStyle w:val="12"/>
        <w:shd w:val="clear"/>
        <w:spacing w:before="5" w:line="239" w:lineRule="auto"/>
        <w:ind w:left="1114"/>
        <w:rPr>
          <w:sz w:val="24"/>
          <w:szCs w:val="24"/>
          <w:highlight w:val="none"/>
        </w:rPr>
      </w:pPr>
      <w:r>
        <w:rPr>
          <w:rFonts w:ascii="Wingdings" w:hAnsi="Wingdings" w:eastAsia="Wingdings" w:cs="Wingdings"/>
          <w:spacing w:val="-4"/>
          <w:sz w:val="24"/>
          <w:szCs w:val="24"/>
          <w:highlight w:val="none"/>
        </w:rPr>
        <w:t>o</w:t>
      </w:r>
      <w:r>
        <w:rPr>
          <w:spacing w:val="-4"/>
          <w:sz w:val="24"/>
          <w:szCs w:val="24"/>
          <w:highlight w:val="none"/>
        </w:rPr>
        <w:t>成本补偿：</w:t>
      </w:r>
      <w:r>
        <w:rPr>
          <w:sz w:val="24"/>
          <w:szCs w:val="24"/>
          <w:highlight w:val="none"/>
          <w:u w:val="single" w:color="auto"/>
        </w:rPr>
        <w:t xml:space="preserve">                                                 </w:t>
      </w:r>
    </w:p>
    <w:p w14:paraId="4CDCF35F">
      <w:pPr>
        <w:pStyle w:val="12"/>
        <w:shd w:val="clear"/>
        <w:spacing w:before="91" w:line="239" w:lineRule="auto"/>
        <w:ind w:left="1114"/>
        <w:rPr>
          <w:sz w:val="24"/>
          <w:szCs w:val="24"/>
          <w:highlight w:val="none"/>
        </w:rPr>
      </w:pPr>
      <w:r>
        <w:rPr>
          <w:rFonts w:ascii="Wingdings" w:hAnsi="Wingdings" w:eastAsia="Wingdings" w:cs="Wingdings"/>
          <w:spacing w:val="-4"/>
          <w:sz w:val="24"/>
          <w:szCs w:val="24"/>
          <w:highlight w:val="none"/>
        </w:rPr>
        <w:t>o</w:t>
      </w:r>
      <w:r>
        <w:rPr>
          <w:spacing w:val="-4"/>
          <w:sz w:val="24"/>
          <w:szCs w:val="24"/>
          <w:highlight w:val="none"/>
        </w:rPr>
        <w:t>绩效激励：</w:t>
      </w:r>
      <w:r>
        <w:rPr>
          <w:sz w:val="24"/>
          <w:szCs w:val="24"/>
          <w:highlight w:val="none"/>
          <w:u w:val="single" w:color="auto"/>
        </w:rPr>
        <w:t xml:space="preserve">                                                 </w:t>
      </w:r>
    </w:p>
    <w:p w14:paraId="7F798897">
      <w:pPr>
        <w:pStyle w:val="12"/>
        <w:shd w:val="clear"/>
        <w:spacing w:before="99" w:line="220" w:lineRule="auto"/>
        <w:ind w:left="508"/>
        <w:rPr>
          <w:sz w:val="24"/>
          <w:szCs w:val="24"/>
          <w:highlight w:val="none"/>
        </w:rPr>
      </w:pPr>
      <w:r>
        <w:rPr>
          <w:b/>
          <w:bCs/>
          <w:spacing w:val="-6"/>
          <w:sz w:val="24"/>
          <w:szCs w:val="24"/>
          <w:highlight w:val="none"/>
        </w:rPr>
        <w:t>3.</w:t>
      </w:r>
      <w:r>
        <w:rPr>
          <w:spacing w:val="10"/>
          <w:sz w:val="24"/>
          <w:szCs w:val="24"/>
          <w:highlight w:val="none"/>
        </w:rPr>
        <w:t xml:space="preserve"> </w:t>
      </w:r>
      <w:r>
        <w:rPr>
          <w:b/>
          <w:bCs/>
          <w:spacing w:val="-6"/>
          <w:sz w:val="24"/>
          <w:szCs w:val="24"/>
          <w:highlight w:val="none"/>
        </w:rPr>
        <w:t>合同履行</w:t>
      </w:r>
    </w:p>
    <w:p w14:paraId="453CA216">
      <w:pPr>
        <w:pStyle w:val="12"/>
        <w:shd w:val="clear"/>
        <w:spacing w:before="78" w:line="219" w:lineRule="auto"/>
        <w:ind w:left="514"/>
        <w:rPr>
          <w:sz w:val="24"/>
          <w:szCs w:val="24"/>
          <w:highlight w:val="none"/>
        </w:rPr>
      </w:pPr>
      <w:r>
        <w:rPr>
          <w:spacing w:val="-5"/>
          <w:sz w:val="24"/>
          <w:szCs w:val="24"/>
          <w:highlight w:val="none"/>
        </w:rPr>
        <w:t>（1）起始日期：</w:t>
      </w:r>
      <w:r>
        <w:rPr>
          <w:spacing w:val="-5"/>
          <w:sz w:val="24"/>
          <w:szCs w:val="24"/>
          <w:highlight w:val="none"/>
          <w:u w:val="single" w:color="auto"/>
        </w:rPr>
        <w:t xml:space="preserve">    </w:t>
      </w:r>
      <w:r>
        <w:rPr>
          <w:spacing w:val="-109"/>
          <w:sz w:val="24"/>
          <w:szCs w:val="24"/>
          <w:highlight w:val="none"/>
        </w:rPr>
        <w:t xml:space="preserve"> </w:t>
      </w:r>
      <w:r>
        <w:rPr>
          <w:spacing w:val="-5"/>
          <w:sz w:val="24"/>
          <w:szCs w:val="24"/>
          <w:highlight w:val="none"/>
        </w:rPr>
        <w:t>年</w:t>
      </w:r>
      <w:r>
        <w:rPr>
          <w:spacing w:val="-5"/>
          <w:sz w:val="24"/>
          <w:szCs w:val="24"/>
          <w:highlight w:val="none"/>
          <w:u w:val="single" w:color="auto"/>
        </w:rPr>
        <w:t xml:space="preserve">   </w:t>
      </w:r>
      <w:r>
        <w:rPr>
          <w:spacing w:val="-105"/>
          <w:sz w:val="24"/>
          <w:szCs w:val="24"/>
          <w:highlight w:val="none"/>
        </w:rPr>
        <w:t xml:space="preserve"> </w:t>
      </w:r>
      <w:r>
        <w:rPr>
          <w:spacing w:val="-5"/>
          <w:sz w:val="24"/>
          <w:szCs w:val="24"/>
          <w:highlight w:val="none"/>
        </w:rPr>
        <w:t>月</w:t>
      </w:r>
      <w:r>
        <w:rPr>
          <w:spacing w:val="-5"/>
          <w:sz w:val="24"/>
          <w:szCs w:val="24"/>
          <w:highlight w:val="none"/>
          <w:u w:val="single" w:color="auto"/>
        </w:rPr>
        <w:t xml:space="preserve">   </w:t>
      </w:r>
      <w:r>
        <w:rPr>
          <w:spacing w:val="-69"/>
          <w:sz w:val="24"/>
          <w:szCs w:val="24"/>
          <w:highlight w:val="none"/>
        </w:rPr>
        <w:t xml:space="preserve"> </w:t>
      </w:r>
      <w:r>
        <w:rPr>
          <w:spacing w:val="-5"/>
          <w:sz w:val="24"/>
          <w:szCs w:val="24"/>
          <w:highlight w:val="none"/>
        </w:rPr>
        <w:t>日，完成日期：</w:t>
      </w:r>
      <w:r>
        <w:rPr>
          <w:spacing w:val="-5"/>
          <w:sz w:val="24"/>
          <w:szCs w:val="24"/>
          <w:highlight w:val="none"/>
          <w:u w:val="single" w:color="auto"/>
        </w:rPr>
        <w:t xml:space="preserve">    </w:t>
      </w:r>
      <w:r>
        <w:rPr>
          <w:spacing w:val="-110"/>
          <w:sz w:val="24"/>
          <w:szCs w:val="24"/>
          <w:highlight w:val="none"/>
        </w:rPr>
        <w:t xml:space="preserve"> </w:t>
      </w:r>
      <w:r>
        <w:rPr>
          <w:spacing w:val="-5"/>
          <w:sz w:val="24"/>
          <w:szCs w:val="24"/>
          <w:highlight w:val="none"/>
        </w:rPr>
        <w:t>年</w:t>
      </w:r>
      <w:r>
        <w:rPr>
          <w:sz w:val="24"/>
          <w:szCs w:val="24"/>
          <w:highlight w:val="none"/>
          <w:u w:val="single" w:color="auto"/>
        </w:rPr>
        <w:t xml:space="preserve">   </w:t>
      </w:r>
      <w:r>
        <w:rPr>
          <w:spacing w:val="-105"/>
          <w:sz w:val="24"/>
          <w:szCs w:val="24"/>
          <w:highlight w:val="none"/>
        </w:rPr>
        <w:t xml:space="preserve"> </w:t>
      </w:r>
      <w:r>
        <w:rPr>
          <w:spacing w:val="-5"/>
          <w:sz w:val="24"/>
          <w:szCs w:val="24"/>
          <w:highlight w:val="none"/>
        </w:rPr>
        <w:t>月</w:t>
      </w:r>
      <w:r>
        <w:rPr>
          <w:sz w:val="24"/>
          <w:szCs w:val="24"/>
          <w:highlight w:val="none"/>
          <w:u w:val="single" w:color="auto"/>
        </w:rPr>
        <w:t xml:space="preserve">   </w:t>
      </w:r>
      <w:r>
        <w:rPr>
          <w:spacing w:val="-69"/>
          <w:sz w:val="24"/>
          <w:szCs w:val="24"/>
          <w:highlight w:val="none"/>
        </w:rPr>
        <w:t xml:space="preserve"> </w:t>
      </w:r>
      <w:r>
        <w:rPr>
          <w:spacing w:val="-5"/>
          <w:sz w:val="24"/>
          <w:szCs w:val="24"/>
          <w:highlight w:val="none"/>
        </w:rPr>
        <w:t>日。</w:t>
      </w:r>
    </w:p>
    <w:p w14:paraId="3C9CE171">
      <w:pPr>
        <w:pStyle w:val="12"/>
        <w:shd w:val="clear"/>
        <w:spacing w:before="115" w:line="220" w:lineRule="auto"/>
        <w:ind w:left="514"/>
        <w:rPr>
          <w:sz w:val="24"/>
          <w:szCs w:val="24"/>
          <w:highlight w:val="none"/>
        </w:rPr>
      </w:pPr>
      <w:r>
        <w:rPr>
          <w:spacing w:val="-2"/>
          <w:sz w:val="24"/>
          <w:szCs w:val="24"/>
          <w:highlight w:val="none"/>
        </w:rPr>
        <w:t>（2）履约地点：</w:t>
      </w:r>
      <w:r>
        <w:rPr>
          <w:spacing w:val="-2"/>
          <w:sz w:val="24"/>
          <w:szCs w:val="24"/>
          <w:highlight w:val="none"/>
          <w:u w:val="single" w:color="auto"/>
        </w:rPr>
        <w:t>甲方指定地点</w:t>
      </w:r>
      <w:r>
        <w:rPr>
          <w:sz w:val="24"/>
          <w:szCs w:val="24"/>
          <w:highlight w:val="none"/>
          <w:u w:val="single" w:color="auto"/>
        </w:rPr>
        <w:t xml:space="preserve">                            </w:t>
      </w:r>
    </w:p>
    <w:p w14:paraId="7DF061A0">
      <w:pPr>
        <w:pStyle w:val="12"/>
        <w:shd w:val="clear"/>
        <w:spacing w:before="103" w:line="227" w:lineRule="auto"/>
        <w:ind w:left="514"/>
        <w:rPr>
          <w:sz w:val="24"/>
          <w:szCs w:val="24"/>
          <w:highlight w:val="none"/>
        </w:rPr>
      </w:pPr>
      <w:r>
        <w:rPr>
          <w:sz w:val="24"/>
          <w:szCs w:val="24"/>
          <w:highlight w:val="none"/>
        </w:rPr>
        <w:t>（3）履约担保：是否收取履约保证金：</w:t>
      </w:r>
      <w:r>
        <w:rPr>
          <w:rFonts w:ascii="Wingdings" w:hAnsi="Wingdings" w:eastAsia="Wingdings" w:cs="Wingdings"/>
          <w:sz w:val="24"/>
          <w:szCs w:val="24"/>
          <w:highlight w:val="none"/>
        </w:rPr>
        <w:t>o</w:t>
      </w:r>
      <w:r>
        <w:rPr>
          <w:sz w:val="24"/>
          <w:szCs w:val="24"/>
          <w:highlight w:val="none"/>
        </w:rPr>
        <w:t xml:space="preserve">是   </w:t>
      </w:r>
      <w:r>
        <w:rPr>
          <w:spacing w:val="-1"/>
          <w:sz w:val="24"/>
          <w:szCs w:val="24"/>
          <w:highlight w:val="none"/>
        </w:rPr>
        <w:t xml:space="preserve"> </w:t>
      </w:r>
      <w:r>
        <w:rPr>
          <w:position w:val="-4"/>
          <w:sz w:val="24"/>
          <w:szCs w:val="24"/>
          <w:highlight w:val="none"/>
        </w:rPr>
        <w:drawing>
          <wp:inline distT="0" distB="0" distL="0" distR="0">
            <wp:extent cx="122555" cy="1682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6"/>
                    <a:stretch>
                      <a:fillRect/>
                    </a:stretch>
                  </pic:blipFill>
                  <pic:spPr>
                    <a:xfrm>
                      <a:off x="0" y="0"/>
                      <a:ext cx="122986" cy="168859"/>
                    </a:xfrm>
                    <a:prstGeom prst="rect">
                      <a:avLst/>
                    </a:prstGeom>
                  </pic:spPr>
                </pic:pic>
              </a:graphicData>
            </a:graphic>
          </wp:inline>
        </w:drawing>
      </w:r>
      <w:r>
        <w:rPr>
          <w:spacing w:val="-1"/>
          <w:sz w:val="24"/>
          <w:szCs w:val="24"/>
          <w:highlight w:val="none"/>
        </w:rPr>
        <w:t>否</w:t>
      </w:r>
    </w:p>
    <w:p w14:paraId="384F02D7">
      <w:pPr>
        <w:pStyle w:val="12"/>
        <w:shd w:val="clear"/>
        <w:spacing w:before="115" w:line="219" w:lineRule="auto"/>
        <w:ind w:left="1111"/>
        <w:rPr>
          <w:sz w:val="24"/>
          <w:szCs w:val="24"/>
          <w:highlight w:val="none"/>
        </w:rPr>
      </w:pPr>
      <w:r>
        <w:rPr>
          <w:spacing w:val="-2"/>
          <w:sz w:val="24"/>
          <w:szCs w:val="24"/>
          <w:highlight w:val="none"/>
        </w:rPr>
        <w:t>收取履约保证金形式：</w:t>
      </w:r>
      <w:r>
        <w:rPr>
          <w:sz w:val="24"/>
          <w:szCs w:val="24"/>
          <w:highlight w:val="none"/>
          <w:u w:val="single" w:color="auto"/>
        </w:rPr>
        <w:t xml:space="preserve">                            </w:t>
      </w:r>
    </w:p>
    <w:p w14:paraId="742EC1AA">
      <w:pPr>
        <w:pStyle w:val="12"/>
        <w:shd w:val="clear"/>
        <w:spacing w:before="116" w:line="219" w:lineRule="auto"/>
        <w:ind w:left="1111"/>
        <w:rPr>
          <w:sz w:val="24"/>
          <w:szCs w:val="24"/>
          <w:highlight w:val="none"/>
        </w:rPr>
      </w:pPr>
      <w:r>
        <w:rPr>
          <w:spacing w:val="-2"/>
          <w:sz w:val="24"/>
          <w:szCs w:val="24"/>
          <w:highlight w:val="none"/>
        </w:rPr>
        <w:t>收取履约保证金金额：</w:t>
      </w:r>
      <w:r>
        <w:rPr>
          <w:sz w:val="24"/>
          <w:szCs w:val="24"/>
          <w:highlight w:val="none"/>
          <w:u w:val="single" w:color="auto"/>
        </w:rPr>
        <w:t xml:space="preserve">                            </w:t>
      </w:r>
    </w:p>
    <w:p w14:paraId="03D98040">
      <w:pPr>
        <w:pStyle w:val="12"/>
        <w:shd w:val="clear"/>
        <w:spacing w:before="115" w:line="220" w:lineRule="auto"/>
        <w:ind w:left="1107"/>
        <w:rPr>
          <w:sz w:val="24"/>
          <w:szCs w:val="24"/>
          <w:highlight w:val="none"/>
        </w:rPr>
      </w:pPr>
      <w:r>
        <w:rPr>
          <w:spacing w:val="-2"/>
          <w:sz w:val="24"/>
          <w:szCs w:val="24"/>
          <w:highlight w:val="none"/>
        </w:rPr>
        <w:t>履约担保期限：</w:t>
      </w:r>
      <w:r>
        <w:rPr>
          <w:sz w:val="24"/>
          <w:szCs w:val="24"/>
          <w:highlight w:val="none"/>
          <w:u w:val="single" w:color="auto"/>
        </w:rPr>
        <w:t xml:space="preserve">                                  </w:t>
      </w:r>
    </w:p>
    <w:p w14:paraId="52E7B941">
      <w:pPr>
        <w:pStyle w:val="12"/>
        <w:shd w:val="clear"/>
        <w:spacing w:before="113" w:line="220" w:lineRule="auto"/>
        <w:ind w:left="514"/>
        <w:rPr>
          <w:sz w:val="24"/>
          <w:szCs w:val="24"/>
          <w:highlight w:val="none"/>
        </w:rPr>
      </w:pPr>
      <w:r>
        <w:rPr>
          <w:spacing w:val="-2"/>
          <w:sz w:val="24"/>
          <w:szCs w:val="24"/>
          <w:highlight w:val="none"/>
        </w:rPr>
        <w:t>（4）分期履行要求：</w:t>
      </w:r>
      <w:r>
        <w:rPr>
          <w:spacing w:val="-2"/>
          <w:sz w:val="24"/>
          <w:szCs w:val="24"/>
          <w:highlight w:val="none"/>
          <w:u w:val="single" w:color="auto"/>
        </w:rPr>
        <w:t xml:space="preserve">                                             </w:t>
      </w:r>
      <w:r>
        <w:rPr>
          <w:spacing w:val="-3"/>
          <w:sz w:val="24"/>
          <w:szCs w:val="24"/>
          <w:highlight w:val="none"/>
          <w:u w:val="single" w:color="auto"/>
        </w:rPr>
        <w:t xml:space="preserve">  </w:t>
      </w:r>
    </w:p>
    <w:p w14:paraId="3F77CBD1">
      <w:pPr>
        <w:pStyle w:val="12"/>
        <w:shd w:val="clear"/>
        <w:spacing w:before="115" w:line="219" w:lineRule="auto"/>
        <w:ind w:left="514"/>
        <w:rPr>
          <w:sz w:val="24"/>
          <w:szCs w:val="24"/>
          <w:highlight w:val="none"/>
        </w:rPr>
      </w:pPr>
      <w:r>
        <w:rPr>
          <w:spacing w:val="-2"/>
          <w:sz w:val="24"/>
          <w:szCs w:val="24"/>
          <w:highlight w:val="none"/>
        </w:rPr>
        <w:t>（5）风险处置措施和替代方案：</w:t>
      </w:r>
      <w:r>
        <w:rPr>
          <w:spacing w:val="-2"/>
          <w:sz w:val="24"/>
          <w:szCs w:val="24"/>
          <w:highlight w:val="none"/>
          <w:u w:val="single" w:color="auto"/>
        </w:rPr>
        <w:t xml:space="preserve">                         </w:t>
      </w:r>
      <w:r>
        <w:rPr>
          <w:spacing w:val="-3"/>
          <w:sz w:val="24"/>
          <w:szCs w:val="24"/>
          <w:highlight w:val="none"/>
          <w:u w:val="single" w:color="auto"/>
        </w:rPr>
        <w:t xml:space="preserve">            </w:t>
      </w:r>
    </w:p>
    <w:p w14:paraId="1D3D61A3">
      <w:pPr>
        <w:pStyle w:val="12"/>
        <w:shd w:val="clear"/>
        <w:spacing w:before="116" w:line="219" w:lineRule="auto"/>
        <w:ind w:left="502"/>
        <w:rPr>
          <w:sz w:val="24"/>
          <w:szCs w:val="24"/>
          <w:highlight w:val="none"/>
        </w:rPr>
      </w:pPr>
      <w:r>
        <w:rPr>
          <w:b/>
          <w:bCs/>
          <w:spacing w:val="-3"/>
          <w:sz w:val="24"/>
          <w:szCs w:val="24"/>
          <w:highlight w:val="none"/>
        </w:rPr>
        <w:t>4.</w:t>
      </w:r>
      <w:r>
        <w:rPr>
          <w:spacing w:val="-3"/>
          <w:sz w:val="24"/>
          <w:szCs w:val="24"/>
          <w:highlight w:val="none"/>
        </w:rPr>
        <w:t xml:space="preserve"> </w:t>
      </w:r>
      <w:r>
        <w:rPr>
          <w:b/>
          <w:bCs/>
          <w:spacing w:val="-3"/>
          <w:sz w:val="24"/>
          <w:szCs w:val="24"/>
          <w:highlight w:val="none"/>
        </w:rPr>
        <w:t>合同验收</w:t>
      </w:r>
    </w:p>
    <w:p w14:paraId="4A691CEE">
      <w:pPr>
        <w:pStyle w:val="12"/>
        <w:shd w:val="clear"/>
        <w:spacing w:before="102" w:line="227" w:lineRule="auto"/>
        <w:ind w:left="514"/>
        <w:rPr>
          <w:sz w:val="24"/>
          <w:szCs w:val="24"/>
          <w:highlight w:val="none"/>
        </w:rPr>
      </w:pPr>
      <w:r>
        <w:rPr>
          <w:spacing w:val="-1"/>
          <w:sz w:val="24"/>
          <w:szCs w:val="24"/>
          <w:highlight w:val="none"/>
        </w:rPr>
        <w:t>（1）验收组织方式：</w:t>
      </w:r>
      <w:r>
        <w:rPr>
          <w:spacing w:val="-100"/>
          <w:sz w:val="24"/>
          <w:szCs w:val="24"/>
          <w:highlight w:val="none"/>
        </w:rPr>
        <w:t xml:space="preserve"> </w:t>
      </w:r>
      <w:r>
        <w:rPr>
          <w:position w:val="-4"/>
          <w:sz w:val="24"/>
          <w:szCs w:val="24"/>
          <w:highlight w:val="none"/>
        </w:rPr>
        <w:drawing>
          <wp:inline distT="0" distB="0" distL="0" distR="0">
            <wp:extent cx="122555" cy="16827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6"/>
                    <a:stretch>
                      <a:fillRect/>
                    </a:stretch>
                  </pic:blipFill>
                  <pic:spPr>
                    <a:xfrm>
                      <a:off x="0" y="0"/>
                      <a:ext cx="122986" cy="168859"/>
                    </a:xfrm>
                    <a:prstGeom prst="rect">
                      <a:avLst/>
                    </a:prstGeom>
                  </pic:spPr>
                </pic:pic>
              </a:graphicData>
            </a:graphic>
          </wp:inline>
        </w:drawing>
      </w:r>
      <w:r>
        <w:rPr>
          <w:spacing w:val="-1"/>
          <w:sz w:val="24"/>
          <w:szCs w:val="24"/>
          <w:highlight w:val="none"/>
        </w:rPr>
        <w:t xml:space="preserve">自行组织 </w:t>
      </w:r>
      <w:r>
        <w:rPr>
          <w:rFonts w:ascii="Wingdings" w:hAnsi="Wingdings" w:eastAsia="Wingdings" w:cs="Wingdings"/>
          <w:spacing w:val="-1"/>
          <w:sz w:val="24"/>
          <w:szCs w:val="24"/>
          <w:highlight w:val="none"/>
        </w:rPr>
        <w:t>o</w:t>
      </w:r>
      <w:r>
        <w:rPr>
          <w:spacing w:val="-1"/>
          <w:sz w:val="24"/>
          <w:szCs w:val="24"/>
          <w:highlight w:val="none"/>
        </w:rPr>
        <w:t>委托第三方</w:t>
      </w:r>
      <w:r>
        <w:rPr>
          <w:spacing w:val="-2"/>
          <w:sz w:val="24"/>
          <w:szCs w:val="24"/>
          <w:highlight w:val="none"/>
        </w:rPr>
        <w:t>组织</w:t>
      </w:r>
    </w:p>
    <w:p w14:paraId="23596600">
      <w:pPr>
        <w:pStyle w:val="12"/>
        <w:shd w:val="clear"/>
        <w:spacing w:before="117" w:line="219" w:lineRule="auto"/>
        <w:ind w:left="1102"/>
        <w:rPr>
          <w:sz w:val="24"/>
          <w:szCs w:val="24"/>
          <w:highlight w:val="none"/>
        </w:rPr>
      </w:pPr>
      <w:r>
        <w:rPr>
          <w:spacing w:val="-2"/>
          <w:sz w:val="24"/>
          <w:szCs w:val="24"/>
          <w:highlight w:val="none"/>
        </w:rPr>
        <w:t>验收主体：</w:t>
      </w:r>
      <w:r>
        <w:rPr>
          <w:sz w:val="24"/>
          <w:szCs w:val="24"/>
          <w:highlight w:val="none"/>
          <w:u w:val="single" w:color="auto"/>
        </w:rPr>
        <w:t xml:space="preserve">                                                  </w:t>
      </w:r>
    </w:p>
    <w:p w14:paraId="76198FA7">
      <w:pPr>
        <w:pStyle w:val="12"/>
        <w:shd w:val="clear"/>
        <w:spacing w:before="104" w:line="239" w:lineRule="auto"/>
        <w:ind w:left="1107"/>
        <w:rPr>
          <w:sz w:val="24"/>
          <w:szCs w:val="24"/>
          <w:highlight w:val="none"/>
        </w:rPr>
      </w:pPr>
      <w:r>
        <w:rPr>
          <w:spacing w:val="-1"/>
          <w:sz w:val="24"/>
          <w:szCs w:val="24"/>
          <w:highlight w:val="none"/>
        </w:rPr>
        <w:t>是否邀请本项目的其他供应商参加验收：</w:t>
      </w:r>
      <w:r>
        <w:rPr>
          <w:rFonts w:ascii="Wingdings" w:hAnsi="Wingdings" w:eastAsia="Wingdings" w:cs="Wingdings"/>
          <w:spacing w:val="-1"/>
          <w:sz w:val="24"/>
          <w:szCs w:val="24"/>
          <w:highlight w:val="none"/>
        </w:rPr>
        <w:t>o</w:t>
      </w:r>
      <w:r>
        <w:rPr>
          <w:spacing w:val="-1"/>
          <w:sz w:val="24"/>
          <w:szCs w:val="24"/>
          <w:highlight w:val="none"/>
        </w:rPr>
        <w:t xml:space="preserve">是  </w:t>
      </w:r>
      <w:r>
        <w:rPr>
          <w:rFonts w:ascii="Wingdings" w:hAnsi="Wingdings" w:eastAsia="Wingdings" w:cs="Wingdings"/>
          <w:spacing w:val="-1"/>
          <w:sz w:val="24"/>
          <w:szCs w:val="24"/>
          <w:highlight w:val="none"/>
        </w:rPr>
        <w:t>o</w:t>
      </w:r>
      <w:r>
        <w:rPr>
          <w:spacing w:val="-1"/>
          <w:sz w:val="24"/>
          <w:szCs w:val="24"/>
          <w:highlight w:val="none"/>
        </w:rPr>
        <w:t>否</w:t>
      </w:r>
    </w:p>
    <w:p w14:paraId="5C17E870">
      <w:pPr>
        <w:pStyle w:val="12"/>
        <w:shd w:val="clear"/>
        <w:spacing w:before="89" w:line="239" w:lineRule="auto"/>
        <w:ind w:left="1107"/>
        <w:rPr>
          <w:sz w:val="24"/>
          <w:szCs w:val="24"/>
          <w:highlight w:val="none"/>
        </w:rPr>
      </w:pPr>
      <w:r>
        <w:rPr>
          <w:spacing w:val="-1"/>
          <w:sz w:val="24"/>
          <w:szCs w:val="24"/>
          <w:highlight w:val="none"/>
        </w:rPr>
        <w:t>是否邀请专家参加验收：</w:t>
      </w:r>
      <w:r>
        <w:rPr>
          <w:rFonts w:ascii="Wingdings" w:hAnsi="Wingdings" w:eastAsia="Wingdings" w:cs="Wingdings"/>
          <w:spacing w:val="-1"/>
          <w:sz w:val="24"/>
          <w:szCs w:val="24"/>
          <w:highlight w:val="none"/>
        </w:rPr>
        <w:t>o</w:t>
      </w:r>
      <w:r>
        <w:rPr>
          <w:spacing w:val="-1"/>
          <w:sz w:val="24"/>
          <w:szCs w:val="24"/>
          <w:highlight w:val="none"/>
        </w:rPr>
        <w:t xml:space="preserve">是  </w:t>
      </w:r>
      <w:r>
        <w:rPr>
          <w:rFonts w:ascii="Wingdings" w:hAnsi="Wingdings" w:eastAsia="Wingdings" w:cs="Wingdings"/>
          <w:spacing w:val="-1"/>
          <w:sz w:val="24"/>
          <w:szCs w:val="24"/>
          <w:highlight w:val="none"/>
        </w:rPr>
        <w:t>o</w:t>
      </w:r>
      <w:r>
        <w:rPr>
          <w:spacing w:val="-1"/>
          <w:sz w:val="24"/>
          <w:szCs w:val="24"/>
          <w:highlight w:val="none"/>
        </w:rPr>
        <w:t>否</w:t>
      </w:r>
    </w:p>
    <w:p w14:paraId="2353DE66">
      <w:pPr>
        <w:pStyle w:val="12"/>
        <w:shd w:val="clear"/>
        <w:spacing w:before="90" w:line="239" w:lineRule="auto"/>
        <w:ind w:left="1107"/>
        <w:rPr>
          <w:sz w:val="24"/>
          <w:szCs w:val="24"/>
          <w:highlight w:val="none"/>
        </w:rPr>
      </w:pPr>
      <w:r>
        <w:rPr>
          <w:spacing w:val="-1"/>
          <w:sz w:val="24"/>
          <w:szCs w:val="24"/>
          <w:highlight w:val="none"/>
        </w:rPr>
        <w:t>是否邀请服务对象参加验收：</w:t>
      </w:r>
      <w:r>
        <w:rPr>
          <w:rFonts w:ascii="Wingdings" w:hAnsi="Wingdings" w:eastAsia="Wingdings" w:cs="Wingdings"/>
          <w:spacing w:val="-1"/>
          <w:sz w:val="24"/>
          <w:szCs w:val="24"/>
          <w:highlight w:val="none"/>
        </w:rPr>
        <w:t>o</w:t>
      </w:r>
      <w:r>
        <w:rPr>
          <w:spacing w:val="-1"/>
          <w:sz w:val="24"/>
          <w:szCs w:val="24"/>
          <w:highlight w:val="none"/>
        </w:rPr>
        <w:t xml:space="preserve">是  </w:t>
      </w:r>
      <w:r>
        <w:rPr>
          <w:rFonts w:ascii="Wingdings" w:hAnsi="Wingdings" w:eastAsia="Wingdings" w:cs="Wingdings"/>
          <w:spacing w:val="-1"/>
          <w:sz w:val="24"/>
          <w:szCs w:val="24"/>
          <w:highlight w:val="none"/>
        </w:rPr>
        <w:t>o</w:t>
      </w:r>
      <w:r>
        <w:rPr>
          <w:spacing w:val="-1"/>
          <w:sz w:val="24"/>
          <w:szCs w:val="24"/>
          <w:highlight w:val="none"/>
        </w:rPr>
        <w:t>否</w:t>
      </w:r>
    </w:p>
    <w:p w14:paraId="3BD81456">
      <w:pPr>
        <w:pStyle w:val="12"/>
        <w:shd w:val="clear"/>
        <w:spacing w:before="89" w:line="239" w:lineRule="auto"/>
        <w:ind w:left="1107"/>
        <w:rPr>
          <w:sz w:val="24"/>
          <w:szCs w:val="24"/>
          <w:highlight w:val="none"/>
        </w:rPr>
      </w:pPr>
      <w:r>
        <w:rPr>
          <w:spacing w:val="-1"/>
          <w:sz w:val="24"/>
          <w:szCs w:val="24"/>
          <w:highlight w:val="none"/>
        </w:rPr>
        <w:t>是否邀请第三方检测机构参加验收：</w:t>
      </w:r>
      <w:r>
        <w:rPr>
          <w:rFonts w:ascii="Wingdings" w:hAnsi="Wingdings" w:eastAsia="Wingdings" w:cs="Wingdings"/>
          <w:spacing w:val="-1"/>
          <w:sz w:val="24"/>
          <w:szCs w:val="24"/>
          <w:highlight w:val="none"/>
        </w:rPr>
        <w:t>o</w:t>
      </w:r>
      <w:r>
        <w:rPr>
          <w:spacing w:val="-1"/>
          <w:sz w:val="24"/>
          <w:szCs w:val="24"/>
          <w:highlight w:val="none"/>
        </w:rPr>
        <w:t xml:space="preserve">是  </w:t>
      </w:r>
      <w:r>
        <w:rPr>
          <w:rFonts w:ascii="Wingdings" w:hAnsi="Wingdings" w:eastAsia="Wingdings" w:cs="Wingdings"/>
          <w:spacing w:val="-1"/>
          <w:sz w:val="24"/>
          <w:szCs w:val="24"/>
          <w:highlight w:val="none"/>
        </w:rPr>
        <w:t>o</w:t>
      </w:r>
      <w:r>
        <w:rPr>
          <w:spacing w:val="-1"/>
          <w:sz w:val="24"/>
          <w:szCs w:val="24"/>
          <w:highlight w:val="none"/>
        </w:rPr>
        <w:t>否</w:t>
      </w:r>
    </w:p>
    <w:p w14:paraId="30EC60BC">
      <w:pPr>
        <w:pStyle w:val="12"/>
        <w:shd w:val="clear"/>
        <w:spacing w:before="89" w:line="239" w:lineRule="auto"/>
        <w:ind w:left="1107"/>
        <w:rPr>
          <w:sz w:val="24"/>
          <w:szCs w:val="24"/>
          <w:highlight w:val="none"/>
        </w:rPr>
      </w:pPr>
      <w:r>
        <w:rPr>
          <w:spacing w:val="-1"/>
          <w:sz w:val="24"/>
          <w:szCs w:val="24"/>
          <w:highlight w:val="none"/>
        </w:rPr>
        <w:t>是否进行抽查检测：</w:t>
      </w:r>
      <w:r>
        <w:rPr>
          <w:rFonts w:ascii="Wingdings" w:hAnsi="Wingdings" w:eastAsia="Wingdings" w:cs="Wingdings"/>
          <w:spacing w:val="-1"/>
          <w:sz w:val="24"/>
          <w:szCs w:val="24"/>
          <w:highlight w:val="none"/>
        </w:rPr>
        <w:t>o</w:t>
      </w:r>
      <w:r>
        <w:rPr>
          <w:spacing w:val="-1"/>
          <w:sz w:val="24"/>
          <w:szCs w:val="24"/>
          <w:highlight w:val="none"/>
        </w:rPr>
        <w:t>是，抽查比例：</w:t>
      </w:r>
      <w:r>
        <w:rPr>
          <w:spacing w:val="-1"/>
          <w:sz w:val="24"/>
          <w:szCs w:val="24"/>
          <w:highlight w:val="none"/>
          <w:u w:val="single" w:color="auto"/>
        </w:rPr>
        <w:t xml:space="preserve">        </w:t>
      </w:r>
      <w:r>
        <w:rPr>
          <w:spacing w:val="-1"/>
          <w:sz w:val="24"/>
          <w:szCs w:val="24"/>
          <w:highlight w:val="none"/>
        </w:rPr>
        <w:t xml:space="preserve"> </w:t>
      </w:r>
      <w:r>
        <w:rPr>
          <w:rFonts w:ascii="Wingdings" w:hAnsi="Wingdings" w:eastAsia="Wingdings" w:cs="Wingdings"/>
          <w:spacing w:val="-1"/>
          <w:sz w:val="24"/>
          <w:szCs w:val="24"/>
          <w:highlight w:val="none"/>
        </w:rPr>
        <w:t>o</w:t>
      </w:r>
      <w:r>
        <w:rPr>
          <w:spacing w:val="-1"/>
          <w:sz w:val="24"/>
          <w:szCs w:val="24"/>
          <w:highlight w:val="none"/>
        </w:rPr>
        <w:t>否</w:t>
      </w:r>
    </w:p>
    <w:p w14:paraId="3EE03205">
      <w:pPr>
        <w:pStyle w:val="12"/>
        <w:shd w:val="clear"/>
        <w:spacing w:before="89" w:line="309" w:lineRule="auto"/>
        <w:ind w:left="3513" w:right="14" w:hanging="2406"/>
        <w:rPr>
          <w:spacing w:val="1"/>
          <w:sz w:val="24"/>
          <w:szCs w:val="24"/>
          <w:highlight w:val="none"/>
          <w:u w:val="single" w:color="auto"/>
        </w:rPr>
      </w:pPr>
      <w:r>
        <w:rPr>
          <w:spacing w:val="-2"/>
          <w:sz w:val="24"/>
          <w:szCs w:val="24"/>
          <w:highlight w:val="none"/>
        </w:rPr>
        <w:t>是否存在破坏性检测：</w:t>
      </w:r>
      <w:r>
        <w:rPr>
          <w:rFonts w:ascii="Wingdings" w:hAnsi="Wingdings" w:eastAsia="Wingdings" w:cs="Wingdings"/>
          <w:spacing w:val="-2"/>
          <w:sz w:val="24"/>
          <w:szCs w:val="24"/>
          <w:highlight w:val="none"/>
        </w:rPr>
        <w:t>o</w:t>
      </w:r>
      <w:r>
        <w:rPr>
          <w:spacing w:val="-2"/>
          <w:sz w:val="24"/>
          <w:szCs w:val="24"/>
          <w:highlight w:val="none"/>
        </w:rPr>
        <w:t>是，</w:t>
      </w:r>
      <w:r>
        <w:rPr>
          <w:spacing w:val="2"/>
          <w:sz w:val="24"/>
          <w:szCs w:val="24"/>
          <w:highlight w:val="none"/>
          <w:u w:val="single" w:color="auto"/>
        </w:rPr>
        <w:t xml:space="preserve">                            </w:t>
      </w:r>
      <w:r>
        <w:rPr>
          <w:spacing w:val="1"/>
          <w:sz w:val="24"/>
          <w:szCs w:val="24"/>
          <w:highlight w:val="none"/>
          <w:u w:val="single" w:color="auto"/>
        </w:rPr>
        <w:t xml:space="preserve">      </w:t>
      </w:r>
    </w:p>
    <w:p w14:paraId="1BDE430B">
      <w:pPr>
        <w:pStyle w:val="12"/>
        <w:shd w:val="clear"/>
        <w:spacing w:before="89" w:line="309" w:lineRule="auto"/>
        <w:ind w:left="3513" w:right="14" w:hanging="2406"/>
        <w:rPr>
          <w:sz w:val="24"/>
          <w:szCs w:val="24"/>
          <w:highlight w:val="none"/>
        </w:rPr>
      </w:pPr>
      <w:r>
        <w:rPr>
          <w:rFonts w:ascii="Wingdings" w:hAnsi="Wingdings" w:eastAsia="Wingdings" w:cs="Wingdings"/>
          <w:spacing w:val="-11"/>
          <w:sz w:val="24"/>
          <w:szCs w:val="24"/>
          <w:highlight w:val="none"/>
        </w:rPr>
        <w:t>o</w:t>
      </w:r>
      <w:r>
        <w:rPr>
          <w:spacing w:val="-11"/>
          <w:sz w:val="24"/>
          <w:szCs w:val="24"/>
          <w:highlight w:val="none"/>
        </w:rPr>
        <w:t>否</w:t>
      </w:r>
    </w:p>
    <w:p w14:paraId="40A807D3">
      <w:pPr>
        <w:pStyle w:val="12"/>
        <w:shd w:val="clear"/>
        <w:spacing w:before="8" w:line="219" w:lineRule="auto"/>
        <w:ind w:left="1102"/>
        <w:rPr>
          <w:sz w:val="24"/>
          <w:szCs w:val="24"/>
          <w:highlight w:val="none"/>
        </w:rPr>
      </w:pPr>
      <w:r>
        <w:rPr>
          <w:spacing w:val="-1"/>
          <w:sz w:val="24"/>
          <w:szCs w:val="24"/>
          <w:highlight w:val="none"/>
        </w:rPr>
        <w:t>验收组织的其他事项：</w:t>
      </w:r>
      <w:r>
        <w:rPr>
          <w:sz w:val="24"/>
          <w:szCs w:val="24"/>
          <w:highlight w:val="none"/>
          <w:u w:val="single" w:color="auto"/>
        </w:rPr>
        <w:t xml:space="preserve">                                         </w:t>
      </w:r>
    </w:p>
    <w:p w14:paraId="7B5FF456">
      <w:pPr>
        <w:pStyle w:val="12"/>
        <w:shd w:val="clear"/>
        <w:spacing w:before="115" w:line="219" w:lineRule="auto"/>
        <w:ind w:left="514"/>
        <w:rPr>
          <w:sz w:val="24"/>
          <w:szCs w:val="24"/>
          <w:highlight w:val="none"/>
        </w:rPr>
      </w:pPr>
      <w:r>
        <w:rPr>
          <w:spacing w:val="-3"/>
          <w:sz w:val="24"/>
          <w:szCs w:val="24"/>
          <w:highlight w:val="none"/>
        </w:rPr>
        <w:t>（2）履约验收时间：</w:t>
      </w:r>
      <w:r>
        <w:rPr>
          <w:spacing w:val="-3"/>
          <w:sz w:val="24"/>
          <w:szCs w:val="24"/>
          <w:highlight w:val="none"/>
          <w:u w:val="single" w:color="auto"/>
        </w:rPr>
        <w:t xml:space="preserve"> 所有货物供货完成后</w:t>
      </w:r>
      <w:r>
        <w:rPr>
          <w:spacing w:val="-48"/>
          <w:sz w:val="24"/>
          <w:szCs w:val="24"/>
          <w:highlight w:val="none"/>
          <w:u w:val="single" w:color="auto"/>
        </w:rPr>
        <w:t xml:space="preserve"> </w:t>
      </w:r>
      <w:r>
        <w:rPr>
          <w:spacing w:val="-3"/>
          <w:sz w:val="24"/>
          <w:szCs w:val="24"/>
          <w:highlight w:val="none"/>
          <w:u w:val="single" w:color="auto"/>
        </w:rPr>
        <w:t>20</w:t>
      </w:r>
      <w:r>
        <w:rPr>
          <w:spacing w:val="-46"/>
          <w:sz w:val="24"/>
          <w:szCs w:val="24"/>
          <w:highlight w:val="none"/>
          <w:u w:val="single" w:color="auto"/>
        </w:rPr>
        <w:t xml:space="preserve"> </w:t>
      </w:r>
      <w:r>
        <w:rPr>
          <w:rFonts w:hint="eastAsia"/>
          <w:spacing w:val="-3"/>
          <w:sz w:val="24"/>
          <w:szCs w:val="24"/>
          <w:highlight w:val="none"/>
          <w:u w:val="single" w:color="auto"/>
          <w:lang w:val="en-US" w:eastAsia="zh-CN"/>
        </w:rPr>
        <w:t>个工作日</w:t>
      </w:r>
      <w:r>
        <w:rPr>
          <w:spacing w:val="-3"/>
          <w:sz w:val="24"/>
          <w:szCs w:val="24"/>
          <w:highlight w:val="none"/>
          <w:u w:val="single" w:color="auto"/>
        </w:rPr>
        <w:t>内完成</w:t>
      </w:r>
      <w:r>
        <w:rPr>
          <w:spacing w:val="-4"/>
          <w:sz w:val="24"/>
          <w:szCs w:val="24"/>
          <w:highlight w:val="none"/>
          <w:u w:val="single" w:color="auto"/>
        </w:rPr>
        <w:t xml:space="preserve">验收。           </w:t>
      </w:r>
    </w:p>
    <w:p w14:paraId="4204477F">
      <w:pPr>
        <w:pStyle w:val="12"/>
        <w:shd w:val="clear"/>
        <w:spacing w:before="106" w:line="227" w:lineRule="auto"/>
        <w:ind w:left="514"/>
        <w:rPr>
          <w:sz w:val="24"/>
          <w:szCs w:val="24"/>
          <w:highlight w:val="none"/>
        </w:rPr>
      </w:pPr>
      <w:r>
        <w:rPr>
          <w:spacing w:val="-2"/>
          <w:sz w:val="24"/>
          <w:szCs w:val="24"/>
          <w:highlight w:val="none"/>
        </w:rPr>
        <w:t>（3）履约验收方式：</w:t>
      </w:r>
      <w:r>
        <w:rPr>
          <w:spacing w:val="-92"/>
          <w:sz w:val="24"/>
          <w:szCs w:val="24"/>
          <w:highlight w:val="none"/>
        </w:rPr>
        <w:t xml:space="preserve"> </w:t>
      </w:r>
      <w:r>
        <w:rPr>
          <w:position w:val="-4"/>
          <w:sz w:val="24"/>
          <w:szCs w:val="24"/>
          <w:highlight w:val="none"/>
        </w:rPr>
        <w:drawing>
          <wp:inline distT="0" distB="0" distL="0" distR="0">
            <wp:extent cx="122555" cy="16827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122986" cy="168859"/>
                    </a:xfrm>
                    <a:prstGeom prst="rect">
                      <a:avLst/>
                    </a:prstGeom>
                  </pic:spPr>
                </pic:pic>
              </a:graphicData>
            </a:graphic>
          </wp:inline>
        </w:drawing>
      </w:r>
      <w:r>
        <w:rPr>
          <w:spacing w:val="-2"/>
          <w:sz w:val="24"/>
          <w:szCs w:val="24"/>
          <w:highlight w:val="none"/>
        </w:rPr>
        <w:t>一次性验收</w:t>
      </w:r>
    </w:p>
    <w:p w14:paraId="356BF667">
      <w:pPr>
        <w:pStyle w:val="12"/>
        <w:shd w:val="clear"/>
        <w:spacing w:before="103" w:line="239" w:lineRule="auto"/>
        <w:ind w:left="2794"/>
        <w:rPr>
          <w:sz w:val="24"/>
          <w:szCs w:val="24"/>
          <w:highlight w:val="none"/>
        </w:rPr>
      </w:pPr>
      <w:r>
        <w:rPr>
          <w:rFonts w:ascii="Wingdings" w:hAnsi="Wingdings" w:eastAsia="Wingdings" w:cs="Wingdings"/>
          <w:spacing w:val="-3"/>
          <w:sz w:val="24"/>
          <w:szCs w:val="24"/>
          <w:highlight w:val="none"/>
        </w:rPr>
        <w:t>o</w:t>
      </w:r>
      <w:r>
        <w:rPr>
          <w:spacing w:val="-3"/>
          <w:sz w:val="24"/>
          <w:szCs w:val="24"/>
          <w:highlight w:val="none"/>
        </w:rPr>
        <w:t>分期/分项验收：</w:t>
      </w:r>
      <w:r>
        <w:rPr>
          <w:sz w:val="24"/>
          <w:szCs w:val="24"/>
          <w:highlight w:val="none"/>
          <w:u w:val="single" w:color="auto"/>
        </w:rPr>
        <w:t xml:space="preserve">                             </w:t>
      </w:r>
    </w:p>
    <w:p w14:paraId="00497FD9">
      <w:pPr>
        <w:pStyle w:val="12"/>
        <w:shd w:val="clear"/>
        <w:spacing w:before="101" w:line="219" w:lineRule="auto"/>
        <w:ind w:left="514"/>
        <w:rPr>
          <w:sz w:val="24"/>
          <w:szCs w:val="24"/>
          <w:highlight w:val="none"/>
        </w:rPr>
      </w:pPr>
      <w:r>
        <w:rPr>
          <w:spacing w:val="-3"/>
          <w:sz w:val="24"/>
          <w:szCs w:val="24"/>
          <w:highlight w:val="none"/>
        </w:rPr>
        <w:t>（4）履约验收程序：</w:t>
      </w:r>
      <w:r>
        <w:rPr>
          <w:spacing w:val="-3"/>
          <w:sz w:val="24"/>
          <w:szCs w:val="24"/>
          <w:highlight w:val="none"/>
          <w:u w:val="single" w:color="auto"/>
        </w:rPr>
        <w:t xml:space="preserve">  乙方供完所有货物后由甲方组织验收。           </w:t>
      </w:r>
    </w:p>
    <w:p w14:paraId="196FB831">
      <w:pPr>
        <w:pStyle w:val="12"/>
        <w:shd w:val="clear"/>
        <w:spacing w:before="116" w:line="219" w:lineRule="auto"/>
        <w:ind w:left="514"/>
        <w:rPr>
          <w:sz w:val="24"/>
          <w:szCs w:val="24"/>
          <w:highlight w:val="none"/>
        </w:rPr>
      </w:pPr>
      <w:r>
        <w:rPr>
          <w:spacing w:val="-1"/>
          <w:sz w:val="24"/>
          <w:szCs w:val="24"/>
          <w:highlight w:val="none"/>
        </w:rPr>
        <w:t>（5）履约验收的内容：</w:t>
      </w:r>
      <w:r>
        <w:rPr>
          <w:spacing w:val="-1"/>
          <w:sz w:val="24"/>
          <w:szCs w:val="24"/>
          <w:highlight w:val="none"/>
          <w:u w:val="single" w:color="auto"/>
        </w:rPr>
        <w:t>货物的数量、质量、品牌是否和合同约定一致。</w:t>
      </w:r>
      <w:r>
        <w:rPr>
          <w:spacing w:val="3"/>
          <w:sz w:val="24"/>
          <w:szCs w:val="24"/>
          <w:highlight w:val="none"/>
          <w:u w:val="single" w:color="auto"/>
        </w:rPr>
        <w:t xml:space="preserve">   </w:t>
      </w:r>
    </w:p>
    <w:p w14:paraId="5310424E">
      <w:pPr>
        <w:pStyle w:val="12"/>
        <w:shd w:val="clear"/>
        <w:spacing w:before="114" w:line="219" w:lineRule="auto"/>
        <w:ind w:left="514"/>
        <w:rPr>
          <w:sz w:val="24"/>
          <w:szCs w:val="24"/>
          <w:highlight w:val="none"/>
        </w:rPr>
      </w:pPr>
      <w:r>
        <w:rPr>
          <w:spacing w:val="-3"/>
          <w:sz w:val="24"/>
          <w:szCs w:val="24"/>
          <w:highlight w:val="none"/>
        </w:rPr>
        <w:t>（6）履约验收标准：</w:t>
      </w:r>
      <w:r>
        <w:rPr>
          <w:sz w:val="24"/>
          <w:szCs w:val="24"/>
          <w:highlight w:val="none"/>
          <w:u w:val="single" w:color="auto"/>
        </w:rPr>
        <w:t xml:space="preserve">                                              </w:t>
      </w:r>
    </w:p>
    <w:p w14:paraId="12DDE25D">
      <w:pPr>
        <w:pStyle w:val="12"/>
        <w:shd w:val="clear"/>
        <w:spacing w:before="104" w:line="239" w:lineRule="auto"/>
        <w:ind w:left="514"/>
        <w:rPr>
          <w:sz w:val="24"/>
          <w:szCs w:val="24"/>
          <w:highlight w:val="none"/>
        </w:rPr>
      </w:pPr>
      <w:r>
        <w:rPr>
          <w:spacing w:val="-1"/>
          <w:sz w:val="24"/>
          <w:szCs w:val="24"/>
          <w:highlight w:val="none"/>
        </w:rPr>
        <w:t>（7）是否以采购活动中供应商提供的样品作为参考：</w:t>
      </w:r>
      <w:r>
        <w:rPr>
          <w:rFonts w:ascii="Wingdings" w:hAnsi="Wingdings" w:eastAsia="Wingdings" w:cs="Wingdings"/>
          <w:spacing w:val="-1"/>
          <w:sz w:val="24"/>
          <w:szCs w:val="24"/>
          <w:highlight w:val="none"/>
        </w:rPr>
        <w:t>o</w:t>
      </w:r>
      <w:r>
        <w:rPr>
          <w:spacing w:val="-1"/>
          <w:sz w:val="24"/>
          <w:szCs w:val="24"/>
          <w:highlight w:val="none"/>
        </w:rPr>
        <w:t xml:space="preserve">是  </w:t>
      </w:r>
      <w:r>
        <w:rPr>
          <w:rFonts w:ascii="Wingdings" w:hAnsi="Wingdings" w:eastAsia="Wingdings" w:cs="Wingdings"/>
          <w:spacing w:val="-1"/>
          <w:sz w:val="24"/>
          <w:szCs w:val="24"/>
          <w:highlight w:val="none"/>
        </w:rPr>
        <w:t>o</w:t>
      </w:r>
      <w:r>
        <w:rPr>
          <w:spacing w:val="-1"/>
          <w:sz w:val="24"/>
          <w:szCs w:val="24"/>
          <w:highlight w:val="none"/>
        </w:rPr>
        <w:t>否</w:t>
      </w:r>
    </w:p>
    <w:p w14:paraId="7E6B8344">
      <w:pPr>
        <w:pStyle w:val="12"/>
        <w:shd w:val="clear"/>
        <w:spacing w:before="103" w:line="219" w:lineRule="auto"/>
        <w:ind w:left="514"/>
        <w:rPr>
          <w:sz w:val="24"/>
          <w:szCs w:val="24"/>
          <w:highlight w:val="none"/>
        </w:rPr>
      </w:pPr>
      <w:r>
        <w:rPr>
          <w:spacing w:val="-2"/>
          <w:sz w:val="24"/>
          <w:szCs w:val="24"/>
          <w:highlight w:val="none"/>
        </w:rPr>
        <w:t>（8）履约验收其他事项：</w:t>
      </w:r>
      <w:r>
        <w:rPr>
          <w:sz w:val="24"/>
          <w:szCs w:val="24"/>
          <w:highlight w:val="none"/>
          <w:u w:val="single" w:color="auto"/>
        </w:rPr>
        <w:t xml:space="preserve">                                          </w:t>
      </w:r>
    </w:p>
    <w:p w14:paraId="6090FD19">
      <w:pPr>
        <w:pStyle w:val="12"/>
        <w:shd w:val="clear"/>
        <w:spacing w:before="113" w:line="219" w:lineRule="auto"/>
        <w:ind w:left="508"/>
        <w:rPr>
          <w:sz w:val="24"/>
          <w:szCs w:val="24"/>
          <w:highlight w:val="none"/>
        </w:rPr>
      </w:pPr>
      <w:r>
        <w:rPr>
          <w:b/>
          <w:bCs/>
          <w:spacing w:val="-3"/>
          <w:sz w:val="24"/>
          <w:szCs w:val="24"/>
          <w:highlight w:val="none"/>
        </w:rPr>
        <w:t>5.</w:t>
      </w:r>
      <w:r>
        <w:rPr>
          <w:spacing w:val="-3"/>
          <w:sz w:val="24"/>
          <w:szCs w:val="24"/>
          <w:highlight w:val="none"/>
        </w:rPr>
        <w:t xml:space="preserve"> </w:t>
      </w:r>
      <w:r>
        <w:rPr>
          <w:b/>
          <w:bCs/>
          <w:spacing w:val="-3"/>
          <w:sz w:val="24"/>
          <w:szCs w:val="24"/>
          <w:highlight w:val="none"/>
        </w:rPr>
        <w:t>组成合同的文件</w:t>
      </w:r>
    </w:p>
    <w:p w14:paraId="6791527A">
      <w:pPr>
        <w:pStyle w:val="12"/>
        <w:shd w:val="clear"/>
        <w:spacing w:before="117" w:line="307" w:lineRule="auto"/>
        <w:ind w:left="26" w:right="13" w:firstLine="478"/>
        <w:rPr>
          <w:sz w:val="24"/>
          <w:szCs w:val="24"/>
          <w:highlight w:val="none"/>
        </w:rPr>
      </w:pPr>
      <w:r>
        <w:rPr>
          <w:spacing w:val="-3"/>
          <w:sz w:val="24"/>
          <w:szCs w:val="24"/>
          <w:highlight w:val="none"/>
        </w:rPr>
        <w:t>本协议书与下列文件一起构成合同文件，如下述文件之间有任</w:t>
      </w:r>
      <w:r>
        <w:rPr>
          <w:spacing w:val="-4"/>
          <w:sz w:val="24"/>
          <w:szCs w:val="24"/>
          <w:highlight w:val="none"/>
        </w:rPr>
        <w:t>何抵触、矛盾</w:t>
      </w:r>
      <w:r>
        <w:rPr>
          <w:spacing w:val="-1"/>
          <w:sz w:val="24"/>
          <w:szCs w:val="24"/>
          <w:highlight w:val="none"/>
        </w:rPr>
        <w:t>或歧义，应按以下顺序解释：</w:t>
      </w:r>
    </w:p>
    <w:p w14:paraId="07719A8C">
      <w:pPr>
        <w:pStyle w:val="12"/>
        <w:shd w:val="clear"/>
        <w:spacing w:before="1" w:line="218" w:lineRule="auto"/>
        <w:ind w:left="514"/>
        <w:rPr>
          <w:sz w:val="24"/>
          <w:szCs w:val="24"/>
          <w:highlight w:val="none"/>
        </w:rPr>
      </w:pPr>
      <w:r>
        <w:rPr>
          <w:spacing w:val="-1"/>
          <w:sz w:val="24"/>
          <w:szCs w:val="24"/>
          <w:highlight w:val="none"/>
        </w:rPr>
        <w:t>（1）政府采购合同协议书及其变更、补充协议</w:t>
      </w:r>
    </w:p>
    <w:p w14:paraId="1001653A">
      <w:pPr>
        <w:pStyle w:val="12"/>
        <w:shd w:val="clear"/>
        <w:spacing w:before="116" w:line="219" w:lineRule="auto"/>
        <w:ind w:left="514"/>
        <w:rPr>
          <w:sz w:val="24"/>
          <w:szCs w:val="24"/>
          <w:highlight w:val="none"/>
        </w:rPr>
      </w:pPr>
      <w:r>
        <w:rPr>
          <w:spacing w:val="-2"/>
          <w:sz w:val="24"/>
          <w:szCs w:val="24"/>
          <w:highlight w:val="none"/>
        </w:rPr>
        <w:t>（2）政府采购合同专用条款</w:t>
      </w:r>
    </w:p>
    <w:p w14:paraId="173FB2B0">
      <w:pPr>
        <w:pStyle w:val="12"/>
        <w:shd w:val="clear"/>
        <w:spacing w:before="116" w:line="219" w:lineRule="auto"/>
        <w:ind w:left="514"/>
        <w:rPr>
          <w:sz w:val="24"/>
          <w:szCs w:val="24"/>
          <w:highlight w:val="none"/>
        </w:rPr>
      </w:pPr>
      <w:r>
        <w:rPr>
          <w:spacing w:val="-2"/>
          <w:sz w:val="24"/>
          <w:szCs w:val="24"/>
          <w:highlight w:val="none"/>
        </w:rPr>
        <w:t>（3）政府采购合同通用条款</w:t>
      </w:r>
    </w:p>
    <w:p w14:paraId="03B15905">
      <w:pPr>
        <w:pStyle w:val="12"/>
        <w:shd w:val="clear"/>
        <w:spacing w:before="114" w:line="219" w:lineRule="auto"/>
        <w:ind w:left="514"/>
        <w:rPr>
          <w:sz w:val="24"/>
          <w:szCs w:val="24"/>
          <w:highlight w:val="none"/>
        </w:rPr>
      </w:pPr>
      <w:r>
        <w:rPr>
          <w:spacing w:val="-2"/>
          <w:sz w:val="24"/>
          <w:szCs w:val="24"/>
          <w:highlight w:val="none"/>
        </w:rPr>
        <w:t>（4）中标（成交）通知书</w:t>
      </w:r>
    </w:p>
    <w:p w14:paraId="7086385B">
      <w:pPr>
        <w:pStyle w:val="12"/>
        <w:shd w:val="clear"/>
        <w:spacing w:before="78" w:line="219" w:lineRule="auto"/>
        <w:ind w:left="514"/>
        <w:rPr>
          <w:sz w:val="24"/>
          <w:szCs w:val="24"/>
          <w:highlight w:val="none"/>
        </w:rPr>
      </w:pPr>
      <w:r>
        <w:rPr>
          <w:spacing w:val="-2"/>
          <w:sz w:val="24"/>
          <w:szCs w:val="24"/>
          <w:highlight w:val="none"/>
        </w:rPr>
        <w:t>（5）投标（响应）文件</w:t>
      </w:r>
    </w:p>
    <w:p w14:paraId="4A6C6561">
      <w:pPr>
        <w:pStyle w:val="12"/>
        <w:shd w:val="clear"/>
        <w:spacing w:before="115" w:line="219" w:lineRule="auto"/>
        <w:ind w:left="514"/>
        <w:rPr>
          <w:sz w:val="24"/>
          <w:szCs w:val="24"/>
          <w:highlight w:val="none"/>
        </w:rPr>
      </w:pPr>
      <w:r>
        <w:rPr>
          <w:spacing w:val="-3"/>
          <w:sz w:val="24"/>
          <w:szCs w:val="24"/>
          <w:highlight w:val="none"/>
        </w:rPr>
        <w:t>（6）采购文件</w:t>
      </w:r>
    </w:p>
    <w:p w14:paraId="1833A450">
      <w:pPr>
        <w:pStyle w:val="12"/>
        <w:shd w:val="clear"/>
        <w:spacing w:before="117" w:line="219" w:lineRule="auto"/>
        <w:ind w:left="514"/>
        <w:rPr>
          <w:sz w:val="24"/>
          <w:szCs w:val="24"/>
          <w:highlight w:val="none"/>
        </w:rPr>
      </w:pPr>
      <w:r>
        <w:rPr>
          <w:spacing w:val="-2"/>
          <w:sz w:val="24"/>
          <w:szCs w:val="24"/>
          <w:highlight w:val="none"/>
        </w:rPr>
        <w:t>（7）有关技术文件，图纸</w:t>
      </w:r>
    </w:p>
    <w:p w14:paraId="03E9CCED">
      <w:pPr>
        <w:pStyle w:val="12"/>
        <w:shd w:val="clear"/>
        <w:spacing w:before="114" w:line="308" w:lineRule="auto"/>
        <w:ind w:left="43" w:right="80" w:firstLine="471"/>
        <w:rPr>
          <w:sz w:val="24"/>
          <w:szCs w:val="24"/>
          <w:highlight w:val="none"/>
        </w:rPr>
      </w:pPr>
      <w:r>
        <w:rPr>
          <w:spacing w:val="-1"/>
          <w:sz w:val="24"/>
          <w:szCs w:val="24"/>
          <w:highlight w:val="none"/>
        </w:rPr>
        <w:t>（8）国家法律、行政法规和规章制度规定或合同约定的作为合同组成部分</w:t>
      </w:r>
      <w:r>
        <w:rPr>
          <w:spacing w:val="-6"/>
          <w:sz w:val="24"/>
          <w:szCs w:val="24"/>
          <w:highlight w:val="none"/>
        </w:rPr>
        <w:t>的其他文件</w:t>
      </w:r>
    </w:p>
    <w:p w14:paraId="1B83F02A">
      <w:pPr>
        <w:pStyle w:val="12"/>
        <w:shd w:val="clear"/>
        <w:spacing w:line="220" w:lineRule="auto"/>
        <w:ind w:left="505"/>
        <w:rPr>
          <w:sz w:val="24"/>
          <w:szCs w:val="24"/>
          <w:highlight w:val="none"/>
        </w:rPr>
      </w:pPr>
      <w:r>
        <w:rPr>
          <w:b/>
          <w:bCs/>
          <w:spacing w:val="-6"/>
          <w:sz w:val="24"/>
          <w:szCs w:val="24"/>
          <w:highlight w:val="none"/>
        </w:rPr>
        <w:t>6.</w:t>
      </w:r>
      <w:r>
        <w:rPr>
          <w:spacing w:val="13"/>
          <w:sz w:val="24"/>
          <w:szCs w:val="24"/>
          <w:highlight w:val="none"/>
        </w:rPr>
        <w:t xml:space="preserve"> </w:t>
      </w:r>
      <w:r>
        <w:rPr>
          <w:b/>
          <w:bCs/>
          <w:spacing w:val="-6"/>
          <w:sz w:val="24"/>
          <w:szCs w:val="24"/>
          <w:highlight w:val="none"/>
        </w:rPr>
        <w:t>合同生效</w:t>
      </w:r>
    </w:p>
    <w:p w14:paraId="58C46BF2">
      <w:pPr>
        <w:pStyle w:val="70"/>
        <w:rPr>
          <w:sz w:val="24"/>
          <w:szCs w:val="24"/>
          <w:highlight w:val="none"/>
        </w:rPr>
      </w:pPr>
      <w:r>
        <w:rPr>
          <w:spacing w:val="-1"/>
          <w:sz w:val="24"/>
          <w:szCs w:val="24"/>
          <w:highlight w:val="none"/>
        </w:rPr>
        <w:t>本合同自</w:t>
      </w:r>
      <w:r>
        <w:rPr>
          <w:spacing w:val="-1"/>
          <w:sz w:val="24"/>
          <w:szCs w:val="24"/>
          <w:highlight w:val="none"/>
          <w:u w:val="single" w:color="auto"/>
        </w:rPr>
        <w:t xml:space="preserve">  </w:t>
      </w:r>
      <w:r>
        <w:rPr>
          <w:highlight w:val="none"/>
        </w:rPr>
        <w:t>自双方法定代表人或授权代表签字并加盖公章之日起</w:t>
      </w:r>
      <w:r>
        <w:rPr>
          <w:spacing w:val="-1"/>
          <w:sz w:val="24"/>
          <w:szCs w:val="24"/>
          <w:highlight w:val="none"/>
          <w:u w:val="single" w:color="auto"/>
        </w:rPr>
        <w:t xml:space="preserve">    </w:t>
      </w:r>
      <w:r>
        <w:rPr>
          <w:spacing w:val="-96"/>
          <w:sz w:val="24"/>
          <w:szCs w:val="24"/>
          <w:highlight w:val="none"/>
        </w:rPr>
        <w:t xml:space="preserve"> </w:t>
      </w:r>
      <w:r>
        <w:rPr>
          <w:spacing w:val="-1"/>
          <w:sz w:val="24"/>
          <w:szCs w:val="24"/>
          <w:highlight w:val="none"/>
        </w:rPr>
        <w:t>生效。</w:t>
      </w:r>
    </w:p>
    <w:p w14:paraId="74188020">
      <w:pPr>
        <w:pStyle w:val="12"/>
        <w:shd w:val="clear"/>
        <w:spacing w:before="117" w:line="219" w:lineRule="auto"/>
        <w:ind w:left="509"/>
        <w:rPr>
          <w:sz w:val="24"/>
          <w:szCs w:val="24"/>
          <w:highlight w:val="none"/>
        </w:rPr>
      </w:pPr>
      <w:r>
        <w:rPr>
          <w:b/>
          <w:bCs/>
          <w:spacing w:val="-6"/>
          <w:sz w:val="24"/>
          <w:szCs w:val="24"/>
          <w:highlight w:val="none"/>
        </w:rPr>
        <w:t>7.</w:t>
      </w:r>
      <w:r>
        <w:rPr>
          <w:spacing w:val="10"/>
          <w:sz w:val="24"/>
          <w:szCs w:val="24"/>
          <w:highlight w:val="none"/>
        </w:rPr>
        <w:t xml:space="preserve"> </w:t>
      </w:r>
      <w:r>
        <w:rPr>
          <w:b/>
          <w:bCs/>
          <w:spacing w:val="-6"/>
          <w:sz w:val="24"/>
          <w:szCs w:val="24"/>
          <w:highlight w:val="none"/>
        </w:rPr>
        <w:t>合同份数</w:t>
      </w:r>
    </w:p>
    <w:p w14:paraId="2AB37099">
      <w:pPr>
        <w:pStyle w:val="12"/>
        <w:shd w:val="clear"/>
        <w:spacing w:before="116" w:line="307" w:lineRule="auto"/>
        <w:ind w:left="504"/>
        <w:rPr>
          <w:sz w:val="24"/>
          <w:szCs w:val="24"/>
          <w:highlight w:val="none"/>
        </w:rPr>
      </w:pPr>
      <w:r>
        <w:rPr>
          <w:spacing w:val="-2"/>
          <w:sz w:val="24"/>
          <w:szCs w:val="24"/>
          <w:highlight w:val="none"/>
        </w:rPr>
        <w:t>本合同一式</w:t>
      </w:r>
      <w:r>
        <w:rPr>
          <w:spacing w:val="-2"/>
          <w:sz w:val="24"/>
          <w:szCs w:val="24"/>
          <w:highlight w:val="none"/>
          <w:u w:val="single" w:color="auto"/>
        </w:rPr>
        <w:t xml:space="preserve">    </w:t>
      </w:r>
      <w:r>
        <w:rPr>
          <w:spacing w:val="-110"/>
          <w:sz w:val="24"/>
          <w:szCs w:val="24"/>
          <w:highlight w:val="none"/>
        </w:rPr>
        <w:t xml:space="preserve"> </w:t>
      </w:r>
      <w:r>
        <w:rPr>
          <w:spacing w:val="-2"/>
          <w:sz w:val="24"/>
          <w:szCs w:val="24"/>
          <w:highlight w:val="none"/>
        </w:rPr>
        <w:t>份，甲方执</w:t>
      </w:r>
      <w:r>
        <w:rPr>
          <w:spacing w:val="-2"/>
          <w:sz w:val="24"/>
          <w:szCs w:val="24"/>
          <w:highlight w:val="none"/>
          <w:u w:val="single" w:color="auto"/>
        </w:rPr>
        <w:t xml:space="preserve">    </w:t>
      </w:r>
      <w:r>
        <w:rPr>
          <w:spacing w:val="-111"/>
          <w:sz w:val="24"/>
          <w:szCs w:val="24"/>
          <w:highlight w:val="none"/>
        </w:rPr>
        <w:t xml:space="preserve"> </w:t>
      </w:r>
      <w:r>
        <w:rPr>
          <w:spacing w:val="-2"/>
          <w:sz w:val="24"/>
          <w:szCs w:val="24"/>
          <w:highlight w:val="none"/>
        </w:rPr>
        <w:t>份，乙方执</w:t>
      </w:r>
      <w:r>
        <w:rPr>
          <w:spacing w:val="-2"/>
          <w:sz w:val="24"/>
          <w:szCs w:val="24"/>
          <w:highlight w:val="none"/>
          <w:u w:val="single" w:color="auto"/>
        </w:rPr>
        <w:t xml:space="preserve">    </w:t>
      </w:r>
      <w:r>
        <w:rPr>
          <w:spacing w:val="-111"/>
          <w:sz w:val="24"/>
          <w:szCs w:val="24"/>
          <w:highlight w:val="none"/>
        </w:rPr>
        <w:t xml:space="preserve"> </w:t>
      </w:r>
      <w:r>
        <w:rPr>
          <w:spacing w:val="-2"/>
          <w:sz w:val="24"/>
          <w:szCs w:val="24"/>
          <w:highlight w:val="none"/>
        </w:rPr>
        <w:t>份，均具有同等法律效</w:t>
      </w:r>
      <w:r>
        <w:rPr>
          <w:spacing w:val="-3"/>
          <w:sz w:val="24"/>
          <w:szCs w:val="24"/>
          <w:highlight w:val="none"/>
        </w:rPr>
        <w:t>力。</w:t>
      </w:r>
      <w:r>
        <w:rPr>
          <w:spacing w:val="-1"/>
          <w:sz w:val="24"/>
          <w:szCs w:val="24"/>
          <w:highlight w:val="none"/>
        </w:rPr>
        <w:t>合同订立时间：</w:t>
      </w:r>
      <w:r>
        <w:rPr>
          <w:spacing w:val="-1"/>
          <w:sz w:val="24"/>
          <w:szCs w:val="24"/>
          <w:highlight w:val="none"/>
          <w:u w:val="single" w:color="auto"/>
        </w:rPr>
        <w:t xml:space="preserve">         </w:t>
      </w:r>
      <w:r>
        <w:rPr>
          <w:spacing w:val="-110"/>
          <w:sz w:val="24"/>
          <w:szCs w:val="24"/>
          <w:highlight w:val="none"/>
        </w:rPr>
        <w:t xml:space="preserve"> </w:t>
      </w:r>
      <w:r>
        <w:rPr>
          <w:spacing w:val="-1"/>
          <w:sz w:val="24"/>
          <w:szCs w:val="24"/>
          <w:highlight w:val="none"/>
        </w:rPr>
        <w:t>年</w:t>
      </w:r>
      <w:r>
        <w:rPr>
          <w:spacing w:val="-1"/>
          <w:sz w:val="24"/>
          <w:szCs w:val="24"/>
          <w:highlight w:val="none"/>
          <w:u w:val="single" w:color="auto"/>
        </w:rPr>
        <w:t xml:space="preserve">      </w:t>
      </w:r>
      <w:r>
        <w:rPr>
          <w:spacing w:val="-105"/>
          <w:sz w:val="24"/>
          <w:szCs w:val="24"/>
          <w:highlight w:val="none"/>
        </w:rPr>
        <w:t xml:space="preserve"> </w:t>
      </w:r>
      <w:r>
        <w:rPr>
          <w:spacing w:val="-1"/>
          <w:sz w:val="24"/>
          <w:szCs w:val="24"/>
          <w:highlight w:val="none"/>
        </w:rPr>
        <w:t>月</w:t>
      </w:r>
      <w:r>
        <w:rPr>
          <w:spacing w:val="-1"/>
          <w:sz w:val="24"/>
          <w:szCs w:val="24"/>
          <w:highlight w:val="none"/>
          <w:u w:val="single" w:color="auto"/>
        </w:rPr>
        <w:t xml:space="preserve"> </w:t>
      </w:r>
      <w:r>
        <w:rPr>
          <w:spacing w:val="-2"/>
          <w:sz w:val="24"/>
          <w:szCs w:val="24"/>
          <w:highlight w:val="none"/>
          <w:u w:val="single" w:color="auto"/>
        </w:rPr>
        <w:t xml:space="preserve">     </w:t>
      </w:r>
      <w:r>
        <w:rPr>
          <w:spacing w:val="-69"/>
          <w:sz w:val="24"/>
          <w:szCs w:val="24"/>
          <w:highlight w:val="none"/>
        </w:rPr>
        <w:t xml:space="preserve"> </w:t>
      </w:r>
      <w:r>
        <w:rPr>
          <w:spacing w:val="-2"/>
          <w:sz w:val="24"/>
          <w:szCs w:val="24"/>
          <w:highlight w:val="none"/>
        </w:rPr>
        <w:t>日</w:t>
      </w:r>
    </w:p>
    <w:p w14:paraId="4950AA8B">
      <w:pPr>
        <w:pStyle w:val="12"/>
        <w:shd w:val="clear"/>
        <w:spacing w:before="1" w:line="221" w:lineRule="auto"/>
        <w:ind w:left="504"/>
        <w:rPr>
          <w:sz w:val="24"/>
          <w:szCs w:val="24"/>
          <w:highlight w:val="none"/>
        </w:rPr>
      </w:pPr>
      <w:r>
        <w:rPr>
          <w:spacing w:val="-2"/>
          <w:sz w:val="24"/>
          <w:szCs w:val="24"/>
          <w:highlight w:val="none"/>
        </w:rPr>
        <w:t>合同订立地点：</w:t>
      </w:r>
      <w:r>
        <w:rPr>
          <w:sz w:val="24"/>
          <w:szCs w:val="24"/>
          <w:highlight w:val="none"/>
          <w:u w:val="single" w:color="auto"/>
        </w:rPr>
        <w:t xml:space="preserve">                           </w:t>
      </w:r>
    </w:p>
    <w:p w14:paraId="5F3AAAA3">
      <w:pPr>
        <w:pStyle w:val="12"/>
        <w:shd w:val="clear"/>
        <w:spacing w:before="112" w:line="219" w:lineRule="auto"/>
        <w:ind w:left="522"/>
        <w:rPr>
          <w:sz w:val="24"/>
          <w:szCs w:val="24"/>
          <w:highlight w:val="none"/>
        </w:rPr>
      </w:pPr>
      <w:r>
        <w:rPr>
          <w:spacing w:val="-1"/>
          <w:sz w:val="24"/>
          <w:szCs w:val="24"/>
          <w:highlight w:val="none"/>
        </w:rPr>
        <w:t>附件：具体标的及其技术要求和商务要求、联合协议、分包意向协议等。</w:t>
      </w:r>
    </w:p>
    <w:p w14:paraId="73023656">
      <w:pPr>
        <w:shd w:val="clear"/>
        <w:spacing w:line="219" w:lineRule="auto"/>
        <w:rPr>
          <w:sz w:val="24"/>
          <w:szCs w:val="24"/>
          <w:highlight w:val="none"/>
        </w:rPr>
        <w:sectPr>
          <w:footerReference r:id="rId7" w:type="default"/>
          <w:pgSz w:w="11906" w:h="16839"/>
          <w:pgMar w:top="1134" w:right="1745" w:bottom="1152" w:left="1785" w:header="0" w:footer="987" w:gutter="0"/>
          <w:pgNumType w:fmt="numberInDash"/>
          <w:cols w:space="720" w:num="1"/>
        </w:sectPr>
      </w:pPr>
    </w:p>
    <w:p w14:paraId="3B1A6925">
      <w:pPr>
        <w:shd w:val="clear"/>
        <w:spacing w:before="29"/>
        <w:rPr>
          <w:highlight w:val="none"/>
        </w:rPr>
      </w:pPr>
    </w:p>
    <w:tbl>
      <w:tblPr>
        <w:tblStyle w:val="69"/>
        <w:tblW w:w="840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95"/>
        <w:gridCol w:w="2410"/>
        <w:gridCol w:w="1978"/>
        <w:gridCol w:w="2119"/>
      </w:tblGrid>
      <w:tr w14:paraId="162B09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4305" w:type="dxa"/>
            <w:gridSpan w:val="2"/>
            <w:vAlign w:val="top"/>
          </w:tcPr>
          <w:p w14:paraId="00BFE79F">
            <w:pPr>
              <w:pStyle w:val="68"/>
              <w:shd w:val="clear"/>
              <w:spacing w:before="134" w:line="219" w:lineRule="auto"/>
              <w:ind w:left="1350"/>
              <w:rPr>
                <w:sz w:val="24"/>
                <w:szCs w:val="24"/>
                <w:highlight w:val="none"/>
              </w:rPr>
            </w:pPr>
            <w:r>
              <w:rPr>
                <w:spacing w:val="-6"/>
                <w:sz w:val="24"/>
                <w:szCs w:val="24"/>
                <w:highlight w:val="none"/>
              </w:rPr>
              <w:t>甲方（采购人）</w:t>
            </w:r>
          </w:p>
        </w:tc>
        <w:tc>
          <w:tcPr>
            <w:tcW w:w="4097" w:type="dxa"/>
            <w:gridSpan w:val="2"/>
            <w:vAlign w:val="top"/>
          </w:tcPr>
          <w:p w14:paraId="3E5F6CE0">
            <w:pPr>
              <w:pStyle w:val="68"/>
              <w:shd w:val="clear"/>
              <w:spacing w:before="134" w:line="219" w:lineRule="auto"/>
              <w:ind w:left="1238"/>
              <w:rPr>
                <w:sz w:val="24"/>
                <w:szCs w:val="24"/>
                <w:highlight w:val="none"/>
              </w:rPr>
            </w:pPr>
            <w:r>
              <w:rPr>
                <w:spacing w:val="-5"/>
                <w:sz w:val="24"/>
                <w:szCs w:val="24"/>
                <w:highlight w:val="none"/>
              </w:rPr>
              <w:t>乙方（供应商）</w:t>
            </w:r>
          </w:p>
        </w:tc>
      </w:tr>
      <w:tr w14:paraId="01365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6" w:hRule="atLeast"/>
        </w:trPr>
        <w:tc>
          <w:tcPr>
            <w:tcW w:w="1895" w:type="dxa"/>
            <w:vAlign w:val="top"/>
          </w:tcPr>
          <w:p w14:paraId="4B37D11C">
            <w:pPr>
              <w:pStyle w:val="68"/>
              <w:shd w:val="clear"/>
              <w:spacing w:before="191" w:line="232" w:lineRule="auto"/>
              <w:ind w:left="357" w:right="106" w:hanging="238"/>
              <w:rPr>
                <w:sz w:val="24"/>
                <w:szCs w:val="24"/>
                <w:highlight w:val="none"/>
              </w:rPr>
            </w:pPr>
            <w:r>
              <w:rPr>
                <w:spacing w:val="-3"/>
                <w:sz w:val="24"/>
                <w:szCs w:val="24"/>
                <w:highlight w:val="none"/>
              </w:rPr>
              <w:t>单位名称（公章或合同章）</w:t>
            </w:r>
          </w:p>
        </w:tc>
        <w:tc>
          <w:tcPr>
            <w:tcW w:w="2410" w:type="dxa"/>
            <w:vAlign w:val="top"/>
          </w:tcPr>
          <w:p w14:paraId="7E2C73EC">
            <w:pPr>
              <w:shd w:val="clear"/>
              <w:rPr>
                <w:rFonts w:ascii="Arial"/>
                <w:sz w:val="21"/>
                <w:highlight w:val="none"/>
              </w:rPr>
            </w:pPr>
          </w:p>
        </w:tc>
        <w:tc>
          <w:tcPr>
            <w:tcW w:w="1978" w:type="dxa"/>
            <w:vAlign w:val="top"/>
          </w:tcPr>
          <w:p w14:paraId="3BEDEE23">
            <w:pPr>
              <w:pStyle w:val="68"/>
              <w:shd w:val="clear"/>
              <w:spacing w:before="191" w:line="232" w:lineRule="auto"/>
              <w:ind w:left="398" w:right="145" w:hanging="240"/>
              <w:rPr>
                <w:sz w:val="24"/>
                <w:szCs w:val="24"/>
                <w:highlight w:val="none"/>
              </w:rPr>
            </w:pPr>
            <w:r>
              <w:rPr>
                <w:spacing w:val="-2"/>
                <w:sz w:val="24"/>
                <w:szCs w:val="24"/>
                <w:highlight w:val="none"/>
              </w:rPr>
              <w:t>单位名称（公章</w:t>
            </w:r>
            <w:r>
              <w:rPr>
                <w:spacing w:val="-3"/>
                <w:sz w:val="24"/>
                <w:szCs w:val="24"/>
                <w:highlight w:val="none"/>
              </w:rPr>
              <w:t>或合同章）</w:t>
            </w:r>
          </w:p>
        </w:tc>
        <w:tc>
          <w:tcPr>
            <w:tcW w:w="2119" w:type="dxa"/>
            <w:vAlign w:val="top"/>
          </w:tcPr>
          <w:p w14:paraId="41C5D1B4">
            <w:pPr>
              <w:shd w:val="clear"/>
              <w:rPr>
                <w:rFonts w:ascii="Arial"/>
                <w:sz w:val="21"/>
                <w:highlight w:val="none"/>
              </w:rPr>
            </w:pPr>
          </w:p>
        </w:tc>
      </w:tr>
      <w:tr w14:paraId="2CD13F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1895" w:type="dxa"/>
            <w:vMerge w:val="restart"/>
            <w:tcBorders>
              <w:bottom w:val="nil"/>
            </w:tcBorders>
            <w:vAlign w:val="top"/>
          </w:tcPr>
          <w:p w14:paraId="642152AF">
            <w:pPr>
              <w:shd w:val="clear"/>
              <w:spacing w:line="331" w:lineRule="auto"/>
              <w:rPr>
                <w:rFonts w:ascii="Arial"/>
                <w:sz w:val="21"/>
                <w:highlight w:val="none"/>
              </w:rPr>
            </w:pPr>
          </w:p>
          <w:p w14:paraId="7A2F7CDF">
            <w:pPr>
              <w:pStyle w:val="68"/>
              <w:shd w:val="clear"/>
              <w:spacing w:before="78" w:line="232" w:lineRule="auto"/>
              <w:ind w:left="295" w:right="166" w:firstLine="60"/>
              <w:rPr>
                <w:sz w:val="24"/>
                <w:szCs w:val="24"/>
                <w:highlight w:val="none"/>
              </w:rPr>
            </w:pPr>
            <w:r>
              <w:rPr>
                <w:spacing w:val="-3"/>
                <w:sz w:val="24"/>
                <w:szCs w:val="24"/>
                <w:highlight w:val="none"/>
              </w:rPr>
              <w:t>法定代表人或其委托代理</w:t>
            </w:r>
            <w:r>
              <w:rPr>
                <w:spacing w:val="10"/>
                <w:sz w:val="24"/>
                <w:szCs w:val="24"/>
                <w:highlight w:val="none"/>
              </w:rPr>
              <w:t>人（签章）</w:t>
            </w:r>
          </w:p>
        </w:tc>
        <w:tc>
          <w:tcPr>
            <w:tcW w:w="2410" w:type="dxa"/>
            <w:vMerge w:val="restart"/>
            <w:tcBorders>
              <w:bottom w:val="nil"/>
            </w:tcBorders>
            <w:vAlign w:val="top"/>
          </w:tcPr>
          <w:p w14:paraId="48A29F29">
            <w:pPr>
              <w:shd w:val="clear"/>
              <w:rPr>
                <w:rFonts w:ascii="Arial"/>
                <w:sz w:val="21"/>
                <w:highlight w:val="none"/>
              </w:rPr>
            </w:pPr>
          </w:p>
        </w:tc>
        <w:tc>
          <w:tcPr>
            <w:tcW w:w="1978" w:type="dxa"/>
            <w:vAlign w:val="top"/>
          </w:tcPr>
          <w:p w14:paraId="57E28F49">
            <w:pPr>
              <w:pStyle w:val="68"/>
              <w:shd w:val="clear"/>
              <w:spacing w:before="169" w:line="219" w:lineRule="auto"/>
              <w:ind w:left="397"/>
              <w:rPr>
                <w:sz w:val="24"/>
                <w:szCs w:val="24"/>
                <w:highlight w:val="none"/>
              </w:rPr>
            </w:pPr>
            <w:r>
              <w:rPr>
                <w:spacing w:val="-3"/>
                <w:sz w:val="24"/>
                <w:szCs w:val="24"/>
                <w:highlight w:val="none"/>
              </w:rPr>
              <w:t>法定代表人</w:t>
            </w:r>
          </w:p>
          <w:p w14:paraId="3A63F20A">
            <w:pPr>
              <w:pStyle w:val="68"/>
              <w:shd w:val="clear"/>
              <w:spacing w:before="15" w:line="219" w:lineRule="auto"/>
              <w:ind w:left="159"/>
              <w:rPr>
                <w:sz w:val="24"/>
                <w:szCs w:val="24"/>
                <w:highlight w:val="none"/>
              </w:rPr>
            </w:pPr>
            <w:r>
              <w:rPr>
                <w:spacing w:val="-2"/>
                <w:sz w:val="24"/>
                <w:szCs w:val="24"/>
                <w:highlight w:val="none"/>
              </w:rPr>
              <w:t>或其委托代理人</w:t>
            </w:r>
          </w:p>
          <w:p w14:paraId="7AC5F376">
            <w:pPr>
              <w:pStyle w:val="68"/>
              <w:shd w:val="clear"/>
              <w:spacing w:before="14" w:line="219" w:lineRule="auto"/>
              <w:ind w:left="528"/>
              <w:rPr>
                <w:sz w:val="24"/>
                <w:szCs w:val="24"/>
                <w:highlight w:val="none"/>
              </w:rPr>
            </w:pPr>
            <w:r>
              <w:rPr>
                <w:spacing w:val="-6"/>
                <w:sz w:val="24"/>
                <w:szCs w:val="24"/>
                <w:highlight w:val="none"/>
              </w:rPr>
              <w:t>（签章）</w:t>
            </w:r>
          </w:p>
        </w:tc>
        <w:tc>
          <w:tcPr>
            <w:tcW w:w="2119" w:type="dxa"/>
            <w:vAlign w:val="top"/>
          </w:tcPr>
          <w:p w14:paraId="43D75A5B">
            <w:pPr>
              <w:shd w:val="clear"/>
              <w:rPr>
                <w:rFonts w:ascii="Arial"/>
                <w:sz w:val="21"/>
                <w:highlight w:val="none"/>
              </w:rPr>
            </w:pPr>
          </w:p>
        </w:tc>
      </w:tr>
      <w:tr w14:paraId="06ED0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3" w:hRule="atLeast"/>
        </w:trPr>
        <w:tc>
          <w:tcPr>
            <w:tcW w:w="1895" w:type="dxa"/>
            <w:vMerge w:val="continue"/>
            <w:tcBorders>
              <w:top w:val="nil"/>
            </w:tcBorders>
            <w:vAlign w:val="top"/>
          </w:tcPr>
          <w:p w14:paraId="2C4EC7C1">
            <w:pPr>
              <w:shd w:val="clear"/>
              <w:rPr>
                <w:rFonts w:ascii="Arial"/>
                <w:sz w:val="21"/>
                <w:highlight w:val="none"/>
              </w:rPr>
            </w:pPr>
          </w:p>
        </w:tc>
        <w:tc>
          <w:tcPr>
            <w:tcW w:w="2410" w:type="dxa"/>
            <w:vMerge w:val="continue"/>
            <w:tcBorders>
              <w:top w:val="nil"/>
            </w:tcBorders>
            <w:vAlign w:val="top"/>
          </w:tcPr>
          <w:p w14:paraId="6F2CA28E">
            <w:pPr>
              <w:shd w:val="clear"/>
              <w:rPr>
                <w:rFonts w:ascii="Arial"/>
                <w:sz w:val="21"/>
                <w:highlight w:val="none"/>
              </w:rPr>
            </w:pPr>
          </w:p>
        </w:tc>
        <w:tc>
          <w:tcPr>
            <w:tcW w:w="1978" w:type="dxa"/>
            <w:vAlign w:val="top"/>
          </w:tcPr>
          <w:p w14:paraId="1751C7BE">
            <w:pPr>
              <w:pStyle w:val="68"/>
              <w:shd w:val="clear"/>
              <w:spacing w:before="125" w:line="219" w:lineRule="auto"/>
              <w:ind w:left="396"/>
              <w:rPr>
                <w:sz w:val="24"/>
                <w:szCs w:val="24"/>
                <w:highlight w:val="none"/>
              </w:rPr>
            </w:pPr>
            <w:r>
              <w:rPr>
                <w:spacing w:val="-2"/>
                <w:sz w:val="24"/>
                <w:szCs w:val="24"/>
                <w:highlight w:val="none"/>
              </w:rPr>
              <w:t>拥有者性别</w:t>
            </w:r>
          </w:p>
        </w:tc>
        <w:tc>
          <w:tcPr>
            <w:tcW w:w="2119" w:type="dxa"/>
            <w:vAlign w:val="top"/>
          </w:tcPr>
          <w:p w14:paraId="7B059578">
            <w:pPr>
              <w:shd w:val="clear"/>
              <w:rPr>
                <w:rFonts w:ascii="Arial"/>
                <w:sz w:val="21"/>
                <w:highlight w:val="none"/>
              </w:rPr>
            </w:pPr>
          </w:p>
        </w:tc>
      </w:tr>
      <w:tr w14:paraId="7485BB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895" w:type="dxa"/>
            <w:vAlign w:val="top"/>
          </w:tcPr>
          <w:p w14:paraId="3E7E1C77">
            <w:pPr>
              <w:pStyle w:val="68"/>
              <w:shd w:val="clear"/>
              <w:spacing w:before="126" w:line="220" w:lineRule="auto"/>
              <w:ind w:left="594"/>
              <w:rPr>
                <w:sz w:val="24"/>
                <w:szCs w:val="24"/>
                <w:highlight w:val="none"/>
              </w:rPr>
            </w:pPr>
            <w:r>
              <w:rPr>
                <w:spacing w:val="-5"/>
                <w:sz w:val="24"/>
                <w:szCs w:val="24"/>
                <w:highlight w:val="none"/>
              </w:rPr>
              <w:t>住</w:t>
            </w:r>
            <w:r>
              <w:rPr>
                <w:spacing w:val="4"/>
                <w:sz w:val="24"/>
                <w:szCs w:val="24"/>
                <w:highlight w:val="none"/>
              </w:rPr>
              <w:t xml:space="preserve">  </w:t>
            </w:r>
            <w:r>
              <w:rPr>
                <w:spacing w:val="-5"/>
                <w:sz w:val="24"/>
                <w:szCs w:val="24"/>
                <w:highlight w:val="none"/>
              </w:rPr>
              <w:t>所</w:t>
            </w:r>
          </w:p>
        </w:tc>
        <w:tc>
          <w:tcPr>
            <w:tcW w:w="2410" w:type="dxa"/>
            <w:vAlign w:val="top"/>
          </w:tcPr>
          <w:p w14:paraId="378F48DA">
            <w:pPr>
              <w:shd w:val="clear"/>
              <w:rPr>
                <w:rFonts w:ascii="Arial"/>
                <w:sz w:val="21"/>
                <w:highlight w:val="none"/>
              </w:rPr>
            </w:pPr>
          </w:p>
        </w:tc>
        <w:tc>
          <w:tcPr>
            <w:tcW w:w="1978" w:type="dxa"/>
            <w:vAlign w:val="top"/>
          </w:tcPr>
          <w:p w14:paraId="122171B1">
            <w:pPr>
              <w:pStyle w:val="68"/>
              <w:shd w:val="clear"/>
              <w:spacing w:before="126" w:line="220" w:lineRule="auto"/>
              <w:ind w:left="635"/>
              <w:rPr>
                <w:sz w:val="24"/>
                <w:szCs w:val="24"/>
                <w:highlight w:val="none"/>
              </w:rPr>
            </w:pPr>
            <w:r>
              <w:rPr>
                <w:spacing w:val="-5"/>
                <w:sz w:val="24"/>
                <w:szCs w:val="24"/>
                <w:highlight w:val="none"/>
              </w:rPr>
              <w:t>住</w:t>
            </w:r>
            <w:r>
              <w:rPr>
                <w:spacing w:val="4"/>
                <w:sz w:val="24"/>
                <w:szCs w:val="24"/>
                <w:highlight w:val="none"/>
              </w:rPr>
              <w:t xml:space="preserve">  </w:t>
            </w:r>
            <w:r>
              <w:rPr>
                <w:spacing w:val="-5"/>
                <w:sz w:val="24"/>
                <w:szCs w:val="24"/>
                <w:highlight w:val="none"/>
              </w:rPr>
              <w:t>所</w:t>
            </w:r>
          </w:p>
        </w:tc>
        <w:tc>
          <w:tcPr>
            <w:tcW w:w="2119" w:type="dxa"/>
            <w:vAlign w:val="top"/>
          </w:tcPr>
          <w:p w14:paraId="4797E197">
            <w:pPr>
              <w:shd w:val="clear"/>
              <w:rPr>
                <w:rFonts w:ascii="Arial"/>
                <w:sz w:val="21"/>
                <w:highlight w:val="none"/>
              </w:rPr>
            </w:pPr>
          </w:p>
        </w:tc>
      </w:tr>
      <w:tr w14:paraId="3210B9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1895" w:type="dxa"/>
            <w:vAlign w:val="top"/>
          </w:tcPr>
          <w:p w14:paraId="7E1376E4">
            <w:pPr>
              <w:pStyle w:val="68"/>
              <w:shd w:val="clear"/>
              <w:spacing w:before="127" w:line="221" w:lineRule="auto"/>
              <w:ind w:left="476"/>
              <w:rPr>
                <w:sz w:val="24"/>
                <w:szCs w:val="24"/>
                <w:highlight w:val="none"/>
              </w:rPr>
            </w:pPr>
            <w:r>
              <w:rPr>
                <w:spacing w:val="-9"/>
                <w:sz w:val="24"/>
                <w:szCs w:val="24"/>
                <w:highlight w:val="none"/>
              </w:rPr>
              <w:t>联</w:t>
            </w:r>
            <w:r>
              <w:rPr>
                <w:spacing w:val="15"/>
                <w:sz w:val="24"/>
                <w:szCs w:val="24"/>
                <w:highlight w:val="none"/>
              </w:rPr>
              <w:t xml:space="preserve"> </w:t>
            </w:r>
            <w:r>
              <w:rPr>
                <w:spacing w:val="-9"/>
                <w:sz w:val="24"/>
                <w:szCs w:val="24"/>
                <w:highlight w:val="none"/>
              </w:rPr>
              <w:t>系</w:t>
            </w:r>
            <w:r>
              <w:rPr>
                <w:spacing w:val="11"/>
                <w:sz w:val="24"/>
                <w:szCs w:val="24"/>
                <w:highlight w:val="none"/>
              </w:rPr>
              <w:t xml:space="preserve"> </w:t>
            </w:r>
            <w:r>
              <w:rPr>
                <w:spacing w:val="-9"/>
                <w:sz w:val="24"/>
                <w:szCs w:val="24"/>
                <w:highlight w:val="none"/>
              </w:rPr>
              <w:t>人</w:t>
            </w:r>
          </w:p>
        </w:tc>
        <w:tc>
          <w:tcPr>
            <w:tcW w:w="2410" w:type="dxa"/>
            <w:vAlign w:val="top"/>
          </w:tcPr>
          <w:p w14:paraId="2EA11492">
            <w:pPr>
              <w:shd w:val="clear"/>
              <w:rPr>
                <w:rFonts w:ascii="Arial"/>
                <w:sz w:val="21"/>
                <w:highlight w:val="none"/>
              </w:rPr>
            </w:pPr>
          </w:p>
        </w:tc>
        <w:tc>
          <w:tcPr>
            <w:tcW w:w="1978" w:type="dxa"/>
            <w:vAlign w:val="top"/>
          </w:tcPr>
          <w:p w14:paraId="25967864">
            <w:pPr>
              <w:pStyle w:val="68"/>
              <w:shd w:val="clear"/>
              <w:spacing w:before="127" w:line="221" w:lineRule="auto"/>
              <w:ind w:left="517"/>
              <w:rPr>
                <w:sz w:val="24"/>
                <w:szCs w:val="24"/>
                <w:highlight w:val="none"/>
              </w:rPr>
            </w:pPr>
            <w:r>
              <w:rPr>
                <w:spacing w:val="-9"/>
                <w:sz w:val="24"/>
                <w:szCs w:val="24"/>
                <w:highlight w:val="none"/>
              </w:rPr>
              <w:t>联</w:t>
            </w:r>
            <w:r>
              <w:rPr>
                <w:spacing w:val="15"/>
                <w:sz w:val="24"/>
                <w:szCs w:val="24"/>
                <w:highlight w:val="none"/>
              </w:rPr>
              <w:t xml:space="preserve"> </w:t>
            </w:r>
            <w:r>
              <w:rPr>
                <w:spacing w:val="-9"/>
                <w:sz w:val="24"/>
                <w:szCs w:val="24"/>
                <w:highlight w:val="none"/>
              </w:rPr>
              <w:t>系</w:t>
            </w:r>
            <w:r>
              <w:rPr>
                <w:spacing w:val="11"/>
                <w:sz w:val="24"/>
                <w:szCs w:val="24"/>
                <w:highlight w:val="none"/>
              </w:rPr>
              <w:t xml:space="preserve"> </w:t>
            </w:r>
            <w:r>
              <w:rPr>
                <w:spacing w:val="-9"/>
                <w:sz w:val="24"/>
                <w:szCs w:val="24"/>
                <w:highlight w:val="none"/>
              </w:rPr>
              <w:t>人</w:t>
            </w:r>
          </w:p>
        </w:tc>
        <w:tc>
          <w:tcPr>
            <w:tcW w:w="2119" w:type="dxa"/>
            <w:vAlign w:val="top"/>
          </w:tcPr>
          <w:p w14:paraId="4512244A">
            <w:pPr>
              <w:shd w:val="clear"/>
              <w:rPr>
                <w:rFonts w:ascii="Arial"/>
                <w:sz w:val="21"/>
                <w:highlight w:val="none"/>
              </w:rPr>
            </w:pPr>
          </w:p>
        </w:tc>
      </w:tr>
      <w:tr w14:paraId="1BFAD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895" w:type="dxa"/>
            <w:vAlign w:val="top"/>
          </w:tcPr>
          <w:p w14:paraId="106C8DD4">
            <w:pPr>
              <w:pStyle w:val="68"/>
              <w:shd w:val="clear"/>
              <w:spacing w:before="127" w:line="221" w:lineRule="auto"/>
              <w:ind w:left="476"/>
              <w:rPr>
                <w:sz w:val="24"/>
                <w:szCs w:val="24"/>
                <w:highlight w:val="none"/>
              </w:rPr>
            </w:pPr>
            <w:r>
              <w:rPr>
                <w:spacing w:val="-3"/>
                <w:sz w:val="24"/>
                <w:szCs w:val="24"/>
                <w:highlight w:val="none"/>
              </w:rPr>
              <w:t>联系电话</w:t>
            </w:r>
          </w:p>
        </w:tc>
        <w:tc>
          <w:tcPr>
            <w:tcW w:w="2410" w:type="dxa"/>
            <w:vAlign w:val="top"/>
          </w:tcPr>
          <w:p w14:paraId="33018FB2">
            <w:pPr>
              <w:shd w:val="clear"/>
              <w:rPr>
                <w:rFonts w:ascii="Arial"/>
                <w:sz w:val="21"/>
                <w:highlight w:val="none"/>
              </w:rPr>
            </w:pPr>
          </w:p>
        </w:tc>
        <w:tc>
          <w:tcPr>
            <w:tcW w:w="1978" w:type="dxa"/>
            <w:vAlign w:val="top"/>
          </w:tcPr>
          <w:p w14:paraId="3D9CA1E3">
            <w:pPr>
              <w:pStyle w:val="68"/>
              <w:shd w:val="clear"/>
              <w:spacing w:before="127" w:line="221" w:lineRule="auto"/>
              <w:ind w:left="517"/>
              <w:rPr>
                <w:sz w:val="24"/>
                <w:szCs w:val="24"/>
                <w:highlight w:val="none"/>
              </w:rPr>
            </w:pPr>
            <w:r>
              <w:rPr>
                <w:spacing w:val="-3"/>
                <w:sz w:val="24"/>
                <w:szCs w:val="24"/>
                <w:highlight w:val="none"/>
              </w:rPr>
              <w:t>联系电话</w:t>
            </w:r>
          </w:p>
        </w:tc>
        <w:tc>
          <w:tcPr>
            <w:tcW w:w="2119" w:type="dxa"/>
            <w:vAlign w:val="top"/>
          </w:tcPr>
          <w:p w14:paraId="1871BBC2">
            <w:pPr>
              <w:shd w:val="clear"/>
              <w:rPr>
                <w:rFonts w:ascii="Arial"/>
                <w:sz w:val="21"/>
                <w:highlight w:val="none"/>
              </w:rPr>
            </w:pPr>
          </w:p>
        </w:tc>
      </w:tr>
      <w:tr w14:paraId="6EBC8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895" w:type="dxa"/>
            <w:vAlign w:val="top"/>
          </w:tcPr>
          <w:p w14:paraId="1DCFD9AC">
            <w:pPr>
              <w:pStyle w:val="68"/>
              <w:shd w:val="clear"/>
              <w:spacing w:before="128" w:line="219" w:lineRule="auto"/>
              <w:ind w:left="475"/>
              <w:rPr>
                <w:sz w:val="24"/>
                <w:szCs w:val="24"/>
                <w:highlight w:val="none"/>
              </w:rPr>
            </w:pPr>
            <w:r>
              <w:rPr>
                <w:spacing w:val="-3"/>
                <w:sz w:val="24"/>
                <w:szCs w:val="24"/>
                <w:highlight w:val="none"/>
              </w:rPr>
              <w:t>通信地址</w:t>
            </w:r>
          </w:p>
        </w:tc>
        <w:tc>
          <w:tcPr>
            <w:tcW w:w="2410" w:type="dxa"/>
            <w:vAlign w:val="top"/>
          </w:tcPr>
          <w:p w14:paraId="68025576">
            <w:pPr>
              <w:shd w:val="clear"/>
              <w:rPr>
                <w:rFonts w:ascii="Arial"/>
                <w:sz w:val="21"/>
                <w:highlight w:val="none"/>
              </w:rPr>
            </w:pPr>
          </w:p>
        </w:tc>
        <w:tc>
          <w:tcPr>
            <w:tcW w:w="1978" w:type="dxa"/>
            <w:vAlign w:val="top"/>
          </w:tcPr>
          <w:p w14:paraId="7279ED4C">
            <w:pPr>
              <w:pStyle w:val="68"/>
              <w:shd w:val="clear"/>
              <w:spacing w:before="128" w:line="219" w:lineRule="auto"/>
              <w:ind w:left="516"/>
              <w:rPr>
                <w:sz w:val="24"/>
                <w:szCs w:val="24"/>
                <w:highlight w:val="none"/>
              </w:rPr>
            </w:pPr>
            <w:r>
              <w:rPr>
                <w:spacing w:val="-3"/>
                <w:sz w:val="24"/>
                <w:szCs w:val="24"/>
                <w:highlight w:val="none"/>
              </w:rPr>
              <w:t>通信地址</w:t>
            </w:r>
          </w:p>
        </w:tc>
        <w:tc>
          <w:tcPr>
            <w:tcW w:w="2119" w:type="dxa"/>
            <w:vAlign w:val="top"/>
          </w:tcPr>
          <w:p w14:paraId="5A890D9A">
            <w:pPr>
              <w:shd w:val="clear"/>
              <w:rPr>
                <w:rFonts w:ascii="Arial"/>
                <w:sz w:val="21"/>
                <w:highlight w:val="none"/>
              </w:rPr>
            </w:pPr>
          </w:p>
        </w:tc>
      </w:tr>
      <w:tr w14:paraId="3013FA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895" w:type="dxa"/>
            <w:vAlign w:val="top"/>
          </w:tcPr>
          <w:p w14:paraId="7F307B8F">
            <w:pPr>
              <w:pStyle w:val="68"/>
              <w:shd w:val="clear"/>
              <w:spacing w:before="127" w:line="219" w:lineRule="auto"/>
              <w:ind w:left="492"/>
              <w:rPr>
                <w:sz w:val="24"/>
                <w:szCs w:val="24"/>
                <w:highlight w:val="none"/>
              </w:rPr>
            </w:pPr>
            <w:r>
              <w:rPr>
                <w:spacing w:val="-7"/>
                <w:sz w:val="24"/>
                <w:szCs w:val="24"/>
                <w:highlight w:val="none"/>
              </w:rPr>
              <w:t>邮政编码</w:t>
            </w:r>
          </w:p>
        </w:tc>
        <w:tc>
          <w:tcPr>
            <w:tcW w:w="2410" w:type="dxa"/>
            <w:vAlign w:val="top"/>
          </w:tcPr>
          <w:p w14:paraId="5ACE763B">
            <w:pPr>
              <w:shd w:val="clear"/>
              <w:rPr>
                <w:rFonts w:ascii="Arial"/>
                <w:sz w:val="21"/>
                <w:highlight w:val="none"/>
              </w:rPr>
            </w:pPr>
          </w:p>
        </w:tc>
        <w:tc>
          <w:tcPr>
            <w:tcW w:w="1978" w:type="dxa"/>
            <w:vAlign w:val="top"/>
          </w:tcPr>
          <w:p w14:paraId="5087A112">
            <w:pPr>
              <w:pStyle w:val="68"/>
              <w:shd w:val="clear"/>
              <w:spacing w:before="127" w:line="219" w:lineRule="auto"/>
              <w:ind w:left="534"/>
              <w:rPr>
                <w:sz w:val="24"/>
                <w:szCs w:val="24"/>
                <w:highlight w:val="none"/>
              </w:rPr>
            </w:pPr>
            <w:r>
              <w:rPr>
                <w:spacing w:val="-7"/>
                <w:sz w:val="24"/>
                <w:szCs w:val="24"/>
                <w:highlight w:val="none"/>
              </w:rPr>
              <w:t>邮政编码</w:t>
            </w:r>
          </w:p>
        </w:tc>
        <w:tc>
          <w:tcPr>
            <w:tcW w:w="2119" w:type="dxa"/>
            <w:vAlign w:val="top"/>
          </w:tcPr>
          <w:p w14:paraId="67A59D6D">
            <w:pPr>
              <w:shd w:val="clear"/>
              <w:rPr>
                <w:rFonts w:ascii="Arial"/>
                <w:sz w:val="21"/>
                <w:highlight w:val="none"/>
              </w:rPr>
            </w:pPr>
          </w:p>
        </w:tc>
      </w:tr>
      <w:tr w14:paraId="024D95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3" w:hRule="atLeast"/>
        </w:trPr>
        <w:tc>
          <w:tcPr>
            <w:tcW w:w="1895" w:type="dxa"/>
            <w:vAlign w:val="top"/>
          </w:tcPr>
          <w:p w14:paraId="7DF8F0F9">
            <w:pPr>
              <w:pStyle w:val="68"/>
              <w:shd w:val="clear"/>
              <w:spacing w:before="126" w:line="220" w:lineRule="auto"/>
              <w:ind w:left="503"/>
              <w:rPr>
                <w:sz w:val="24"/>
                <w:szCs w:val="24"/>
                <w:highlight w:val="none"/>
              </w:rPr>
            </w:pPr>
            <w:r>
              <w:rPr>
                <w:spacing w:val="-10"/>
                <w:sz w:val="24"/>
                <w:szCs w:val="24"/>
                <w:highlight w:val="none"/>
              </w:rPr>
              <w:t>电子邮箱</w:t>
            </w:r>
          </w:p>
        </w:tc>
        <w:tc>
          <w:tcPr>
            <w:tcW w:w="2410" w:type="dxa"/>
            <w:vAlign w:val="top"/>
          </w:tcPr>
          <w:p w14:paraId="028897C6">
            <w:pPr>
              <w:shd w:val="clear"/>
              <w:rPr>
                <w:rFonts w:ascii="Arial"/>
                <w:sz w:val="21"/>
                <w:highlight w:val="none"/>
              </w:rPr>
            </w:pPr>
          </w:p>
        </w:tc>
        <w:tc>
          <w:tcPr>
            <w:tcW w:w="1978" w:type="dxa"/>
            <w:vAlign w:val="top"/>
          </w:tcPr>
          <w:p w14:paraId="1E30808B">
            <w:pPr>
              <w:pStyle w:val="68"/>
              <w:shd w:val="clear"/>
              <w:spacing w:before="126" w:line="220" w:lineRule="auto"/>
              <w:ind w:left="544"/>
              <w:rPr>
                <w:sz w:val="24"/>
                <w:szCs w:val="24"/>
                <w:highlight w:val="none"/>
              </w:rPr>
            </w:pPr>
            <w:r>
              <w:rPr>
                <w:spacing w:val="-10"/>
                <w:sz w:val="24"/>
                <w:szCs w:val="24"/>
                <w:highlight w:val="none"/>
              </w:rPr>
              <w:t>电子邮箱</w:t>
            </w:r>
          </w:p>
        </w:tc>
        <w:tc>
          <w:tcPr>
            <w:tcW w:w="2119" w:type="dxa"/>
            <w:vAlign w:val="top"/>
          </w:tcPr>
          <w:p w14:paraId="6C3E028B">
            <w:pPr>
              <w:shd w:val="clear"/>
              <w:rPr>
                <w:rFonts w:ascii="Arial"/>
                <w:sz w:val="21"/>
                <w:highlight w:val="none"/>
              </w:rPr>
            </w:pPr>
          </w:p>
        </w:tc>
      </w:tr>
      <w:tr w14:paraId="719CB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1895" w:type="dxa"/>
            <w:vAlign w:val="top"/>
          </w:tcPr>
          <w:p w14:paraId="40DD19EB">
            <w:pPr>
              <w:pStyle w:val="68"/>
              <w:shd w:val="clear"/>
              <w:spacing w:before="37" w:line="212" w:lineRule="auto"/>
              <w:ind w:left="713" w:right="224" w:hanging="473"/>
              <w:rPr>
                <w:sz w:val="24"/>
                <w:szCs w:val="24"/>
                <w:highlight w:val="none"/>
              </w:rPr>
            </w:pPr>
            <w:r>
              <w:rPr>
                <w:spacing w:val="-3"/>
                <w:sz w:val="24"/>
                <w:szCs w:val="24"/>
                <w:highlight w:val="none"/>
              </w:rPr>
              <w:t>统一社会信用</w:t>
            </w:r>
            <w:r>
              <w:rPr>
                <w:spacing w:val="-5"/>
                <w:sz w:val="24"/>
                <w:szCs w:val="24"/>
                <w:highlight w:val="none"/>
              </w:rPr>
              <w:t>代码</w:t>
            </w:r>
          </w:p>
        </w:tc>
        <w:tc>
          <w:tcPr>
            <w:tcW w:w="2410" w:type="dxa"/>
            <w:vAlign w:val="top"/>
          </w:tcPr>
          <w:p w14:paraId="0A888DD1">
            <w:pPr>
              <w:shd w:val="clear"/>
              <w:rPr>
                <w:rFonts w:ascii="Arial"/>
                <w:sz w:val="21"/>
                <w:highlight w:val="none"/>
              </w:rPr>
            </w:pPr>
          </w:p>
        </w:tc>
        <w:tc>
          <w:tcPr>
            <w:tcW w:w="1978" w:type="dxa"/>
            <w:vAlign w:val="top"/>
          </w:tcPr>
          <w:p w14:paraId="7CF055B5">
            <w:pPr>
              <w:pStyle w:val="68"/>
              <w:shd w:val="clear"/>
              <w:spacing w:before="37" w:line="212" w:lineRule="auto"/>
              <w:ind w:left="875" w:right="145" w:hanging="713"/>
              <w:rPr>
                <w:sz w:val="24"/>
                <w:szCs w:val="24"/>
                <w:highlight w:val="none"/>
              </w:rPr>
            </w:pPr>
            <w:r>
              <w:rPr>
                <w:spacing w:val="-3"/>
                <w:sz w:val="24"/>
                <w:szCs w:val="24"/>
                <w:highlight w:val="none"/>
              </w:rPr>
              <w:t>统一社会信用代</w:t>
            </w:r>
            <w:r>
              <w:rPr>
                <w:sz w:val="24"/>
                <w:szCs w:val="24"/>
                <w:highlight w:val="none"/>
              </w:rPr>
              <w:t>码</w:t>
            </w:r>
          </w:p>
        </w:tc>
        <w:tc>
          <w:tcPr>
            <w:tcW w:w="2119" w:type="dxa"/>
            <w:vAlign w:val="top"/>
          </w:tcPr>
          <w:p w14:paraId="4E2D7640">
            <w:pPr>
              <w:shd w:val="clear"/>
              <w:rPr>
                <w:rFonts w:ascii="Arial"/>
                <w:sz w:val="21"/>
                <w:highlight w:val="none"/>
              </w:rPr>
            </w:pPr>
          </w:p>
        </w:tc>
      </w:tr>
      <w:tr w14:paraId="138679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895" w:type="dxa"/>
            <w:vAlign w:val="top"/>
          </w:tcPr>
          <w:p w14:paraId="1444D47E">
            <w:pPr>
              <w:shd w:val="clear"/>
              <w:rPr>
                <w:rFonts w:ascii="Arial"/>
                <w:sz w:val="21"/>
                <w:highlight w:val="none"/>
              </w:rPr>
            </w:pPr>
          </w:p>
        </w:tc>
        <w:tc>
          <w:tcPr>
            <w:tcW w:w="2410" w:type="dxa"/>
            <w:vAlign w:val="top"/>
          </w:tcPr>
          <w:p w14:paraId="713221B4">
            <w:pPr>
              <w:shd w:val="clear"/>
              <w:rPr>
                <w:rFonts w:ascii="Arial"/>
                <w:sz w:val="21"/>
                <w:highlight w:val="none"/>
              </w:rPr>
            </w:pPr>
          </w:p>
        </w:tc>
        <w:tc>
          <w:tcPr>
            <w:tcW w:w="1978" w:type="dxa"/>
            <w:vAlign w:val="top"/>
          </w:tcPr>
          <w:p w14:paraId="4361DF46">
            <w:pPr>
              <w:pStyle w:val="68"/>
              <w:shd w:val="clear"/>
              <w:spacing w:before="129" w:line="220" w:lineRule="auto"/>
              <w:ind w:left="517"/>
              <w:rPr>
                <w:sz w:val="24"/>
                <w:szCs w:val="24"/>
                <w:highlight w:val="none"/>
              </w:rPr>
            </w:pPr>
            <w:r>
              <w:rPr>
                <w:spacing w:val="-3"/>
                <w:sz w:val="24"/>
                <w:szCs w:val="24"/>
                <w:highlight w:val="none"/>
              </w:rPr>
              <w:t>开户名称</w:t>
            </w:r>
          </w:p>
        </w:tc>
        <w:tc>
          <w:tcPr>
            <w:tcW w:w="2119" w:type="dxa"/>
            <w:vAlign w:val="top"/>
          </w:tcPr>
          <w:p w14:paraId="3CC38BD4">
            <w:pPr>
              <w:shd w:val="clear"/>
              <w:rPr>
                <w:rFonts w:ascii="Arial"/>
                <w:sz w:val="21"/>
                <w:highlight w:val="none"/>
              </w:rPr>
            </w:pPr>
          </w:p>
        </w:tc>
      </w:tr>
      <w:tr w14:paraId="048F40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3" w:hRule="atLeast"/>
        </w:trPr>
        <w:tc>
          <w:tcPr>
            <w:tcW w:w="1895" w:type="dxa"/>
            <w:vAlign w:val="top"/>
          </w:tcPr>
          <w:p w14:paraId="18834705">
            <w:pPr>
              <w:shd w:val="clear"/>
              <w:rPr>
                <w:rFonts w:ascii="Arial"/>
                <w:sz w:val="21"/>
                <w:highlight w:val="none"/>
              </w:rPr>
            </w:pPr>
          </w:p>
        </w:tc>
        <w:tc>
          <w:tcPr>
            <w:tcW w:w="2410" w:type="dxa"/>
            <w:vAlign w:val="top"/>
          </w:tcPr>
          <w:p w14:paraId="5D69FE01">
            <w:pPr>
              <w:shd w:val="clear"/>
              <w:rPr>
                <w:rFonts w:ascii="Arial"/>
                <w:sz w:val="21"/>
                <w:highlight w:val="none"/>
              </w:rPr>
            </w:pPr>
          </w:p>
        </w:tc>
        <w:tc>
          <w:tcPr>
            <w:tcW w:w="1978" w:type="dxa"/>
            <w:vAlign w:val="top"/>
          </w:tcPr>
          <w:p w14:paraId="0C3B2191">
            <w:pPr>
              <w:pStyle w:val="68"/>
              <w:shd w:val="clear"/>
              <w:spacing w:before="128" w:line="220" w:lineRule="auto"/>
              <w:ind w:left="517"/>
              <w:rPr>
                <w:sz w:val="24"/>
                <w:szCs w:val="24"/>
                <w:highlight w:val="none"/>
              </w:rPr>
            </w:pPr>
            <w:r>
              <w:rPr>
                <w:spacing w:val="-3"/>
                <w:sz w:val="24"/>
                <w:szCs w:val="24"/>
                <w:highlight w:val="none"/>
              </w:rPr>
              <w:t>开户银行</w:t>
            </w:r>
          </w:p>
        </w:tc>
        <w:tc>
          <w:tcPr>
            <w:tcW w:w="2119" w:type="dxa"/>
            <w:vAlign w:val="top"/>
          </w:tcPr>
          <w:p w14:paraId="69ECD95F">
            <w:pPr>
              <w:shd w:val="clear"/>
              <w:rPr>
                <w:rFonts w:ascii="Arial"/>
                <w:sz w:val="21"/>
                <w:highlight w:val="none"/>
              </w:rPr>
            </w:pPr>
          </w:p>
        </w:tc>
      </w:tr>
      <w:tr w14:paraId="28D381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1895" w:type="dxa"/>
            <w:vAlign w:val="top"/>
          </w:tcPr>
          <w:p w14:paraId="2E35BB52">
            <w:pPr>
              <w:shd w:val="clear"/>
              <w:rPr>
                <w:rFonts w:ascii="Arial"/>
                <w:sz w:val="21"/>
                <w:highlight w:val="none"/>
              </w:rPr>
            </w:pPr>
          </w:p>
        </w:tc>
        <w:tc>
          <w:tcPr>
            <w:tcW w:w="2410" w:type="dxa"/>
            <w:vAlign w:val="top"/>
          </w:tcPr>
          <w:p w14:paraId="09EF253E">
            <w:pPr>
              <w:shd w:val="clear"/>
              <w:rPr>
                <w:rFonts w:ascii="Arial"/>
                <w:sz w:val="21"/>
                <w:highlight w:val="none"/>
              </w:rPr>
            </w:pPr>
          </w:p>
        </w:tc>
        <w:tc>
          <w:tcPr>
            <w:tcW w:w="1978" w:type="dxa"/>
            <w:vAlign w:val="top"/>
          </w:tcPr>
          <w:p w14:paraId="3DDC0200">
            <w:pPr>
              <w:pStyle w:val="68"/>
              <w:shd w:val="clear"/>
              <w:spacing w:before="129" w:line="220" w:lineRule="auto"/>
              <w:ind w:left="517"/>
              <w:rPr>
                <w:sz w:val="24"/>
                <w:szCs w:val="24"/>
                <w:highlight w:val="none"/>
              </w:rPr>
            </w:pPr>
            <w:r>
              <w:rPr>
                <w:spacing w:val="-3"/>
                <w:sz w:val="24"/>
                <w:szCs w:val="24"/>
                <w:highlight w:val="none"/>
              </w:rPr>
              <w:t>银行账号</w:t>
            </w:r>
          </w:p>
        </w:tc>
        <w:tc>
          <w:tcPr>
            <w:tcW w:w="2119" w:type="dxa"/>
            <w:vAlign w:val="top"/>
          </w:tcPr>
          <w:p w14:paraId="3DFB8F2B">
            <w:pPr>
              <w:shd w:val="clear"/>
              <w:rPr>
                <w:rFonts w:ascii="Arial"/>
                <w:sz w:val="21"/>
                <w:highlight w:val="none"/>
              </w:rPr>
            </w:pPr>
          </w:p>
        </w:tc>
      </w:tr>
      <w:tr w14:paraId="5863F2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402" w:type="dxa"/>
            <w:gridSpan w:val="4"/>
            <w:vAlign w:val="top"/>
          </w:tcPr>
          <w:p w14:paraId="3136B226">
            <w:pPr>
              <w:pStyle w:val="68"/>
              <w:shd w:val="clear"/>
              <w:spacing w:before="194" w:line="219" w:lineRule="auto"/>
              <w:ind w:left="962"/>
              <w:outlineLvl w:val="1"/>
              <w:rPr>
                <w:sz w:val="24"/>
                <w:szCs w:val="24"/>
                <w:highlight w:val="none"/>
              </w:rPr>
            </w:pPr>
            <w:r>
              <w:rPr>
                <w:spacing w:val="-1"/>
                <w:sz w:val="24"/>
                <w:szCs w:val="24"/>
                <w:highlight w:val="none"/>
              </w:rPr>
              <w:t>注：涉及联合体或其他合同主体的信息应按上表格式加列。</w:t>
            </w:r>
          </w:p>
        </w:tc>
      </w:tr>
    </w:tbl>
    <w:p w14:paraId="5127551C">
      <w:pPr>
        <w:shd w:val="clear"/>
        <w:rPr>
          <w:rFonts w:ascii="Arial"/>
          <w:sz w:val="21"/>
          <w:highlight w:val="none"/>
        </w:rPr>
      </w:pPr>
    </w:p>
    <w:p w14:paraId="414967A9">
      <w:pPr>
        <w:shd w:val="clear"/>
        <w:rPr>
          <w:rFonts w:ascii="Arial" w:hAnsi="Arial" w:eastAsia="Arial" w:cs="Arial"/>
          <w:sz w:val="21"/>
          <w:szCs w:val="21"/>
          <w:highlight w:val="none"/>
        </w:rPr>
        <w:sectPr>
          <w:footerReference r:id="rId8" w:type="default"/>
          <w:pgSz w:w="11906" w:h="16839"/>
          <w:pgMar w:top="400" w:right="1749" w:bottom="1152" w:left="1749" w:header="0" w:footer="987" w:gutter="0"/>
          <w:pgNumType w:fmt="numberInDash"/>
          <w:cols w:space="720" w:num="1"/>
        </w:sectPr>
      </w:pPr>
    </w:p>
    <w:p w14:paraId="04055010">
      <w:pPr>
        <w:shd w:val="clear"/>
        <w:spacing w:line="286" w:lineRule="auto"/>
        <w:rPr>
          <w:rFonts w:ascii="Arial"/>
          <w:sz w:val="21"/>
          <w:highlight w:val="none"/>
        </w:rPr>
      </w:pPr>
    </w:p>
    <w:p w14:paraId="515A166A">
      <w:pPr>
        <w:pStyle w:val="12"/>
        <w:shd w:val="clear"/>
        <w:spacing w:before="78" w:line="219" w:lineRule="auto"/>
        <w:ind w:left="2548"/>
        <w:rPr>
          <w:sz w:val="24"/>
          <w:szCs w:val="24"/>
          <w:highlight w:val="none"/>
        </w:rPr>
      </w:pPr>
      <w:r>
        <w:rPr>
          <w:b/>
          <w:bCs/>
          <w:spacing w:val="-2"/>
          <w:sz w:val="24"/>
          <w:szCs w:val="24"/>
          <w:highlight w:val="none"/>
        </w:rPr>
        <w:t>第二节</w:t>
      </w:r>
      <w:r>
        <w:rPr>
          <w:spacing w:val="-2"/>
          <w:sz w:val="24"/>
          <w:szCs w:val="24"/>
          <w:highlight w:val="none"/>
        </w:rPr>
        <w:t xml:space="preserve"> </w:t>
      </w:r>
      <w:r>
        <w:rPr>
          <w:b/>
          <w:bCs/>
          <w:spacing w:val="-2"/>
          <w:sz w:val="24"/>
          <w:szCs w:val="24"/>
          <w:highlight w:val="none"/>
        </w:rPr>
        <w:t>政府采购合同通用条款</w:t>
      </w:r>
    </w:p>
    <w:p w14:paraId="4FADC1ED">
      <w:pPr>
        <w:pStyle w:val="12"/>
        <w:shd w:val="clear"/>
        <w:spacing w:before="107" w:line="220" w:lineRule="auto"/>
        <w:ind w:left="41"/>
        <w:rPr>
          <w:sz w:val="24"/>
          <w:szCs w:val="24"/>
          <w:highlight w:val="none"/>
        </w:rPr>
      </w:pPr>
      <w:r>
        <w:rPr>
          <w:b/>
          <w:bCs/>
          <w:spacing w:val="-13"/>
          <w:sz w:val="24"/>
          <w:szCs w:val="24"/>
          <w:highlight w:val="none"/>
        </w:rPr>
        <w:t>1.</w:t>
      </w:r>
      <w:r>
        <w:rPr>
          <w:spacing w:val="16"/>
          <w:sz w:val="24"/>
          <w:szCs w:val="24"/>
          <w:highlight w:val="none"/>
        </w:rPr>
        <w:t xml:space="preserve"> </w:t>
      </w:r>
      <w:r>
        <w:rPr>
          <w:b/>
          <w:bCs/>
          <w:spacing w:val="-13"/>
          <w:sz w:val="24"/>
          <w:szCs w:val="24"/>
          <w:highlight w:val="none"/>
        </w:rPr>
        <w:t>定义</w:t>
      </w:r>
    </w:p>
    <w:p w14:paraId="4F61CDAB">
      <w:pPr>
        <w:pStyle w:val="12"/>
        <w:shd w:val="clear"/>
        <w:spacing w:before="114" w:line="220" w:lineRule="auto"/>
        <w:ind w:left="521"/>
        <w:rPr>
          <w:sz w:val="24"/>
          <w:szCs w:val="24"/>
          <w:highlight w:val="none"/>
        </w:rPr>
      </w:pPr>
      <w:r>
        <w:rPr>
          <w:spacing w:val="-4"/>
          <w:sz w:val="24"/>
          <w:szCs w:val="24"/>
          <w:highlight w:val="none"/>
        </w:rPr>
        <w:t>1.1合同当事人</w:t>
      </w:r>
    </w:p>
    <w:p w14:paraId="6428FE53">
      <w:pPr>
        <w:pStyle w:val="12"/>
        <w:shd w:val="clear"/>
        <w:spacing w:before="113" w:line="308" w:lineRule="auto"/>
        <w:ind w:left="23" w:right="106" w:firstLine="491"/>
        <w:rPr>
          <w:sz w:val="24"/>
          <w:szCs w:val="24"/>
          <w:highlight w:val="none"/>
        </w:rPr>
      </w:pPr>
      <w:r>
        <w:rPr>
          <w:spacing w:val="-1"/>
          <w:sz w:val="24"/>
          <w:szCs w:val="24"/>
          <w:highlight w:val="none"/>
        </w:rPr>
        <w:t>（1）采购人（以下称甲方）是指使用财政性资金，通过政府采购方式向供应商购买货物及其相关服务的国家机关、事业单位、团体组织。</w:t>
      </w:r>
    </w:p>
    <w:p w14:paraId="31359748">
      <w:pPr>
        <w:pStyle w:val="12"/>
        <w:shd w:val="clear"/>
        <w:spacing w:line="307" w:lineRule="auto"/>
        <w:ind w:left="22" w:right="106" w:firstLine="492"/>
        <w:rPr>
          <w:sz w:val="24"/>
          <w:szCs w:val="24"/>
          <w:highlight w:val="none"/>
        </w:rPr>
      </w:pPr>
      <w:r>
        <w:rPr>
          <w:spacing w:val="-2"/>
          <w:sz w:val="24"/>
          <w:szCs w:val="24"/>
          <w:highlight w:val="none"/>
        </w:rPr>
        <w:t>（2）供应商（以下称乙方）是指参加政府采购活动并且中标（成交</w:t>
      </w:r>
      <w:r>
        <w:rPr>
          <w:spacing w:val="20"/>
          <w:sz w:val="24"/>
          <w:szCs w:val="24"/>
          <w:highlight w:val="none"/>
        </w:rPr>
        <w:t>），</w:t>
      </w:r>
      <w:r>
        <w:rPr>
          <w:spacing w:val="-2"/>
          <w:sz w:val="24"/>
          <w:szCs w:val="24"/>
          <w:highlight w:val="none"/>
        </w:rPr>
        <w:t>向</w:t>
      </w:r>
      <w:r>
        <w:rPr>
          <w:sz w:val="24"/>
          <w:szCs w:val="24"/>
          <w:highlight w:val="none"/>
        </w:rPr>
        <w:t>采购人提供合同约定的货物及其相关服务的法人、非</w:t>
      </w:r>
      <w:r>
        <w:rPr>
          <w:spacing w:val="-1"/>
          <w:sz w:val="24"/>
          <w:szCs w:val="24"/>
          <w:highlight w:val="none"/>
        </w:rPr>
        <w:t>法人组织或者自然人。</w:t>
      </w:r>
    </w:p>
    <w:p w14:paraId="6B06A234">
      <w:pPr>
        <w:pStyle w:val="12"/>
        <w:shd w:val="clear"/>
        <w:spacing w:before="1" w:line="307" w:lineRule="auto"/>
        <w:ind w:left="24" w:right="18" w:firstLine="490"/>
        <w:rPr>
          <w:sz w:val="24"/>
          <w:szCs w:val="24"/>
          <w:highlight w:val="none"/>
        </w:rPr>
      </w:pPr>
      <w:r>
        <w:rPr>
          <w:spacing w:val="-5"/>
          <w:sz w:val="24"/>
          <w:szCs w:val="24"/>
          <w:highlight w:val="none"/>
        </w:rPr>
        <w:t>（3）其他合同主体是指除采购人和供应商以外，依法参与合同缔结</w:t>
      </w:r>
      <w:r>
        <w:rPr>
          <w:spacing w:val="-6"/>
          <w:sz w:val="24"/>
          <w:szCs w:val="24"/>
          <w:highlight w:val="none"/>
        </w:rPr>
        <w:t>或履行，</w:t>
      </w:r>
      <w:r>
        <w:rPr>
          <w:spacing w:val="-1"/>
          <w:sz w:val="24"/>
          <w:szCs w:val="24"/>
          <w:highlight w:val="none"/>
        </w:rPr>
        <w:t>享有权利、承担义务的合同当事人。</w:t>
      </w:r>
    </w:p>
    <w:p w14:paraId="76147E46">
      <w:pPr>
        <w:pStyle w:val="12"/>
        <w:shd w:val="clear"/>
        <w:spacing w:before="1" w:line="218" w:lineRule="auto"/>
        <w:ind w:left="521"/>
        <w:rPr>
          <w:sz w:val="24"/>
          <w:szCs w:val="24"/>
          <w:highlight w:val="none"/>
        </w:rPr>
      </w:pPr>
      <w:r>
        <w:rPr>
          <w:spacing w:val="-3"/>
          <w:sz w:val="24"/>
          <w:szCs w:val="24"/>
          <w:highlight w:val="none"/>
        </w:rPr>
        <w:t>1.2</w:t>
      </w:r>
      <w:r>
        <w:rPr>
          <w:spacing w:val="-44"/>
          <w:sz w:val="24"/>
          <w:szCs w:val="24"/>
          <w:highlight w:val="none"/>
        </w:rPr>
        <w:t xml:space="preserve"> </w:t>
      </w:r>
      <w:r>
        <w:rPr>
          <w:spacing w:val="-3"/>
          <w:sz w:val="24"/>
          <w:szCs w:val="24"/>
          <w:highlight w:val="none"/>
        </w:rPr>
        <w:t>本合同下列术语应解释为：</w:t>
      </w:r>
    </w:p>
    <w:p w14:paraId="0C25AA24">
      <w:pPr>
        <w:pStyle w:val="12"/>
        <w:shd w:val="clear"/>
        <w:spacing w:before="113" w:line="308" w:lineRule="auto"/>
        <w:ind w:left="22" w:right="80" w:firstLine="492"/>
        <w:rPr>
          <w:sz w:val="24"/>
          <w:szCs w:val="24"/>
          <w:highlight w:val="none"/>
        </w:rPr>
      </w:pPr>
      <w:r>
        <w:rPr>
          <w:spacing w:val="-2"/>
          <w:sz w:val="24"/>
          <w:szCs w:val="24"/>
          <w:highlight w:val="none"/>
        </w:rPr>
        <w:t>（1）“合同</w:t>
      </w:r>
      <w:r>
        <w:rPr>
          <w:spacing w:val="-76"/>
          <w:sz w:val="24"/>
          <w:szCs w:val="24"/>
          <w:highlight w:val="none"/>
        </w:rPr>
        <w:t xml:space="preserve"> </w:t>
      </w:r>
      <w:r>
        <w:rPr>
          <w:spacing w:val="-2"/>
          <w:sz w:val="24"/>
          <w:szCs w:val="24"/>
          <w:highlight w:val="none"/>
        </w:rPr>
        <w:t>”系指合同当事人意思表示达成一致的任何协议，包括签署的</w:t>
      </w:r>
      <w:r>
        <w:rPr>
          <w:spacing w:val="-3"/>
          <w:sz w:val="24"/>
          <w:szCs w:val="24"/>
          <w:highlight w:val="none"/>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w:t>
      </w:r>
      <w:r>
        <w:rPr>
          <w:spacing w:val="-2"/>
          <w:sz w:val="24"/>
          <w:szCs w:val="24"/>
          <w:highlight w:val="none"/>
        </w:rPr>
        <w:t>部分的其他文件。</w:t>
      </w:r>
    </w:p>
    <w:p w14:paraId="62C7AA03">
      <w:pPr>
        <w:pStyle w:val="12"/>
        <w:shd w:val="clear"/>
        <w:spacing w:before="1" w:line="308" w:lineRule="auto"/>
        <w:ind w:left="24" w:right="106" w:firstLine="490"/>
        <w:rPr>
          <w:sz w:val="24"/>
          <w:szCs w:val="24"/>
          <w:highlight w:val="none"/>
        </w:rPr>
      </w:pPr>
      <w:r>
        <w:rPr>
          <w:spacing w:val="-2"/>
          <w:sz w:val="24"/>
          <w:szCs w:val="24"/>
          <w:highlight w:val="none"/>
        </w:rPr>
        <w:t>（2）“合同价款</w:t>
      </w:r>
      <w:r>
        <w:rPr>
          <w:spacing w:val="-76"/>
          <w:sz w:val="24"/>
          <w:szCs w:val="24"/>
          <w:highlight w:val="none"/>
        </w:rPr>
        <w:t xml:space="preserve"> </w:t>
      </w:r>
      <w:r>
        <w:rPr>
          <w:spacing w:val="-2"/>
          <w:sz w:val="24"/>
          <w:szCs w:val="24"/>
          <w:highlight w:val="none"/>
        </w:rPr>
        <w:t>”系指根据本合同规定乙方在全面履行合同义务后甲方应支付给乙方的价款。</w:t>
      </w:r>
    </w:p>
    <w:p w14:paraId="259EAF61">
      <w:pPr>
        <w:pStyle w:val="12"/>
        <w:shd w:val="clear"/>
        <w:spacing w:before="3" w:line="307" w:lineRule="auto"/>
        <w:ind w:left="22" w:right="80" w:firstLine="492"/>
        <w:rPr>
          <w:sz w:val="24"/>
          <w:szCs w:val="24"/>
          <w:highlight w:val="none"/>
        </w:rPr>
      </w:pPr>
      <w:r>
        <w:rPr>
          <w:spacing w:val="-2"/>
          <w:sz w:val="24"/>
          <w:szCs w:val="24"/>
          <w:highlight w:val="none"/>
        </w:rPr>
        <w:t>（3）“货物</w:t>
      </w:r>
      <w:r>
        <w:rPr>
          <w:spacing w:val="-76"/>
          <w:sz w:val="24"/>
          <w:szCs w:val="24"/>
          <w:highlight w:val="none"/>
        </w:rPr>
        <w:t xml:space="preserve"> </w:t>
      </w:r>
      <w:r>
        <w:rPr>
          <w:spacing w:val="-2"/>
          <w:sz w:val="24"/>
          <w:szCs w:val="24"/>
          <w:highlight w:val="none"/>
        </w:rPr>
        <w:t>”系指乙方根据本合同规定须向甲方提供的各种形态和种类的</w:t>
      </w:r>
      <w:r>
        <w:rPr>
          <w:spacing w:val="-3"/>
          <w:sz w:val="24"/>
          <w:szCs w:val="24"/>
          <w:highlight w:val="none"/>
        </w:rPr>
        <w:t>物品，包括原材料、设备、产品（包括软件）及相关的其备品备件、工具、手册</w:t>
      </w:r>
      <w:r>
        <w:rPr>
          <w:spacing w:val="-1"/>
          <w:sz w:val="24"/>
          <w:szCs w:val="24"/>
          <w:highlight w:val="none"/>
        </w:rPr>
        <w:t>及其他技术资料和材料等。</w:t>
      </w:r>
    </w:p>
    <w:p w14:paraId="3A99764F">
      <w:pPr>
        <w:pStyle w:val="12"/>
        <w:shd w:val="clear"/>
        <w:spacing w:before="2" w:line="307" w:lineRule="auto"/>
        <w:ind w:left="24" w:right="80" w:firstLine="490"/>
        <w:rPr>
          <w:sz w:val="24"/>
          <w:szCs w:val="24"/>
          <w:highlight w:val="none"/>
        </w:rPr>
      </w:pPr>
      <w:r>
        <w:rPr>
          <w:spacing w:val="-1"/>
          <w:sz w:val="24"/>
          <w:szCs w:val="24"/>
          <w:highlight w:val="none"/>
        </w:rPr>
        <w:t>（4）“相关服务</w:t>
      </w:r>
      <w:r>
        <w:rPr>
          <w:spacing w:val="-83"/>
          <w:sz w:val="24"/>
          <w:szCs w:val="24"/>
          <w:highlight w:val="none"/>
        </w:rPr>
        <w:t xml:space="preserve"> </w:t>
      </w:r>
      <w:r>
        <w:rPr>
          <w:spacing w:val="-1"/>
          <w:sz w:val="24"/>
          <w:szCs w:val="24"/>
          <w:highlight w:val="none"/>
        </w:rPr>
        <w:t>”系指根据合同规定，乙方应提供的与货物有关的技术、</w:t>
      </w:r>
      <w:r>
        <w:rPr>
          <w:spacing w:val="-3"/>
          <w:sz w:val="24"/>
          <w:szCs w:val="24"/>
          <w:highlight w:val="none"/>
        </w:rPr>
        <w:t>管理和其他服务，包括但不限于：管理和质量保证、运输、保险、检验、现场准备、安装、集成、调试、培训、维修、废弃处置、技术支持等以及合同中规定乙</w:t>
      </w:r>
      <w:r>
        <w:rPr>
          <w:spacing w:val="-2"/>
          <w:sz w:val="24"/>
          <w:szCs w:val="24"/>
          <w:highlight w:val="none"/>
        </w:rPr>
        <w:t>方应承担的其他义务。</w:t>
      </w:r>
    </w:p>
    <w:p w14:paraId="12C3FB9F">
      <w:pPr>
        <w:pStyle w:val="12"/>
        <w:shd w:val="clear"/>
        <w:spacing w:before="3" w:line="307" w:lineRule="auto"/>
        <w:ind w:left="23" w:right="80" w:firstLine="491"/>
        <w:rPr>
          <w:sz w:val="24"/>
          <w:szCs w:val="24"/>
          <w:highlight w:val="none"/>
        </w:rPr>
      </w:pPr>
      <w:r>
        <w:rPr>
          <w:spacing w:val="-2"/>
          <w:sz w:val="24"/>
          <w:szCs w:val="24"/>
          <w:highlight w:val="none"/>
        </w:rPr>
        <w:t>（5）“分包</w:t>
      </w:r>
      <w:r>
        <w:rPr>
          <w:spacing w:val="-76"/>
          <w:sz w:val="24"/>
          <w:szCs w:val="24"/>
          <w:highlight w:val="none"/>
        </w:rPr>
        <w:t xml:space="preserve"> </w:t>
      </w:r>
      <w:r>
        <w:rPr>
          <w:spacing w:val="-2"/>
          <w:sz w:val="24"/>
          <w:szCs w:val="24"/>
          <w:highlight w:val="none"/>
        </w:rPr>
        <w:t>”系指中标（成交）供应商按采购文件、投标（响应）文件的</w:t>
      </w:r>
      <w:r>
        <w:rPr>
          <w:spacing w:val="-3"/>
          <w:sz w:val="24"/>
          <w:szCs w:val="24"/>
          <w:highlight w:val="none"/>
        </w:rPr>
        <w:t>规定，根据分包意向协议，将中标（成交）项目中的部分履约内容，分给具有相</w:t>
      </w:r>
      <w:r>
        <w:rPr>
          <w:spacing w:val="-1"/>
          <w:sz w:val="24"/>
          <w:szCs w:val="24"/>
          <w:highlight w:val="none"/>
        </w:rPr>
        <w:t>应资质条件的供应商履行合同的行为。</w:t>
      </w:r>
    </w:p>
    <w:p w14:paraId="053CA075">
      <w:pPr>
        <w:pStyle w:val="12"/>
        <w:shd w:val="clear"/>
        <w:spacing w:before="6" w:line="307" w:lineRule="auto"/>
        <w:ind w:left="22" w:firstLine="492"/>
        <w:rPr>
          <w:sz w:val="24"/>
          <w:szCs w:val="24"/>
          <w:highlight w:val="none"/>
        </w:rPr>
      </w:pPr>
      <w:r>
        <w:rPr>
          <w:spacing w:val="-2"/>
          <w:sz w:val="24"/>
          <w:szCs w:val="24"/>
          <w:highlight w:val="none"/>
        </w:rPr>
        <w:t>（6）“联合体</w:t>
      </w:r>
      <w:r>
        <w:rPr>
          <w:spacing w:val="-76"/>
          <w:sz w:val="24"/>
          <w:szCs w:val="24"/>
          <w:highlight w:val="none"/>
        </w:rPr>
        <w:t xml:space="preserve"> </w:t>
      </w:r>
      <w:r>
        <w:rPr>
          <w:spacing w:val="-2"/>
          <w:sz w:val="24"/>
          <w:szCs w:val="24"/>
          <w:highlight w:val="none"/>
        </w:rPr>
        <w:t>”系指由两个以上的自然人、法人或者非法人组织组成，以</w:t>
      </w:r>
      <w:r>
        <w:rPr>
          <w:spacing w:val="-3"/>
          <w:sz w:val="24"/>
          <w:szCs w:val="24"/>
          <w:highlight w:val="none"/>
        </w:rPr>
        <w:t>一个供应商的身份共同参加政府采购的主体。联合体各方应在签订合同协议书前向甲方提交联合协议，且明确牵头人及各成员单位的工作分工、权利、义务、责</w:t>
      </w:r>
      <w:r>
        <w:rPr>
          <w:spacing w:val="-7"/>
          <w:sz w:val="24"/>
          <w:szCs w:val="24"/>
          <w:highlight w:val="none"/>
        </w:rPr>
        <w:t>任，联合体各方应共同与甲方签订合同，就合同约定的事</w:t>
      </w:r>
      <w:r>
        <w:rPr>
          <w:spacing w:val="-8"/>
          <w:sz w:val="24"/>
          <w:szCs w:val="24"/>
          <w:highlight w:val="none"/>
        </w:rPr>
        <w:t>项对甲方承担连带责任。</w:t>
      </w:r>
      <w:r>
        <w:rPr>
          <w:spacing w:val="-2"/>
          <w:sz w:val="24"/>
          <w:szCs w:val="24"/>
          <w:highlight w:val="none"/>
        </w:rPr>
        <w:t>联合体具体要求见【</w:t>
      </w:r>
      <w:r>
        <w:rPr>
          <w:b/>
          <w:bCs/>
          <w:spacing w:val="-2"/>
          <w:sz w:val="24"/>
          <w:szCs w:val="24"/>
          <w:highlight w:val="none"/>
        </w:rPr>
        <w:t>政府采购合同专用条款</w:t>
      </w:r>
      <w:r>
        <w:rPr>
          <w:spacing w:val="-2"/>
          <w:sz w:val="24"/>
          <w:szCs w:val="24"/>
          <w:highlight w:val="none"/>
        </w:rPr>
        <w:t>】。</w:t>
      </w:r>
    </w:p>
    <w:p w14:paraId="1C15A8FF">
      <w:pPr>
        <w:pStyle w:val="12"/>
        <w:shd w:val="clear"/>
        <w:spacing w:line="218" w:lineRule="auto"/>
        <w:ind w:left="514"/>
        <w:rPr>
          <w:sz w:val="24"/>
          <w:szCs w:val="24"/>
          <w:highlight w:val="none"/>
        </w:rPr>
      </w:pPr>
      <w:r>
        <w:rPr>
          <w:spacing w:val="-2"/>
          <w:sz w:val="24"/>
          <w:szCs w:val="24"/>
          <w:highlight w:val="none"/>
        </w:rPr>
        <w:t>（7）其他术语解释，见【</w:t>
      </w:r>
      <w:r>
        <w:rPr>
          <w:b/>
          <w:bCs/>
          <w:spacing w:val="-2"/>
          <w:sz w:val="24"/>
          <w:szCs w:val="24"/>
          <w:highlight w:val="none"/>
        </w:rPr>
        <w:t>政府采购合同专用条款</w:t>
      </w:r>
      <w:r>
        <w:rPr>
          <w:spacing w:val="-2"/>
          <w:sz w:val="24"/>
          <w:szCs w:val="24"/>
          <w:highlight w:val="none"/>
        </w:rPr>
        <w:t>】。</w:t>
      </w:r>
    </w:p>
    <w:p w14:paraId="244584A9">
      <w:pPr>
        <w:pStyle w:val="12"/>
        <w:shd w:val="clear"/>
        <w:spacing w:before="115" w:line="219" w:lineRule="auto"/>
        <w:ind w:left="26"/>
        <w:rPr>
          <w:sz w:val="24"/>
          <w:szCs w:val="24"/>
          <w:highlight w:val="none"/>
        </w:rPr>
      </w:pPr>
      <w:r>
        <w:rPr>
          <w:b/>
          <w:bCs/>
          <w:spacing w:val="-3"/>
          <w:sz w:val="24"/>
          <w:szCs w:val="24"/>
          <w:highlight w:val="none"/>
        </w:rPr>
        <w:t>2.</w:t>
      </w:r>
      <w:r>
        <w:rPr>
          <w:spacing w:val="-3"/>
          <w:sz w:val="24"/>
          <w:szCs w:val="24"/>
          <w:highlight w:val="none"/>
        </w:rPr>
        <w:t xml:space="preserve"> </w:t>
      </w:r>
      <w:r>
        <w:rPr>
          <w:b/>
          <w:bCs/>
          <w:spacing w:val="-3"/>
          <w:sz w:val="24"/>
          <w:szCs w:val="24"/>
          <w:highlight w:val="none"/>
        </w:rPr>
        <w:t>合同标的及金额</w:t>
      </w:r>
    </w:p>
    <w:p w14:paraId="4E363960">
      <w:pPr>
        <w:pStyle w:val="12"/>
        <w:shd w:val="clear"/>
        <w:spacing w:before="78" w:line="308" w:lineRule="auto"/>
        <w:ind w:left="43" w:right="202" w:firstLine="463"/>
        <w:rPr>
          <w:sz w:val="24"/>
          <w:szCs w:val="24"/>
          <w:highlight w:val="none"/>
        </w:rPr>
      </w:pPr>
      <w:r>
        <w:rPr>
          <w:spacing w:val="-3"/>
          <w:sz w:val="24"/>
          <w:szCs w:val="24"/>
          <w:highlight w:val="none"/>
        </w:rPr>
        <w:t>2.1 合同标的及金额应与中标（成交）结果一致。乙方为履行本</w:t>
      </w:r>
      <w:r>
        <w:rPr>
          <w:spacing w:val="-4"/>
          <w:sz w:val="24"/>
          <w:szCs w:val="24"/>
          <w:highlight w:val="none"/>
        </w:rPr>
        <w:t>合同而发生</w:t>
      </w:r>
      <w:r>
        <w:rPr>
          <w:spacing w:val="-1"/>
          <w:sz w:val="24"/>
          <w:szCs w:val="24"/>
          <w:highlight w:val="none"/>
        </w:rPr>
        <w:t>的所有费用均应包含在合同价款中，甲方不再另行支付其他任何费用。</w:t>
      </w:r>
    </w:p>
    <w:p w14:paraId="60E81AAE">
      <w:pPr>
        <w:pStyle w:val="12"/>
        <w:shd w:val="clear"/>
        <w:spacing w:line="220" w:lineRule="auto"/>
        <w:ind w:left="28"/>
        <w:rPr>
          <w:sz w:val="24"/>
          <w:szCs w:val="24"/>
          <w:highlight w:val="none"/>
        </w:rPr>
      </w:pPr>
      <w:r>
        <w:rPr>
          <w:b/>
          <w:bCs/>
          <w:spacing w:val="-3"/>
          <w:sz w:val="24"/>
          <w:szCs w:val="24"/>
          <w:highlight w:val="none"/>
        </w:rPr>
        <w:t>3.</w:t>
      </w:r>
      <w:r>
        <w:rPr>
          <w:spacing w:val="-3"/>
          <w:sz w:val="24"/>
          <w:szCs w:val="24"/>
          <w:highlight w:val="none"/>
        </w:rPr>
        <w:t xml:space="preserve"> </w:t>
      </w:r>
      <w:r>
        <w:rPr>
          <w:b/>
          <w:bCs/>
          <w:spacing w:val="-3"/>
          <w:sz w:val="24"/>
          <w:szCs w:val="24"/>
          <w:highlight w:val="none"/>
        </w:rPr>
        <w:t>履行合同的时间、地点和方式</w:t>
      </w:r>
    </w:p>
    <w:p w14:paraId="34B74AF9">
      <w:pPr>
        <w:pStyle w:val="12"/>
        <w:shd w:val="clear"/>
        <w:spacing w:before="112" w:line="219" w:lineRule="auto"/>
        <w:ind w:left="508"/>
        <w:rPr>
          <w:sz w:val="24"/>
          <w:szCs w:val="24"/>
          <w:highlight w:val="none"/>
        </w:rPr>
      </w:pPr>
      <w:r>
        <w:rPr>
          <w:spacing w:val="-2"/>
          <w:sz w:val="24"/>
          <w:szCs w:val="24"/>
          <w:highlight w:val="none"/>
        </w:rPr>
        <w:t>3.1</w:t>
      </w:r>
      <w:r>
        <w:rPr>
          <w:spacing w:val="40"/>
          <w:sz w:val="24"/>
          <w:szCs w:val="24"/>
          <w:highlight w:val="none"/>
        </w:rPr>
        <w:t xml:space="preserve"> </w:t>
      </w:r>
      <w:r>
        <w:rPr>
          <w:spacing w:val="-2"/>
          <w:sz w:val="24"/>
          <w:szCs w:val="24"/>
          <w:highlight w:val="none"/>
        </w:rPr>
        <w:t>乙方应当在约定的时间、地点，按照约定方式履行合同。</w:t>
      </w:r>
    </w:p>
    <w:p w14:paraId="17F2A4E7">
      <w:pPr>
        <w:pStyle w:val="12"/>
        <w:shd w:val="clear"/>
        <w:spacing w:before="116" w:line="219" w:lineRule="auto"/>
        <w:ind w:left="22"/>
        <w:rPr>
          <w:sz w:val="24"/>
          <w:szCs w:val="24"/>
          <w:highlight w:val="none"/>
        </w:rPr>
      </w:pPr>
      <w:r>
        <w:rPr>
          <w:b/>
          <w:bCs/>
          <w:spacing w:val="-7"/>
          <w:sz w:val="24"/>
          <w:szCs w:val="24"/>
          <w:highlight w:val="none"/>
        </w:rPr>
        <w:t>4.</w:t>
      </w:r>
      <w:r>
        <w:rPr>
          <w:spacing w:val="44"/>
          <w:sz w:val="24"/>
          <w:szCs w:val="24"/>
          <w:highlight w:val="none"/>
        </w:rPr>
        <w:t xml:space="preserve"> </w:t>
      </w:r>
      <w:r>
        <w:rPr>
          <w:b/>
          <w:bCs/>
          <w:spacing w:val="-7"/>
          <w:sz w:val="24"/>
          <w:szCs w:val="24"/>
          <w:highlight w:val="none"/>
        </w:rPr>
        <w:t>甲方的权利和义务</w:t>
      </w:r>
    </w:p>
    <w:p w14:paraId="31FE369B">
      <w:pPr>
        <w:pStyle w:val="12"/>
        <w:shd w:val="clear"/>
        <w:spacing w:before="114" w:line="308" w:lineRule="auto"/>
        <w:ind w:left="24" w:right="120" w:firstLine="478"/>
        <w:rPr>
          <w:sz w:val="24"/>
          <w:szCs w:val="24"/>
          <w:highlight w:val="none"/>
        </w:rPr>
      </w:pPr>
      <w:r>
        <w:rPr>
          <w:spacing w:val="-2"/>
          <w:sz w:val="24"/>
          <w:szCs w:val="24"/>
          <w:highlight w:val="none"/>
        </w:rPr>
        <w:t>4.1 签署合同后，甲方应确定项目负责人（或</w:t>
      </w:r>
      <w:r>
        <w:rPr>
          <w:spacing w:val="-3"/>
          <w:sz w:val="24"/>
          <w:szCs w:val="24"/>
          <w:highlight w:val="none"/>
        </w:rPr>
        <w:t>项目联系人</w:t>
      </w:r>
      <w:r>
        <w:rPr>
          <w:spacing w:val="-13"/>
          <w:sz w:val="24"/>
          <w:szCs w:val="24"/>
          <w:highlight w:val="none"/>
        </w:rPr>
        <w:t>），</w:t>
      </w:r>
      <w:r>
        <w:rPr>
          <w:spacing w:val="-3"/>
          <w:sz w:val="24"/>
          <w:szCs w:val="24"/>
          <w:highlight w:val="none"/>
        </w:rPr>
        <w:t>负责与本合同</w:t>
      </w:r>
      <w:r>
        <w:rPr>
          <w:spacing w:val="-7"/>
          <w:sz w:val="24"/>
          <w:szCs w:val="24"/>
          <w:highlight w:val="none"/>
        </w:rPr>
        <w:t>有关的事务。甲方有权对乙方的履约行为进行检查，</w:t>
      </w:r>
      <w:r>
        <w:rPr>
          <w:spacing w:val="-8"/>
          <w:sz w:val="24"/>
          <w:szCs w:val="24"/>
          <w:highlight w:val="none"/>
        </w:rPr>
        <w:t>并及时确认乙方提交的事项。</w:t>
      </w:r>
      <w:r>
        <w:rPr>
          <w:spacing w:val="-1"/>
          <w:sz w:val="24"/>
          <w:szCs w:val="24"/>
          <w:highlight w:val="none"/>
        </w:rPr>
        <w:t>甲方应当配合乙方完成相关项目实施工作。</w:t>
      </w:r>
    </w:p>
    <w:p w14:paraId="251A235E">
      <w:pPr>
        <w:pStyle w:val="12"/>
        <w:shd w:val="clear"/>
        <w:spacing w:before="2" w:line="307" w:lineRule="auto"/>
        <w:ind w:left="24" w:right="200" w:firstLine="478"/>
        <w:rPr>
          <w:sz w:val="24"/>
          <w:szCs w:val="24"/>
          <w:highlight w:val="none"/>
        </w:rPr>
      </w:pPr>
      <w:r>
        <w:rPr>
          <w:spacing w:val="-4"/>
          <w:sz w:val="24"/>
          <w:szCs w:val="24"/>
          <w:highlight w:val="none"/>
        </w:rPr>
        <w:t>4.2</w:t>
      </w:r>
      <w:r>
        <w:rPr>
          <w:spacing w:val="40"/>
          <w:sz w:val="24"/>
          <w:szCs w:val="24"/>
          <w:highlight w:val="none"/>
        </w:rPr>
        <w:t xml:space="preserve"> </w:t>
      </w:r>
      <w:r>
        <w:rPr>
          <w:spacing w:val="-4"/>
          <w:sz w:val="24"/>
          <w:szCs w:val="24"/>
          <w:highlight w:val="none"/>
        </w:rPr>
        <w:t>甲方有权要求乙方按时提交各阶段有关安排计划，并</w:t>
      </w:r>
      <w:r>
        <w:rPr>
          <w:spacing w:val="-5"/>
          <w:sz w:val="24"/>
          <w:szCs w:val="24"/>
          <w:highlight w:val="none"/>
        </w:rPr>
        <w:t>有权定期核对乙方</w:t>
      </w:r>
      <w:r>
        <w:rPr>
          <w:spacing w:val="-3"/>
          <w:sz w:val="24"/>
          <w:szCs w:val="24"/>
          <w:highlight w:val="none"/>
        </w:rPr>
        <w:t>提供货物数量、规格、质量等内容。甲方有权督促乙方工作并要求乙方更换不符</w:t>
      </w:r>
      <w:r>
        <w:rPr>
          <w:spacing w:val="-2"/>
          <w:sz w:val="24"/>
          <w:szCs w:val="24"/>
          <w:highlight w:val="none"/>
        </w:rPr>
        <w:t>合要求的货物。</w:t>
      </w:r>
    </w:p>
    <w:p w14:paraId="7E665836">
      <w:pPr>
        <w:pStyle w:val="12"/>
        <w:shd w:val="clear"/>
        <w:spacing w:before="1" w:line="307" w:lineRule="auto"/>
        <w:ind w:left="24" w:right="200" w:firstLine="478"/>
        <w:rPr>
          <w:sz w:val="24"/>
          <w:szCs w:val="24"/>
          <w:highlight w:val="none"/>
        </w:rPr>
      </w:pPr>
      <w:r>
        <w:rPr>
          <w:spacing w:val="-4"/>
          <w:sz w:val="24"/>
          <w:szCs w:val="24"/>
          <w:highlight w:val="none"/>
        </w:rPr>
        <w:t>4.3</w:t>
      </w:r>
      <w:r>
        <w:rPr>
          <w:spacing w:val="40"/>
          <w:sz w:val="24"/>
          <w:szCs w:val="24"/>
          <w:highlight w:val="none"/>
        </w:rPr>
        <w:t xml:space="preserve"> </w:t>
      </w:r>
      <w:r>
        <w:rPr>
          <w:spacing w:val="-4"/>
          <w:sz w:val="24"/>
          <w:szCs w:val="24"/>
          <w:highlight w:val="none"/>
        </w:rPr>
        <w:t>甲方有权要求乙方对缺陷部分予以修复，并按合同约</w:t>
      </w:r>
      <w:r>
        <w:rPr>
          <w:spacing w:val="-5"/>
          <w:sz w:val="24"/>
          <w:szCs w:val="24"/>
          <w:highlight w:val="none"/>
        </w:rPr>
        <w:t>定享有货物保修及</w:t>
      </w:r>
      <w:r>
        <w:rPr>
          <w:spacing w:val="-2"/>
          <w:sz w:val="24"/>
          <w:szCs w:val="24"/>
          <w:highlight w:val="none"/>
        </w:rPr>
        <w:t>其他合同约定的权利。</w:t>
      </w:r>
    </w:p>
    <w:p w14:paraId="6B072FB6">
      <w:pPr>
        <w:pStyle w:val="12"/>
        <w:shd w:val="clear"/>
        <w:spacing w:before="3" w:line="307" w:lineRule="auto"/>
        <w:ind w:left="22" w:right="18" w:firstLine="480"/>
        <w:rPr>
          <w:sz w:val="24"/>
          <w:szCs w:val="24"/>
          <w:highlight w:val="none"/>
        </w:rPr>
      </w:pPr>
      <w:r>
        <w:rPr>
          <w:spacing w:val="-5"/>
          <w:sz w:val="24"/>
          <w:szCs w:val="24"/>
          <w:highlight w:val="none"/>
        </w:rPr>
        <w:t>4.4</w:t>
      </w:r>
      <w:r>
        <w:rPr>
          <w:spacing w:val="51"/>
          <w:sz w:val="24"/>
          <w:szCs w:val="24"/>
          <w:highlight w:val="none"/>
        </w:rPr>
        <w:t xml:space="preserve"> </w:t>
      </w:r>
      <w:r>
        <w:rPr>
          <w:spacing w:val="-5"/>
          <w:sz w:val="24"/>
          <w:szCs w:val="24"/>
          <w:highlight w:val="none"/>
        </w:rPr>
        <w:t>甲方应当按照合同约定及时对交付的货物进行验收，未在</w:t>
      </w:r>
      <w:r>
        <w:rPr>
          <w:b/>
          <w:bCs/>
          <w:spacing w:val="-5"/>
          <w:sz w:val="24"/>
          <w:szCs w:val="24"/>
          <w:highlight w:val="none"/>
        </w:rPr>
        <w:t>【政府采购合同专用条款】</w:t>
      </w:r>
      <w:r>
        <w:rPr>
          <w:spacing w:val="-5"/>
          <w:sz w:val="24"/>
          <w:szCs w:val="24"/>
          <w:highlight w:val="none"/>
        </w:rPr>
        <w:t>约定的期限内对乙方履约提出任何异议或者向乙方作出任何说明的，</w:t>
      </w:r>
      <w:r>
        <w:rPr>
          <w:spacing w:val="-2"/>
          <w:sz w:val="24"/>
          <w:szCs w:val="24"/>
          <w:highlight w:val="none"/>
        </w:rPr>
        <w:t>视为验收通过。</w:t>
      </w:r>
    </w:p>
    <w:p w14:paraId="196354BD">
      <w:pPr>
        <w:pStyle w:val="12"/>
        <w:shd w:val="clear"/>
        <w:spacing w:before="1" w:line="307" w:lineRule="auto"/>
        <w:ind w:left="27" w:firstLine="475"/>
        <w:rPr>
          <w:sz w:val="24"/>
          <w:szCs w:val="24"/>
          <w:highlight w:val="none"/>
        </w:rPr>
      </w:pPr>
      <w:r>
        <w:rPr>
          <w:spacing w:val="-5"/>
          <w:sz w:val="24"/>
          <w:szCs w:val="24"/>
          <w:highlight w:val="none"/>
        </w:rPr>
        <w:t>4.5</w:t>
      </w:r>
      <w:r>
        <w:rPr>
          <w:spacing w:val="41"/>
          <w:sz w:val="24"/>
          <w:szCs w:val="24"/>
          <w:highlight w:val="none"/>
        </w:rPr>
        <w:t xml:space="preserve"> </w:t>
      </w:r>
      <w:r>
        <w:rPr>
          <w:spacing w:val="-5"/>
          <w:sz w:val="24"/>
          <w:szCs w:val="24"/>
          <w:highlight w:val="none"/>
        </w:rPr>
        <w:t>甲方应当根据合同约定及时向乙方支付合同价款，不</w:t>
      </w:r>
      <w:r>
        <w:rPr>
          <w:spacing w:val="-6"/>
          <w:sz w:val="24"/>
          <w:szCs w:val="24"/>
          <w:highlight w:val="none"/>
        </w:rPr>
        <w:t>得以内部人员变更、</w:t>
      </w:r>
      <w:r>
        <w:rPr>
          <w:spacing w:val="-1"/>
          <w:sz w:val="24"/>
          <w:szCs w:val="24"/>
          <w:highlight w:val="none"/>
        </w:rPr>
        <w:t>履行内部付款流程等为由，拒绝或迟延支付。</w:t>
      </w:r>
    </w:p>
    <w:p w14:paraId="1008A20A">
      <w:pPr>
        <w:pStyle w:val="12"/>
        <w:shd w:val="clear"/>
        <w:spacing w:line="308" w:lineRule="auto"/>
        <w:ind w:left="23" w:right="200" w:firstLine="479"/>
        <w:rPr>
          <w:sz w:val="24"/>
          <w:szCs w:val="24"/>
          <w:highlight w:val="none"/>
        </w:rPr>
      </w:pPr>
      <w:r>
        <w:rPr>
          <w:spacing w:val="-5"/>
          <w:sz w:val="24"/>
          <w:szCs w:val="24"/>
          <w:highlight w:val="none"/>
        </w:rPr>
        <w:t>4.6</w:t>
      </w:r>
      <w:r>
        <w:rPr>
          <w:spacing w:val="36"/>
          <w:sz w:val="24"/>
          <w:szCs w:val="24"/>
          <w:highlight w:val="none"/>
        </w:rPr>
        <w:t xml:space="preserve"> </w:t>
      </w:r>
      <w:r>
        <w:rPr>
          <w:spacing w:val="-5"/>
          <w:sz w:val="24"/>
          <w:szCs w:val="24"/>
          <w:highlight w:val="none"/>
        </w:rPr>
        <w:t>国家法律法规规定及</w:t>
      </w:r>
      <w:r>
        <w:rPr>
          <w:b/>
          <w:bCs/>
          <w:spacing w:val="-5"/>
          <w:sz w:val="24"/>
          <w:szCs w:val="24"/>
          <w:highlight w:val="none"/>
        </w:rPr>
        <w:t>【政府采购合同专用条款】</w:t>
      </w:r>
      <w:r>
        <w:rPr>
          <w:spacing w:val="-5"/>
          <w:sz w:val="24"/>
          <w:szCs w:val="24"/>
          <w:highlight w:val="none"/>
        </w:rPr>
        <w:t>约定应由甲方承担的其</w:t>
      </w:r>
      <w:r>
        <w:rPr>
          <w:spacing w:val="-2"/>
          <w:sz w:val="24"/>
          <w:szCs w:val="24"/>
          <w:highlight w:val="none"/>
        </w:rPr>
        <w:t>他义务和责任。</w:t>
      </w:r>
    </w:p>
    <w:p w14:paraId="78949F0B">
      <w:pPr>
        <w:pStyle w:val="12"/>
        <w:shd w:val="clear"/>
        <w:spacing w:before="1" w:line="219" w:lineRule="auto"/>
        <w:ind w:left="28"/>
        <w:rPr>
          <w:sz w:val="24"/>
          <w:szCs w:val="24"/>
          <w:highlight w:val="none"/>
        </w:rPr>
      </w:pPr>
      <w:r>
        <w:rPr>
          <w:b/>
          <w:bCs/>
          <w:spacing w:val="-7"/>
          <w:sz w:val="24"/>
          <w:szCs w:val="24"/>
          <w:highlight w:val="none"/>
        </w:rPr>
        <w:t>5.</w:t>
      </w:r>
      <w:r>
        <w:rPr>
          <w:spacing w:val="39"/>
          <w:sz w:val="24"/>
          <w:szCs w:val="24"/>
          <w:highlight w:val="none"/>
        </w:rPr>
        <w:t xml:space="preserve"> </w:t>
      </w:r>
      <w:r>
        <w:rPr>
          <w:b/>
          <w:bCs/>
          <w:spacing w:val="-7"/>
          <w:sz w:val="24"/>
          <w:szCs w:val="24"/>
          <w:highlight w:val="none"/>
        </w:rPr>
        <w:t>乙方的权利和义务</w:t>
      </w:r>
    </w:p>
    <w:p w14:paraId="32548900">
      <w:pPr>
        <w:pStyle w:val="12"/>
        <w:shd w:val="clear"/>
        <w:spacing w:before="114" w:line="308" w:lineRule="auto"/>
        <w:ind w:left="24" w:right="200" w:firstLine="483"/>
        <w:rPr>
          <w:sz w:val="24"/>
          <w:szCs w:val="24"/>
          <w:highlight w:val="none"/>
        </w:rPr>
      </w:pPr>
      <w:r>
        <w:rPr>
          <w:spacing w:val="-3"/>
          <w:sz w:val="24"/>
          <w:szCs w:val="24"/>
          <w:highlight w:val="none"/>
        </w:rPr>
        <w:t>5.1 签署合同后，乙方应确定项目负责人（或项目联系人</w:t>
      </w:r>
      <w:r>
        <w:rPr>
          <w:spacing w:val="-5"/>
          <w:sz w:val="24"/>
          <w:szCs w:val="24"/>
          <w:highlight w:val="none"/>
        </w:rPr>
        <w:t>），</w:t>
      </w:r>
      <w:r>
        <w:rPr>
          <w:spacing w:val="-3"/>
          <w:sz w:val="24"/>
          <w:szCs w:val="24"/>
          <w:highlight w:val="none"/>
        </w:rPr>
        <w:t>负责与本合同</w:t>
      </w:r>
      <w:r>
        <w:rPr>
          <w:spacing w:val="-2"/>
          <w:sz w:val="24"/>
          <w:szCs w:val="24"/>
          <w:highlight w:val="none"/>
        </w:rPr>
        <w:t>有关的事务。</w:t>
      </w:r>
    </w:p>
    <w:p w14:paraId="0404A1C6">
      <w:pPr>
        <w:pStyle w:val="12"/>
        <w:shd w:val="clear"/>
        <w:spacing w:before="3" w:line="307" w:lineRule="auto"/>
        <w:ind w:left="25" w:right="200" w:firstLine="482"/>
        <w:rPr>
          <w:sz w:val="24"/>
          <w:szCs w:val="24"/>
          <w:highlight w:val="none"/>
        </w:rPr>
      </w:pPr>
      <w:r>
        <w:rPr>
          <w:spacing w:val="-4"/>
          <w:sz w:val="24"/>
          <w:szCs w:val="24"/>
          <w:highlight w:val="none"/>
        </w:rPr>
        <w:t>5.2</w:t>
      </w:r>
      <w:r>
        <w:rPr>
          <w:spacing w:val="33"/>
          <w:sz w:val="24"/>
          <w:szCs w:val="24"/>
          <w:highlight w:val="none"/>
        </w:rPr>
        <w:t xml:space="preserve"> </w:t>
      </w:r>
      <w:r>
        <w:rPr>
          <w:spacing w:val="-4"/>
          <w:sz w:val="24"/>
          <w:szCs w:val="24"/>
          <w:highlight w:val="none"/>
        </w:rPr>
        <w:t>乙方应按照合同要求履约，充分合理安排，确保提供的货</w:t>
      </w:r>
      <w:r>
        <w:rPr>
          <w:spacing w:val="-5"/>
          <w:sz w:val="24"/>
          <w:szCs w:val="24"/>
          <w:highlight w:val="none"/>
        </w:rPr>
        <w:t>物及相关服务</w:t>
      </w:r>
      <w:r>
        <w:rPr>
          <w:spacing w:val="-3"/>
          <w:sz w:val="24"/>
          <w:szCs w:val="24"/>
          <w:highlight w:val="none"/>
        </w:rPr>
        <w:t>符合合同有关要求。接受项目行业管理部门及政府有关部门的指导，配合甲方的</w:t>
      </w:r>
      <w:r>
        <w:rPr>
          <w:spacing w:val="-1"/>
          <w:sz w:val="24"/>
          <w:szCs w:val="24"/>
          <w:highlight w:val="none"/>
        </w:rPr>
        <w:t>履约检查及验收，并负责项目实施过程中的所有协调工作。</w:t>
      </w:r>
    </w:p>
    <w:p w14:paraId="7645454C">
      <w:pPr>
        <w:pStyle w:val="12"/>
        <w:shd w:val="clear"/>
        <w:spacing w:before="1" w:line="217" w:lineRule="auto"/>
        <w:ind w:left="450"/>
        <w:rPr>
          <w:sz w:val="24"/>
          <w:szCs w:val="24"/>
          <w:highlight w:val="none"/>
        </w:rPr>
      </w:pPr>
      <w:r>
        <w:rPr>
          <w:spacing w:val="-2"/>
          <w:sz w:val="24"/>
          <w:szCs w:val="24"/>
          <w:highlight w:val="none"/>
        </w:rPr>
        <w:t>5.3</w:t>
      </w:r>
      <w:r>
        <w:rPr>
          <w:spacing w:val="-27"/>
          <w:sz w:val="24"/>
          <w:szCs w:val="24"/>
          <w:highlight w:val="none"/>
        </w:rPr>
        <w:t xml:space="preserve"> </w:t>
      </w:r>
      <w:r>
        <w:rPr>
          <w:spacing w:val="-2"/>
          <w:sz w:val="24"/>
          <w:szCs w:val="24"/>
          <w:highlight w:val="none"/>
        </w:rPr>
        <w:t>乙方有权根据合同约定向甲方收取合同</w:t>
      </w:r>
      <w:r>
        <w:rPr>
          <w:spacing w:val="-3"/>
          <w:sz w:val="24"/>
          <w:szCs w:val="24"/>
          <w:highlight w:val="none"/>
        </w:rPr>
        <w:t>价款。</w:t>
      </w:r>
    </w:p>
    <w:p w14:paraId="6A82F634">
      <w:pPr>
        <w:pStyle w:val="12"/>
        <w:shd w:val="clear"/>
        <w:spacing w:before="116" w:line="308" w:lineRule="auto"/>
        <w:ind w:left="23" w:right="200" w:firstLine="427"/>
        <w:rPr>
          <w:sz w:val="24"/>
          <w:szCs w:val="24"/>
          <w:highlight w:val="none"/>
        </w:rPr>
      </w:pPr>
      <w:r>
        <w:rPr>
          <w:spacing w:val="-2"/>
          <w:sz w:val="24"/>
          <w:szCs w:val="24"/>
          <w:highlight w:val="none"/>
        </w:rPr>
        <w:t>5.4</w:t>
      </w:r>
      <w:r>
        <w:rPr>
          <w:spacing w:val="-14"/>
          <w:sz w:val="24"/>
          <w:szCs w:val="24"/>
          <w:highlight w:val="none"/>
        </w:rPr>
        <w:t xml:space="preserve"> </w:t>
      </w:r>
      <w:r>
        <w:rPr>
          <w:spacing w:val="-2"/>
          <w:sz w:val="24"/>
          <w:szCs w:val="24"/>
          <w:highlight w:val="none"/>
        </w:rPr>
        <w:t>国家法律法规规定及</w:t>
      </w:r>
      <w:r>
        <w:rPr>
          <w:b/>
          <w:bCs/>
          <w:spacing w:val="-2"/>
          <w:sz w:val="24"/>
          <w:szCs w:val="24"/>
          <w:highlight w:val="none"/>
        </w:rPr>
        <w:t>【政府采购合同专用条款】</w:t>
      </w:r>
      <w:r>
        <w:rPr>
          <w:spacing w:val="-2"/>
          <w:sz w:val="24"/>
          <w:szCs w:val="24"/>
          <w:highlight w:val="none"/>
        </w:rPr>
        <w:t>约定应由乙方承担的其他义务和责任。</w:t>
      </w:r>
    </w:p>
    <w:p w14:paraId="75A710AF">
      <w:pPr>
        <w:pStyle w:val="12"/>
        <w:shd w:val="clear"/>
        <w:spacing w:line="220" w:lineRule="auto"/>
        <w:ind w:left="25"/>
        <w:rPr>
          <w:sz w:val="24"/>
          <w:szCs w:val="24"/>
          <w:highlight w:val="none"/>
        </w:rPr>
      </w:pPr>
      <w:r>
        <w:rPr>
          <w:b/>
          <w:bCs/>
          <w:spacing w:val="-6"/>
          <w:sz w:val="24"/>
          <w:szCs w:val="24"/>
          <w:highlight w:val="none"/>
        </w:rPr>
        <w:t>6.</w:t>
      </w:r>
      <w:r>
        <w:rPr>
          <w:spacing w:val="13"/>
          <w:sz w:val="24"/>
          <w:szCs w:val="24"/>
          <w:highlight w:val="none"/>
        </w:rPr>
        <w:t xml:space="preserve"> </w:t>
      </w:r>
      <w:r>
        <w:rPr>
          <w:b/>
          <w:bCs/>
          <w:spacing w:val="-6"/>
          <w:sz w:val="24"/>
          <w:szCs w:val="24"/>
          <w:highlight w:val="none"/>
        </w:rPr>
        <w:t>合同履行</w:t>
      </w:r>
    </w:p>
    <w:p w14:paraId="4BE0984E">
      <w:pPr>
        <w:pStyle w:val="12"/>
        <w:shd w:val="clear"/>
        <w:spacing w:before="113" w:line="308" w:lineRule="auto"/>
        <w:ind w:left="27" w:right="155" w:firstLine="478"/>
        <w:rPr>
          <w:sz w:val="24"/>
          <w:szCs w:val="24"/>
          <w:highlight w:val="none"/>
        </w:rPr>
      </w:pPr>
      <w:r>
        <w:rPr>
          <w:spacing w:val="-4"/>
          <w:sz w:val="24"/>
          <w:szCs w:val="24"/>
          <w:highlight w:val="none"/>
        </w:rPr>
        <w:t>6.1</w:t>
      </w:r>
      <w:r>
        <w:rPr>
          <w:spacing w:val="44"/>
          <w:sz w:val="24"/>
          <w:szCs w:val="24"/>
          <w:highlight w:val="none"/>
        </w:rPr>
        <w:t xml:space="preserve"> </w:t>
      </w:r>
      <w:r>
        <w:rPr>
          <w:spacing w:val="-4"/>
          <w:sz w:val="24"/>
          <w:szCs w:val="24"/>
          <w:highlight w:val="none"/>
        </w:rPr>
        <w:t>甲乙双方应当按照</w:t>
      </w:r>
      <w:r>
        <w:rPr>
          <w:b/>
          <w:bCs/>
          <w:spacing w:val="-4"/>
          <w:sz w:val="24"/>
          <w:szCs w:val="24"/>
          <w:highlight w:val="none"/>
        </w:rPr>
        <w:t>【政府采购合同专用条款】</w:t>
      </w:r>
      <w:r>
        <w:rPr>
          <w:spacing w:val="-4"/>
          <w:sz w:val="24"/>
          <w:szCs w:val="24"/>
          <w:highlight w:val="none"/>
        </w:rPr>
        <w:t>约定顺序履行合同义务；</w:t>
      </w:r>
      <w:r>
        <w:rPr>
          <w:spacing w:val="-1"/>
          <w:sz w:val="24"/>
          <w:szCs w:val="24"/>
          <w:highlight w:val="none"/>
        </w:rPr>
        <w:t>如果没有先后顺序的，应当同时履行。</w:t>
      </w:r>
    </w:p>
    <w:p w14:paraId="026A65BA">
      <w:pPr>
        <w:pStyle w:val="12"/>
        <w:shd w:val="clear"/>
        <w:spacing w:before="1" w:line="308" w:lineRule="auto"/>
        <w:ind w:left="25" w:right="18" w:firstLine="480"/>
        <w:rPr>
          <w:sz w:val="24"/>
          <w:szCs w:val="24"/>
          <w:highlight w:val="none"/>
        </w:rPr>
      </w:pPr>
      <w:r>
        <w:rPr>
          <w:spacing w:val="-6"/>
          <w:sz w:val="24"/>
          <w:szCs w:val="24"/>
          <w:highlight w:val="none"/>
        </w:rPr>
        <w:t>6.2</w:t>
      </w:r>
      <w:r>
        <w:rPr>
          <w:spacing w:val="45"/>
          <w:sz w:val="24"/>
          <w:szCs w:val="24"/>
          <w:highlight w:val="none"/>
        </w:rPr>
        <w:t xml:space="preserve"> </w:t>
      </w:r>
      <w:r>
        <w:rPr>
          <w:spacing w:val="-6"/>
          <w:sz w:val="24"/>
          <w:szCs w:val="24"/>
          <w:highlight w:val="none"/>
        </w:rPr>
        <w:t>甲乙双方按照合同约定顺序履行合同义务时，应当先履行一方未履行的，</w:t>
      </w:r>
      <w:r>
        <w:rPr>
          <w:spacing w:val="-3"/>
          <w:sz w:val="24"/>
          <w:szCs w:val="24"/>
          <w:highlight w:val="none"/>
        </w:rPr>
        <w:t>后履行一方有权拒绝其履行请求。先履行一方履行不符合约定的，后履行一方有</w:t>
      </w:r>
    </w:p>
    <w:p w14:paraId="326E1DC1">
      <w:pPr>
        <w:pStyle w:val="12"/>
        <w:shd w:val="clear"/>
        <w:spacing w:before="78" w:line="219" w:lineRule="auto"/>
        <w:ind w:left="22"/>
        <w:rPr>
          <w:sz w:val="24"/>
          <w:szCs w:val="24"/>
          <w:highlight w:val="none"/>
        </w:rPr>
      </w:pPr>
      <w:r>
        <w:rPr>
          <w:spacing w:val="-1"/>
          <w:sz w:val="24"/>
          <w:szCs w:val="24"/>
          <w:highlight w:val="none"/>
        </w:rPr>
        <w:t>权拒绝其相应的履行请求。</w:t>
      </w:r>
    </w:p>
    <w:p w14:paraId="740C6D6C">
      <w:pPr>
        <w:pStyle w:val="12"/>
        <w:shd w:val="clear"/>
        <w:spacing w:before="115" w:line="219" w:lineRule="auto"/>
        <w:ind w:left="29"/>
        <w:rPr>
          <w:sz w:val="24"/>
          <w:szCs w:val="24"/>
          <w:highlight w:val="none"/>
        </w:rPr>
      </w:pPr>
      <w:r>
        <w:rPr>
          <w:b/>
          <w:bCs/>
          <w:spacing w:val="-3"/>
          <w:sz w:val="24"/>
          <w:szCs w:val="24"/>
          <w:highlight w:val="none"/>
        </w:rPr>
        <w:t>7.</w:t>
      </w:r>
      <w:r>
        <w:rPr>
          <w:spacing w:val="-3"/>
          <w:sz w:val="24"/>
          <w:szCs w:val="24"/>
          <w:highlight w:val="none"/>
        </w:rPr>
        <w:t xml:space="preserve"> </w:t>
      </w:r>
      <w:r>
        <w:rPr>
          <w:b/>
          <w:bCs/>
          <w:spacing w:val="-3"/>
          <w:sz w:val="24"/>
          <w:szCs w:val="24"/>
          <w:highlight w:val="none"/>
        </w:rPr>
        <w:t>货物包装、运输、保险和交付要求</w:t>
      </w:r>
    </w:p>
    <w:p w14:paraId="4AF4D939">
      <w:pPr>
        <w:pStyle w:val="12"/>
        <w:shd w:val="clear"/>
        <w:spacing w:before="115" w:line="308" w:lineRule="auto"/>
        <w:ind w:left="29" w:right="181" w:firstLine="480"/>
        <w:rPr>
          <w:sz w:val="24"/>
          <w:szCs w:val="24"/>
          <w:highlight w:val="none"/>
        </w:rPr>
      </w:pPr>
      <w:r>
        <w:rPr>
          <w:spacing w:val="-4"/>
          <w:sz w:val="24"/>
          <w:szCs w:val="24"/>
          <w:highlight w:val="none"/>
        </w:rPr>
        <w:t>7.1 本合同涉及商品包装、快递包装的，除</w:t>
      </w:r>
      <w:r>
        <w:rPr>
          <w:b/>
          <w:bCs/>
          <w:spacing w:val="-4"/>
          <w:sz w:val="24"/>
          <w:szCs w:val="24"/>
          <w:highlight w:val="none"/>
        </w:rPr>
        <w:t>【政府采购合同专用条款</w:t>
      </w:r>
      <w:r>
        <w:rPr>
          <w:b/>
          <w:bCs/>
          <w:spacing w:val="-5"/>
          <w:sz w:val="24"/>
          <w:szCs w:val="24"/>
          <w:highlight w:val="none"/>
        </w:rPr>
        <w:t>】</w:t>
      </w:r>
      <w:r>
        <w:rPr>
          <w:spacing w:val="-5"/>
          <w:sz w:val="24"/>
          <w:szCs w:val="24"/>
          <w:highlight w:val="none"/>
        </w:rPr>
        <w:t>另有</w:t>
      </w:r>
      <w:r>
        <w:rPr>
          <w:spacing w:val="-3"/>
          <w:sz w:val="24"/>
          <w:szCs w:val="24"/>
          <w:highlight w:val="none"/>
        </w:rPr>
        <w:t>约定外，包装应适应远距离运输、防潮、防震、防锈和防野蛮装卸等</w:t>
      </w:r>
      <w:r>
        <w:rPr>
          <w:spacing w:val="-4"/>
          <w:sz w:val="24"/>
          <w:szCs w:val="24"/>
          <w:highlight w:val="none"/>
        </w:rPr>
        <w:t>要求，确保</w:t>
      </w:r>
      <w:r>
        <w:rPr>
          <w:spacing w:val="-1"/>
          <w:sz w:val="24"/>
          <w:szCs w:val="24"/>
          <w:highlight w:val="none"/>
        </w:rPr>
        <w:t>货物安全无损地运抵</w:t>
      </w:r>
      <w:r>
        <w:rPr>
          <w:b/>
          <w:bCs/>
          <w:spacing w:val="-1"/>
          <w:sz w:val="24"/>
          <w:szCs w:val="24"/>
          <w:highlight w:val="none"/>
        </w:rPr>
        <w:t>【政府采购合同专用条款】</w:t>
      </w:r>
      <w:r>
        <w:rPr>
          <w:spacing w:val="-1"/>
          <w:sz w:val="24"/>
          <w:szCs w:val="24"/>
          <w:highlight w:val="none"/>
        </w:rPr>
        <w:t>约定</w:t>
      </w:r>
      <w:r>
        <w:rPr>
          <w:spacing w:val="-2"/>
          <w:sz w:val="24"/>
          <w:szCs w:val="24"/>
          <w:highlight w:val="none"/>
        </w:rPr>
        <w:t>的指定现场。</w:t>
      </w:r>
    </w:p>
    <w:p w14:paraId="5DF6635E">
      <w:pPr>
        <w:pStyle w:val="12"/>
        <w:shd w:val="clear"/>
        <w:spacing w:before="2" w:line="307" w:lineRule="auto"/>
        <w:ind w:left="24" w:right="181" w:firstLine="484"/>
        <w:rPr>
          <w:sz w:val="24"/>
          <w:szCs w:val="24"/>
          <w:highlight w:val="none"/>
        </w:rPr>
      </w:pPr>
      <w:r>
        <w:rPr>
          <w:spacing w:val="-4"/>
          <w:sz w:val="24"/>
          <w:szCs w:val="24"/>
          <w:highlight w:val="none"/>
        </w:rPr>
        <w:t>7.2 除</w:t>
      </w:r>
      <w:r>
        <w:rPr>
          <w:b/>
          <w:bCs/>
          <w:spacing w:val="-4"/>
          <w:sz w:val="24"/>
          <w:szCs w:val="24"/>
          <w:highlight w:val="none"/>
        </w:rPr>
        <w:t>【政府采购合同专用条款】</w:t>
      </w:r>
      <w:r>
        <w:rPr>
          <w:spacing w:val="-4"/>
          <w:sz w:val="24"/>
          <w:szCs w:val="24"/>
          <w:highlight w:val="none"/>
        </w:rPr>
        <w:t>另有约定外，乙方负责办理将货物运抵本</w:t>
      </w:r>
      <w:r>
        <w:rPr>
          <w:spacing w:val="-3"/>
          <w:sz w:val="24"/>
          <w:szCs w:val="24"/>
          <w:highlight w:val="none"/>
        </w:rPr>
        <w:t>合同规定的交货地点，并装卸、交付至甲方的一切运输事项，相关费用应包含在</w:t>
      </w:r>
      <w:r>
        <w:rPr>
          <w:spacing w:val="-2"/>
          <w:sz w:val="24"/>
          <w:szCs w:val="24"/>
          <w:highlight w:val="none"/>
        </w:rPr>
        <w:t>合同价款中。</w:t>
      </w:r>
    </w:p>
    <w:p w14:paraId="0F4D340F">
      <w:pPr>
        <w:pStyle w:val="12"/>
        <w:shd w:val="clear"/>
        <w:spacing w:line="218" w:lineRule="auto"/>
        <w:ind w:left="509"/>
        <w:rPr>
          <w:sz w:val="24"/>
          <w:szCs w:val="24"/>
          <w:highlight w:val="none"/>
        </w:rPr>
      </w:pPr>
      <w:r>
        <w:rPr>
          <w:spacing w:val="-1"/>
          <w:sz w:val="24"/>
          <w:szCs w:val="24"/>
          <w:highlight w:val="none"/>
        </w:rPr>
        <w:t>7.3 货物保险要求按</w:t>
      </w:r>
      <w:r>
        <w:rPr>
          <w:b/>
          <w:bCs/>
          <w:spacing w:val="-1"/>
          <w:sz w:val="24"/>
          <w:szCs w:val="24"/>
          <w:highlight w:val="none"/>
        </w:rPr>
        <w:t>【政府采购合同专用条</w:t>
      </w:r>
      <w:r>
        <w:rPr>
          <w:b/>
          <w:bCs/>
          <w:spacing w:val="-2"/>
          <w:sz w:val="24"/>
          <w:szCs w:val="24"/>
          <w:highlight w:val="none"/>
        </w:rPr>
        <w:t>款】</w:t>
      </w:r>
      <w:r>
        <w:rPr>
          <w:spacing w:val="-2"/>
          <w:sz w:val="24"/>
          <w:szCs w:val="24"/>
          <w:highlight w:val="none"/>
        </w:rPr>
        <w:t>规定执行。</w:t>
      </w:r>
    </w:p>
    <w:p w14:paraId="0E95B996">
      <w:pPr>
        <w:pStyle w:val="12"/>
        <w:shd w:val="clear"/>
        <w:spacing w:before="114" w:line="308" w:lineRule="auto"/>
        <w:ind w:left="27" w:right="146" w:firstLine="481"/>
        <w:rPr>
          <w:sz w:val="24"/>
          <w:szCs w:val="24"/>
          <w:highlight w:val="none"/>
        </w:rPr>
      </w:pPr>
      <w:r>
        <w:rPr>
          <w:spacing w:val="-3"/>
          <w:sz w:val="24"/>
          <w:szCs w:val="24"/>
          <w:highlight w:val="none"/>
        </w:rPr>
        <w:t>7.4 除采购活动对商品包装、快递包装达成具体约定外，乙方提</w:t>
      </w:r>
      <w:r>
        <w:rPr>
          <w:spacing w:val="-4"/>
          <w:sz w:val="24"/>
          <w:szCs w:val="24"/>
          <w:highlight w:val="none"/>
        </w:rPr>
        <w:t>供产品及相</w:t>
      </w:r>
      <w:r>
        <w:rPr>
          <w:spacing w:val="-3"/>
          <w:sz w:val="24"/>
          <w:szCs w:val="24"/>
          <w:highlight w:val="none"/>
        </w:rPr>
        <w:t>关快递服务涉及到具体包装要求的，应不低于《商品包装政府采购需求标</w:t>
      </w:r>
      <w:r>
        <w:rPr>
          <w:spacing w:val="-4"/>
          <w:sz w:val="24"/>
          <w:szCs w:val="24"/>
          <w:highlight w:val="none"/>
        </w:rPr>
        <w:t>准（试</w:t>
      </w:r>
      <w:r>
        <w:rPr>
          <w:spacing w:val="-2"/>
          <w:sz w:val="24"/>
          <w:szCs w:val="24"/>
          <w:highlight w:val="none"/>
        </w:rPr>
        <w:t>行）》《快递包装政府采购需求标准（试行）》标准，并作为履约验收的</w:t>
      </w:r>
      <w:r>
        <w:rPr>
          <w:spacing w:val="-3"/>
          <w:sz w:val="24"/>
          <w:szCs w:val="24"/>
          <w:highlight w:val="none"/>
        </w:rPr>
        <w:t>内容，</w:t>
      </w:r>
      <w:r>
        <w:rPr>
          <w:spacing w:val="-1"/>
          <w:sz w:val="24"/>
          <w:szCs w:val="24"/>
          <w:highlight w:val="none"/>
        </w:rPr>
        <w:t>必要时甲方可以要求乙方在履约验收环节出具检测报告。</w:t>
      </w:r>
    </w:p>
    <w:p w14:paraId="26D57BA7">
      <w:pPr>
        <w:pStyle w:val="12"/>
        <w:shd w:val="clear"/>
        <w:spacing w:before="1" w:line="307" w:lineRule="auto"/>
        <w:ind w:left="54" w:firstLine="454"/>
        <w:rPr>
          <w:sz w:val="24"/>
          <w:szCs w:val="24"/>
          <w:highlight w:val="none"/>
        </w:rPr>
      </w:pPr>
      <w:r>
        <w:rPr>
          <w:spacing w:val="-6"/>
          <w:sz w:val="24"/>
          <w:szCs w:val="24"/>
          <w:highlight w:val="none"/>
        </w:rPr>
        <w:t>7.5</w:t>
      </w:r>
      <w:r>
        <w:rPr>
          <w:spacing w:val="41"/>
          <w:sz w:val="24"/>
          <w:szCs w:val="24"/>
          <w:highlight w:val="none"/>
        </w:rPr>
        <w:t xml:space="preserve"> </w:t>
      </w:r>
      <w:r>
        <w:rPr>
          <w:spacing w:val="-6"/>
          <w:sz w:val="24"/>
          <w:szCs w:val="24"/>
          <w:highlight w:val="none"/>
        </w:rPr>
        <w:t>乙方在运输到达之前应提前通知甲方，并提示货物运输装卸的注意事项，</w:t>
      </w:r>
      <w:r>
        <w:rPr>
          <w:spacing w:val="-3"/>
          <w:sz w:val="24"/>
          <w:szCs w:val="24"/>
          <w:highlight w:val="none"/>
        </w:rPr>
        <w:t>甲方配合乙方做好货物的接收工作。</w:t>
      </w:r>
    </w:p>
    <w:p w14:paraId="651E5B1E">
      <w:pPr>
        <w:pStyle w:val="12"/>
        <w:shd w:val="clear"/>
        <w:spacing w:before="1" w:line="308" w:lineRule="auto"/>
        <w:ind w:left="42" w:right="181" w:firstLine="467"/>
        <w:rPr>
          <w:sz w:val="24"/>
          <w:szCs w:val="24"/>
          <w:highlight w:val="none"/>
        </w:rPr>
      </w:pPr>
      <w:r>
        <w:rPr>
          <w:spacing w:val="-3"/>
          <w:sz w:val="24"/>
          <w:szCs w:val="24"/>
          <w:highlight w:val="none"/>
        </w:rPr>
        <w:t>7.6 如因包装、运输问题导致货物损毁、丢失或者品质下降，甲</w:t>
      </w:r>
      <w:r>
        <w:rPr>
          <w:spacing w:val="-4"/>
          <w:sz w:val="24"/>
          <w:szCs w:val="24"/>
          <w:highlight w:val="none"/>
        </w:rPr>
        <w:t>方有权要求</w:t>
      </w:r>
      <w:r>
        <w:rPr>
          <w:spacing w:val="-1"/>
          <w:sz w:val="24"/>
          <w:szCs w:val="24"/>
          <w:highlight w:val="none"/>
        </w:rPr>
        <w:t>降价、换货、拒收部分或整批货物，由此产生的费用和损失，均由乙方承担。</w:t>
      </w:r>
    </w:p>
    <w:p w14:paraId="695F1287">
      <w:pPr>
        <w:pStyle w:val="12"/>
        <w:shd w:val="clear"/>
        <w:spacing w:line="220" w:lineRule="auto"/>
        <w:ind w:left="24"/>
        <w:rPr>
          <w:sz w:val="24"/>
          <w:szCs w:val="24"/>
          <w:highlight w:val="none"/>
        </w:rPr>
      </w:pPr>
      <w:r>
        <w:rPr>
          <w:b/>
          <w:bCs/>
          <w:spacing w:val="-3"/>
          <w:sz w:val="24"/>
          <w:szCs w:val="24"/>
          <w:highlight w:val="none"/>
        </w:rPr>
        <w:t>8.</w:t>
      </w:r>
      <w:r>
        <w:rPr>
          <w:spacing w:val="-3"/>
          <w:sz w:val="24"/>
          <w:szCs w:val="24"/>
          <w:highlight w:val="none"/>
        </w:rPr>
        <w:t xml:space="preserve"> </w:t>
      </w:r>
      <w:r>
        <w:rPr>
          <w:b/>
          <w:bCs/>
          <w:spacing w:val="-3"/>
          <w:sz w:val="24"/>
          <w:szCs w:val="24"/>
          <w:highlight w:val="none"/>
        </w:rPr>
        <w:t>质量标准和保证</w:t>
      </w:r>
    </w:p>
    <w:p w14:paraId="219FEA24">
      <w:pPr>
        <w:pStyle w:val="12"/>
        <w:shd w:val="clear"/>
        <w:spacing w:before="112" w:line="220" w:lineRule="auto"/>
        <w:ind w:left="504"/>
        <w:rPr>
          <w:sz w:val="24"/>
          <w:szCs w:val="24"/>
          <w:highlight w:val="none"/>
        </w:rPr>
      </w:pPr>
      <w:r>
        <w:rPr>
          <w:spacing w:val="-2"/>
          <w:sz w:val="24"/>
          <w:szCs w:val="24"/>
          <w:highlight w:val="none"/>
        </w:rPr>
        <w:t>8.1 质量标准</w:t>
      </w:r>
    </w:p>
    <w:p w14:paraId="2AC8ADF4">
      <w:pPr>
        <w:pStyle w:val="12"/>
        <w:shd w:val="clear"/>
        <w:spacing w:before="112" w:line="308" w:lineRule="auto"/>
        <w:ind w:left="22" w:right="181" w:firstLine="492"/>
        <w:rPr>
          <w:sz w:val="24"/>
          <w:szCs w:val="24"/>
          <w:highlight w:val="none"/>
        </w:rPr>
      </w:pPr>
      <w:r>
        <w:rPr>
          <w:sz w:val="24"/>
          <w:szCs w:val="24"/>
          <w:highlight w:val="none"/>
        </w:rPr>
        <w:t>（1）本合同下提供的货物应符合合同约定的品牌、规格型号、技术性能、</w:t>
      </w:r>
      <w:r>
        <w:rPr>
          <w:spacing w:val="-3"/>
          <w:sz w:val="24"/>
          <w:szCs w:val="24"/>
          <w:highlight w:val="none"/>
        </w:rPr>
        <w:t>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w:t>
      </w:r>
      <w:r>
        <w:rPr>
          <w:spacing w:val="-2"/>
          <w:sz w:val="24"/>
          <w:szCs w:val="24"/>
          <w:highlight w:val="none"/>
        </w:rPr>
        <w:t>定标准履行。</w:t>
      </w:r>
    </w:p>
    <w:p w14:paraId="2107F55D">
      <w:pPr>
        <w:pStyle w:val="12"/>
        <w:shd w:val="clear"/>
        <w:spacing w:before="1" w:line="218" w:lineRule="auto"/>
        <w:ind w:left="514"/>
        <w:rPr>
          <w:sz w:val="24"/>
          <w:szCs w:val="24"/>
          <w:highlight w:val="none"/>
        </w:rPr>
      </w:pPr>
      <w:r>
        <w:rPr>
          <w:spacing w:val="-2"/>
          <w:sz w:val="24"/>
          <w:szCs w:val="24"/>
          <w:highlight w:val="none"/>
        </w:rPr>
        <w:t>（2）采用中华人民共和国法定计量单位。</w:t>
      </w:r>
    </w:p>
    <w:p w14:paraId="257E0830">
      <w:pPr>
        <w:pStyle w:val="12"/>
        <w:shd w:val="clear"/>
        <w:spacing w:before="116" w:line="219" w:lineRule="auto"/>
        <w:ind w:left="514"/>
        <w:rPr>
          <w:sz w:val="24"/>
          <w:szCs w:val="24"/>
          <w:highlight w:val="none"/>
        </w:rPr>
      </w:pPr>
      <w:r>
        <w:rPr>
          <w:spacing w:val="-1"/>
          <w:sz w:val="24"/>
          <w:szCs w:val="24"/>
          <w:highlight w:val="none"/>
        </w:rPr>
        <w:t>（3）乙方所提供的货物应符合国家有关安全、环保、卫生的规定。</w:t>
      </w:r>
    </w:p>
    <w:p w14:paraId="2DC0358A">
      <w:pPr>
        <w:pStyle w:val="12"/>
        <w:shd w:val="clear"/>
        <w:spacing w:before="115" w:line="308" w:lineRule="auto"/>
        <w:ind w:left="23" w:right="120" w:firstLine="491"/>
        <w:rPr>
          <w:sz w:val="24"/>
          <w:szCs w:val="24"/>
          <w:highlight w:val="none"/>
        </w:rPr>
      </w:pPr>
      <w:r>
        <w:rPr>
          <w:spacing w:val="-5"/>
          <w:sz w:val="24"/>
          <w:szCs w:val="24"/>
          <w:highlight w:val="none"/>
        </w:rPr>
        <w:t>（4）乙方应向甲方提交所提供货物的技术文件，包括相应的中文技</w:t>
      </w:r>
      <w:r>
        <w:rPr>
          <w:spacing w:val="-6"/>
          <w:sz w:val="24"/>
          <w:szCs w:val="24"/>
          <w:highlight w:val="none"/>
        </w:rPr>
        <w:t>术文件，</w:t>
      </w:r>
      <w:r>
        <w:rPr>
          <w:spacing w:val="-3"/>
          <w:sz w:val="24"/>
          <w:szCs w:val="24"/>
          <w:highlight w:val="none"/>
        </w:rPr>
        <w:t>如：产品目录、图纸、操作手册、使用说明、维护手册或服务指南等。上述文件</w:t>
      </w:r>
      <w:r>
        <w:rPr>
          <w:spacing w:val="-1"/>
          <w:sz w:val="24"/>
          <w:szCs w:val="24"/>
          <w:highlight w:val="none"/>
        </w:rPr>
        <w:t>应包装好随货物一同发运。</w:t>
      </w:r>
    </w:p>
    <w:p w14:paraId="28A50445">
      <w:pPr>
        <w:pStyle w:val="12"/>
        <w:shd w:val="clear"/>
        <w:spacing w:line="220" w:lineRule="auto"/>
        <w:ind w:left="504"/>
        <w:rPr>
          <w:sz w:val="24"/>
          <w:szCs w:val="24"/>
          <w:highlight w:val="none"/>
        </w:rPr>
      </w:pPr>
      <w:r>
        <w:rPr>
          <w:spacing w:val="-5"/>
          <w:sz w:val="24"/>
          <w:szCs w:val="24"/>
          <w:highlight w:val="none"/>
        </w:rPr>
        <w:t>8.2</w:t>
      </w:r>
      <w:r>
        <w:rPr>
          <w:spacing w:val="13"/>
          <w:sz w:val="24"/>
          <w:szCs w:val="24"/>
          <w:highlight w:val="none"/>
        </w:rPr>
        <w:t xml:space="preserve"> </w:t>
      </w:r>
      <w:r>
        <w:rPr>
          <w:spacing w:val="-5"/>
          <w:sz w:val="24"/>
          <w:szCs w:val="24"/>
          <w:highlight w:val="none"/>
        </w:rPr>
        <w:t>保证</w:t>
      </w:r>
    </w:p>
    <w:p w14:paraId="0BB54885">
      <w:pPr>
        <w:pStyle w:val="12"/>
        <w:shd w:val="clear"/>
        <w:spacing w:before="110" w:line="309" w:lineRule="auto"/>
        <w:ind w:left="24" w:right="181" w:firstLine="490"/>
        <w:jc w:val="both"/>
        <w:rPr>
          <w:sz w:val="24"/>
          <w:szCs w:val="24"/>
          <w:highlight w:val="none"/>
        </w:rPr>
      </w:pPr>
      <w:r>
        <w:rPr>
          <w:sz w:val="24"/>
          <w:szCs w:val="24"/>
          <w:highlight w:val="none"/>
        </w:rPr>
        <w:t>（1）乙方应保证提供的货物完全符合合同规定的质量、规格和性能要求。</w:t>
      </w:r>
      <w:r>
        <w:rPr>
          <w:spacing w:val="-3"/>
          <w:sz w:val="24"/>
          <w:szCs w:val="24"/>
          <w:highlight w:val="none"/>
        </w:rPr>
        <w:t>乙方应保证货物在正确安装、正常使用和保养条件下，在其使用寿命期内具备合</w:t>
      </w:r>
      <w:r>
        <w:rPr>
          <w:spacing w:val="-4"/>
          <w:sz w:val="24"/>
          <w:szCs w:val="24"/>
          <w:highlight w:val="none"/>
        </w:rPr>
        <w:t>同约定的性能。存在质量保证期的，货物最终交付验收合格后在</w:t>
      </w:r>
      <w:r>
        <w:rPr>
          <w:b/>
          <w:bCs/>
          <w:spacing w:val="-4"/>
          <w:sz w:val="24"/>
          <w:szCs w:val="24"/>
          <w:highlight w:val="none"/>
        </w:rPr>
        <w:t>【政府采购合同</w:t>
      </w:r>
      <w:r>
        <w:rPr>
          <w:b/>
          <w:bCs/>
          <w:spacing w:val="-3"/>
          <w:sz w:val="24"/>
          <w:szCs w:val="24"/>
          <w:highlight w:val="none"/>
        </w:rPr>
        <w:t>专用条款】</w:t>
      </w:r>
      <w:r>
        <w:rPr>
          <w:spacing w:val="-3"/>
          <w:sz w:val="24"/>
          <w:szCs w:val="24"/>
          <w:highlight w:val="none"/>
        </w:rPr>
        <w:t>规定或乙方书面承诺（两者以较长的为</w:t>
      </w:r>
      <w:r>
        <w:rPr>
          <w:spacing w:val="-4"/>
          <w:sz w:val="24"/>
          <w:szCs w:val="24"/>
          <w:highlight w:val="none"/>
        </w:rPr>
        <w:t>准）的质量保证期内，本保证</w:t>
      </w:r>
      <w:r>
        <w:rPr>
          <w:spacing w:val="-3"/>
          <w:sz w:val="24"/>
          <w:szCs w:val="24"/>
          <w:highlight w:val="none"/>
        </w:rPr>
        <w:t>保持有效。</w:t>
      </w:r>
    </w:p>
    <w:p w14:paraId="7B95EFD0">
      <w:pPr>
        <w:pStyle w:val="12"/>
        <w:shd w:val="clear"/>
        <w:spacing w:before="115" w:line="219" w:lineRule="auto"/>
        <w:ind w:left="514"/>
        <w:rPr>
          <w:sz w:val="24"/>
          <w:szCs w:val="24"/>
          <w:highlight w:val="none"/>
        </w:rPr>
      </w:pPr>
      <w:r>
        <w:rPr>
          <w:spacing w:val="-1"/>
          <w:sz w:val="24"/>
          <w:szCs w:val="24"/>
          <w:highlight w:val="none"/>
        </w:rPr>
        <w:t>（2）在质量保证期内所发现的缺陷，甲方应尽快以书面形式通知乙方。</w:t>
      </w:r>
    </w:p>
    <w:p w14:paraId="4F88A0D5">
      <w:pPr>
        <w:pStyle w:val="12"/>
        <w:shd w:val="clear"/>
        <w:spacing w:before="117" w:line="307" w:lineRule="auto"/>
        <w:ind w:left="50" w:right="214" w:firstLine="464"/>
        <w:rPr>
          <w:sz w:val="24"/>
          <w:szCs w:val="24"/>
          <w:highlight w:val="none"/>
        </w:rPr>
      </w:pPr>
      <w:r>
        <w:rPr>
          <w:spacing w:val="-1"/>
          <w:sz w:val="24"/>
          <w:szCs w:val="24"/>
          <w:highlight w:val="none"/>
        </w:rPr>
        <w:t>（3）乙方收到通知后，应在</w:t>
      </w:r>
      <w:r>
        <w:rPr>
          <w:b/>
          <w:bCs/>
          <w:spacing w:val="-1"/>
          <w:sz w:val="24"/>
          <w:szCs w:val="24"/>
          <w:highlight w:val="none"/>
        </w:rPr>
        <w:t>【政府采购合同专用条款】</w:t>
      </w:r>
      <w:r>
        <w:rPr>
          <w:spacing w:val="-2"/>
          <w:sz w:val="24"/>
          <w:szCs w:val="24"/>
          <w:highlight w:val="none"/>
        </w:rPr>
        <w:t>规定的响应时间内以合理的速度免费维修或更换有缺陷的货物或部件。</w:t>
      </w:r>
    </w:p>
    <w:p w14:paraId="0CDCC922">
      <w:pPr>
        <w:pStyle w:val="12"/>
        <w:shd w:val="clear"/>
        <w:spacing w:before="2" w:line="307" w:lineRule="auto"/>
        <w:ind w:left="24" w:right="200" w:firstLine="490"/>
        <w:rPr>
          <w:sz w:val="24"/>
          <w:szCs w:val="24"/>
          <w:highlight w:val="none"/>
        </w:rPr>
      </w:pPr>
      <w:r>
        <w:rPr>
          <w:spacing w:val="-1"/>
          <w:sz w:val="24"/>
          <w:szCs w:val="24"/>
          <w:highlight w:val="none"/>
        </w:rPr>
        <w:t>（4）在质量保证期内，如果货物的质量或规格与合同不符，或证实货物是</w:t>
      </w:r>
      <w:r>
        <w:rPr>
          <w:spacing w:val="-3"/>
          <w:sz w:val="24"/>
          <w:szCs w:val="24"/>
          <w:highlight w:val="none"/>
        </w:rPr>
        <w:t>有缺陷的，包括潜在的缺陷或使用不符合要求的材料等，甲方可以根据本合同第</w:t>
      </w:r>
      <w:r>
        <w:rPr>
          <w:spacing w:val="-1"/>
          <w:sz w:val="24"/>
          <w:szCs w:val="24"/>
          <w:highlight w:val="none"/>
        </w:rPr>
        <w:t>15.1条规定以书面形式追究乙方的违约责任。</w:t>
      </w:r>
    </w:p>
    <w:p w14:paraId="3D161604">
      <w:pPr>
        <w:pStyle w:val="12"/>
        <w:shd w:val="clear"/>
        <w:spacing w:before="1" w:line="307" w:lineRule="auto"/>
        <w:ind w:left="24" w:firstLine="490"/>
        <w:rPr>
          <w:sz w:val="24"/>
          <w:szCs w:val="24"/>
          <w:highlight w:val="none"/>
        </w:rPr>
      </w:pPr>
      <w:r>
        <w:rPr>
          <w:spacing w:val="-1"/>
          <w:sz w:val="24"/>
          <w:szCs w:val="24"/>
          <w:highlight w:val="none"/>
        </w:rPr>
        <w:t>（5）乙方在约定的时间内未能弥补缺陷，甲方可采取必要的补救措施，但</w:t>
      </w:r>
      <w:r>
        <w:rPr>
          <w:spacing w:val="3"/>
          <w:sz w:val="24"/>
          <w:szCs w:val="24"/>
          <w:highlight w:val="none"/>
        </w:rPr>
        <w:t xml:space="preserve"> </w:t>
      </w:r>
      <w:r>
        <w:rPr>
          <w:spacing w:val="-4"/>
          <w:sz w:val="24"/>
          <w:szCs w:val="24"/>
          <w:highlight w:val="none"/>
        </w:rPr>
        <w:t>其风险和费用将由乙方承担，甲方根据合同约定对乙方行使的其他权利不受影响。</w:t>
      </w:r>
    </w:p>
    <w:p w14:paraId="3FD3933D">
      <w:pPr>
        <w:pStyle w:val="12"/>
        <w:shd w:val="clear"/>
        <w:spacing w:line="219" w:lineRule="auto"/>
        <w:ind w:left="24"/>
        <w:rPr>
          <w:sz w:val="24"/>
          <w:szCs w:val="24"/>
          <w:highlight w:val="none"/>
        </w:rPr>
      </w:pPr>
      <w:r>
        <w:rPr>
          <w:b/>
          <w:bCs/>
          <w:spacing w:val="-3"/>
          <w:sz w:val="24"/>
          <w:szCs w:val="24"/>
          <w:highlight w:val="none"/>
        </w:rPr>
        <w:t>9.</w:t>
      </w:r>
      <w:r>
        <w:rPr>
          <w:spacing w:val="-3"/>
          <w:sz w:val="24"/>
          <w:szCs w:val="24"/>
          <w:highlight w:val="none"/>
        </w:rPr>
        <w:t xml:space="preserve"> </w:t>
      </w:r>
      <w:r>
        <w:rPr>
          <w:b/>
          <w:bCs/>
          <w:spacing w:val="-3"/>
          <w:sz w:val="24"/>
          <w:szCs w:val="24"/>
          <w:highlight w:val="none"/>
        </w:rPr>
        <w:t>权利瑕疵担保</w:t>
      </w:r>
    </w:p>
    <w:p w14:paraId="1E8C64C4">
      <w:pPr>
        <w:pStyle w:val="12"/>
        <w:shd w:val="clear"/>
        <w:spacing w:before="115" w:line="219" w:lineRule="auto"/>
        <w:ind w:left="504"/>
        <w:rPr>
          <w:sz w:val="24"/>
          <w:szCs w:val="24"/>
          <w:highlight w:val="none"/>
        </w:rPr>
      </w:pPr>
      <w:r>
        <w:rPr>
          <w:spacing w:val="-2"/>
          <w:sz w:val="24"/>
          <w:szCs w:val="24"/>
          <w:highlight w:val="none"/>
        </w:rPr>
        <w:t>9.1</w:t>
      </w:r>
      <w:r>
        <w:rPr>
          <w:spacing w:val="32"/>
          <w:sz w:val="24"/>
          <w:szCs w:val="24"/>
          <w:highlight w:val="none"/>
        </w:rPr>
        <w:t xml:space="preserve"> </w:t>
      </w:r>
      <w:r>
        <w:rPr>
          <w:spacing w:val="-2"/>
          <w:sz w:val="24"/>
          <w:szCs w:val="24"/>
          <w:highlight w:val="none"/>
        </w:rPr>
        <w:t>乙方保证对其出售的货物享有合法的权利。</w:t>
      </w:r>
    </w:p>
    <w:p w14:paraId="01BB8023">
      <w:pPr>
        <w:pStyle w:val="12"/>
        <w:shd w:val="clear"/>
        <w:spacing w:before="117" w:line="219" w:lineRule="auto"/>
        <w:ind w:left="504"/>
        <w:rPr>
          <w:sz w:val="24"/>
          <w:szCs w:val="24"/>
          <w:highlight w:val="none"/>
        </w:rPr>
      </w:pPr>
      <w:r>
        <w:rPr>
          <w:spacing w:val="-2"/>
          <w:sz w:val="24"/>
          <w:szCs w:val="24"/>
          <w:highlight w:val="none"/>
        </w:rPr>
        <w:t>9.2</w:t>
      </w:r>
      <w:r>
        <w:rPr>
          <w:spacing w:val="40"/>
          <w:sz w:val="24"/>
          <w:szCs w:val="24"/>
          <w:highlight w:val="none"/>
        </w:rPr>
        <w:t xml:space="preserve"> </w:t>
      </w:r>
      <w:r>
        <w:rPr>
          <w:spacing w:val="-2"/>
          <w:sz w:val="24"/>
          <w:szCs w:val="24"/>
          <w:highlight w:val="none"/>
        </w:rPr>
        <w:t>乙方保证在交付的货物上不存在抵押权等担保物权。</w:t>
      </w:r>
    </w:p>
    <w:p w14:paraId="77A1D2E6">
      <w:pPr>
        <w:pStyle w:val="12"/>
        <w:shd w:val="clear"/>
        <w:spacing w:before="113" w:line="219" w:lineRule="auto"/>
        <w:ind w:left="504"/>
        <w:rPr>
          <w:sz w:val="24"/>
          <w:szCs w:val="24"/>
          <w:highlight w:val="none"/>
        </w:rPr>
      </w:pPr>
      <w:r>
        <w:rPr>
          <w:sz w:val="24"/>
          <w:szCs w:val="24"/>
          <w:highlight w:val="none"/>
        </w:rPr>
        <w:t>9.3 如甲方使用上述货物构成对第三人侵权的</w:t>
      </w:r>
      <w:r>
        <w:rPr>
          <w:spacing w:val="-1"/>
          <w:sz w:val="24"/>
          <w:szCs w:val="24"/>
          <w:highlight w:val="none"/>
        </w:rPr>
        <w:t>，则由乙方承担全部责任。</w:t>
      </w:r>
    </w:p>
    <w:p w14:paraId="0A99D547">
      <w:pPr>
        <w:pStyle w:val="12"/>
        <w:shd w:val="clear"/>
        <w:spacing w:before="117" w:line="219" w:lineRule="auto"/>
        <w:ind w:left="41"/>
        <w:rPr>
          <w:sz w:val="24"/>
          <w:szCs w:val="24"/>
          <w:highlight w:val="none"/>
        </w:rPr>
      </w:pPr>
      <w:r>
        <w:rPr>
          <w:b/>
          <w:bCs/>
          <w:spacing w:val="-7"/>
          <w:sz w:val="24"/>
          <w:szCs w:val="24"/>
          <w:highlight w:val="none"/>
        </w:rPr>
        <w:t>10.</w:t>
      </w:r>
      <w:r>
        <w:rPr>
          <w:spacing w:val="19"/>
          <w:sz w:val="24"/>
          <w:szCs w:val="24"/>
          <w:highlight w:val="none"/>
        </w:rPr>
        <w:t xml:space="preserve"> </w:t>
      </w:r>
      <w:r>
        <w:rPr>
          <w:b/>
          <w:bCs/>
          <w:spacing w:val="-7"/>
          <w:sz w:val="24"/>
          <w:szCs w:val="24"/>
          <w:highlight w:val="none"/>
        </w:rPr>
        <w:t>知识产权保护</w:t>
      </w:r>
    </w:p>
    <w:p w14:paraId="3D867906">
      <w:pPr>
        <w:pStyle w:val="12"/>
        <w:shd w:val="clear"/>
        <w:spacing w:before="118" w:line="307" w:lineRule="auto"/>
        <w:ind w:left="23" w:right="120" w:firstLine="497"/>
        <w:jc w:val="both"/>
        <w:rPr>
          <w:sz w:val="24"/>
          <w:szCs w:val="24"/>
          <w:highlight w:val="none"/>
        </w:rPr>
      </w:pPr>
      <w:r>
        <w:rPr>
          <w:spacing w:val="-2"/>
          <w:sz w:val="24"/>
          <w:szCs w:val="24"/>
          <w:highlight w:val="none"/>
        </w:rPr>
        <w:t>10.1</w:t>
      </w:r>
      <w:r>
        <w:rPr>
          <w:spacing w:val="39"/>
          <w:sz w:val="24"/>
          <w:szCs w:val="24"/>
          <w:highlight w:val="none"/>
        </w:rPr>
        <w:t xml:space="preserve"> </w:t>
      </w:r>
      <w:r>
        <w:rPr>
          <w:spacing w:val="-2"/>
          <w:sz w:val="24"/>
          <w:szCs w:val="24"/>
          <w:highlight w:val="none"/>
        </w:rPr>
        <w:t>乙方对其所销售的货物应当享有知识产权或经权利人合法授权，保证</w:t>
      </w:r>
      <w:r>
        <w:rPr>
          <w:spacing w:val="-1"/>
          <w:sz w:val="24"/>
          <w:szCs w:val="24"/>
          <w:highlight w:val="none"/>
        </w:rPr>
        <w:t>没有侵犯任何第三人的知识产权等权利。因违反前述约定对第三人构成侵权的，</w:t>
      </w:r>
      <w:r>
        <w:rPr>
          <w:spacing w:val="-7"/>
          <w:sz w:val="24"/>
          <w:szCs w:val="24"/>
          <w:highlight w:val="none"/>
        </w:rPr>
        <w:t>应当由乙方向第三人承担法律责任；甲方依法向第三人</w:t>
      </w:r>
      <w:r>
        <w:rPr>
          <w:spacing w:val="-8"/>
          <w:sz w:val="24"/>
          <w:szCs w:val="24"/>
          <w:highlight w:val="none"/>
        </w:rPr>
        <w:t>赔偿后，有权向乙方追偿。</w:t>
      </w:r>
      <w:r>
        <w:rPr>
          <w:spacing w:val="-1"/>
          <w:sz w:val="24"/>
          <w:szCs w:val="24"/>
          <w:highlight w:val="none"/>
        </w:rPr>
        <w:t>甲方有其他损失的，乙方应当赔偿。</w:t>
      </w:r>
    </w:p>
    <w:p w14:paraId="14DB883E">
      <w:pPr>
        <w:pStyle w:val="12"/>
        <w:shd w:val="clear"/>
        <w:spacing w:line="219" w:lineRule="auto"/>
        <w:ind w:left="41"/>
        <w:rPr>
          <w:sz w:val="24"/>
          <w:szCs w:val="24"/>
          <w:highlight w:val="none"/>
        </w:rPr>
      </w:pPr>
      <w:r>
        <w:rPr>
          <w:b/>
          <w:bCs/>
          <w:spacing w:val="-8"/>
          <w:sz w:val="24"/>
          <w:szCs w:val="24"/>
          <w:highlight w:val="none"/>
        </w:rPr>
        <w:t>11.</w:t>
      </w:r>
      <w:r>
        <w:rPr>
          <w:spacing w:val="15"/>
          <w:sz w:val="24"/>
          <w:szCs w:val="24"/>
          <w:highlight w:val="none"/>
        </w:rPr>
        <w:t xml:space="preserve"> </w:t>
      </w:r>
      <w:r>
        <w:rPr>
          <w:b/>
          <w:bCs/>
          <w:spacing w:val="-8"/>
          <w:sz w:val="24"/>
          <w:szCs w:val="24"/>
          <w:highlight w:val="none"/>
        </w:rPr>
        <w:t>保密义务</w:t>
      </w:r>
    </w:p>
    <w:p w14:paraId="10B9DA39">
      <w:pPr>
        <w:pStyle w:val="12"/>
        <w:shd w:val="clear"/>
        <w:spacing w:before="113" w:line="308" w:lineRule="auto"/>
        <w:ind w:left="22" w:right="200" w:firstLine="498"/>
        <w:rPr>
          <w:sz w:val="24"/>
          <w:szCs w:val="24"/>
          <w:highlight w:val="none"/>
        </w:rPr>
      </w:pPr>
      <w:r>
        <w:rPr>
          <w:spacing w:val="-1"/>
          <w:sz w:val="24"/>
          <w:szCs w:val="24"/>
          <w:highlight w:val="none"/>
        </w:rPr>
        <w:t>11.1</w:t>
      </w:r>
      <w:r>
        <w:rPr>
          <w:spacing w:val="41"/>
          <w:sz w:val="24"/>
          <w:szCs w:val="24"/>
          <w:highlight w:val="none"/>
        </w:rPr>
        <w:t xml:space="preserve"> </w:t>
      </w:r>
      <w:r>
        <w:rPr>
          <w:spacing w:val="-1"/>
          <w:sz w:val="24"/>
          <w:szCs w:val="24"/>
          <w:highlight w:val="none"/>
        </w:rPr>
        <w:t>甲、乙双方对采购和合同履行过程中所获悉的国</w:t>
      </w:r>
      <w:r>
        <w:rPr>
          <w:spacing w:val="-2"/>
          <w:sz w:val="24"/>
          <w:szCs w:val="24"/>
          <w:highlight w:val="none"/>
        </w:rPr>
        <w:t>家秘密、工作秘密、</w:t>
      </w:r>
      <w:r>
        <w:rPr>
          <w:spacing w:val="-3"/>
          <w:sz w:val="24"/>
          <w:szCs w:val="24"/>
          <w:highlight w:val="none"/>
        </w:rPr>
        <w:t>商业秘密或者其他应当保密的信息，均有保密义务且不受合同有效期所限，直至该信息成为公开信息。泄露、不正当地使用国家秘密、工作秘密、商业秘密或者其他应当保密的信息，应当承担相应责任。其他应当保密的信</w:t>
      </w:r>
      <w:r>
        <w:rPr>
          <w:spacing w:val="-4"/>
          <w:sz w:val="24"/>
          <w:szCs w:val="24"/>
          <w:highlight w:val="none"/>
        </w:rPr>
        <w:t>息由双方在</w:t>
      </w:r>
      <w:r>
        <w:rPr>
          <w:b/>
          <w:bCs/>
          <w:spacing w:val="-4"/>
          <w:sz w:val="24"/>
          <w:szCs w:val="24"/>
          <w:highlight w:val="none"/>
        </w:rPr>
        <w:t>【政府</w:t>
      </w:r>
      <w:r>
        <w:rPr>
          <w:b/>
          <w:bCs/>
          <w:spacing w:val="-2"/>
          <w:sz w:val="24"/>
          <w:szCs w:val="24"/>
          <w:highlight w:val="none"/>
        </w:rPr>
        <w:t>采购合同专用条款】</w:t>
      </w:r>
      <w:r>
        <w:rPr>
          <w:spacing w:val="-2"/>
          <w:sz w:val="24"/>
          <w:szCs w:val="24"/>
          <w:highlight w:val="none"/>
        </w:rPr>
        <w:t>中约定。</w:t>
      </w:r>
    </w:p>
    <w:p w14:paraId="1B917898">
      <w:pPr>
        <w:pStyle w:val="12"/>
        <w:shd w:val="clear"/>
        <w:spacing w:before="1" w:line="217" w:lineRule="auto"/>
        <w:ind w:left="41"/>
        <w:rPr>
          <w:sz w:val="24"/>
          <w:szCs w:val="24"/>
          <w:highlight w:val="none"/>
        </w:rPr>
      </w:pPr>
      <w:r>
        <w:rPr>
          <w:b/>
          <w:bCs/>
          <w:spacing w:val="-5"/>
          <w:sz w:val="24"/>
          <w:szCs w:val="24"/>
          <w:highlight w:val="none"/>
        </w:rPr>
        <w:t>12.</w:t>
      </w:r>
      <w:r>
        <w:rPr>
          <w:spacing w:val="-5"/>
          <w:sz w:val="24"/>
          <w:szCs w:val="24"/>
          <w:highlight w:val="none"/>
        </w:rPr>
        <w:t xml:space="preserve"> </w:t>
      </w:r>
      <w:r>
        <w:rPr>
          <w:b/>
          <w:bCs/>
          <w:spacing w:val="-5"/>
          <w:sz w:val="24"/>
          <w:szCs w:val="24"/>
          <w:highlight w:val="none"/>
        </w:rPr>
        <w:t>合同价款支付</w:t>
      </w:r>
    </w:p>
    <w:p w14:paraId="09DD4B16">
      <w:pPr>
        <w:pStyle w:val="12"/>
        <w:shd w:val="clear"/>
        <w:spacing w:before="118" w:line="218" w:lineRule="auto"/>
        <w:ind w:left="521"/>
        <w:rPr>
          <w:sz w:val="24"/>
          <w:szCs w:val="24"/>
          <w:highlight w:val="none"/>
        </w:rPr>
      </w:pPr>
      <w:r>
        <w:rPr>
          <w:spacing w:val="-1"/>
          <w:sz w:val="24"/>
          <w:szCs w:val="24"/>
          <w:highlight w:val="none"/>
        </w:rPr>
        <w:t>12.1 合同价款支付按照国库集中支付制度及财政管理相关规定执行。</w:t>
      </w:r>
    </w:p>
    <w:p w14:paraId="7104E0CE">
      <w:pPr>
        <w:pStyle w:val="12"/>
        <w:shd w:val="clear"/>
        <w:spacing w:before="118" w:line="219" w:lineRule="auto"/>
        <w:ind w:left="521"/>
        <w:outlineLvl w:val="1"/>
        <w:rPr>
          <w:sz w:val="24"/>
          <w:szCs w:val="24"/>
          <w:highlight w:val="none"/>
        </w:rPr>
      </w:pPr>
      <w:r>
        <w:rPr>
          <w:spacing w:val="-4"/>
          <w:sz w:val="24"/>
          <w:szCs w:val="24"/>
          <w:highlight w:val="none"/>
        </w:rPr>
        <w:t>12.2 对于满足合同约定支付条件的，甲方</w:t>
      </w:r>
      <w:r>
        <w:rPr>
          <w:spacing w:val="-5"/>
          <w:sz w:val="24"/>
          <w:szCs w:val="24"/>
          <w:highlight w:val="none"/>
        </w:rPr>
        <w:t>原则上应当自收到发票后</w:t>
      </w:r>
      <w:r>
        <w:rPr>
          <w:spacing w:val="-33"/>
          <w:sz w:val="24"/>
          <w:szCs w:val="24"/>
          <w:highlight w:val="none"/>
        </w:rPr>
        <w:t xml:space="preserve"> </w:t>
      </w:r>
      <w:r>
        <w:rPr>
          <w:spacing w:val="-5"/>
          <w:sz w:val="24"/>
          <w:szCs w:val="24"/>
          <w:highlight w:val="none"/>
        </w:rPr>
        <w:t>10</w:t>
      </w:r>
      <w:r>
        <w:rPr>
          <w:spacing w:val="-50"/>
          <w:sz w:val="24"/>
          <w:szCs w:val="24"/>
          <w:highlight w:val="none"/>
        </w:rPr>
        <w:t xml:space="preserve"> </w:t>
      </w:r>
      <w:r>
        <w:rPr>
          <w:spacing w:val="-5"/>
          <w:sz w:val="24"/>
          <w:szCs w:val="24"/>
          <w:highlight w:val="none"/>
        </w:rPr>
        <w:t>个工</w:t>
      </w:r>
    </w:p>
    <w:p w14:paraId="22E91A56">
      <w:pPr>
        <w:pStyle w:val="12"/>
        <w:shd w:val="clear"/>
        <w:spacing w:before="112" w:line="308" w:lineRule="auto"/>
        <w:ind w:left="22" w:right="200" w:firstLine="1"/>
        <w:jc w:val="both"/>
        <w:rPr>
          <w:sz w:val="24"/>
          <w:szCs w:val="24"/>
          <w:highlight w:val="none"/>
        </w:rPr>
      </w:pPr>
      <w:r>
        <w:rPr>
          <w:spacing w:val="-3"/>
          <w:sz w:val="24"/>
          <w:szCs w:val="24"/>
          <w:highlight w:val="none"/>
        </w:rPr>
        <w:t>作日内将资金支付到合同约定的乙方账户，不得以机构变动、人员更替、政策调整等为由迟延付款，不得将采购文件和合同中未规定的义务作为向乙方付款的条</w:t>
      </w:r>
      <w:r>
        <w:rPr>
          <w:spacing w:val="-1"/>
          <w:sz w:val="24"/>
          <w:szCs w:val="24"/>
          <w:highlight w:val="none"/>
        </w:rPr>
        <w:t>件。具体合同价款支付时间在【</w:t>
      </w:r>
      <w:r>
        <w:rPr>
          <w:b/>
          <w:bCs/>
          <w:spacing w:val="-1"/>
          <w:sz w:val="24"/>
          <w:szCs w:val="24"/>
          <w:highlight w:val="none"/>
        </w:rPr>
        <w:t>政府采购合同专用条款</w:t>
      </w:r>
      <w:r>
        <w:rPr>
          <w:spacing w:val="-1"/>
          <w:sz w:val="24"/>
          <w:szCs w:val="24"/>
          <w:highlight w:val="none"/>
        </w:rPr>
        <w:t>】中约定。</w:t>
      </w:r>
    </w:p>
    <w:p w14:paraId="43077DF4">
      <w:pPr>
        <w:pStyle w:val="12"/>
        <w:shd w:val="clear"/>
        <w:spacing w:line="220" w:lineRule="auto"/>
        <w:ind w:left="41"/>
        <w:rPr>
          <w:sz w:val="24"/>
          <w:szCs w:val="24"/>
          <w:highlight w:val="none"/>
        </w:rPr>
      </w:pPr>
      <w:r>
        <w:rPr>
          <w:b/>
          <w:bCs/>
          <w:spacing w:val="-7"/>
          <w:sz w:val="24"/>
          <w:szCs w:val="24"/>
          <w:highlight w:val="none"/>
        </w:rPr>
        <w:t>13.</w:t>
      </w:r>
      <w:r>
        <w:rPr>
          <w:spacing w:val="15"/>
          <w:sz w:val="24"/>
          <w:szCs w:val="24"/>
          <w:highlight w:val="none"/>
        </w:rPr>
        <w:t xml:space="preserve"> </w:t>
      </w:r>
      <w:r>
        <w:rPr>
          <w:b/>
          <w:bCs/>
          <w:spacing w:val="-7"/>
          <w:sz w:val="24"/>
          <w:szCs w:val="24"/>
          <w:highlight w:val="none"/>
        </w:rPr>
        <w:t>履约保证金</w:t>
      </w:r>
    </w:p>
    <w:p w14:paraId="1CA6407A">
      <w:pPr>
        <w:pStyle w:val="12"/>
        <w:shd w:val="clear"/>
        <w:spacing w:before="116" w:line="307" w:lineRule="auto"/>
        <w:ind w:left="27" w:right="226" w:firstLine="493"/>
        <w:rPr>
          <w:sz w:val="24"/>
          <w:szCs w:val="24"/>
          <w:highlight w:val="none"/>
        </w:rPr>
      </w:pPr>
      <w:r>
        <w:rPr>
          <w:spacing w:val="-2"/>
          <w:sz w:val="24"/>
          <w:szCs w:val="24"/>
          <w:highlight w:val="none"/>
        </w:rPr>
        <w:t>13.1</w:t>
      </w:r>
      <w:r>
        <w:rPr>
          <w:spacing w:val="39"/>
          <w:sz w:val="24"/>
          <w:szCs w:val="24"/>
          <w:highlight w:val="none"/>
        </w:rPr>
        <w:t xml:space="preserve"> </w:t>
      </w:r>
      <w:r>
        <w:rPr>
          <w:spacing w:val="-2"/>
          <w:sz w:val="24"/>
          <w:szCs w:val="24"/>
          <w:highlight w:val="none"/>
        </w:rPr>
        <w:t>乙方应当以支票、汇票、本票或者金融机构、担保机构出具的保函等非现金形式提交。</w:t>
      </w:r>
    </w:p>
    <w:p w14:paraId="40544514">
      <w:pPr>
        <w:pStyle w:val="12"/>
        <w:shd w:val="clear"/>
        <w:spacing w:line="218" w:lineRule="auto"/>
        <w:ind w:left="521"/>
        <w:rPr>
          <w:sz w:val="24"/>
          <w:szCs w:val="24"/>
          <w:highlight w:val="none"/>
        </w:rPr>
      </w:pPr>
      <w:r>
        <w:rPr>
          <w:spacing w:val="-1"/>
          <w:sz w:val="24"/>
          <w:szCs w:val="24"/>
          <w:highlight w:val="none"/>
        </w:rPr>
        <w:t>13.2 如果乙方出现</w:t>
      </w:r>
      <w:r>
        <w:rPr>
          <w:b/>
          <w:bCs/>
          <w:spacing w:val="-1"/>
          <w:sz w:val="24"/>
          <w:szCs w:val="24"/>
          <w:highlight w:val="none"/>
        </w:rPr>
        <w:t>【政府采购合同专用条款】</w:t>
      </w:r>
      <w:r>
        <w:rPr>
          <w:spacing w:val="-2"/>
          <w:sz w:val="24"/>
          <w:szCs w:val="24"/>
          <w:highlight w:val="none"/>
        </w:rPr>
        <w:t>约定情形的，履约保证金不</w:t>
      </w:r>
    </w:p>
    <w:p w14:paraId="77F7A551">
      <w:pPr>
        <w:pStyle w:val="12"/>
        <w:shd w:val="clear"/>
        <w:spacing w:before="78" w:line="308" w:lineRule="auto"/>
        <w:ind w:left="23" w:right="80" w:firstLine="7"/>
        <w:jc w:val="both"/>
        <w:rPr>
          <w:sz w:val="24"/>
          <w:szCs w:val="24"/>
          <w:highlight w:val="none"/>
        </w:rPr>
      </w:pPr>
      <w:r>
        <w:rPr>
          <w:spacing w:val="-3"/>
          <w:sz w:val="24"/>
          <w:szCs w:val="24"/>
          <w:highlight w:val="none"/>
        </w:rPr>
        <w:t>予退还；如果乙方未能按合同约定全面履行义务，甲方有权从履</w:t>
      </w:r>
      <w:r>
        <w:rPr>
          <w:spacing w:val="-4"/>
          <w:sz w:val="24"/>
          <w:szCs w:val="24"/>
          <w:highlight w:val="none"/>
        </w:rPr>
        <w:t>约保证金中取得</w:t>
      </w:r>
      <w:r>
        <w:rPr>
          <w:spacing w:val="-3"/>
          <w:sz w:val="24"/>
          <w:szCs w:val="24"/>
          <w:highlight w:val="none"/>
        </w:rPr>
        <w:t>补偿或赔偿，且不影响甲方要求乙方承担合同约定的超过履约保证金的违约责任的权利。</w:t>
      </w:r>
    </w:p>
    <w:p w14:paraId="5AEAA005">
      <w:pPr>
        <w:pStyle w:val="12"/>
        <w:shd w:val="clear"/>
        <w:spacing w:before="2" w:line="307" w:lineRule="auto"/>
        <w:ind w:left="17" w:right="80" w:firstLine="444"/>
        <w:jc w:val="both"/>
        <w:rPr>
          <w:sz w:val="24"/>
          <w:szCs w:val="24"/>
          <w:highlight w:val="none"/>
        </w:rPr>
      </w:pPr>
      <w:r>
        <w:rPr>
          <w:spacing w:val="-1"/>
          <w:sz w:val="24"/>
          <w:szCs w:val="24"/>
          <w:highlight w:val="none"/>
        </w:rPr>
        <w:t>13.3</w:t>
      </w:r>
      <w:r>
        <w:rPr>
          <w:spacing w:val="59"/>
          <w:sz w:val="24"/>
          <w:szCs w:val="24"/>
          <w:highlight w:val="none"/>
        </w:rPr>
        <w:t xml:space="preserve"> </w:t>
      </w:r>
      <w:r>
        <w:rPr>
          <w:spacing w:val="-1"/>
          <w:sz w:val="24"/>
          <w:szCs w:val="24"/>
          <w:highlight w:val="none"/>
        </w:rPr>
        <w:t>甲方在项目通过验收后按照</w:t>
      </w:r>
      <w:r>
        <w:rPr>
          <w:b/>
          <w:bCs/>
          <w:spacing w:val="-1"/>
          <w:sz w:val="24"/>
          <w:szCs w:val="24"/>
          <w:highlight w:val="none"/>
        </w:rPr>
        <w:t>【政府采购合同专用条款】</w:t>
      </w:r>
      <w:r>
        <w:rPr>
          <w:spacing w:val="-1"/>
          <w:sz w:val="24"/>
          <w:szCs w:val="24"/>
          <w:highlight w:val="none"/>
        </w:rPr>
        <w:t>规定的时间内</w:t>
      </w:r>
      <w:r>
        <w:rPr>
          <w:spacing w:val="-3"/>
          <w:sz w:val="24"/>
          <w:szCs w:val="24"/>
          <w:highlight w:val="none"/>
        </w:rPr>
        <w:t>将履约保证金退还乙方；逾期退还的，乙方可要求甲方支付违约金，违约金按照</w:t>
      </w:r>
      <w:r>
        <w:rPr>
          <w:b/>
          <w:bCs/>
          <w:spacing w:val="-2"/>
          <w:sz w:val="24"/>
          <w:szCs w:val="24"/>
          <w:highlight w:val="none"/>
        </w:rPr>
        <w:t>【政府采购合同专用条款】</w:t>
      </w:r>
      <w:r>
        <w:rPr>
          <w:spacing w:val="-2"/>
          <w:sz w:val="24"/>
          <w:szCs w:val="24"/>
          <w:highlight w:val="none"/>
        </w:rPr>
        <w:t>规定支付。</w:t>
      </w:r>
    </w:p>
    <w:p w14:paraId="3C051500">
      <w:pPr>
        <w:pStyle w:val="12"/>
        <w:shd w:val="clear"/>
        <w:spacing w:line="219" w:lineRule="auto"/>
        <w:ind w:left="41"/>
        <w:rPr>
          <w:sz w:val="24"/>
          <w:szCs w:val="24"/>
          <w:highlight w:val="none"/>
        </w:rPr>
      </w:pPr>
      <w:r>
        <w:rPr>
          <w:b/>
          <w:bCs/>
          <w:spacing w:val="-8"/>
          <w:sz w:val="24"/>
          <w:szCs w:val="24"/>
          <w:highlight w:val="none"/>
        </w:rPr>
        <w:t>14.</w:t>
      </w:r>
      <w:r>
        <w:rPr>
          <w:spacing w:val="15"/>
          <w:sz w:val="24"/>
          <w:szCs w:val="24"/>
          <w:highlight w:val="none"/>
        </w:rPr>
        <w:t xml:space="preserve"> </w:t>
      </w:r>
      <w:r>
        <w:rPr>
          <w:b/>
          <w:bCs/>
          <w:spacing w:val="-8"/>
          <w:sz w:val="24"/>
          <w:szCs w:val="24"/>
          <w:highlight w:val="none"/>
        </w:rPr>
        <w:t>售后服务</w:t>
      </w:r>
    </w:p>
    <w:p w14:paraId="00F3BFCD">
      <w:pPr>
        <w:pStyle w:val="12"/>
        <w:shd w:val="clear"/>
        <w:spacing w:before="116" w:line="307" w:lineRule="auto"/>
        <w:ind w:left="23" w:right="106" w:firstLine="497"/>
        <w:rPr>
          <w:sz w:val="24"/>
          <w:szCs w:val="24"/>
          <w:highlight w:val="none"/>
        </w:rPr>
      </w:pPr>
      <w:r>
        <w:rPr>
          <w:spacing w:val="-1"/>
          <w:sz w:val="24"/>
          <w:szCs w:val="24"/>
          <w:highlight w:val="none"/>
        </w:rPr>
        <w:t>14.1 除项目不涉及或采购活动中明确约定无须承担外，乙方还应提供下列</w:t>
      </w:r>
      <w:r>
        <w:rPr>
          <w:spacing w:val="-4"/>
          <w:sz w:val="24"/>
          <w:szCs w:val="24"/>
          <w:highlight w:val="none"/>
        </w:rPr>
        <w:t>服务：</w:t>
      </w:r>
    </w:p>
    <w:p w14:paraId="436F6DEF">
      <w:pPr>
        <w:pStyle w:val="12"/>
        <w:shd w:val="clear"/>
        <w:spacing w:line="218" w:lineRule="auto"/>
        <w:ind w:left="514"/>
        <w:rPr>
          <w:sz w:val="24"/>
          <w:szCs w:val="24"/>
          <w:highlight w:val="none"/>
        </w:rPr>
      </w:pPr>
      <w:r>
        <w:rPr>
          <w:spacing w:val="-1"/>
          <w:sz w:val="24"/>
          <w:szCs w:val="24"/>
          <w:highlight w:val="none"/>
        </w:rPr>
        <w:t>（1）货物的现场移动、安装、调试、启动监督及技术支持；</w:t>
      </w:r>
    </w:p>
    <w:p w14:paraId="32628A27">
      <w:pPr>
        <w:pStyle w:val="12"/>
        <w:shd w:val="clear"/>
        <w:spacing w:before="116" w:line="219" w:lineRule="auto"/>
        <w:ind w:left="514"/>
        <w:rPr>
          <w:sz w:val="24"/>
          <w:szCs w:val="24"/>
          <w:highlight w:val="none"/>
        </w:rPr>
      </w:pPr>
      <w:r>
        <w:rPr>
          <w:spacing w:val="-1"/>
          <w:sz w:val="24"/>
          <w:szCs w:val="24"/>
          <w:highlight w:val="none"/>
        </w:rPr>
        <w:t>（2）提供货物组装和维修所需的专用工具和辅助材料；</w:t>
      </w:r>
    </w:p>
    <w:p w14:paraId="503BC1AA">
      <w:pPr>
        <w:pStyle w:val="12"/>
        <w:shd w:val="clear"/>
        <w:spacing w:before="118" w:line="307" w:lineRule="auto"/>
        <w:ind w:left="28" w:right="47" w:firstLine="486"/>
        <w:rPr>
          <w:sz w:val="24"/>
          <w:szCs w:val="24"/>
          <w:highlight w:val="none"/>
        </w:rPr>
      </w:pPr>
      <w:r>
        <w:rPr>
          <w:spacing w:val="-1"/>
          <w:sz w:val="24"/>
          <w:szCs w:val="24"/>
          <w:highlight w:val="none"/>
        </w:rPr>
        <w:t>（3）在</w:t>
      </w:r>
      <w:r>
        <w:rPr>
          <w:b/>
          <w:bCs/>
          <w:spacing w:val="-1"/>
          <w:sz w:val="24"/>
          <w:szCs w:val="24"/>
          <w:highlight w:val="none"/>
        </w:rPr>
        <w:t>【政府采购合同专用条款】</w:t>
      </w:r>
      <w:r>
        <w:rPr>
          <w:spacing w:val="-1"/>
          <w:sz w:val="24"/>
          <w:szCs w:val="24"/>
          <w:highlight w:val="none"/>
        </w:rPr>
        <w:t>约定的期限内对所有</w:t>
      </w:r>
      <w:r>
        <w:rPr>
          <w:spacing w:val="-2"/>
          <w:sz w:val="24"/>
          <w:szCs w:val="24"/>
          <w:highlight w:val="none"/>
        </w:rPr>
        <w:t>的货物实施运行监督、维修，但前提条件是该服务并不能免除乙方在质量保证期内</w:t>
      </w:r>
      <w:r>
        <w:rPr>
          <w:spacing w:val="-3"/>
          <w:sz w:val="24"/>
          <w:szCs w:val="24"/>
          <w:highlight w:val="none"/>
        </w:rPr>
        <w:t>所承担的义务；</w:t>
      </w:r>
    </w:p>
    <w:p w14:paraId="43732DB1">
      <w:pPr>
        <w:pStyle w:val="12"/>
        <w:shd w:val="clear"/>
        <w:spacing w:before="1" w:line="307" w:lineRule="auto"/>
        <w:ind w:left="28" w:right="106" w:firstLine="486"/>
        <w:rPr>
          <w:sz w:val="24"/>
          <w:szCs w:val="24"/>
          <w:highlight w:val="none"/>
        </w:rPr>
      </w:pPr>
      <w:r>
        <w:rPr>
          <w:spacing w:val="-1"/>
          <w:sz w:val="24"/>
          <w:szCs w:val="24"/>
          <w:highlight w:val="none"/>
        </w:rPr>
        <w:t>（4）在制造商所在地或指定现场就货物的安装、启动、运营、维护、废弃处置等对甲方操作人员进行培训；</w:t>
      </w:r>
    </w:p>
    <w:p w14:paraId="7B4A2578">
      <w:pPr>
        <w:pStyle w:val="12"/>
        <w:shd w:val="clear"/>
        <w:spacing w:before="3" w:line="307" w:lineRule="auto"/>
        <w:ind w:left="29" w:right="21" w:firstLine="485"/>
        <w:rPr>
          <w:sz w:val="24"/>
          <w:szCs w:val="24"/>
          <w:highlight w:val="none"/>
        </w:rPr>
      </w:pPr>
      <w:r>
        <w:rPr>
          <w:spacing w:val="-6"/>
          <w:sz w:val="24"/>
          <w:szCs w:val="24"/>
          <w:highlight w:val="none"/>
        </w:rPr>
        <w:t>（5）依照法律、行政法规的规定或者按照</w:t>
      </w:r>
      <w:r>
        <w:rPr>
          <w:b/>
          <w:bCs/>
          <w:spacing w:val="-6"/>
          <w:sz w:val="24"/>
          <w:szCs w:val="24"/>
          <w:highlight w:val="none"/>
        </w:rPr>
        <w:t>【政府采购合同专用条款】</w:t>
      </w:r>
      <w:r>
        <w:rPr>
          <w:spacing w:val="-7"/>
          <w:sz w:val="24"/>
          <w:szCs w:val="24"/>
          <w:highlight w:val="none"/>
        </w:rPr>
        <w:t>约定，</w:t>
      </w:r>
      <w:r>
        <w:rPr>
          <w:spacing w:val="-3"/>
          <w:sz w:val="24"/>
          <w:szCs w:val="24"/>
          <w:highlight w:val="none"/>
        </w:rPr>
        <w:t>货物在有效使用年限届满后应予回收的，乙方负有自行或者委托第三</w:t>
      </w:r>
      <w:r>
        <w:rPr>
          <w:spacing w:val="-4"/>
          <w:sz w:val="24"/>
          <w:szCs w:val="24"/>
          <w:highlight w:val="none"/>
        </w:rPr>
        <w:t>人对货物予</w:t>
      </w:r>
      <w:r>
        <w:rPr>
          <w:spacing w:val="-3"/>
          <w:sz w:val="24"/>
          <w:szCs w:val="24"/>
          <w:highlight w:val="none"/>
        </w:rPr>
        <w:t>以回收的义务；</w:t>
      </w:r>
    </w:p>
    <w:p w14:paraId="70E9BB06">
      <w:pPr>
        <w:pStyle w:val="12"/>
        <w:shd w:val="clear"/>
        <w:spacing w:before="1" w:line="218" w:lineRule="auto"/>
        <w:ind w:left="514"/>
        <w:rPr>
          <w:sz w:val="24"/>
          <w:szCs w:val="24"/>
          <w:highlight w:val="none"/>
        </w:rPr>
      </w:pPr>
      <w:r>
        <w:rPr>
          <w:spacing w:val="-2"/>
          <w:sz w:val="24"/>
          <w:szCs w:val="24"/>
          <w:highlight w:val="none"/>
        </w:rPr>
        <w:t>（6）</w:t>
      </w:r>
      <w:r>
        <w:rPr>
          <w:b/>
          <w:bCs/>
          <w:spacing w:val="-2"/>
          <w:sz w:val="24"/>
          <w:szCs w:val="24"/>
          <w:highlight w:val="none"/>
        </w:rPr>
        <w:t>【政府采购合同专用条款】</w:t>
      </w:r>
      <w:r>
        <w:rPr>
          <w:spacing w:val="-2"/>
          <w:sz w:val="24"/>
          <w:szCs w:val="24"/>
          <w:highlight w:val="none"/>
        </w:rPr>
        <w:t>规定由乙方提供的其他服务。</w:t>
      </w:r>
    </w:p>
    <w:p w14:paraId="7DC375B5">
      <w:pPr>
        <w:pStyle w:val="12"/>
        <w:shd w:val="clear"/>
        <w:spacing w:before="116" w:line="218" w:lineRule="auto"/>
        <w:jc w:val="right"/>
        <w:rPr>
          <w:sz w:val="24"/>
          <w:szCs w:val="24"/>
          <w:highlight w:val="none"/>
        </w:rPr>
      </w:pPr>
      <w:r>
        <w:rPr>
          <w:spacing w:val="-6"/>
          <w:sz w:val="24"/>
          <w:szCs w:val="24"/>
          <w:highlight w:val="none"/>
        </w:rPr>
        <w:t>14.2</w:t>
      </w:r>
      <w:r>
        <w:rPr>
          <w:spacing w:val="48"/>
          <w:sz w:val="24"/>
          <w:szCs w:val="24"/>
          <w:highlight w:val="none"/>
        </w:rPr>
        <w:t xml:space="preserve"> </w:t>
      </w:r>
      <w:r>
        <w:rPr>
          <w:spacing w:val="-6"/>
          <w:sz w:val="24"/>
          <w:szCs w:val="24"/>
          <w:highlight w:val="none"/>
        </w:rPr>
        <w:t>乙方提供的售后服务的费用已包含在合同价款中，甲方不再另行支付。</w:t>
      </w:r>
    </w:p>
    <w:p w14:paraId="31075B34">
      <w:pPr>
        <w:pStyle w:val="12"/>
        <w:shd w:val="clear"/>
        <w:spacing w:before="118" w:line="219" w:lineRule="auto"/>
        <w:ind w:left="41"/>
        <w:rPr>
          <w:sz w:val="24"/>
          <w:szCs w:val="24"/>
          <w:highlight w:val="none"/>
        </w:rPr>
      </w:pPr>
      <w:r>
        <w:rPr>
          <w:b/>
          <w:bCs/>
          <w:spacing w:val="-8"/>
          <w:sz w:val="24"/>
          <w:szCs w:val="24"/>
          <w:highlight w:val="none"/>
        </w:rPr>
        <w:t>15.</w:t>
      </w:r>
      <w:r>
        <w:rPr>
          <w:spacing w:val="15"/>
          <w:sz w:val="24"/>
          <w:szCs w:val="24"/>
          <w:highlight w:val="none"/>
        </w:rPr>
        <w:t xml:space="preserve"> </w:t>
      </w:r>
      <w:r>
        <w:rPr>
          <w:b/>
          <w:bCs/>
          <w:spacing w:val="-8"/>
          <w:sz w:val="24"/>
          <w:szCs w:val="24"/>
          <w:highlight w:val="none"/>
        </w:rPr>
        <w:t>违约责任</w:t>
      </w:r>
    </w:p>
    <w:p w14:paraId="0887009E">
      <w:pPr>
        <w:pStyle w:val="12"/>
        <w:shd w:val="clear"/>
        <w:spacing w:before="114" w:line="219" w:lineRule="auto"/>
        <w:ind w:left="521"/>
        <w:rPr>
          <w:sz w:val="24"/>
          <w:szCs w:val="24"/>
          <w:highlight w:val="none"/>
        </w:rPr>
      </w:pPr>
      <w:r>
        <w:rPr>
          <w:spacing w:val="-3"/>
          <w:sz w:val="24"/>
          <w:szCs w:val="24"/>
          <w:highlight w:val="none"/>
        </w:rPr>
        <w:t>15.1</w:t>
      </w:r>
      <w:r>
        <w:rPr>
          <w:spacing w:val="-50"/>
          <w:sz w:val="24"/>
          <w:szCs w:val="24"/>
          <w:highlight w:val="none"/>
        </w:rPr>
        <w:t xml:space="preserve"> </w:t>
      </w:r>
      <w:r>
        <w:rPr>
          <w:spacing w:val="-3"/>
          <w:sz w:val="24"/>
          <w:szCs w:val="24"/>
          <w:highlight w:val="none"/>
        </w:rPr>
        <w:t>质量瑕疵的违约责任</w:t>
      </w:r>
    </w:p>
    <w:p w14:paraId="36276BCC">
      <w:pPr>
        <w:pStyle w:val="12"/>
        <w:shd w:val="clear"/>
        <w:spacing w:before="114" w:line="308" w:lineRule="auto"/>
        <w:ind w:left="24" w:right="80" w:firstLine="502"/>
        <w:rPr>
          <w:sz w:val="24"/>
          <w:szCs w:val="24"/>
          <w:highlight w:val="none"/>
        </w:rPr>
      </w:pPr>
      <w:r>
        <w:rPr>
          <w:spacing w:val="-4"/>
          <w:sz w:val="24"/>
          <w:szCs w:val="24"/>
          <w:highlight w:val="none"/>
        </w:rPr>
        <w:t>乙方提供的产品不符合合同约定的质量标准或存在产品质量缺陷，甲方有权要求乙方根据</w:t>
      </w:r>
      <w:r>
        <w:rPr>
          <w:b/>
          <w:bCs/>
          <w:spacing w:val="-4"/>
          <w:sz w:val="24"/>
          <w:szCs w:val="24"/>
          <w:highlight w:val="none"/>
        </w:rPr>
        <w:t>【政府采购合同专用条款】</w:t>
      </w:r>
      <w:r>
        <w:rPr>
          <w:spacing w:val="-4"/>
          <w:sz w:val="24"/>
          <w:szCs w:val="24"/>
          <w:highlight w:val="none"/>
        </w:rPr>
        <w:t>要求及时修理、重作、更换，并承担由</w:t>
      </w:r>
      <w:r>
        <w:rPr>
          <w:spacing w:val="-2"/>
          <w:sz w:val="24"/>
          <w:szCs w:val="24"/>
          <w:highlight w:val="none"/>
        </w:rPr>
        <w:t>此给甲方造成的损失。</w:t>
      </w:r>
    </w:p>
    <w:p w14:paraId="7726A72E">
      <w:pPr>
        <w:pStyle w:val="12"/>
        <w:shd w:val="clear"/>
        <w:spacing w:before="1" w:line="218" w:lineRule="auto"/>
        <w:ind w:left="521"/>
        <w:rPr>
          <w:sz w:val="24"/>
          <w:szCs w:val="24"/>
          <w:highlight w:val="none"/>
        </w:rPr>
      </w:pPr>
      <w:r>
        <w:rPr>
          <w:spacing w:val="-2"/>
          <w:sz w:val="24"/>
          <w:szCs w:val="24"/>
          <w:highlight w:val="none"/>
        </w:rPr>
        <w:t>15.2 迟延交货的违约责任</w:t>
      </w:r>
    </w:p>
    <w:p w14:paraId="7BB18921">
      <w:pPr>
        <w:pStyle w:val="12"/>
        <w:shd w:val="clear"/>
        <w:spacing w:before="119" w:line="307" w:lineRule="auto"/>
        <w:ind w:left="23" w:right="45" w:firstLine="491"/>
        <w:rPr>
          <w:sz w:val="24"/>
          <w:szCs w:val="24"/>
          <w:highlight w:val="none"/>
        </w:rPr>
      </w:pPr>
      <w:r>
        <w:rPr>
          <w:spacing w:val="-1"/>
          <w:sz w:val="24"/>
          <w:szCs w:val="24"/>
          <w:highlight w:val="none"/>
        </w:rPr>
        <w:t>（1）乙方应按照本合同规定的时间、地点交货和提供相关服务。在履行合</w:t>
      </w:r>
      <w:r>
        <w:rPr>
          <w:spacing w:val="-3"/>
          <w:sz w:val="24"/>
          <w:szCs w:val="24"/>
          <w:highlight w:val="none"/>
        </w:rPr>
        <w:t>同过程中，如果乙方遇到可能影响按时交货和提供服务的情形时，应及时以书面</w:t>
      </w:r>
      <w:r>
        <w:rPr>
          <w:spacing w:val="-2"/>
          <w:sz w:val="24"/>
          <w:szCs w:val="24"/>
          <w:highlight w:val="none"/>
        </w:rPr>
        <w:t>形式将迟延的事实、可能迟延的期限和理由通知甲方。甲方在收到乙方通知后，</w:t>
      </w:r>
      <w:r>
        <w:rPr>
          <w:sz w:val="24"/>
          <w:szCs w:val="24"/>
          <w:highlight w:val="none"/>
        </w:rPr>
        <w:t>应尽快对情况进行评价，并确定是否同意延长交</w:t>
      </w:r>
      <w:r>
        <w:rPr>
          <w:spacing w:val="-1"/>
          <w:sz w:val="24"/>
          <w:szCs w:val="24"/>
          <w:highlight w:val="none"/>
        </w:rPr>
        <w:t>货时间或延期提供服务。</w:t>
      </w:r>
    </w:p>
    <w:p w14:paraId="654FE20C">
      <w:pPr>
        <w:pStyle w:val="12"/>
        <w:shd w:val="clear"/>
        <w:spacing w:before="2" w:line="308" w:lineRule="auto"/>
        <w:ind w:left="24" w:right="80" w:firstLine="490"/>
        <w:rPr>
          <w:spacing w:val="-1"/>
          <w:sz w:val="24"/>
          <w:szCs w:val="24"/>
          <w:highlight w:val="none"/>
        </w:rPr>
      </w:pPr>
      <w:r>
        <w:rPr>
          <w:spacing w:val="-1"/>
          <w:sz w:val="24"/>
          <w:szCs w:val="24"/>
          <w:highlight w:val="none"/>
        </w:rPr>
        <w:t>（2）如果乙方没有按照合同规定的时间交货和提供相关服务，甲方有权从</w:t>
      </w:r>
      <w:r>
        <w:rPr>
          <w:spacing w:val="-3"/>
          <w:sz w:val="24"/>
          <w:szCs w:val="24"/>
          <w:highlight w:val="none"/>
        </w:rPr>
        <w:t>货款中扣除误期赔偿费而不影响合同项下的其</w:t>
      </w:r>
      <w:r>
        <w:rPr>
          <w:spacing w:val="-4"/>
          <w:sz w:val="24"/>
          <w:szCs w:val="24"/>
          <w:highlight w:val="none"/>
        </w:rPr>
        <w:t>他补救方法，赔偿费按</w:t>
      </w:r>
      <w:r>
        <w:rPr>
          <w:b/>
          <w:bCs/>
          <w:spacing w:val="-4"/>
          <w:sz w:val="24"/>
          <w:szCs w:val="24"/>
          <w:highlight w:val="none"/>
        </w:rPr>
        <w:t>【政府采购合同专用条款】</w:t>
      </w:r>
      <w:r>
        <w:rPr>
          <w:spacing w:val="-4"/>
          <w:sz w:val="24"/>
          <w:szCs w:val="24"/>
          <w:highlight w:val="none"/>
        </w:rPr>
        <w:t>规定执行。如果涉及公共利益，且赔偿金额无法弥补公共利益损</w:t>
      </w:r>
      <w:r>
        <w:rPr>
          <w:spacing w:val="-1"/>
          <w:sz w:val="24"/>
          <w:szCs w:val="24"/>
          <w:highlight w:val="none"/>
        </w:rPr>
        <w:t>失，甲方可要求继续履行或者采取其他补救措施。</w:t>
      </w:r>
    </w:p>
    <w:p w14:paraId="726F8362">
      <w:pPr>
        <w:pStyle w:val="12"/>
        <w:shd w:val="clear"/>
        <w:spacing w:before="2" w:line="308" w:lineRule="auto"/>
        <w:ind w:left="24" w:right="80" w:firstLine="490"/>
        <w:rPr>
          <w:sz w:val="24"/>
          <w:szCs w:val="24"/>
          <w:highlight w:val="none"/>
        </w:rPr>
      </w:pPr>
      <w:r>
        <w:rPr>
          <w:spacing w:val="-2"/>
          <w:sz w:val="24"/>
          <w:szCs w:val="24"/>
          <w:highlight w:val="none"/>
        </w:rPr>
        <w:t>15.3 迟延支付的违约责任</w:t>
      </w:r>
    </w:p>
    <w:p w14:paraId="48C345DB">
      <w:pPr>
        <w:pStyle w:val="12"/>
        <w:shd w:val="clear"/>
        <w:spacing w:before="116" w:line="307" w:lineRule="auto"/>
        <w:ind w:left="29" w:right="35" w:firstLine="505"/>
        <w:rPr>
          <w:sz w:val="24"/>
          <w:szCs w:val="24"/>
          <w:highlight w:val="none"/>
        </w:rPr>
      </w:pPr>
      <w:r>
        <w:rPr>
          <w:spacing w:val="-5"/>
          <w:sz w:val="24"/>
          <w:szCs w:val="24"/>
          <w:highlight w:val="none"/>
        </w:rPr>
        <w:t>甲方存在迟延支付乙方合同款项的，应当承担</w:t>
      </w:r>
      <w:r>
        <w:rPr>
          <w:b/>
          <w:bCs/>
          <w:spacing w:val="-5"/>
          <w:sz w:val="24"/>
          <w:szCs w:val="24"/>
          <w:highlight w:val="none"/>
        </w:rPr>
        <w:t>【政府采购合同专用条款】</w:t>
      </w:r>
      <w:r>
        <w:rPr>
          <w:spacing w:val="-5"/>
          <w:sz w:val="24"/>
          <w:szCs w:val="24"/>
          <w:highlight w:val="none"/>
        </w:rPr>
        <w:t>规</w:t>
      </w:r>
      <w:r>
        <w:rPr>
          <w:spacing w:val="-2"/>
          <w:sz w:val="24"/>
          <w:szCs w:val="24"/>
          <w:highlight w:val="none"/>
        </w:rPr>
        <w:t>定的逾期付款利息。</w:t>
      </w:r>
    </w:p>
    <w:p w14:paraId="4BB58A3F">
      <w:pPr>
        <w:pStyle w:val="12"/>
        <w:shd w:val="clear"/>
        <w:spacing w:line="308" w:lineRule="auto"/>
        <w:ind w:left="27" w:right="109" w:firstLine="493"/>
        <w:rPr>
          <w:sz w:val="24"/>
          <w:szCs w:val="24"/>
          <w:highlight w:val="none"/>
        </w:rPr>
      </w:pPr>
      <w:r>
        <w:rPr>
          <w:spacing w:val="-2"/>
          <w:sz w:val="24"/>
          <w:szCs w:val="24"/>
          <w:highlight w:val="none"/>
        </w:rPr>
        <w:t>15.4</w:t>
      </w:r>
      <w:r>
        <w:rPr>
          <w:spacing w:val="-39"/>
          <w:sz w:val="24"/>
          <w:szCs w:val="24"/>
          <w:highlight w:val="none"/>
        </w:rPr>
        <w:t xml:space="preserve"> </w:t>
      </w:r>
      <w:r>
        <w:rPr>
          <w:spacing w:val="-2"/>
          <w:sz w:val="24"/>
          <w:szCs w:val="24"/>
          <w:highlight w:val="none"/>
        </w:rPr>
        <w:t>其他违约责任根据项目实际需要按</w:t>
      </w:r>
      <w:r>
        <w:rPr>
          <w:b/>
          <w:bCs/>
          <w:spacing w:val="-2"/>
          <w:sz w:val="24"/>
          <w:szCs w:val="24"/>
          <w:highlight w:val="none"/>
        </w:rPr>
        <w:t>【政府采购合同专用条款】</w:t>
      </w:r>
      <w:r>
        <w:rPr>
          <w:spacing w:val="-2"/>
          <w:sz w:val="24"/>
          <w:szCs w:val="24"/>
          <w:highlight w:val="none"/>
        </w:rPr>
        <w:t>规定执</w:t>
      </w:r>
      <w:r>
        <w:rPr>
          <w:spacing w:val="-7"/>
          <w:sz w:val="24"/>
          <w:szCs w:val="24"/>
          <w:highlight w:val="none"/>
        </w:rPr>
        <w:t>行。</w:t>
      </w:r>
    </w:p>
    <w:p w14:paraId="3B9572BE">
      <w:pPr>
        <w:pStyle w:val="12"/>
        <w:shd w:val="clear"/>
        <w:spacing w:line="220" w:lineRule="auto"/>
        <w:ind w:left="41"/>
        <w:rPr>
          <w:sz w:val="24"/>
          <w:szCs w:val="24"/>
          <w:highlight w:val="none"/>
        </w:rPr>
      </w:pPr>
      <w:r>
        <w:rPr>
          <w:b/>
          <w:bCs/>
          <w:spacing w:val="-4"/>
          <w:sz w:val="24"/>
          <w:szCs w:val="24"/>
          <w:highlight w:val="none"/>
        </w:rPr>
        <w:t>16.</w:t>
      </w:r>
      <w:r>
        <w:rPr>
          <w:spacing w:val="-4"/>
          <w:sz w:val="24"/>
          <w:szCs w:val="24"/>
          <w:highlight w:val="none"/>
        </w:rPr>
        <w:t xml:space="preserve"> </w:t>
      </w:r>
      <w:r>
        <w:rPr>
          <w:b/>
          <w:bCs/>
          <w:spacing w:val="-4"/>
          <w:sz w:val="24"/>
          <w:szCs w:val="24"/>
          <w:highlight w:val="none"/>
        </w:rPr>
        <w:t>合同变更、中止与终止</w:t>
      </w:r>
    </w:p>
    <w:p w14:paraId="5806F8C5">
      <w:pPr>
        <w:pStyle w:val="12"/>
        <w:shd w:val="clear"/>
        <w:spacing w:before="112" w:line="221" w:lineRule="auto"/>
        <w:ind w:left="521"/>
        <w:rPr>
          <w:sz w:val="24"/>
          <w:szCs w:val="24"/>
          <w:highlight w:val="none"/>
        </w:rPr>
      </w:pPr>
      <w:r>
        <w:rPr>
          <w:spacing w:val="-5"/>
          <w:sz w:val="24"/>
          <w:szCs w:val="24"/>
          <w:highlight w:val="none"/>
        </w:rPr>
        <w:t>16.1</w:t>
      </w:r>
      <w:r>
        <w:rPr>
          <w:spacing w:val="-44"/>
          <w:sz w:val="24"/>
          <w:szCs w:val="24"/>
          <w:highlight w:val="none"/>
        </w:rPr>
        <w:t xml:space="preserve"> </w:t>
      </w:r>
      <w:r>
        <w:rPr>
          <w:spacing w:val="-5"/>
          <w:sz w:val="24"/>
          <w:szCs w:val="24"/>
          <w:highlight w:val="none"/>
        </w:rPr>
        <w:t>合同的变更</w:t>
      </w:r>
    </w:p>
    <w:p w14:paraId="20657262">
      <w:pPr>
        <w:pStyle w:val="12"/>
        <w:shd w:val="clear"/>
        <w:spacing w:before="113" w:line="308" w:lineRule="auto"/>
        <w:ind w:left="24" w:right="35" w:firstLine="478"/>
        <w:rPr>
          <w:sz w:val="24"/>
          <w:szCs w:val="24"/>
          <w:highlight w:val="none"/>
        </w:rPr>
      </w:pPr>
      <w:r>
        <w:rPr>
          <w:spacing w:val="-3"/>
          <w:sz w:val="24"/>
          <w:szCs w:val="24"/>
          <w:highlight w:val="none"/>
        </w:rPr>
        <w:t>政府采购合同履行中，在不改变合同其他条款的前提下，甲方可</w:t>
      </w:r>
      <w:r>
        <w:rPr>
          <w:spacing w:val="-4"/>
          <w:sz w:val="24"/>
          <w:szCs w:val="24"/>
          <w:highlight w:val="none"/>
        </w:rPr>
        <w:t>以在合同价</w:t>
      </w:r>
      <w:r>
        <w:rPr>
          <w:sz w:val="24"/>
          <w:szCs w:val="24"/>
          <w:highlight w:val="none"/>
        </w:rPr>
        <w:t>款10%的范围内追加与合同标的相同的货物，并就此</w:t>
      </w:r>
      <w:r>
        <w:rPr>
          <w:spacing w:val="-1"/>
          <w:sz w:val="24"/>
          <w:szCs w:val="24"/>
          <w:highlight w:val="none"/>
        </w:rPr>
        <w:t>与乙方协商一致后签订补充</w:t>
      </w:r>
      <w:r>
        <w:rPr>
          <w:spacing w:val="-4"/>
          <w:sz w:val="24"/>
          <w:szCs w:val="24"/>
          <w:highlight w:val="none"/>
        </w:rPr>
        <w:t>协议。</w:t>
      </w:r>
    </w:p>
    <w:p w14:paraId="0AB5903E">
      <w:pPr>
        <w:pStyle w:val="12"/>
        <w:shd w:val="clear"/>
        <w:spacing w:line="220" w:lineRule="auto"/>
        <w:ind w:left="521"/>
        <w:rPr>
          <w:sz w:val="24"/>
          <w:szCs w:val="24"/>
          <w:highlight w:val="none"/>
        </w:rPr>
      </w:pPr>
      <w:r>
        <w:rPr>
          <w:spacing w:val="-5"/>
          <w:sz w:val="24"/>
          <w:szCs w:val="24"/>
          <w:highlight w:val="none"/>
        </w:rPr>
        <w:t>16.2</w:t>
      </w:r>
      <w:r>
        <w:rPr>
          <w:spacing w:val="-44"/>
          <w:sz w:val="24"/>
          <w:szCs w:val="24"/>
          <w:highlight w:val="none"/>
        </w:rPr>
        <w:t xml:space="preserve"> </w:t>
      </w:r>
      <w:r>
        <w:rPr>
          <w:spacing w:val="-5"/>
          <w:sz w:val="24"/>
          <w:szCs w:val="24"/>
          <w:highlight w:val="none"/>
        </w:rPr>
        <w:t>合同的中止</w:t>
      </w:r>
    </w:p>
    <w:p w14:paraId="5A62EC97">
      <w:pPr>
        <w:pStyle w:val="12"/>
        <w:shd w:val="clear"/>
        <w:spacing w:before="115" w:line="307" w:lineRule="auto"/>
        <w:ind w:left="54" w:right="120" w:firstLine="460"/>
        <w:rPr>
          <w:sz w:val="24"/>
          <w:szCs w:val="24"/>
          <w:highlight w:val="none"/>
        </w:rPr>
      </w:pPr>
      <w:r>
        <w:rPr>
          <w:spacing w:val="-3"/>
          <w:sz w:val="24"/>
          <w:szCs w:val="24"/>
          <w:highlight w:val="none"/>
        </w:rPr>
        <w:t>（1）合同履行过程中因供应商就采购文件、采购过程或结果提起投诉的，甲方认为有必要的，可以中止合同的履行。</w:t>
      </w:r>
    </w:p>
    <w:p w14:paraId="2CD954B7">
      <w:pPr>
        <w:pStyle w:val="12"/>
        <w:shd w:val="clear"/>
        <w:spacing w:before="7" w:line="307" w:lineRule="auto"/>
        <w:ind w:left="22" w:right="35" w:firstLine="492"/>
        <w:rPr>
          <w:sz w:val="24"/>
          <w:szCs w:val="24"/>
          <w:highlight w:val="none"/>
        </w:rPr>
      </w:pPr>
      <w:r>
        <w:rPr>
          <w:spacing w:val="-3"/>
          <w:sz w:val="24"/>
          <w:szCs w:val="24"/>
          <w:highlight w:val="none"/>
        </w:rPr>
        <w:t>（2）合同履行过程中，如果乙方出现以下情</w:t>
      </w:r>
      <w:r>
        <w:rPr>
          <w:spacing w:val="-4"/>
          <w:sz w:val="24"/>
          <w:szCs w:val="24"/>
          <w:highlight w:val="none"/>
        </w:rPr>
        <w:t>形之一的：1．经营状况严重恶</w:t>
      </w:r>
      <w:r>
        <w:rPr>
          <w:sz w:val="24"/>
          <w:szCs w:val="24"/>
          <w:highlight w:val="none"/>
        </w:rPr>
        <w:t>化；2．转移财产、抽逃资金，以逃避债务；3．丧失商业</w:t>
      </w:r>
      <w:r>
        <w:rPr>
          <w:spacing w:val="-1"/>
          <w:sz w:val="24"/>
          <w:szCs w:val="24"/>
          <w:highlight w:val="none"/>
        </w:rPr>
        <w:t>信誉；4．有丧失或者</w:t>
      </w:r>
      <w:r>
        <w:rPr>
          <w:spacing w:val="-3"/>
          <w:sz w:val="24"/>
          <w:szCs w:val="24"/>
          <w:highlight w:val="none"/>
        </w:rPr>
        <w:t>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w:t>
      </w:r>
      <w:r>
        <w:rPr>
          <w:spacing w:val="-2"/>
          <w:sz w:val="24"/>
          <w:szCs w:val="24"/>
          <w:highlight w:val="none"/>
        </w:rPr>
        <w:t>造成的损失。</w:t>
      </w:r>
    </w:p>
    <w:p w14:paraId="55AF5F84">
      <w:pPr>
        <w:pStyle w:val="12"/>
        <w:shd w:val="clear"/>
        <w:spacing w:before="3" w:line="307" w:lineRule="auto"/>
        <w:ind w:left="24" w:right="35" w:firstLine="490"/>
        <w:rPr>
          <w:sz w:val="24"/>
          <w:szCs w:val="24"/>
          <w:highlight w:val="none"/>
        </w:rPr>
      </w:pPr>
      <w:r>
        <w:rPr>
          <w:sz w:val="24"/>
          <w:szCs w:val="24"/>
          <w:highlight w:val="none"/>
        </w:rPr>
        <w:t>（3）乙方分立、合并或者变更住所的，应当及时以书面形式告知甲方。乙</w:t>
      </w:r>
      <w:r>
        <w:rPr>
          <w:spacing w:val="-3"/>
          <w:sz w:val="24"/>
          <w:szCs w:val="24"/>
          <w:highlight w:val="none"/>
        </w:rPr>
        <w:t>方没有及时告知甲方，致使合同履行发生困难的，甲方可以中止合同履行并要求</w:t>
      </w:r>
      <w:r>
        <w:rPr>
          <w:spacing w:val="-1"/>
          <w:sz w:val="24"/>
          <w:szCs w:val="24"/>
          <w:highlight w:val="none"/>
        </w:rPr>
        <w:t>乙方承担由此给甲方造成的损失。</w:t>
      </w:r>
    </w:p>
    <w:p w14:paraId="341469CB">
      <w:pPr>
        <w:pStyle w:val="12"/>
        <w:shd w:val="clear"/>
        <w:spacing w:before="1" w:line="307" w:lineRule="auto"/>
        <w:ind w:left="22" w:right="61" w:firstLine="492"/>
        <w:rPr>
          <w:sz w:val="24"/>
          <w:szCs w:val="24"/>
          <w:highlight w:val="none"/>
        </w:rPr>
      </w:pPr>
      <w:r>
        <w:rPr>
          <w:spacing w:val="-1"/>
          <w:sz w:val="24"/>
          <w:szCs w:val="24"/>
          <w:highlight w:val="none"/>
        </w:rPr>
        <w:t>（4）甲方不得以行政区划调整、政府换届、机构或者职能调整以及相关责任人更替为由中止合同。</w:t>
      </w:r>
    </w:p>
    <w:p w14:paraId="6BB46F93">
      <w:pPr>
        <w:pStyle w:val="12"/>
        <w:shd w:val="clear"/>
        <w:spacing w:before="1" w:line="221" w:lineRule="auto"/>
        <w:ind w:left="521"/>
        <w:rPr>
          <w:sz w:val="24"/>
          <w:szCs w:val="24"/>
          <w:highlight w:val="none"/>
        </w:rPr>
      </w:pPr>
      <w:r>
        <w:rPr>
          <w:spacing w:val="-5"/>
          <w:sz w:val="24"/>
          <w:szCs w:val="24"/>
          <w:highlight w:val="none"/>
        </w:rPr>
        <w:t>16.3</w:t>
      </w:r>
      <w:r>
        <w:rPr>
          <w:spacing w:val="-44"/>
          <w:sz w:val="24"/>
          <w:szCs w:val="24"/>
          <w:highlight w:val="none"/>
        </w:rPr>
        <w:t xml:space="preserve"> </w:t>
      </w:r>
      <w:r>
        <w:rPr>
          <w:spacing w:val="-5"/>
          <w:sz w:val="24"/>
          <w:szCs w:val="24"/>
          <w:highlight w:val="none"/>
        </w:rPr>
        <w:t>合同的终止</w:t>
      </w:r>
    </w:p>
    <w:p w14:paraId="6B1CB17B">
      <w:pPr>
        <w:pStyle w:val="12"/>
        <w:shd w:val="clear"/>
        <w:spacing w:before="113" w:line="219" w:lineRule="auto"/>
        <w:ind w:left="514"/>
        <w:rPr>
          <w:sz w:val="24"/>
          <w:szCs w:val="24"/>
          <w:highlight w:val="none"/>
        </w:rPr>
      </w:pPr>
      <w:r>
        <w:rPr>
          <w:spacing w:val="-2"/>
          <w:sz w:val="24"/>
          <w:szCs w:val="24"/>
          <w:highlight w:val="none"/>
        </w:rPr>
        <w:t>（1）合同因有效期限届满而终止；</w:t>
      </w:r>
    </w:p>
    <w:p w14:paraId="08A92742">
      <w:pPr>
        <w:pStyle w:val="12"/>
        <w:shd w:val="clear"/>
        <w:spacing w:before="114" w:line="308" w:lineRule="auto"/>
        <w:ind w:left="23" w:right="35" w:firstLine="491"/>
        <w:rPr>
          <w:sz w:val="24"/>
          <w:szCs w:val="24"/>
          <w:highlight w:val="none"/>
        </w:rPr>
      </w:pPr>
      <w:r>
        <w:rPr>
          <w:sz w:val="24"/>
          <w:szCs w:val="24"/>
          <w:highlight w:val="none"/>
        </w:rPr>
        <w:t>（2）乙方未按合同约定履行，构成根本性违约的，甲方有权终止合同，并</w:t>
      </w:r>
      <w:r>
        <w:rPr>
          <w:spacing w:val="-1"/>
          <w:sz w:val="24"/>
          <w:szCs w:val="24"/>
          <w:highlight w:val="none"/>
        </w:rPr>
        <w:t>追究乙方的违约责任。</w:t>
      </w:r>
    </w:p>
    <w:p w14:paraId="4AEA6D58">
      <w:pPr>
        <w:pStyle w:val="12"/>
        <w:shd w:val="clear"/>
        <w:spacing w:before="1" w:line="218" w:lineRule="auto"/>
        <w:ind w:left="521"/>
        <w:rPr>
          <w:sz w:val="24"/>
          <w:szCs w:val="24"/>
          <w:highlight w:val="none"/>
        </w:rPr>
      </w:pPr>
      <w:r>
        <w:rPr>
          <w:spacing w:val="-2"/>
          <w:sz w:val="24"/>
          <w:szCs w:val="24"/>
          <w:highlight w:val="none"/>
        </w:rPr>
        <w:t>16.4 涉及国家利益、社会公共利益的情形</w:t>
      </w:r>
    </w:p>
    <w:p w14:paraId="37AE9CE7">
      <w:pPr>
        <w:pStyle w:val="12"/>
        <w:shd w:val="clear"/>
        <w:spacing w:before="113" w:line="308" w:lineRule="auto"/>
        <w:ind w:left="23" w:firstLine="479"/>
        <w:rPr>
          <w:sz w:val="24"/>
          <w:szCs w:val="24"/>
          <w:highlight w:val="none"/>
        </w:rPr>
      </w:pPr>
      <w:r>
        <w:rPr>
          <w:spacing w:val="-3"/>
          <w:sz w:val="24"/>
          <w:szCs w:val="24"/>
          <w:highlight w:val="none"/>
        </w:rPr>
        <w:t>政府采购合同继续履行将损害国家利益和社会公共利益的，双方</w:t>
      </w:r>
      <w:r>
        <w:rPr>
          <w:spacing w:val="-4"/>
          <w:sz w:val="24"/>
          <w:szCs w:val="24"/>
          <w:highlight w:val="none"/>
        </w:rPr>
        <w:t>当事人应当</w:t>
      </w:r>
      <w:r>
        <w:rPr>
          <w:spacing w:val="-2"/>
          <w:sz w:val="24"/>
          <w:szCs w:val="24"/>
          <w:highlight w:val="none"/>
        </w:rPr>
        <w:t>变更、中止或者终止合同。有过错的一方应当承担赔偿责任，双方都有过错的，</w:t>
      </w:r>
      <w:r>
        <w:rPr>
          <w:spacing w:val="-1"/>
          <w:sz w:val="24"/>
          <w:szCs w:val="24"/>
          <w:highlight w:val="none"/>
        </w:rPr>
        <w:t>各自承担相应的责任。</w:t>
      </w:r>
    </w:p>
    <w:p w14:paraId="19F9935B">
      <w:pPr>
        <w:pStyle w:val="12"/>
        <w:shd w:val="clear"/>
        <w:spacing w:line="220" w:lineRule="auto"/>
        <w:ind w:left="41"/>
        <w:rPr>
          <w:sz w:val="24"/>
          <w:szCs w:val="24"/>
          <w:highlight w:val="none"/>
        </w:rPr>
      </w:pPr>
      <w:r>
        <w:rPr>
          <w:b/>
          <w:bCs/>
          <w:spacing w:val="-8"/>
          <w:sz w:val="24"/>
          <w:szCs w:val="24"/>
          <w:highlight w:val="none"/>
        </w:rPr>
        <w:t>17.</w:t>
      </w:r>
      <w:r>
        <w:rPr>
          <w:spacing w:val="15"/>
          <w:sz w:val="24"/>
          <w:szCs w:val="24"/>
          <w:highlight w:val="none"/>
        </w:rPr>
        <w:t xml:space="preserve"> </w:t>
      </w:r>
      <w:r>
        <w:rPr>
          <w:b/>
          <w:bCs/>
          <w:spacing w:val="-8"/>
          <w:sz w:val="24"/>
          <w:szCs w:val="24"/>
          <w:highlight w:val="none"/>
        </w:rPr>
        <w:t>合同分包</w:t>
      </w:r>
    </w:p>
    <w:p w14:paraId="5E1DE02D">
      <w:pPr>
        <w:pStyle w:val="12"/>
        <w:shd w:val="clear"/>
        <w:spacing w:before="78" w:line="308" w:lineRule="auto"/>
        <w:ind w:left="21" w:right="61" w:firstLine="499"/>
        <w:rPr>
          <w:sz w:val="24"/>
          <w:szCs w:val="24"/>
          <w:highlight w:val="none"/>
        </w:rPr>
      </w:pPr>
      <w:r>
        <w:rPr>
          <w:spacing w:val="-2"/>
          <w:sz w:val="24"/>
          <w:szCs w:val="24"/>
          <w:highlight w:val="none"/>
        </w:rPr>
        <w:t>17.1</w:t>
      </w:r>
      <w:r>
        <w:rPr>
          <w:spacing w:val="39"/>
          <w:sz w:val="24"/>
          <w:szCs w:val="24"/>
          <w:highlight w:val="none"/>
        </w:rPr>
        <w:t xml:space="preserve"> </w:t>
      </w:r>
      <w:r>
        <w:rPr>
          <w:spacing w:val="-2"/>
          <w:sz w:val="24"/>
          <w:szCs w:val="24"/>
          <w:highlight w:val="none"/>
        </w:rPr>
        <w:t>乙方不得将合同转包给其他供应商。涉及合同分包的，乙方应根据采</w:t>
      </w:r>
      <w:r>
        <w:rPr>
          <w:spacing w:val="-1"/>
          <w:sz w:val="24"/>
          <w:szCs w:val="24"/>
          <w:highlight w:val="none"/>
        </w:rPr>
        <w:t>购文件和投标（响应）文件规定进行合同分包。</w:t>
      </w:r>
    </w:p>
    <w:p w14:paraId="545C9AD2">
      <w:pPr>
        <w:pStyle w:val="12"/>
        <w:shd w:val="clear"/>
        <w:spacing w:before="1" w:line="307" w:lineRule="auto"/>
        <w:ind w:left="24" w:right="61" w:firstLine="496"/>
        <w:rPr>
          <w:sz w:val="24"/>
          <w:szCs w:val="24"/>
          <w:highlight w:val="none"/>
        </w:rPr>
      </w:pPr>
      <w:r>
        <w:rPr>
          <w:spacing w:val="-2"/>
          <w:sz w:val="24"/>
          <w:szCs w:val="24"/>
          <w:highlight w:val="none"/>
        </w:rPr>
        <w:t>17.2</w:t>
      </w:r>
      <w:r>
        <w:rPr>
          <w:spacing w:val="39"/>
          <w:sz w:val="24"/>
          <w:szCs w:val="24"/>
          <w:highlight w:val="none"/>
        </w:rPr>
        <w:t xml:space="preserve"> </w:t>
      </w:r>
      <w:r>
        <w:rPr>
          <w:spacing w:val="-2"/>
          <w:sz w:val="24"/>
          <w:szCs w:val="24"/>
          <w:highlight w:val="none"/>
        </w:rPr>
        <w:t>乙方执行政府采购政策向中小企业依法分包的，乙方应当按采购文件</w:t>
      </w:r>
      <w:r>
        <w:rPr>
          <w:sz w:val="24"/>
          <w:szCs w:val="24"/>
          <w:highlight w:val="none"/>
        </w:rPr>
        <w:t>和投标（响应）文件签订分包意向协议，分包意向</w:t>
      </w:r>
      <w:r>
        <w:rPr>
          <w:spacing w:val="-1"/>
          <w:sz w:val="24"/>
          <w:szCs w:val="24"/>
          <w:highlight w:val="none"/>
        </w:rPr>
        <w:t>协议属于本合同组成部分。</w:t>
      </w:r>
    </w:p>
    <w:p w14:paraId="31235C14">
      <w:pPr>
        <w:pStyle w:val="12"/>
        <w:shd w:val="clear"/>
        <w:spacing w:line="219" w:lineRule="auto"/>
        <w:ind w:left="41"/>
        <w:rPr>
          <w:sz w:val="24"/>
          <w:szCs w:val="24"/>
          <w:highlight w:val="none"/>
        </w:rPr>
      </w:pPr>
      <w:r>
        <w:rPr>
          <w:b/>
          <w:bCs/>
          <w:spacing w:val="-8"/>
          <w:sz w:val="24"/>
          <w:szCs w:val="24"/>
          <w:highlight w:val="none"/>
        </w:rPr>
        <w:t>18.</w:t>
      </w:r>
      <w:r>
        <w:rPr>
          <w:spacing w:val="15"/>
          <w:sz w:val="24"/>
          <w:szCs w:val="24"/>
          <w:highlight w:val="none"/>
        </w:rPr>
        <w:t xml:space="preserve"> </w:t>
      </w:r>
      <w:r>
        <w:rPr>
          <w:b/>
          <w:bCs/>
          <w:spacing w:val="-8"/>
          <w:sz w:val="24"/>
          <w:szCs w:val="24"/>
          <w:highlight w:val="none"/>
        </w:rPr>
        <w:t>不可抗力</w:t>
      </w:r>
    </w:p>
    <w:p w14:paraId="730E836A">
      <w:pPr>
        <w:pStyle w:val="12"/>
        <w:shd w:val="clear"/>
        <w:spacing w:before="116" w:line="219" w:lineRule="auto"/>
        <w:ind w:left="521"/>
        <w:rPr>
          <w:sz w:val="24"/>
          <w:szCs w:val="24"/>
          <w:highlight w:val="none"/>
        </w:rPr>
      </w:pPr>
      <w:r>
        <w:rPr>
          <w:spacing w:val="-1"/>
          <w:sz w:val="24"/>
          <w:szCs w:val="24"/>
          <w:highlight w:val="none"/>
        </w:rPr>
        <w:t>18.1 不可抗力是指合同双方不能预见、不能避免且不能克服的客观情况。</w:t>
      </w:r>
    </w:p>
    <w:p w14:paraId="4B573E7A">
      <w:pPr>
        <w:pStyle w:val="12"/>
        <w:shd w:val="clear"/>
        <w:spacing w:before="114" w:line="308" w:lineRule="auto"/>
        <w:ind w:left="31" w:right="61" w:firstLine="489"/>
        <w:rPr>
          <w:sz w:val="24"/>
          <w:szCs w:val="24"/>
          <w:highlight w:val="none"/>
        </w:rPr>
      </w:pPr>
      <w:r>
        <w:rPr>
          <w:spacing w:val="-1"/>
          <w:sz w:val="24"/>
          <w:szCs w:val="24"/>
          <w:highlight w:val="none"/>
        </w:rPr>
        <w:t>18.2 任何一方对由于不可抗力造成的部分或全部不能履行合同不承担违约责任。但迟延履行后发生不可抗力的，不能免除责任。</w:t>
      </w:r>
    </w:p>
    <w:p w14:paraId="2DE7B124">
      <w:pPr>
        <w:pStyle w:val="12"/>
        <w:shd w:val="clear"/>
        <w:spacing w:before="2" w:line="307" w:lineRule="auto"/>
        <w:ind w:left="22" w:right="61" w:firstLine="498"/>
        <w:rPr>
          <w:sz w:val="24"/>
          <w:szCs w:val="24"/>
          <w:highlight w:val="none"/>
        </w:rPr>
      </w:pPr>
      <w:r>
        <w:rPr>
          <w:spacing w:val="-1"/>
          <w:sz w:val="24"/>
          <w:szCs w:val="24"/>
          <w:highlight w:val="none"/>
        </w:rPr>
        <w:t>18.3 遇有不可抗力的一方，应及时将事件情况以书面形式告知另一方，并</w:t>
      </w:r>
      <w:r>
        <w:rPr>
          <w:sz w:val="24"/>
          <w:szCs w:val="24"/>
          <w:highlight w:val="none"/>
        </w:rPr>
        <w:t>在事件发生后及时向另一方提交合同不能履行或部分不</w:t>
      </w:r>
      <w:r>
        <w:rPr>
          <w:spacing w:val="-1"/>
          <w:sz w:val="24"/>
          <w:szCs w:val="24"/>
          <w:highlight w:val="none"/>
        </w:rPr>
        <w:t>能履行或需要延期履行的详细报告，以及证明不可抗力发生及其持续时间的证据。</w:t>
      </w:r>
    </w:p>
    <w:p w14:paraId="154BE5DC">
      <w:pPr>
        <w:pStyle w:val="12"/>
        <w:shd w:val="clear"/>
        <w:spacing w:line="219" w:lineRule="auto"/>
        <w:ind w:left="41"/>
        <w:rPr>
          <w:sz w:val="24"/>
          <w:szCs w:val="24"/>
          <w:highlight w:val="none"/>
        </w:rPr>
      </w:pPr>
      <w:r>
        <w:rPr>
          <w:b/>
          <w:bCs/>
          <w:spacing w:val="-5"/>
          <w:sz w:val="24"/>
          <w:szCs w:val="24"/>
          <w:highlight w:val="none"/>
        </w:rPr>
        <w:t>19.</w:t>
      </w:r>
      <w:r>
        <w:rPr>
          <w:spacing w:val="-5"/>
          <w:sz w:val="24"/>
          <w:szCs w:val="24"/>
          <w:highlight w:val="none"/>
        </w:rPr>
        <w:t xml:space="preserve"> </w:t>
      </w:r>
      <w:r>
        <w:rPr>
          <w:b/>
          <w:bCs/>
          <w:spacing w:val="-5"/>
          <w:sz w:val="24"/>
          <w:szCs w:val="24"/>
          <w:highlight w:val="none"/>
        </w:rPr>
        <w:t>解决争议的方法</w:t>
      </w:r>
    </w:p>
    <w:p w14:paraId="45B9746A">
      <w:pPr>
        <w:pStyle w:val="12"/>
        <w:shd w:val="clear"/>
        <w:spacing w:before="112" w:line="308" w:lineRule="auto"/>
        <w:ind w:left="25" w:firstLine="495"/>
        <w:rPr>
          <w:sz w:val="24"/>
          <w:szCs w:val="24"/>
          <w:highlight w:val="none"/>
        </w:rPr>
      </w:pPr>
      <w:r>
        <w:rPr>
          <w:sz w:val="24"/>
          <w:szCs w:val="24"/>
          <w:highlight w:val="none"/>
        </w:rPr>
        <w:t>19.1 因本合同及合同有关事项发生的争议，由甲乙双方友好协商解决</w:t>
      </w:r>
      <w:r>
        <w:rPr>
          <w:spacing w:val="-1"/>
          <w:sz w:val="24"/>
          <w:szCs w:val="24"/>
          <w:highlight w:val="none"/>
        </w:rPr>
        <w:t>。协</w:t>
      </w:r>
      <w:r>
        <w:rPr>
          <w:spacing w:val="-2"/>
          <w:sz w:val="24"/>
          <w:szCs w:val="24"/>
          <w:highlight w:val="none"/>
        </w:rPr>
        <w:t>商不成时，可以向有关组织申请调解。合同一方或双方不愿调解或调解不成的，</w:t>
      </w:r>
      <w:r>
        <w:rPr>
          <w:spacing w:val="-1"/>
          <w:sz w:val="24"/>
          <w:szCs w:val="24"/>
          <w:highlight w:val="none"/>
        </w:rPr>
        <w:t>可以通过仲裁或诉讼的方式解决争议。</w:t>
      </w:r>
    </w:p>
    <w:p w14:paraId="6A18CF8E">
      <w:pPr>
        <w:pStyle w:val="12"/>
        <w:shd w:val="clear"/>
        <w:spacing w:before="4" w:line="307" w:lineRule="auto"/>
        <w:ind w:left="23" w:right="35" w:firstLine="497"/>
        <w:rPr>
          <w:sz w:val="24"/>
          <w:szCs w:val="24"/>
          <w:highlight w:val="none"/>
        </w:rPr>
      </w:pPr>
      <w:r>
        <w:rPr>
          <w:spacing w:val="-1"/>
          <w:sz w:val="24"/>
          <w:szCs w:val="24"/>
          <w:highlight w:val="none"/>
        </w:rPr>
        <w:t>19.2 选择仲裁的，应在</w:t>
      </w:r>
      <w:r>
        <w:rPr>
          <w:b/>
          <w:bCs/>
          <w:spacing w:val="-1"/>
          <w:sz w:val="24"/>
          <w:szCs w:val="24"/>
          <w:highlight w:val="none"/>
        </w:rPr>
        <w:t>【政府采购合同专用条款】</w:t>
      </w:r>
      <w:r>
        <w:rPr>
          <w:spacing w:val="-1"/>
          <w:sz w:val="24"/>
          <w:szCs w:val="24"/>
          <w:highlight w:val="none"/>
        </w:rPr>
        <w:t>中明确仲裁机构及仲裁</w:t>
      </w:r>
      <w:r>
        <w:rPr>
          <w:spacing w:val="-4"/>
          <w:sz w:val="24"/>
          <w:szCs w:val="24"/>
          <w:highlight w:val="none"/>
        </w:rPr>
        <w:t>地；通过诉讼方式解决的，可以在</w:t>
      </w:r>
      <w:r>
        <w:rPr>
          <w:b/>
          <w:bCs/>
          <w:spacing w:val="-4"/>
          <w:sz w:val="24"/>
          <w:szCs w:val="24"/>
          <w:highlight w:val="none"/>
        </w:rPr>
        <w:t>【政府采购合同专用条款】</w:t>
      </w:r>
      <w:r>
        <w:rPr>
          <w:spacing w:val="-4"/>
          <w:sz w:val="24"/>
          <w:szCs w:val="24"/>
          <w:highlight w:val="none"/>
        </w:rPr>
        <w:t>中进一步约定选择</w:t>
      </w:r>
      <w:r>
        <w:rPr>
          <w:spacing w:val="-3"/>
          <w:sz w:val="24"/>
          <w:szCs w:val="24"/>
          <w:highlight w:val="none"/>
        </w:rPr>
        <w:t>与争议有实际联系的地点的人民法院管辖，但管辖法院的约定不得违反级别管辖</w:t>
      </w:r>
      <w:r>
        <w:rPr>
          <w:spacing w:val="-2"/>
          <w:sz w:val="24"/>
          <w:szCs w:val="24"/>
          <w:highlight w:val="none"/>
        </w:rPr>
        <w:t>和专属管辖的规定。</w:t>
      </w:r>
    </w:p>
    <w:p w14:paraId="3D88E658">
      <w:pPr>
        <w:pStyle w:val="12"/>
        <w:shd w:val="clear"/>
        <w:spacing w:before="1" w:line="307" w:lineRule="auto"/>
        <w:ind w:left="42" w:right="35" w:firstLine="479"/>
        <w:rPr>
          <w:sz w:val="24"/>
          <w:szCs w:val="24"/>
          <w:highlight w:val="none"/>
        </w:rPr>
      </w:pPr>
      <w:r>
        <w:rPr>
          <w:sz w:val="24"/>
          <w:szCs w:val="24"/>
          <w:highlight w:val="none"/>
        </w:rPr>
        <w:t>19.3 如甲乙双方有争议的事项不影响合同其他部分的履行，在争议解</w:t>
      </w:r>
      <w:r>
        <w:rPr>
          <w:spacing w:val="-1"/>
          <w:sz w:val="24"/>
          <w:szCs w:val="24"/>
          <w:highlight w:val="none"/>
        </w:rPr>
        <w:t>决期</w:t>
      </w:r>
      <w:r>
        <w:rPr>
          <w:spacing w:val="-2"/>
          <w:sz w:val="24"/>
          <w:szCs w:val="24"/>
          <w:highlight w:val="none"/>
        </w:rPr>
        <w:t>间，合同其他部分应当继续履行。</w:t>
      </w:r>
    </w:p>
    <w:p w14:paraId="752C3EDF">
      <w:pPr>
        <w:pStyle w:val="12"/>
        <w:shd w:val="clear"/>
        <w:spacing w:before="1" w:line="218" w:lineRule="auto"/>
        <w:ind w:left="26"/>
        <w:rPr>
          <w:sz w:val="24"/>
          <w:szCs w:val="24"/>
          <w:highlight w:val="none"/>
        </w:rPr>
      </w:pPr>
      <w:r>
        <w:rPr>
          <w:b/>
          <w:bCs/>
          <w:spacing w:val="-3"/>
          <w:sz w:val="24"/>
          <w:szCs w:val="24"/>
          <w:highlight w:val="none"/>
        </w:rPr>
        <w:t>20.</w:t>
      </w:r>
      <w:r>
        <w:rPr>
          <w:spacing w:val="-3"/>
          <w:sz w:val="24"/>
          <w:szCs w:val="24"/>
          <w:highlight w:val="none"/>
        </w:rPr>
        <w:t xml:space="preserve"> </w:t>
      </w:r>
      <w:r>
        <w:rPr>
          <w:b/>
          <w:bCs/>
          <w:spacing w:val="-3"/>
          <w:sz w:val="24"/>
          <w:szCs w:val="24"/>
          <w:highlight w:val="none"/>
        </w:rPr>
        <w:t>政府采购政策</w:t>
      </w:r>
    </w:p>
    <w:p w14:paraId="459C4BFB">
      <w:pPr>
        <w:pStyle w:val="12"/>
        <w:shd w:val="clear"/>
        <w:spacing w:before="116" w:line="219" w:lineRule="auto"/>
        <w:ind w:left="506"/>
        <w:rPr>
          <w:sz w:val="24"/>
          <w:szCs w:val="24"/>
          <w:highlight w:val="none"/>
        </w:rPr>
      </w:pPr>
      <w:r>
        <w:rPr>
          <w:spacing w:val="-1"/>
          <w:sz w:val="24"/>
          <w:szCs w:val="24"/>
          <w:highlight w:val="none"/>
        </w:rPr>
        <w:t>20.1 本合同应当按照规定执行政府采购政策。</w:t>
      </w:r>
    </w:p>
    <w:p w14:paraId="4D291C96">
      <w:pPr>
        <w:pStyle w:val="12"/>
        <w:shd w:val="clear"/>
        <w:spacing w:before="115" w:line="308" w:lineRule="auto"/>
        <w:ind w:left="24" w:right="35" w:firstLine="481"/>
        <w:rPr>
          <w:sz w:val="24"/>
          <w:szCs w:val="24"/>
          <w:highlight w:val="none"/>
        </w:rPr>
      </w:pPr>
      <w:r>
        <w:rPr>
          <w:sz w:val="24"/>
          <w:szCs w:val="24"/>
          <w:highlight w:val="none"/>
        </w:rPr>
        <w:t>20.2 本合同依法执行政府采购政策的方式</w:t>
      </w:r>
      <w:r>
        <w:rPr>
          <w:spacing w:val="-1"/>
          <w:sz w:val="24"/>
          <w:szCs w:val="24"/>
          <w:highlight w:val="none"/>
        </w:rPr>
        <w:t>和内容，属于合同履约验收的范</w:t>
      </w:r>
      <w:r>
        <w:rPr>
          <w:spacing w:val="-3"/>
          <w:sz w:val="24"/>
          <w:szCs w:val="24"/>
          <w:highlight w:val="none"/>
        </w:rPr>
        <w:t>围。甲乙双方未按规定要求执行政府采购政策造成损失的，有过错的一方应当承</w:t>
      </w:r>
      <w:r>
        <w:rPr>
          <w:spacing w:val="-1"/>
          <w:sz w:val="24"/>
          <w:szCs w:val="24"/>
          <w:highlight w:val="none"/>
        </w:rPr>
        <w:t>担赔偿责任，双方都有过错的，各自承担相应的责任。</w:t>
      </w:r>
    </w:p>
    <w:p w14:paraId="4E364465">
      <w:pPr>
        <w:pStyle w:val="12"/>
        <w:shd w:val="clear"/>
        <w:spacing w:before="2" w:line="307" w:lineRule="auto"/>
        <w:ind w:left="23" w:right="35" w:firstLine="482"/>
        <w:rPr>
          <w:sz w:val="24"/>
          <w:szCs w:val="24"/>
          <w:highlight w:val="none"/>
        </w:rPr>
      </w:pPr>
      <w:r>
        <w:rPr>
          <w:sz w:val="24"/>
          <w:szCs w:val="24"/>
          <w:highlight w:val="none"/>
        </w:rPr>
        <w:t>20.3 对于为落实中小企业支持政策，通过采购项目整体预留、设置采购包</w:t>
      </w:r>
      <w:r>
        <w:rPr>
          <w:spacing w:val="-3"/>
          <w:sz w:val="24"/>
          <w:szCs w:val="24"/>
          <w:highlight w:val="none"/>
        </w:rPr>
        <w:t>专门预留、要求以联合体形式参加或者合同分包等措施签订的采购合同，应当明确标注本合同为中小企业预留合同。其中，要求以联合体形式参加采购活动或者</w:t>
      </w:r>
      <w:r>
        <w:rPr>
          <w:sz w:val="24"/>
          <w:szCs w:val="24"/>
          <w:highlight w:val="none"/>
        </w:rPr>
        <w:t>合同分包的，须将联合协议或者分包意向协议作</w:t>
      </w:r>
      <w:r>
        <w:rPr>
          <w:spacing w:val="-1"/>
          <w:sz w:val="24"/>
          <w:szCs w:val="24"/>
          <w:highlight w:val="none"/>
        </w:rPr>
        <w:t>为采购合同的组成部分。</w:t>
      </w:r>
    </w:p>
    <w:p w14:paraId="7568E20A">
      <w:pPr>
        <w:pStyle w:val="12"/>
        <w:shd w:val="clear"/>
        <w:spacing w:before="1" w:line="219" w:lineRule="auto"/>
        <w:ind w:left="26"/>
        <w:rPr>
          <w:sz w:val="24"/>
          <w:szCs w:val="24"/>
          <w:highlight w:val="none"/>
        </w:rPr>
      </w:pPr>
      <w:r>
        <w:rPr>
          <w:b/>
          <w:bCs/>
          <w:spacing w:val="-6"/>
          <w:sz w:val="24"/>
          <w:szCs w:val="24"/>
          <w:highlight w:val="none"/>
        </w:rPr>
        <w:t>21.</w:t>
      </w:r>
      <w:r>
        <w:rPr>
          <w:spacing w:val="15"/>
          <w:sz w:val="24"/>
          <w:szCs w:val="24"/>
          <w:highlight w:val="none"/>
        </w:rPr>
        <w:t xml:space="preserve"> </w:t>
      </w:r>
      <w:r>
        <w:rPr>
          <w:b/>
          <w:bCs/>
          <w:spacing w:val="-6"/>
          <w:sz w:val="24"/>
          <w:szCs w:val="24"/>
          <w:highlight w:val="none"/>
        </w:rPr>
        <w:t>法律适用</w:t>
      </w:r>
    </w:p>
    <w:p w14:paraId="7A0BE18A">
      <w:pPr>
        <w:pStyle w:val="12"/>
        <w:shd w:val="clear"/>
        <w:spacing w:before="116" w:line="310" w:lineRule="auto"/>
        <w:ind w:left="25" w:right="37" w:firstLine="480"/>
        <w:rPr>
          <w:sz w:val="24"/>
          <w:szCs w:val="24"/>
          <w:highlight w:val="none"/>
        </w:rPr>
      </w:pPr>
      <w:r>
        <w:rPr>
          <w:sz w:val="24"/>
          <w:szCs w:val="24"/>
          <w:highlight w:val="none"/>
        </w:rPr>
        <w:t>21.1 本合同的订立、生效、解释、履行及与本合同有关的争议解决，均适</w:t>
      </w:r>
      <w:r>
        <w:rPr>
          <w:spacing w:val="-2"/>
          <w:sz w:val="24"/>
          <w:szCs w:val="24"/>
          <w:highlight w:val="none"/>
        </w:rPr>
        <w:t>用法律、行政法规。</w:t>
      </w:r>
    </w:p>
    <w:p w14:paraId="33786060">
      <w:pPr>
        <w:pStyle w:val="12"/>
        <w:shd w:val="clear"/>
        <w:spacing w:before="78" w:line="308" w:lineRule="auto"/>
        <w:ind w:left="25" w:right="63" w:firstLine="480"/>
        <w:rPr>
          <w:sz w:val="24"/>
          <w:szCs w:val="24"/>
          <w:highlight w:val="none"/>
        </w:rPr>
      </w:pPr>
      <w:r>
        <w:rPr>
          <w:sz w:val="24"/>
          <w:szCs w:val="24"/>
          <w:highlight w:val="none"/>
        </w:rPr>
        <w:t>21.2 本合同条款与法律、行政法规的强制性规定不一致的，双方当事人应</w:t>
      </w:r>
      <w:r>
        <w:rPr>
          <w:spacing w:val="-1"/>
          <w:sz w:val="24"/>
          <w:szCs w:val="24"/>
          <w:highlight w:val="none"/>
        </w:rPr>
        <w:t>按照法律、行政法规的强制性规定修改本合同的相关条款。</w:t>
      </w:r>
    </w:p>
    <w:p w14:paraId="1D7BE781">
      <w:pPr>
        <w:pStyle w:val="12"/>
        <w:shd w:val="clear"/>
        <w:spacing w:line="221" w:lineRule="auto"/>
        <w:ind w:left="26"/>
        <w:rPr>
          <w:sz w:val="24"/>
          <w:szCs w:val="24"/>
          <w:highlight w:val="none"/>
        </w:rPr>
      </w:pPr>
      <w:r>
        <w:rPr>
          <w:b/>
          <w:bCs/>
          <w:spacing w:val="-7"/>
          <w:sz w:val="24"/>
          <w:szCs w:val="24"/>
          <w:highlight w:val="none"/>
        </w:rPr>
        <w:t>22.</w:t>
      </w:r>
      <w:r>
        <w:rPr>
          <w:spacing w:val="11"/>
          <w:sz w:val="24"/>
          <w:szCs w:val="24"/>
          <w:highlight w:val="none"/>
        </w:rPr>
        <w:t xml:space="preserve"> </w:t>
      </w:r>
      <w:r>
        <w:rPr>
          <w:b/>
          <w:bCs/>
          <w:spacing w:val="-7"/>
          <w:sz w:val="24"/>
          <w:szCs w:val="24"/>
          <w:highlight w:val="none"/>
        </w:rPr>
        <w:t>通知</w:t>
      </w:r>
    </w:p>
    <w:p w14:paraId="17498CEF">
      <w:pPr>
        <w:pStyle w:val="12"/>
        <w:shd w:val="clear"/>
        <w:spacing w:before="109" w:line="308" w:lineRule="auto"/>
        <w:ind w:left="24" w:right="61" w:firstLine="481"/>
        <w:rPr>
          <w:sz w:val="24"/>
          <w:szCs w:val="24"/>
          <w:highlight w:val="none"/>
        </w:rPr>
      </w:pPr>
      <w:r>
        <w:rPr>
          <w:sz w:val="24"/>
          <w:szCs w:val="24"/>
          <w:highlight w:val="none"/>
        </w:rPr>
        <w:t>22.1 本合同任何一方向对方发出的通知、信件、数据电文等，应当发送至</w:t>
      </w:r>
      <w:r>
        <w:rPr>
          <w:spacing w:val="-3"/>
          <w:sz w:val="24"/>
          <w:szCs w:val="24"/>
          <w:highlight w:val="none"/>
        </w:rPr>
        <w:t>本合同第一部分《政府采购合同协议书》所约定的通讯地址、联系人、联系电话</w:t>
      </w:r>
      <w:r>
        <w:rPr>
          <w:spacing w:val="-2"/>
          <w:sz w:val="24"/>
          <w:szCs w:val="24"/>
          <w:highlight w:val="none"/>
        </w:rPr>
        <w:t>或电子邮箱。</w:t>
      </w:r>
    </w:p>
    <w:p w14:paraId="0CBA8AE7">
      <w:pPr>
        <w:pStyle w:val="12"/>
        <w:shd w:val="clear"/>
        <w:spacing w:before="2" w:line="307" w:lineRule="auto"/>
        <w:ind w:left="23" w:firstLine="482"/>
        <w:rPr>
          <w:sz w:val="24"/>
          <w:szCs w:val="24"/>
          <w:highlight w:val="none"/>
        </w:rPr>
      </w:pPr>
      <w:r>
        <w:rPr>
          <w:spacing w:val="-5"/>
          <w:sz w:val="24"/>
          <w:szCs w:val="24"/>
          <w:highlight w:val="none"/>
        </w:rPr>
        <w:t>22.2 一方当事人变更名称、住所、联系人、联系电话或电子邮箱等信息的，</w:t>
      </w:r>
      <w:r>
        <w:rPr>
          <w:sz w:val="24"/>
          <w:szCs w:val="24"/>
          <w:highlight w:val="none"/>
        </w:rPr>
        <w:t>应当在变更后3日内及时书面通知对方，对方实际收到变更通知前的送达仍为有</w:t>
      </w:r>
      <w:r>
        <w:rPr>
          <w:spacing w:val="-3"/>
          <w:sz w:val="24"/>
          <w:szCs w:val="24"/>
          <w:highlight w:val="none"/>
        </w:rPr>
        <w:t>效送达。</w:t>
      </w:r>
    </w:p>
    <w:p w14:paraId="403BB27E">
      <w:pPr>
        <w:pStyle w:val="12"/>
        <w:shd w:val="clear"/>
        <w:spacing w:line="308" w:lineRule="auto"/>
        <w:ind w:left="46" w:right="147" w:firstLine="459"/>
        <w:rPr>
          <w:sz w:val="24"/>
          <w:szCs w:val="24"/>
          <w:highlight w:val="none"/>
        </w:rPr>
      </w:pPr>
      <w:r>
        <w:rPr>
          <w:spacing w:val="-1"/>
          <w:sz w:val="24"/>
          <w:szCs w:val="24"/>
          <w:highlight w:val="none"/>
        </w:rPr>
        <w:t>22.3</w:t>
      </w:r>
      <w:r>
        <w:rPr>
          <w:spacing w:val="-40"/>
          <w:sz w:val="24"/>
          <w:szCs w:val="24"/>
          <w:highlight w:val="none"/>
        </w:rPr>
        <w:t xml:space="preserve"> </w:t>
      </w:r>
      <w:r>
        <w:rPr>
          <w:spacing w:val="-1"/>
          <w:sz w:val="24"/>
          <w:szCs w:val="24"/>
          <w:highlight w:val="none"/>
        </w:rPr>
        <w:t>本合同一方给另一方的通知均应采用书面形式，传真或快递送到本合</w:t>
      </w:r>
      <w:r>
        <w:rPr>
          <w:spacing w:val="-2"/>
          <w:sz w:val="24"/>
          <w:szCs w:val="24"/>
          <w:highlight w:val="none"/>
        </w:rPr>
        <w:t>同中规定的对方的地址和办理签收手续。</w:t>
      </w:r>
    </w:p>
    <w:p w14:paraId="217C589B">
      <w:pPr>
        <w:pStyle w:val="12"/>
        <w:shd w:val="clear"/>
        <w:spacing w:before="1" w:line="307" w:lineRule="auto"/>
        <w:ind w:left="64" w:right="147" w:firstLine="441"/>
        <w:rPr>
          <w:sz w:val="24"/>
          <w:szCs w:val="24"/>
          <w:highlight w:val="none"/>
        </w:rPr>
      </w:pPr>
      <w:r>
        <w:rPr>
          <w:spacing w:val="-1"/>
          <w:sz w:val="24"/>
          <w:szCs w:val="24"/>
          <w:highlight w:val="none"/>
        </w:rPr>
        <w:t>22.4</w:t>
      </w:r>
      <w:r>
        <w:rPr>
          <w:spacing w:val="-40"/>
          <w:sz w:val="24"/>
          <w:szCs w:val="24"/>
          <w:highlight w:val="none"/>
        </w:rPr>
        <w:t xml:space="preserve"> </w:t>
      </w:r>
      <w:r>
        <w:rPr>
          <w:spacing w:val="-1"/>
          <w:sz w:val="24"/>
          <w:szCs w:val="24"/>
          <w:highlight w:val="none"/>
        </w:rPr>
        <w:t>通知以送达之日或通知书中规定的生效之日起生效，两者中以较迟之</w:t>
      </w:r>
      <w:r>
        <w:rPr>
          <w:spacing w:val="-13"/>
          <w:sz w:val="24"/>
          <w:szCs w:val="24"/>
          <w:highlight w:val="none"/>
        </w:rPr>
        <w:t>日为准。</w:t>
      </w:r>
    </w:p>
    <w:p w14:paraId="58BA79C8">
      <w:pPr>
        <w:pStyle w:val="12"/>
        <w:shd w:val="clear"/>
        <w:spacing w:line="220" w:lineRule="auto"/>
        <w:ind w:left="26"/>
        <w:rPr>
          <w:sz w:val="24"/>
          <w:szCs w:val="24"/>
          <w:highlight w:val="none"/>
        </w:rPr>
      </w:pPr>
      <w:r>
        <w:rPr>
          <w:b/>
          <w:bCs/>
          <w:spacing w:val="-3"/>
          <w:sz w:val="24"/>
          <w:szCs w:val="24"/>
          <w:highlight w:val="none"/>
        </w:rPr>
        <w:t>23.</w:t>
      </w:r>
      <w:r>
        <w:rPr>
          <w:spacing w:val="-3"/>
          <w:sz w:val="24"/>
          <w:szCs w:val="24"/>
          <w:highlight w:val="none"/>
        </w:rPr>
        <w:t xml:space="preserve"> </w:t>
      </w:r>
      <w:r>
        <w:rPr>
          <w:b/>
          <w:bCs/>
          <w:spacing w:val="-3"/>
          <w:sz w:val="24"/>
          <w:szCs w:val="24"/>
          <w:highlight w:val="none"/>
        </w:rPr>
        <w:t>合同未尽事项</w:t>
      </w:r>
    </w:p>
    <w:p w14:paraId="427741EE">
      <w:pPr>
        <w:pStyle w:val="12"/>
        <w:shd w:val="clear"/>
        <w:spacing w:before="114" w:line="219" w:lineRule="auto"/>
        <w:ind w:left="506"/>
        <w:rPr>
          <w:sz w:val="24"/>
          <w:szCs w:val="24"/>
          <w:highlight w:val="none"/>
        </w:rPr>
      </w:pPr>
      <w:r>
        <w:rPr>
          <w:spacing w:val="-2"/>
          <w:sz w:val="24"/>
          <w:szCs w:val="24"/>
          <w:highlight w:val="none"/>
        </w:rPr>
        <w:t>23.1</w:t>
      </w:r>
      <w:r>
        <w:rPr>
          <w:spacing w:val="-46"/>
          <w:sz w:val="24"/>
          <w:szCs w:val="24"/>
          <w:highlight w:val="none"/>
        </w:rPr>
        <w:t xml:space="preserve"> </w:t>
      </w:r>
      <w:r>
        <w:rPr>
          <w:spacing w:val="-2"/>
          <w:sz w:val="24"/>
          <w:szCs w:val="24"/>
          <w:highlight w:val="none"/>
        </w:rPr>
        <w:t>合同未尽事项见</w:t>
      </w:r>
      <w:r>
        <w:rPr>
          <w:b/>
          <w:bCs/>
          <w:spacing w:val="-2"/>
          <w:sz w:val="24"/>
          <w:szCs w:val="24"/>
          <w:highlight w:val="none"/>
        </w:rPr>
        <w:t>【政府采购合同专用条款】</w:t>
      </w:r>
      <w:r>
        <w:rPr>
          <w:spacing w:val="-2"/>
          <w:sz w:val="24"/>
          <w:szCs w:val="24"/>
          <w:highlight w:val="none"/>
        </w:rPr>
        <w:t>。</w:t>
      </w:r>
    </w:p>
    <w:p w14:paraId="7486AF9E">
      <w:pPr>
        <w:pStyle w:val="12"/>
        <w:shd w:val="clear"/>
        <w:spacing w:before="114" w:line="219" w:lineRule="auto"/>
        <w:ind w:left="506"/>
        <w:rPr>
          <w:sz w:val="24"/>
          <w:szCs w:val="24"/>
          <w:highlight w:val="none"/>
        </w:rPr>
      </w:pPr>
      <w:r>
        <w:rPr>
          <w:spacing w:val="-1"/>
          <w:sz w:val="24"/>
          <w:szCs w:val="24"/>
          <w:highlight w:val="none"/>
        </w:rPr>
        <w:t>23.2 合同附件与合同正文具有同等的法律效力。</w:t>
      </w:r>
    </w:p>
    <w:p w14:paraId="0BDBC7C4">
      <w:pPr>
        <w:shd w:val="clear"/>
        <w:spacing w:line="219" w:lineRule="auto"/>
        <w:rPr>
          <w:sz w:val="24"/>
          <w:szCs w:val="24"/>
          <w:highlight w:val="none"/>
        </w:rPr>
        <w:sectPr>
          <w:footerReference r:id="rId9" w:type="default"/>
          <w:pgSz w:w="11906" w:h="16839"/>
          <w:pgMar w:top="1134" w:right="1738" w:bottom="1152" w:left="1785" w:header="0" w:footer="987" w:gutter="0"/>
          <w:pgNumType w:fmt="numberInDash"/>
          <w:cols w:space="720" w:num="1"/>
        </w:sectPr>
      </w:pPr>
    </w:p>
    <w:p w14:paraId="6D77F99F">
      <w:pPr>
        <w:shd w:val="clear"/>
        <w:spacing w:line="247" w:lineRule="auto"/>
        <w:rPr>
          <w:rFonts w:ascii="Arial"/>
          <w:sz w:val="21"/>
          <w:highlight w:val="none"/>
        </w:rPr>
      </w:pPr>
    </w:p>
    <w:p w14:paraId="77C50F09">
      <w:pPr>
        <w:pStyle w:val="12"/>
        <w:shd w:val="clear"/>
        <w:spacing w:before="78" w:line="219" w:lineRule="auto"/>
        <w:ind w:left="2957"/>
        <w:outlineLvl w:val="1"/>
        <w:rPr>
          <w:sz w:val="24"/>
          <w:szCs w:val="24"/>
          <w:highlight w:val="none"/>
        </w:rPr>
      </w:pPr>
      <w:r>
        <w:rPr>
          <w:b/>
          <w:bCs/>
          <w:spacing w:val="-2"/>
          <w:sz w:val="24"/>
          <w:szCs w:val="24"/>
          <w:highlight w:val="none"/>
        </w:rPr>
        <w:t>第三节</w:t>
      </w:r>
      <w:r>
        <w:rPr>
          <w:spacing w:val="-2"/>
          <w:sz w:val="24"/>
          <w:szCs w:val="24"/>
          <w:highlight w:val="none"/>
        </w:rPr>
        <w:t xml:space="preserve"> </w:t>
      </w:r>
      <w:r>
        <w:rPr>
          <w:b/>
          <w:bCs/>
          <w:spacing w:val="-2"/>
          <w:sz w:val="24"/>
          <w:szCs w:val="24"/>
          <w:highlight w:val="none"/>
        </w:rPr>
        <w:t>政府采购合同专用条款</w:t>
      </w:r>
    </w:p>
    <w:p w14:paraId="21460DBF">
      <w:pPr>
        <w:shd w:val="clear"/>
        <w:spacing w:line="147" w:lineRule="exact"/>
        <w:rPr>
          <w:highlight w:val="none"/>
        </w:rPr>
      </w:pPr>
    </w:p>
    <w:tbl>
      <w:tblPr>
        <w:tblStyle w:val="69"/>
        <w:tblW w:w="9147"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0"/>
        <w:gridCol w:w="3456"/>
        <w:gridCol w:w="3751"/>
      </w:tblGrid>
      <w:tr w14:paraId="32984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1940" w:type="dxa"/>
            <w:tcBorders>
              <w:top w:val="single" w:color="000000" w:sz="2" w:space="0"/>
              <w:left w:val="single" w:color="000000" w:sz="2" w:space="0"/>
            </w:tcBorders>
            <w:vAlign w:val="top"/>
          </w:tcPr>
          <w:p w14:paraId="0DDFB6EA">
            <w:pPr>
              <w:pStyle w:val="68"/>
              <w:shd w:val="clear"/>
              <w:spacing w:before="60" w:line="219" w:lineRule="auto"/>
              <w:ind w:left="550"/>
              <w:rPr>
                <w:sz w:val="24"/>
                <w:szCs w:val="24"/>
                <w:highlight w:val="none"/>
              </w:rPr>
            </w:pPr>
            <w:r>
              <w:rPr>
                <w:spacing w:val="-4"/>
                <w:sz w:val="24"/>
                <w:szCs w:val="24"/>
                <w:highlight w:val="none"/>
              </w:rPr>
              <w:t>第二节</w:t>
            </w:r>
          </w:p>
          <w:p w14:paraId="51B7F01A">
            <w:pPr>
              <w:pStyle w:val="68"/>
              <w:shd w:val="clear"/>
              <w:spacing w:before="26" w:line="210" w:lineRule="auto"/>
              <w:ind w:left="161"/>
              <w:rPr>
                <w:sz w:val="24"/>
                <w:szCs w:val="24"/>
                <w:highlight w:val="none"/>
              </w:rPr>
            </w:pPr>
            <w:r>
              <w:rPr>
                <w:spacing w:val="-3"/>
                <w:sz w:val="24"/>
                <w:szCs w:val="24"/>
                <w:highlight w:val="none"/>
              </w:rPr>
              <w:t>第</w:t>
            </w:r>
            <w:r>
              <w:rPr>
                <w:spacing w:val="-33"/>
                <w:sz w:val="24"/>
                <w:szCs w:val="24"/>
                <w:highlight w:val="none"/>
              </w:rPr>
              <w:t xml:space="preserve"> </w:t>
            </w:r>
            <w:r>
              <w:rPr>
                <w:spacing w:val="-3"/>
                <w:sz w:val="24"/>
                <w:szCs w:val="24"/>
                <w:highlight w:val="none"/>
              </w:rPr>
              <w:t>1.2（6）项</w:t>
            </w:r>
          </w:p>
        </w:tc>
        <w:tc>
          <w:tcPr>
            <w:tcW w:w="3456" w:type="dxa"/>
            <w:tcBorders>
              <w:top w:val="single" w:color="000000" w:sz="2" w:space="0"/>
            </w:tcBorders>
            <w:vAlign w:val="top"/>
          </w:tcPr>
          <w:p w14:paraId="3944D5CB">
            <w:pPr>
              <w:pStyle w:val="68"/>
              <w:shd w:val="clear"/>
              <w:spacing w:before="215" w:line="221" w:lineRule="auto"/>
              <w:ind w:left="111"/>
              <w:rPr>
                <w:sz w:val="24"/>
                <w:szCs w:val="24"/>
                <w:highlight w:val="none"/>
              </w:rPr>
            </w:pPr>
            <w:r>
              <w:rPr>
                <w:spacing w:val="-2"/>
                <w:sz w:val="24"/>
                <w:szCs w:val="24"/>
                <w:highlight w:val="none"/>
              </w:rPr>
              <w:t>联合体具体要求</w:t>
            </w:r>
          </w:p>
        </w:tc>
        <w:tc>
          <w:tcPr>
            <w:tcW w:w="3751" w:type="dxa"/>
            <w:tcBorders>
              <w:top w:val="single" w:color="000000" w:sz="2" w:space="0"/>
              <w:right w:val="single" w:color="000000" w:sz="2" w:space="0"/>
            </w:tcBorders>
            <w:vAlign w:val="top"/>
          </w:tcPr>
          <w:p w14:paraId="5E9111B5">
            <w:pPr>
              <w:pStyle w:val="68"/>
              <w:shd w:val="clear"/>
              <w:spacing w:before="215" w:line="221" w:lineRule="auto"/>
              <w:ind w:left="116"/>
              <w:rPr>
                <w:sz w:val="24"/>
                <w:szCs w:val="24"/>
                <w:highlight w:val="none"/>
              </w:rPr>
            </w:pPr>
            <w:r>
              <w:rPr>
                <w:spacing w:val="-2"/>
                <w:sz w:val="24"/>
                <w:szCs w:val="24"/>
                <w:highlight w:val="none"/>
              </w:rPr>
              <w:t>不接受联合体。</w:t>
            </w:r>
          </w:p>
        </w:tc>
      </w:tr>
      <w:tr w14:paraId="4DA22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40" w:type="dxa"/>
            <w:tcBorders>
              <w:left w:val="single" w:color="000000" w:sz="2" w:space="0"/>
            </w:tcBorders>
            <w:vAlign w:val="top"/>
          </w:tcPr>
          <w:p w14:paraId="734D14AE">
            <w:pPr>
              <w:pStyle w:val="68"/>
              <w:shd w:val="clear"/>
              <w:spacing w:before="34" w:line="219" w:lineRule="auto"/>
              <w:ind w:left="550"/>
              <w:rPr>
                <w:sz w:val="24"/>
                <w:szCs w:val="24"/>
                <w:highlight w:val="none"/>
              </w:rPr>
            </w:pPr>
            <w:r>
              <w:rPr>
                <w:spacing w:val="-4"/>
                <w:sz w:val="24"/>
                <w:szCs w:val="24"/>
                <w:highlight w:val="none"/>
              </w:rPr>
              <w:t>第二节</w:t>
            </w:r>
          </w:p>
          <w:p w14:paraId="61686408">
            <w:pPr>
              <w:pStyle w:val="68"/>
              <w:shd w:val="clear"/>
              <w:spacing w:before="24" w:line="210" w:lineRule="auto"/>
              <w:ind w:left="161"/>
              <w:rPr>
                <w:sz w:val="24"/>
                <w:szCs w:val="24"/>
                <w:highlight w:val="none"/>
              </w:rPr>
            </w:pPr>
            <w:r>
              <w:rPr>
                <w:spacing w:val="-3"/>
                <w:sz w:val="24"/>
                <w:szCs w:val="24"/>
                <w:highlight w:val="none"/>
              </w:rPr>
              <w:t>第</w:t>
            </w:r>
            <w:r>
              <w:rPr>
                <w:spacing w:val="-33"/>
                <w:sz w:val="24"/>
                <w:szCs w:val="24"/>
                <w:highlight w:val="none"/>
              </w:rPr>
              <w:t xml:space="preserve"> </w:t>
            </w:r>
            <w:r>
              <w:rPr>
                <w:spacing w:val="-3"/>
                <w:sz w:val="24"/>
                <w:szCs w:val="24"/>
                <w:highlight w:val="none"/>
              </w:rPr>
              <w:t>1.2（7）项</w:t>
            </w:r>
          </w:p>
        </w:tc>
        <w:tc>
          <w:tcPr>
            <w:tcW w:w="3456" w:type="dxa"/>
            <w:vAlign w:val="top"/>
          </w:tcPr>
          <w:p w14:paraId="0BC64873">
            <w:pPr>
              <w:pStyle w:val="68"/>
              <w:shd w:val="clear"/>
              <w:spacing w:before="188" w:line="219" w:lineRule="auto"/>
              <w:ind w:left="111"/>
              <w:rPr>
                <w:sz w:val="24"/>
                <w:szCs w:val="24"/>
                <w:highlight w:val="none"/>
              </w:rPr>
            </w:pPr>
            <w:r>
              <w:rPr>
                <w:spacing w:val="-2"/>
                <w:sz w:val="24"/>
                <w:szCs w:val="24"/>
                <w:highlight w:val="none"/>
              </w:rPr>
              <w:t>其他术语解释</w:t>
            </w:r>
          </w:p>
        </w:tc>
        <w:tc>
          <w:tcPr>
            <w:tcW w:w="3751" w:type="dxa"/>
            <w:tcBorders>
              <w:right w:val="single" w:color="000000" w:sz="2" w:space="0"/>
            </w:tcBorders>
            <w:vAlign w:val="top"/>
          </w:tcPr>
          <w:p w14:paraId="0B801DB3">
            <w:pPr>
              <w:pStyle w:val="68"/>
              <w:shd w:val="clear"/>
              <w:spacing w:before="187" w:line="220" w:lineRule="auto"/>
              <w:ind w:left="114"/>
              <w:rPr>
                <w:sz w:val="24"/>
                <w:szCs w:val="24"/>
                <w:highlight w:val="none"/>
              </w:rPr>
            </w:pPr>
            <w:r>
              <w:rPr>
                <w:sz w:val="24"/>
                <w:szCs w:val="24"/>
                <w:highlight w:val="none"/>
              </w:rPr>
              <w:t>无</w:t>
            </w:r>
          </w:p>
        </w:tc>
      </w:tr>
      <w:tr w14:paraId="4F40A0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40" w:type="dxa"/>
            <w:tcBorders>
              <w:left w:val="single" w:color="000000" w:sz="2" w:space="0"/>
            </w:tcBorders>
            <w:vAlign w:val="top"/>
          </w:tcPr>
          <w:p w14:paraId="3378D673">
            <w:pPr>
              <w:pStyle w:val="68"/>
              <w:shd w:val="clear"/>
              <w:spacing w:before="31" w:line="225" w:lineRule="auto"/>
              <w:ind w:left="430" w:right="409" w:firstLine="120"/>
              <w:rPr>
                <w:sz w:val="24"/>
                <w:szCs w:val="24"/>
                <w:highlight w:val="none"/>
              </w:rPr>
            </w:pPr>
            <w:r>
              <w:rPr>
                <w:spacing w:val="-4"/>
                <w:sz w:val="24"/>
                <w:szCs w:val="24"/>
                <w:highlight w:val="none"/>
              </w:rPr>
              <w:t>第二节</w:t>
            </w:r>
            <w:r>
              <w:rPr>
                <w:spacing w:val="-6"/>
                <w:sz w:val="24"/>
                <w:szCs w:val="24"/>
                <w:highlight w:val="none"/>
              </w:rPr>
              <w:t>第</w:t>
            </w:r>
            <w:r>
              <w:rPr>
                <w:spacing w:val="-51"/>
                <w:sz w:val="24"/>
                <w:szCs w:val="24"/>
                <w:highlight w:val="none"/>
              </w:rPr>
              <w:t xml:space="preserve"> </w:t>
            </w:r>
            <w:r>
              <w:rPr>
                <w:spacing w:val="-6"/>
                <w:sz w:val="24"/>
                <w:szCs w:val="24"/>
                <w:highlight w:val="none"/>
              </w:rPr>
              <w:t>4.4</w:t>
            </w:r>
            <w:r>
              <w:rPr>
                <w:spacing w:val="-50"/>
                <w:sz w:val="24"/>
                <w:szCs w:val="24"/>
                <w:highlight w:val="none"/>
              </w:rPr>
              <w:t xml:space="preserve"> </w:t>
            </w:r>
            <w:r>
              <w:rPr>
                <w:spacing w:val="-6"/>
                <w:sz w:val="24"/>
                <w:szCs w:val="24"/>
                <w:highlight w:val="none"/>
              </w:rPr>
              <w:t>款</w:t>
            </w:r>
          </w:p>
        </w:tc>
        <w:tc>
          <w:tcPr>
            <w:tcW w:w="3456" w:type="dxa"/>
            <w:vAlign w:val="top"/>
          </w:tcPr>
          <w:p w14:paraId="667DD732">
            <w:pPr>
              <w:pStyle w:val="68"/>
              <w:shd w:val="clear"/>
              <w:spacing w:before="31" w:line="225" w:lineRule="auto"/>
              <w:ind w:left="113" w:right="126"/>
              <w:rPr>
                <w:sz w:val="24"/>
                <w:szCs w:val="24"/>
                <w:highlight w:val="none"/>
              </w:rPr>
            </w:pPr>
            <w:r>
              <w:rPr>
                <w:spacing w:val="-1"/>
                <w:sz w:val="24"/>
                <w:szCs w:val="24"/>
                <w:highlight w:val="none"/>
              </w:rPr>
              <w:t>履约验收中甲方提出异议或作出</w:t>
            </w:r>
            <w:r>
              <w:rPr>
                <w:spacing w:val="-3"/>
                <w:sz w:val="24"/>
                <w:szCs w:val="24"/>
                <w:highlight w:val="none"/>
              </w:rPr>
              <w:t>说明的期限</w:t>
            </w:r>
          </w:p>
        </w:tc>
        <w:tc>
          <w:tcPr>
            <w:tcW w:w="3751" w:type="dxa"/>
            <w:tcBorders>
              <w:right w:val="single" w:color="000000" w:sz="2" w:space="0"/>
            </w:tcBorders>
            <w:vAlign w:val="top"/>
          </w:tcPr>
          <w:p w14:paraId="15B1E82E">
            <w:pPr>
              <w:pStyle w:val="68"/>
              <w:shd w:val="clear"/>
              <w:spacing w:before="189" w:line="220" w:lineRule="auto"/>
              <w:ind w:left="130"/>
              <w:rPr>
                <w:sz w:val="24"/>
                <w:szCs w:val="24"/>
                <w:highlight w:val="none"/>
              </w:rPr>
            </w:pPr>
            <w:r>
              <w:rPr>
                <w:spacing w:val="-10"/>
                <w:sz w:val="24"/>
                <w:szCs w:val="24"/>
                <w:highlight w:val="none"/>
              </w:rPr>
              <w:t>10</w:t>
            </w:r>
            <w:r>
              <w:rPr>
                <w:spacing w:val="-44"/>
                <w:sz w:val="24"/>
                <w:szCs w:val="24"/>
                <w:highlight w:val="none"/>
              </w:rPr>
              <w:t xml:space="preserve"> </w:t>
            </w:r>
            <w:r>
              <w:rPr>
                <w:rFonts w:hint="eastAsia"/>
                <w:spacing w:val="-44"/>
                <w:sz w:val="24"/>
                <w:szCs w:val="24"/>
                <w:highlight w:val="none"/>
                <w:lang w:val="en-US" w:eastAsia="zh-CN"/>
              </w:rPr>
              <w:t>个自然日</w:t>
            </w:r>
          </w:p>
        </w:tc>
      </w:tr>
      <w:tr w14:paraId="7B494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40" w:type="dxa"/>
            <w:tcBorders>
              <w:left w:val="single" w:color="000000" w:sz="2" w:space="0"/>
            </w:tcBorders>
            <w:vAlign w:val="top"/>
          </w:tcPr>
          <w:p w14:paraId="6531B99B">
            <w:pPr>
              <w:pStyle w:val="68"/>
              <w:shd w:val="clear"/>
              <w:spacing w:before="34" w:line="224" w:lineRule="auto"/>
              <w:ind w:left="430" w:right="409" w:firstLine="120"/>
              <w:rPr>
                <w:sz w:val="24"/>
                <w:szCs w:val="24"/>
                <w:highlight w:val="none"/>
              </w:rPr>
            </w:pPr>
            <w:r>
              <w:rPr>
                <w:spacing w:val="-4"/>
                <w:sz w:val="24"/>
                <w:szCs w:val="24"/>
                <w:highlight w:val="none"/>
              </w:rPr>
              <w:t>第二节</w:t>
            </w:r>
            <w:r>
              <w:rPr>
                <w:spacing w:val="-6"/>
                <w:sz w:val="24"/>
                <w:szCs w:val="24"/>
                <w:highlight w:val="none"/>
              </w:rPr>
              <w:t>第</w:t>
            </w:r>
            <w:r>
              <w:rPr>
                <w:spacing w:val="-51"/>
                <w:sz w:val="24"/>
                <w:szCs w:val="24"/>
                <w:highlight w:val="none"/>
              </w:rPr>
              <w:t xml:space="preserve"> </w:t>
            </w:r>
            <w:r>
              <w:rPr>
                <w:spacing w:val="-6"/>
                <w:sz w:val="24"/>
                <w:szCs w:val="24"/>
                <w:highlight w:val="none"/>
              </w:rPr>
              <w:t>4.6</w:t>
            </w:r>
            <w:r>
              <w:rPr>
                <w:spacing w:val="-50"/>
                <w:sz w:val="24"/>
                <w:szCs w:val="24"/>
                <w:highlight w:val="none"/>
              </w:rPr>
              <w:t xml:space="preserve"> </w:t>
            </w:r>
            <w:r>
              <w:rPr>
                <w:spacing w:val="-6"/>
                <w:sz w:val="24"/>
                <w:szCs w:val="24"/>
                <w:highlight w:val="none"/>
              </w:rPr>
              <w:t>款</w:t>
            </w:r>
          </w:p>
        </w:tc>
        <w:tc>
          <w:tcPr>
            <w:tcW w:w="3456" w:type="dxa"/>
            <w:vAlign w:val="top"/>
          </w:tcPr>
          <w:p w14:paraId="5C0390DA">
            <w:pPr>
              <w:pStyle w:val="68"/>
              <w:shd w:val="clear"/>
              <w:spacing w:before="190" w:line="219" w:lineRule="auto"/>
              <w:ind w:left="116"/>
              <w:rPr>
                <w:sz w:val="24"/>
                <w:szCs w:val="24"/>
                <w:highlight w:val="none"/>
              </w:rPr>
            </w:pPr>
            <w:r>
              <w:rPr>
                <w:spacing w:val="-2"/>
                <w:sz w:val="24"/>
                <w:szCs w:val="24"/>
                <w:highlight w:val="none"/>
              </w:rPr>
              <w:t>约定甲方承担的其他义务和责任</w:t>
            </w:r>
          </w:p>
        </w:tc>
        <w:tc>
          <w:tcPr>
            <w:tcW w:w="3751" w:type="dxa"/>
            <w:tcBorders>
              <w:right w:val="single" w:color="000000" w:sz="2" w:space="0"/>
            </w:tcBorders>
            <w:vAlign w:val="top"/>
          </w:tcPr>
          <w:p w14:paraId="516A13B0">
            <w:pPr>
              <w:pStyle w:val="68"/>
              <w:shd w:val="clear"/>
              <w:spacing w:before="34" w:line="224" w:lineRule="auto"/>
              <w:ind w:left="113" w:right="98"/>
              <w:rPr>
                <w:sz w:val="24"/>
                <w:szCs w:val="24"/>
                <w:highlight w:val="none"/>
              </w:rPr>
            </w:pPr>
            <w:r>
              <w:rPr>
                <w:spacing w:val="-5"/>
                <w:sz w:val="24"/>
                <w:szCs w:val="24"/>
                <w:highlight w:val="none"/>
              </w:rPr>
              <w:t>按合同约定接受货物，组织验收，</w:t>
            </w:r>
            <w:r>
              <w:rPr>
                <w:spacing w:val="-3"/>
                <w:sz w:val="24"/>
                <w:szCs w:val="24"/>
                <w:highlight w:val="none"/>
              </w:rPr>
              <w:t>支付货款。</w:t>
            </w:r>
          </w:p>
        </w:tc>
      </w:tr>
      <w:tr w14:paraId="6BDDFE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40" w:type="dxa"/>
            <w:tcBorders>
              <w:left w:val="single" w:color="000000" w:sz="2" w:space="0"/>
            </w:tcBorders>
            <w:vAlign w:val="top"/>
          </w:tcPr>
          <w:p w14:paraId="60F9A237">
            <w:pPr>
              <w:pStyle w:val="68"/>
              <w:shd w:val="clear"/>
              <w:spacing w:before="34" w:line="224" w:lineRule="auto"/>
              <w:ind w:left="430" w:right="409" w:firstLine="120"/>
              <w:rPr>
                <w:sz w:val="24"/>
                <w:szCs w:val="24"/>
                <w:highlight w:val="none"/>
              </w:rPr>
            </w:pPr>
            <w:r>
              <w:rPr>
                <w:spacing w:val="-4"/>
                <w:sz w:val="24"/>
                <w:szCs w:val="24"/>
                <w:highlight w:val="none"/>
              </w:rPr>
              <w:t>第二节</w:t>
            </w:r>
            <w:r>
              <w:rPr>
                <w:spacing w:val="-7"/>
                <w:sz w:val="24"/>
                <w:szCs w:val="24"/>
                <w:highlight w:val="none"/>
              </w:rPr>
              <w:t>第</w:t>
            </w:r>
            <w:r>
              <w:rPr>
                <w:spacing w:val="-46"/>
                <w:sz w:val="24"/>
                <w:szCs w:val="24"/>
                <w:highlight w:val="none"/>
              </w:rPr>
              <w:t xml:space="preserve"> </w:t>
            </w:r>
            <w:r>
              <w:rPr>
                <w:spacing w:val="-7"/>
                <w:sz w:val="24"/>
                <w:szCs w:val="24"/>
                <w:highlight w:val="none"/>
              </w:rPr>
              <w:t>5.4</w:t>
            </w:r>
            <w:r>
              <w:rPr>
                <w:spacing w:val="-50"/>
                <w:sz w:val="24"/>
                <w:szCs w:val="24"/>
                <w:highlight w:val="none"/>
              </w:rPr>
              <w:t xml:space="preserve"> </w:t>
            </w:r>
            <w:r>
              <w:rPr>
                <w:spacing w:val="-7"/>
                <w:sz w:val="24"/>
                <w:szCs w:val="24"/>
                <w:highlight w:val="none"/>
              </w:rPr>
              <w:t>款</w:t>
            </w:r>
          </w:p>
        </w:tc>
        <w:tc>
          <w:tcPr>
            <w:tcW w:w="3456" w:type="dxa"/>
            <w:vAlign w:val="top"/>
          </w:tcPr>
          <w:p w14:paraId="287DC36D">
            <w:pPr>
              <w:pStyle w:val="68"/>
              <w:shd w:val="clear"/>
              <w:spacing w:before="189" w:line="219" w:lineRule="auto"/>
              <w:ind w:left="116"/>
              <w:rPr>
                <w:sz w:val="24"/>
                <w:szCs w:val="24"/>
                <w:highlight w:val="none"/>
              </w:rPr>
            </w:pPr>
            <w:r>
              <w:rPr>
                <w:spacing w:val="-2"/>
                <w:sz w:val="24"/>
                <w:szCs w:val="24"/>
                <w:highlight w:val="none"/>
              </w:rPr>
              <w:t>约定乙方承担的其他义务和责任</w:t>
            </w:r>
          </w:p>
        </w:tc>
        <w:tc>
          <w:tcPr>
            <w:tcW w:w="3751" w:type="dxa"/>
            <w:tcBorders>
              <w:right w:val="single" w:color="000000" w:sz="2" w:space="0"/>
            </w:tcBorders>
            <w:vAlign w:val="top"/>
          </w:tcPr>
          <w:p w14:paraId="74286B44">
            <w:pPr>
              <w:pStyle w:val="68"/>
              <w:shd w:val="clear"/>
              <w:spacing w:before="188" w:line="219" w:lineRule="auto"/>
              <w:ind w:left="114"/>
              <w:rPr>
                <w:sz w:val="24"/>
                <w:szCs w:val="24"/>
                <w:highlight w:val="none"/>
              </w:rPr>
            </w:pPr>
            <w:r>
              <w:rPr>
                <w:spacing w:val="-1"/>
                <w:sz w:val="24"/>
                <w:szCs w:val="24"/>
                <w:highlight w:val="none"/>
              </w:rPr>
              <w:t>按合同约定供货，开具发票。</w:t>
            </w:r>
          </w:p>
        </w:tc>
      </w:tr>
      <w:tr w14:paraId="73088C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8" w:hRule="atLeast"/>
        </w:trPr>
        <w:tc>
          <w:tcPr>
            <w:tcW w:w="1940" w:type="dxa"/>
            <w:tcBorders>
              <w:left w:val="single" w:color="000000" w:sz="2" w:space="0"/>
            </w:tcBorders>
            <w:vAlign w:val="top"/>
          </w:tcPr>
          <w:p w14:paraId="647FA4D3">
            <w:pPr>
              <w:pStyle w:val="68"/>
              <w:shd w:val="clear"/>
              <w:spacing w:before="191" w:line="242" w:lineRule="auto"/>
              <w:ind w:left="430" w:right="409" w:firstLine="120"/>
              <w:rPr>
                <w:sz w:val="24"/>
                <w:szCs w:val="24"/>
                <w:highlight w:val="none"/>
              </w:rPr>
            </w:pPr>
            <w:r>
              <w:rPr>
                <w:spacing w:val="-4"/>
                <w:sz w:val="24"/>
                <w:szCs w:val="24"/>
                <w:highlight w:val="none"/>
              </w:rPr>
              <w:t>第二节</w:t>
            </w:r>
            <w:r>
              <w:rPr>
                <w:spacing w:val="-7"/>
                <w:sz w:val="24"/>
                <w:szCs w:val="24"/>
                <w:highlight w:val="none"/>
              </w:rPr>
              <w:t>第</w:t>
            </w:r>
            <w:r>
              <w:rPr>
                <w:spacing w:val="-46"/>
                <w:sz w:val="24"/>
                <w:szCs w:val="24"/>
                <w:highlight w:val="none"/>
              </w:rPr>
              <w:t xml:space="preserve"> </w:t>
            </w:r>
            <w:r>
              <w:rPr>
                <w:spacing w:val="-7"/>
                <w:sz w:val="24"/>
                <w:szCs w:val="24"/>
                <w:highlight w:val="none"/>
              </w:rPr>
              <w:t>6.1</w:t>
            </w:r>
            <w:r>
              <w:rPr>
                <w:spacing w:val="-50"/>
                <w:sz w:val="24"/>
                <w:szCs w:val="24"/>
                <w:highlight w:val="none"/>
              </w:rPr>
              <w:t xml:space="preserve"> </w:t>
            </w:r>
            <w:r>
              <w:rPr>
                <w:spacing w:val="-7"/>
                <w:sz w:val="24"/>
                <w:szCs w:val="24"/>
                <w:highlight w:val="none"/>
              </w:rPr>
              <w:t>款</w:t>
            </w:r>
          </w:p>
        </w:tc>
        <w:tc>
          <w:tcPr>
            <w:tcW w:w="3456" w:type="dxa"/>
            <w:vAlign w:val="top"/>
          </w:tcPr>
          <w:p w14:paraId="171E0641">
            <w:pPr>
              <w:shd w:val="clear"/>
              <w:spacing w:line="267" w:lineRule="auto"/>
              <w:rPr>
                <w:rFonts w:ascii="Arial"/>
                <w:sz w:val="21"/>
                <w:highlight w:val="none"/>
              </w:rPr>
            </w:pPr>
          </w:p>
          <w:p w14:paraId="63972436">
            <w:pPr>
              <w:pStyle w:val="68"/>
              <w:shd w:val="clear"/>
              <w:spacing w:before="78" w:line="219" w:lineRule="auto"/>
              <w:ind w:left="114"/>
              <w:rPr>
                <w:sz w:val="24"/>
                <w:szCs w:val="24"/>
                <w:highlight w:val="none"/>
              </w:rPr>
            </w:pPr>
            <w:r>
              <w:rPr>
                <w:spacing w:val="-2"/>
                <w:sz w:val="24"/>
                <w:szCs w:val="24"/>
                <w:highlight w:val="none"/>
              </w:rPr>
              <w:t>履行合同义务的顺序</w:t>
            </w:r>
          </w:p>
        </w:tc>
        <w:tc>
          <w:tcPr>
            <w:tcW w:w="3751" w:type="dxa"/>
            <w:tcBorders>
              <w:right w:val="single" w:color="000000" w:sz="2" w:space="0"/>
            </w:tcBorders>
            <w:vAlign w:val="top"/>
          </w:tcPr>
          <w:p w14:paraId="5756278E">
            <w:pPr>
              <w:pStyle w:val="68"/>
              <w:shd w:val="clear"/>
              <w:spacing w:before="34" w:line="229" w:lineRule="auto"/>
              <w:ind w:left="116" w:right="114" w:firstLine="19"/>
              <w:jc w:val="both"/>
              <w:rPr>
                <w:sz w:val="24"/>
                <w:szCs w:val="24"/>
                <w:highlight w:val="none"/>
              </w:rPr>
            </w:pPr>
            <w:r>
              <w:rPr>
                <w:spacing w:val="8"/>
                <w:sz w:val="24"/>
                <w:szCs w:val="24"/>
                <w:highlight w:val="none"/>
              </w:rPr>
              <w:t>乙方供货-甲方接受货物-甲方组</w:t>
            </w:r>
            <w:r>
              <w:rPr>
                <w:spacing w:val="10"/>
                <w:sz w:val="24"/>
                <w:szCs w:val="24"/>
                <w:highlight w:val="none"/>
              </w:rPr>
              <w:t>织验收-乙方开具发票-甲方支付</w:t>
            </w:r>
            <w:r>
              <w:rPr>
                <w:spacing w:val="-5"/>
                <w:sz w:val="24"/>
                <w:szCs w:val="24"/>
                <w:highlight w:val="none"/>
              </w:rPr>
              <w:t>货款。</w:t>
            </w:r>
          </w:p>
        </w:tc>
      </w:tr>
      <w:tr w14:paraId="20636B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940" w:type="dxa"/>
            <w:vMerge w:val="restart"/>
            <w:tcBorders>
              <w:left w:val="single" w:color="000000" w:sz="2" w:space="0"/>
              <w:bottom w:val="nil"/>
            </w:tcBorders>
            <w:vAlign w:val="top"/>
          </w:tcPr>
          <w:p w14:paraId="22C47D0D">
            <w:pPr>
              <w:pStyle w:val="68"/>
              <w:shd w:val="clear"/>
              <w:spacing w:before="43" w:line="227" w:lineRule="auto"/>
              <w:ind w:left="430" w:right="409" w:firstLine="120"/>
              <w:rPr>
                <w:sz w:val="24"/>
                <w:szCs w:val="24"/>
                <w:highlight w:val="none"/>
              </w:rPr>
            </w:pPr>
            <w:r>
              <w:rPr>
                <w:spacing w:val="-4"/>
                <w:sz w:val="24"/>
                <w:szCs w:val="24"/>
                <w:highlight w:val="none"/>
              </w:rPr>
              <w:t>第二节</w:t>
            </w:r>
            <w:r>
              <w:rPr>
                <w:spacing w:val="-7"/>
                <w:sz w:val="24"/>
                <w:szCs w:val="24"/>
                <w:highlight w:val="none"/>
              </w:rPr>
              <w:t>第</w:t>
            </w:r>
            <w:r>
              <w:rPr>
                <w:spacing w:val="-45"/>
                <w:sz w:val="24"/>
                <w:szCs w:val="24"/>
                <w:highlight w:val="none"/>
              </w:rPr>
              <w:t xml:space="preserve"> </w:t>
            </w:r>
            <w:r>
              <w:rPr>
                <w:spacing w:val="-7"/>
                <w:sz w:val="24"/>
                <w:szCs w:val="24"/>
                <w:highlight w:val="none"/>
              </w:rPr>
              <w:t>7.1</w:t>
            </w:r>
            <w:r>
              <w:rPr>
                <w:spacing w:val="-50"/>
                <w:sz w:val="24"/>
                <w:szCs w:val="24"/>
                <w:highlight w:val="none"/>
              </w:rPr>
              <w:t xml:space="preserve"> </w:t>
            </w:r>
            <w:r>
              <w:rPr>
                <w:spacing w:val="-7"/>
                <w:sz w:val="24"/>
                <w:szCs w:val="24"/>
                <w:highlight w:val="none"/>
              </w:rPr>
              <w:t>款</w:t>
            </w:r>
          </w:p>
        </w:tc>
        <w:tc>
          <w:tcPr>
            <w:tcW w:w="3456" w:type="dxa"/>
            <w:vAlign w:val="top"/>
          </w:tcPr>
          <w:p w14:paraId="494A0B32">
            <w:pPr>
              <w:pStyle w:val="68"/>
              <w:shd w:val="clear"/>
              <w:spacing w:before="36" w:line="208" w:lineRule="auto"/>
              <w:ind w:left="110"/>
              <w:rPr>
                <w:sz w:val="24"/>
                <w:szCs w:val="24"/>
                <w:highlight w:val="none"/>
              </w:rPr>
            </w:pPr>
            <w:r>
              <w:rPr>
                <w:spacing w:val="-2"/>
                <w:sz w:val="24"/>
                <w:szCs w:val="24"/>
                <w:highlight w:val="none"/>
              </w:rPr>
              <w:t>包装特殊要求</w:t>
            </w:r>
          </w:p>
        </w:tc>
        <w:tc>
          <w:tcPr>
            <w:tcW w:w="3751" w:type="dxa"/>
            <w:tcBorders>
              <w:right w:val="single" w:color="000000" w:sz="2" w:space="0"/>
            </w:tcBorders>
            <w:vAlign w:val="top"/>
          </w:tcPr>
          <w:p w14:paraId="0C44D15E">
            <w:pPr>
              <w:pStyle w:val="68"/>
              <w:shd w:val="clear"/>
              <w:spacing w:before="36" w:line="208" w:lineRule="auto"/>
              <w:ind w:left="114"/>
              <w:rPr>
                <w:sz w:val="24"/>
                <w:szCs w:val="24"/>
                <w:highlight w:val="none"/>
              </w:rPr>
            </w:pPr>
            <w:r>
              <w:rPr>
                <w:sz w:val="24"/>
                <w:szCs w:val="24"/>
                <w:highlight w:val="none"/>
              </w:rPr>
              <w:t>无</w:t>
            </w:r>
          </w:p>
        </w:tc>
      </w:tr>
      <w:tr w14:paraId="0C773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940" w:type="dxa"/>
            <w:vMerge w:val="continue"/>
            <w:tcBorders>
              <w:top w:val="nil"/>
              <w:left w:val="single" w:color="000000" w:sz="2" w:space="0"/>
            </w:tcBorders>
            <w:vAlign w:val="top"/>
          </w:tcPr>
          <w:p w14:paraId="22E402D3">
            <w:pPr>
              <w:shd w:val="clear"/>
              <w:rPr>
                <w:rFonts w:ascii="Arial"/>
                <w:sz w:val="21"/>
                <w:highlight w:val="none"/>
              </w:rPr>
            </w:pPr>
          </w:p>
        </w:tc>
        <w:tc>
          <w:tcPr>
            <w:tcW w:w="3456" w:type="dxa"/>
            <w:vAlign w:val="top"/>
          </w:tcPr>
          <w:p w14:paraId="58AAD466">
            <w:pPr>
              <w:pStyle w:val="68"/>
              <w:shd w:val="clear"/>
              <w:spacing w:before="36" w:line="208" w:lineRule="auto"/>
              <w:ind w:left="113"/>
              <w:rPr>
                <w:sz w:val="24"/>
                <w:szCs w:val="24"/>
                <w:highlight w:val="none"/>
              </w:rPr>
            </w:pPr>
            <w:r>
              <w:rPr>
                <w:spacing w:val="-4"/>
                <w:sz w:val="24"/>
                <w:szCs w:val="24"/>
                <w:highlight w:val="none"/>
              </w:rPr>
              <w:t>指定现场</w:t>
            </w:r>
          </w:p>
        </w:tc>
        <w:tc>
          <w:tcPr>
            <w:tcW w:w="3751" w:type="dxa"/>
            <w:tcBorders>
              <w:right w:val="single" w:color="000000" w:sz="2" w:space="0"/>
            </w:tcBorders>
            <w:vAlign w:val="top"/>
          </w:tcPr>
          <w:p w14:paraId="044F4C57">
            <w:pPr>
              <w:pStyle w:val="68"/>
              <w:shd w:val="clear"/>
              <w:spacing w:before="36" w:line="208" w:lineRule="auto"/>
              <w:ind w:left="118"/>
              <w:rPr>
                <w:sz w:val="24"/>
                <w:szCs w:val="24"/>
                <w:highlight w:val="none"/>
              </w:rPr>
            </w:pPr>
            <w:r>
              <w:rPr>
                <w:spacing w:val="-3"/>
                <w:sz w:val="24"/>
                <w:szCs w:val="24"/>
                <w:highlight w:val="none"/>
              </w:rPr>
              <w:t>约定的指定现场</w:t>
            </w:r>
          </w:p>
        </w:tc>
      </w:tr>
      <w:tr w14:paraId="1F34B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40" w:type="dxa"/>
            <w:tcBorders>
              <w:left w:val="single" w:color="000000" w:sz="2" w:space="0"/>
            </w:tcBorders>
            <w:vAlign w:val="top"/>
          </w:tcPr>
          <w:p w14:paraId="3C7B25DD">
            <w:pPr>
              <w:pStyle w:val="68"/>
              <w:shd w:val="clear"/>
              <w:spacing w:before="37" w:line="223" w:lineRule="auto"/>
              <w:ind w:left="430" w:right="409" w:firstLine="120"/>
              <w:rPr>
                <w:sz w:val="24"/>
                <w:szCs w:val="24"/>
                <w:highlight w:val="none"/>
              </w:rPr>
            </w:pPr>
            <w:r>
              <w:rPr>
                <w:spacing w:val="-4"/>
                <w:sz w:val="24"/>
                <w:szCs w:val="24"/>
                <w:highlight w:val="none"/>
              </w:rPr>
              <w:t>第二节</w:t>
            </w:r>
            <w:r>
              <w:rPr>
                <w:spacing w:val="-7"/>
                <w:sz w:val="24"/>
                <w:szCs w:val="24"/>
                <w:highlight w:val="none"/>
              </w:rPr>
              <w:t>第</w:t>
            </w:r>
            <w:r>
              <w:rPr>
                <w:spacing w:val="-45"/>
                <w:sz w:val="24"/>
                <w:szCs w:val="24"/>
                <w:highlight w:val="none"/>
              </w:rPr>
              <w:t xml:space="preserve"> </w:t>
            </w:r>
            <w:r>
              <w:rPr>
                <w:spacing w:val="-7"/>
                <w:sz w:val="24"/>
                <w:szCs w:val="24"/>
                <w:highlight w:val="none"/>
              </w:rPr>
              <w:t>7.2</w:t>
            </w:r>
            <w:r>
              <w:rPr>
                <w:spacing w:val="-50"/>
                <w:sz w:val="24"/>
                <w:szCs w:val="24"/>
                <w:highlight w:val="none"/>
              </w:rPr>
              <w:t xml:space="preserve"> </w:t>
            </w:r>
            <w:r>
              <w:rPr>
                <w:spacing w:val="-7"/>
                <w:sz w:val="24"/>
                <w:szCs w:val="24"/>
                <w:highlight w:val="none"/>
              </w:rPr>
              <w:t>款</w:t>
            </w:r>
          </w:p>
        </w:tc>
        <w:tc>
          <w:tcPr>
            <w:tcW w:w="3456" w:type="dxa"/>
            <w:vAlign w:val="top"/>
          </w:tcPr>
          <w:p w14:paraId="4ADC346E">
            <w:pPr>
              <w:pStyle w:val="68"/>
              <w:shd w:val="clear"/>
              <w:spacing w:before="192" w:line="219" w:lineRule="auto"/>
              <w:ind w:left="110"/>
              <w:rPr>
                <w:sz w:val="24"/>
                <w:szCs w:val="24"/>
                <w:highlight w:val="none"/>
              </w:rPr>
            </w:pPr>
            <w:r>
              <w:rPr>
                <w:spacing w:val="-2"/>
                <w:sz w:val="24"/>
                <w:szCs w:val="24"/>
                <w:highlight w:val="none"/>
              </w:rPr>
              <w:t>运输特殊要求</w:t>
            </w:r>
          </w:p>
        </w:tc>
        <w:tc>
          <w:tcPr>
            <w:tcW w:w="3751" w:type="dxa"/>
            <w:tcBorders>
              <w:right w:val="single" w:color="000000" w:sz="2" w:space="0"/>
            </w:tcBorders>
            <w:vAlign w:val="top"/>
          </w:tcPr>
          <w:p w14:paraId="456E8EA3">
            <w:pPr>
              <w:pStyle w:val="68"/>
              <w:shd w:val="clear"/>
              <w:spacing w:before="192" w:line="220" w:lineRule="auto"/>
              <w:ind w:left="114"/>
              <w:rPr>
                <w:sz w:val="24"/>
                <w:szCs w:val="24"/>
                <w:highlight w:val="none"/>
              </w:rPr>
            </w:pPr>
            <w:r>
              <w:rPr>
                <w:sz w:val="24"/>
                <w:szCs w:val="24"/>
                <w:highlight w:val="none"/>
              </w:rPr>
              <w:t>无</w:t>
            </w:r>
          </w:p>
        </w:tc>
      </w:tr>
      <w:tr w14:paraId="1CA49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40" w:type="dxa"/>
            <w:tcBorders>
              <w:left w:val="single" w:color="000000" w:sz="2" w:space="0"/>
            </w:tcBorders>
            <w:vAlign w:val="top"/>
          </w:tcPr>
          <w:p w14:paraId="1027BBE3">
            <w:pPr>
              <w:pStyle w:val="68"/>
              <w:shd w:val="clear"/>
              <w:spacing w:before="37" w:line="223" w:lineRule="auto"/>
              <w:ind w:left="430" w:right="409" w:firstLine="120"/>
              <w:rPr>
                <w:sz w:val="24"/>
                <w:szCs w:val="24"/>
                <w:highlight w:val="none"/>
              </w:rPr>
            </w:pPr>
            <w:r>
              <w:rPr>
                <w:spacing w:val="-4"/>
                <w:sz w:val="24"/>
                <w:szCs w:val="24"/>
                <w:highlight w:val="none"/>
              </w:rPr>
              <w:t>第二节</w:t>
            </w:r>
            <w:r>
              <w:rPr>
                <w:spacing w:val="-7"/>
                <w:sz w:val="24"/>
                <w:szCs w:val="24"/>
                <w:highlight w:val="none"/>
              </w:rPr>
              <w:t>第</w:t>
            </w:r>
            <w:r>
              <w:rPr>
                <w:spacing w:val="-45"/>
                <w:sz w:val="24"/>
                <w:szCs w:val="24"/>
                <w:highlight w:val="none"/>
              </w:rPr>
              <w:t xml:space="preserve"> </w:t>
            </w:r>
            <w:r>
              <w:rPr>
                <w:spacing w:val="-7"/>
                <w:sz w:val="24"/>
                <w:szCs w:val="24"/>
                <w:highlight w:val="none"/>
              </w:rPr>
              <w:t>7.3</w:t>
            </w:r>
            <w:r>
              <w:rPr>
                <w:spacing w:val="-50"/>
                <w:sz w:val="24"/>
                <w:szCs w:val="24"/>
                <w:highlight w:val="none"/>
              </w:rPr>
              <w:t xml:space="preserve"> </w:t>
            </w:r>
            <w:r>
              <w:rPr>
                <w:spacing w:val="-7"/>
                <w:sz w:val="24"/>
                <w:szCs w:val="24"/>
                <w:highlight w:val="none"/>
              </w:rPr>
              <w:t>款</w:t>
            </w:r>
          </w:p>
        </w:tc>
        <w:tc>
          <w:tcPr>
            <w:tcW w:w="3456" w:type="dxa"/>
            <w:vAlign w:val="top"/>
          </w:tcPr>
          <w:p w14:paraId="111A54AE">
            <w:pPr>
              <w:pStyle w:val="68"/>
              <w:shd w:val="clear"/>
              <w:spacing w:before="191" w:line="220" w:lineRule="auto"/>
              <w:ind w:left="111"/>
              <w:rPr>
                <w:sz w:val="24"/>
                <w:szCs w:val="24"/>
                <w:highlight w:val="none"/>
              </w:rPr>
            </w:pPr>
            <w:r>
              <w:rPr>
                <w:spacing w:val="-3"/>
                <w:sz w:val="24"/>
                <w:szCs w:val="24"/>
                <w:highlight w:val="none"/>
              </w:rPr>
              <w:t>保险要求</w:t>
            </w:r>
          </w:p>
        </w:tc>
        <w:tc>
          <w:tcPr>
            <w:tcW w:w="3751" w:type="dxa"/>
            <w:tcBorders>
              <w:right w:val="single" w:color="000000" w:sz="2" w:space="0"/>
            </w:tcBorders>
            <w:vAlign w:val="top"/>
          </w:tcPr>
          <w:p w14:paraId="7F1F479E">
            <w:pPr>
              <w:pStyle w:val="68"/>
              <w:shd w:val="clear"/>
              <w:spacing w:before="193" w:line="220" w:lineRule="auto"/>
              <w:ind w:left="114"/>
              <w:rPr>
                <w:sz w:val="24"/>
                <w:szCs w:val="24"/>
                <w:highlight w:val="none"/>
              </w:rPr>
            </w:pPr>
            <w:r>
              <w:rPr>
                <w:sz w:val="24"/>
                <w:szCs w:val="24"/>
                <w:highlight w:val="none"/>
              </w:rPr>
              <w:t>无</w:t>
            </w:r>
          </w:p>
        </w:tc>
      </w:tr>
      <w:tr w14:paraId="5DEF0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940" w:type="dxa"/>
            <w:tcBorders>
              <w:left w:val="single" w:color="000000" w:sz="2" w:space="0"/>
            </w:tcBorders>
            <w:vAlign w:val="top"/>
          </w:tcPr>
          <w:p w14:paraId="316C0681">
            <w:pPr>
              <w:pStyle w:val="68"/>
              <w:shd w:val="clear"/>
              <w:spacing w:before="39" w:line="219" w:lineRule="auto"/>
              <w:ind w:left="550"/>
              <w:rPr>
                <w:sz w:val="24"/>
                <w:szCs w:val="24"/>
                <w:highlight w:val="none"/>
              </w:rPr>
            </w:pPr>
            <w:r>
              <w:rPr>
                <w:spacing w:val="-4"/>
                <w:sz w:val="24"/>
                <w:szCs w:val="24"/>
                <w:highlight w:val="none"/>
              </w:rPr>
              <w:t>第二节</w:t>
            </w:r>
          </w:p>
          <w:p w14:paraId="21D31A5A">
            <w:pPr>
              <w:pStyle w:val="68"/>
              <w:shd w:val="clear"/>
              <w:spacing w:before="24" w:line="207" w:lineRule="auto"/>
              <w:ind w:left="161"/>
              <w:rPr>
                <w:sz w:val="24"/>
                <w:szCs w:val="24"/>
                <w:highlight w:val="none"/>
              </w:rPr>
            </w:pPr>
            <w:r>
              <w:rPr>
                <w:spacing w:val="-1"/>
                <w:sz w:val="24"/>
                <w:szCs w:val="24"/>
                <w:highlight w:val="none"/>
              </w:rPr>
              <w:t>第</w:t>
            </w:r>
            <w:r>
              <w:rPr>
                <w:spacing w:val="-50"/>
                <w:sz w:val="24"/>
                <w:szCs w:val="24"/>
                <w:highlight w:val="none"/>
              </w:rPr>
              <w:t xml:space="preserve"> </w:t>
            </w:r>
            <w:r>
              <w:rPr>
                <w:spacing w:val="-1"/>
                <w:sz w:val="24"/>
                <w:szCs w:val="24"/>
                <w:highlight w:val="none"/>
              </w:rPr>
              <w:t>8.2（1）项</w:t>
            </w:r>
          </w:p>
        </w:tc>
        <w:tc>
          <w:tcPr>
            <w:tcW w:w="3456" w:type="dxa"/>
            <w:vAlign w:val="top"/>
          </w:tcPr>
          <w:p w14:paraId="28B108F3">
            <w:pPr>
              <w:pStyle w:val="68"/>
              <w:shd w:val="clear"/>
              <w:spacing w:before="192" w:line="220" w:lineRule="auto"/>
              <w:ind w:left="111"/>
              <w:rPr>
                <w:sz w:val="24"/>
                <w:szCs w:val="24"/>
                <w:highlight w:val="none"/>
              </w:rPr>
            </w:pPr>
            <w:r>
              <w:rPr>
                <w:spacing w:val="-3"/>
                <w:sz w:val="24"/>
                <w:szCs w:val="24"/>
                <w:highlight w:val="none"/>
              </w:rPr>
              <w:t>质量保证期</w:t>
            </w:r>
          </w:p>
        </w:tc>
        <w:tc>
          <w:tcPr>
            <w:tcW w:w="3751" w:type="dxa"/>
            <w:tcBorders>
              <w:right w:val="single" w:color="000000" w:sz="2" w:space="0"/>
            </w:tcBorders>
            <w:vAlign w:val="top"/>
          </w:tcPr>
          <w:p w14:paraId="50E4FDB5">
            <w:pPr>
              <w:pStyle w:val="68"/>
              <w:shd w:val="clear"/>
              <w:spacing w:before="192" w:line="219" w:lineRule="auto"/>
              <w:ind w:left="130"/>
              <w:rPr>
                <w:rFonts w:hint="default" w:eastAsia="宋体"/>
                <w:sz w:val="24"/>
                <w:szCs w:val="24"/>
                <w:highlight w:val="none"/>
                <w:lang w:val="en-US" w:eastAsia="zh-CN"/>
              </w:rPr>
            </w:pPr>
            <w:r>
              <w:rPr>
                <w:rFonts w:ascii="宋体" w:hAnsi="宋体" w:eastAsia="宋体" w:cs="宋体"/>
                <w:sz w:val="24"/>
                <w:szCs w:val="24"/>
                <w:highlight w:val="none"/>
              </w:rPr>
              <w:t>按产品保质期执行</w:t>
            </w:r>
            <w:r>
              <w:rPr>
                <w:rFonts w:hint="eastAsia"/>
                <w:spacing w:val="-14"/>
                <w:sz w:val="24"/>
                <w:szCs w:val="24"/>
                <w:highlight w:val="none"/>
                <w:lang w:eastAsia="zh-CN"/>
              </w:rPr>
              <w:t>，</w:t>
            </w:r>
            <w:r>
              <w:rPr>
                <w:rFonts w:hint="eastAsia"/>
                <w:spacing w:val="-14"/>
                <w:sz w:val="24"/>
                <w:szCs w:val="24"/>
                <w:highlight w:val="none"/>
                <w:lang w:val="en-US" w:eastAsia="zh-CN"/>
              </w:rPr>
              <w:t>不低于12个月</w:t>
            </w:r>
          </w:p>
        </w:tc>
      </w:tr>
      <w:tr w14:paraId="0E580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40" w:type="dxa"/>
            <w:tcBorders>
              <w:left w:val="single" w:color="000000" w:sz="2" w:space="0"/>
            </w:tcBorders>
            <w:vAlign w:val="top"/>
          </w:tcPr>
          <w:p w14:paraId="74DD8EAE">
            <w:pPr>
              <w:pStyle w:val="68"/>
              <w:shd w:val="clear"/>
              <w:spacing w:before="37" w:line="219" w:lineRule="auto"/>
              <w:ind w:left="550"/>
              <w:rPr>
                <w:sz w:val="24"/>
                <w:szCs w:val="24"/>
                <w:highlight w:val="none"/>
              </w:rPr>
            </w:pPr>
            <w:r>
              <w:rPr>
                <w:spacing w:val="-4"/>
                <w:sz w:val="24"/>
                <w:szCs w:val="24"/>
                <w:highlight w:val="none"/>
              </w:rPr>
              <w:t>第二节</w:t>
            </w:r>
          </w:p>
          <w:p w14:paraId="4ECB6CCB">
            <w:pPr>
              <w:pStyle w:val="68"/>
              <w:shd w:val="clear"/>
              <w:spacing w:before="27" w:line="206" w:lineRule="auto"/>
              <w:ind w:left="161"/>
              <w:rPr>
                <w:sz w:val="24"/>
                <w:szCs w:val="24"/>
                <w:highlight w:val="none"/>
              </w:rPr>
            </w:pPr>
            <w:r>
              <w:rPr>
                <w:spacing w:val="-1"/>
                <w:sz w:val="24"/>
                <w:szCs w:val="24"/>
                <w:highlight w:val="none"/>
              </w:rPr>
              <w:t>第</w:t>
            </w:r>
            <w:r>
              <w:rPr>
                <w:spacing w:val="-50"/>
                <w:sz w:val="24"/>
                <w:szCs w:val="24"/>
                <w:highlight w:val="none"/>
              </w:rPr>
              <w:t xml:space="preserve"> </w:t>
            </w:r>
            <w:r>
              <w:rPr>
                <w:spacing w:val="-1"/>
                <w:sz w:val="24"/>
                <w:szCs w:val="24"/>
                <w:highlight w:val="none"/>
              </w:rPr>
              <w:t>8.2（3）项</w:t>
            </w:r>
          </w:p>
        </w:tc>
        <w:tc>
          <w:tcPr>
            <w:tcW w:w="3456" w:type="dxa"/>
            <w:vAlign w:val="top"/>
          </w:tcPr>
          <w:p w14:paraId="41A8992E">
            <w:pPr>
              <w:pStyle w:val="68"/>
              <w:shd w:val="clear"/>
              <w:spacing w:before="36" w:line="219" w:lineRule="auto"/>
              <w:ind w:left="116"/>
              <w:rPr>
                <w:sz w:val="24"/>
                <w:szCs w:val="24"/>
                <w:highlight w:val="none"/>
              </w:rPr>
            </w:pPr>
            <w:r>
              <w:rPr>
                <w:spacing w:val="-3"/>
                <w:sz w:val="24"/>
                <w:szCs w:val="24"/>
                <w:highlight w:val="none"/>
              </w:rPr>
              <w:t>货物质量缺陷</w:t>
            </w:r>
          </w:p>
          <w:p w14:paraId="49F7C96A">
            <w:pPr>
              <w:pStyle w:val="68"/>
              <w:shd w:val="clear"/>
              <w:spacing w:before="28" w:line="206" w:lineRule="auto"/>
              <w:ind w:left="122"/>
              <w:rPr>
                <w:sz w:val="24"/>
                <w:szCs w:val="24"/>
                <w:highlight w:val="none"/>
              </w:rPr>
            </w:pPr>
            <w:r>
              <w:rPr>
                <w:spacing w:val="-6"/>
                <w:sz w:val="24"/>
                <w:szCs w:val="24"/>
                <w:highlight w:val="none"/>
              </w:rPr>
              <w:t>响应时间</w:t>
            </w:r>
          </w:p>
        </w:tc>
        <w:tc>
          <w:tcPr>
            <w:tcW w:w="3751" w:type="dxa"/>
            <w:tcBorders>
              <w:right w:val="single" w:color="000000" w:sz="2" w:space="0"/>
            </w:tcBorders>
            <w:vAlign w:val="top"/>
          </w:tcPr>
          <w:p w14:paraId="10DB5108">
            <w:pPr>
              <w:pStyle w:val="68"/>
              <w:shd w:val="clear"/>
              <w:spacing w:before="193" w:line="219" w:lineRule="auto"/>
              <w:ind w:left="115"/>
              <w:rPr>
                <w:sz w:val="24"/>
                <w:szCs w:val="24"/>
                <w:highlight w:val="none"/>
              </w:rPr>
            </w:pPr>
            <w:r>
              <w:rPr>
                <w:spacing w:val="-3"/>
                <w:sz w:val="24"/>
                <w:szCs w:val="24"/>
                <w:highlight w:val="none"/>
              </w:rPr>
              <w:t>24</w:t>
            </w:r>
            <w:r>
              <w:rPr>
                <w:spacing w:val="-42"/>
                <w:sz w:val="24"/>
                <w:szCs w:val="24"/>
                <w:highlight w:val="none"/>
              </w:rPr>
              <w:t xml:space="preserve"> </w:t>
            </w:r>
            <w:r>
              <w:rPr>
                <w:spacing w:val="-3"/>
                <w:sz w:val="24"/>
                <w:szCs w:val="24"/>
                <w:highlight w:val="none"/>
              </w:rPr>
              <w:t>小时内回应，48</w:t>
            </w:r>
            <w:r>
              <w:rPr>
                <w:spacing w:val="-44"/>
                <w:sz w:val="24"/>
                <w:szCs w:val="24"/>
                <w:highlight w:val="none"/>
              </w:rPr>
              <w:t xml:space="preserve"> </w:t>
            </w:r>
            <w:r>
              <w:rPr>
                <w:spacing w:val="-3"/>
                <w:sz w:val="24"/>
                <w:szCs w:val="24"/>
                <w:highlight w:val="none"/>
              </w:rPr>
              <w:t>小时内解决。</w:t>
            </w:r>
          </w:p>
        </w:tc>
      </w:tr>
      <w:tr w14:paraId="2CC0B8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940" w:type="dxa"/>
            <w:tcBorders>
              <w:left w:val="single" w:color="000000" w:sz="2" w:space="0"/>
            </w:tcBorders>
            <w:vAlign w:val="top"/>
          </w:tcPr>
          <w:p w14:paraId="0A7CC0C0">
            <w:pPr>
              <w:pStyle w:val="68"/>
              <w:shd w:val="clear"/>
              <w:spacing w:before="38" w:line="223" w:lineRule="auto"/>
              <w:ind w:left="430" w:right="409" w:firstLine="120"/>
              <w:rPr>
                <w:sz w:val="24"/>
                <w:szCs w:val="24"/>
                <w:highlight w:val="none"/>
              </w:rPr>
            </w:pPr>
            <w:r>
              <w:rPr>
                <w:spacing w:val="-4"/>
                <w:sz w:val="24"/>
                <w:szCs w:val="24"/>
                <w:highlight w:val="none"/>
              </w:rPr>
              <w:t>第二节</w:t>
            </w:r>
            <w:r>
              <w:rPr>
                <w:spacing w:val="-2"/>
                <w:sz w:val="24"/>
                <w:szCs w:val="24"/>
                <w:highlight w:val="none"/>
              </w:rPr>
              <w:t>第11.1款</w:t>
            </w:r>
          </w:p>
        </w:tc>
        <w:tc>
          <w:tcPr>
            <w:tcW w:w="3456" w:type="dxa"/>
            <w:vAlign w:val="top"/>
          </w:tcPr>
          <w:p w14:paraId="0E788424">
            <w:pPr>
              <w:pStyle w:val="68"/>
              <w:shd w:val="clear"/>
              <w:spacing w:before="192" w:line="219" w:lineRule="auto"/>
              <w:ind w:left="111"/>
              <w:rPr>
                <w:sz w:val="24"/>
                <w:szCs w:val="24"/>
                <w:highlight w:val="none"/>
              </w:rPr>
            </w:pPr>
            <w:r>
              <w:rPr>
                <w:spacing w:val="-2"/>
                <w:sz w:val="24"/>
                <w:szCs w:val="24"/>
                <w:highlight w:val="none"/>
              </w:rPr>
              <w:t>其他应当保密的信息</w:t>
            </w:r>
          </w:p>
        </w:tc>
        <w:tc>
          <w:tcPr>
            <w:tcW w:w="3751" w:type="dxa"/>
            <w:tcBorders>
              <w:right w:val="single" w:color="000000" w:sz="2" w:space="0"/>
            </w:tcBorders>
            <w:vAlign w:val="top"/>
          </w:tcPr>
          <w:p w14:paraId="2D4ED075">
            <w:pPr>
              <w:pStyle w:val="68"/>
              <w:shd w:val="clear"/>
              <w:spacing w:before="191" w:line="220" w:lineRule="auto"/>
              <w:ind w:left="114"/>
              <w:rPr>
                <w:sz w:val="24"/>
                <w:szCs w:val="24"/>
                <w:highlight w:val="none"/>
              </w:rPr>
            </w:pPr>
            <w:r>
              <w:rPr>
                <w:sz w:val="24"/>
                <w:szCs w:val="24"/>
                <w:highlight w:val="none"/>
              </w:rPr>
              <w:t>无</w:t>
            </w:r>
          </w:p>
        </w:tc>
      </w:tr>
      <w:tr w14:paraId="74B5E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4" w:hRule="atLeast"/>
        </w:trPr>
        <w:tc>
          <w:tcPr>
            <w:tcW w:w="1940" w:type="dxa"/>
            <w:tcBorders>
              <w:left w:val="single" w:color="000000" w:sz="2" w:space="0"/>
            </w:tcBorders>
            <w:vAlign w:val="top"/>
          </w:tcPr>
          <w:p w14:paraId="56448B97">
            <w:pPr>
              <w:shd w:val="clear"/>
              <w:spacing w:line="295" w:lineRule="auto"/>
              <w:rPr>
                <w:rFonts w:ascii="Arial"/>
                <w:sz w:val="21"/>
                <w:highlight w:val="none"/>
              </w:rPr>
            </w:pPr>
          </w:p>
          <w:p w14:paraId="11AECB11">
            <w:pPr>
              <w:shd w:val="clear"/>
              <w:spacing w:line="295" w:lineRule="auto"/>
              <w:rPr>
                <w:rFonts w:ascii="Arial"/>
                <w:sz w:val="21"/>
                <w:highlight w:val="none"/>
              </w:rPr>
            </w:pPr>
          </w:p>
          <w:p w14:paraId="0F7DCAC8">
            <w:pPr>
              <w:shd w:val="clear"/>
              <w:spacing w:line="296" w:lineRule="auto"/>
              <w:rPr>
                <w:rFonts w:ascii="Arial"/>
                <w:sz w:val="21"/>
                <w:highlight w:val="none"/>
              </w:rPr>
            </w:pPr>
          </w:p>
          <w:p w14:paraId="587B06DE">
            <w:pPr>
              <w:pStyle w:val="68"/>
              <w:shd w:val="clear"/>
              <w:spacing w:before="78" w:line="242" w:lineRule="auto"/>
              <w:ind w:left="370" w:right="349" w:firstLine="180"/>
              <w:rPr>
                <w:sz w:val="24"/>
                <w:szCs w:val="24"/>
                <w:highlight w:val="none"/>
              </w:rPr>
            </w:pPr>
            <w:r>
              <w:rPr>
                <w:spacing w:val="-4"/>
                <w:sz w:val="24"/>
                <w:szCs w:val="24"/>
                <w:highlight w:val="none"/>
              </w:rPr>
              <w:t>第二节</w:t>
            </w:r>
            <w:r>
              <w:rPr>
                <w:spacing w:val="-8"/>
                <w:sz w:val="24"/>
                <w:szCs w:val="24"/>
                <w:highlight w:val="none"/>
              </w:rPr>
              <w:t>第</w:t>
            </w:r>
            <w:r>
              <w:rPr>
                <w:spacing w:val="-33"/>
                <w:sz w:val="24"/>
                <w:szCs w:val="24"/>
                <w:highlight w:val="none"/>
              </w:rPr>
              <w:t xml:space="preserve"> </w:t>
            </w:r>
            <w:r>
              <w:rPr>
                <w:spacing w:val="-8"/>
                <w:sz w:val="24"/>
                <w:szCs w:val="24"/>
                <w:highlight w:val="none"/>
              </w:rPr>
              <w:t>12.2</w:t>
            </w:r>
            <w:r>
              <w:rPr>
                <w:spacing w:val="-50"/>
                <w:sz w:val="24"/>
                <w:szCs w:val="24"/>
                <w:highlight w:val="none"/>
              </w:rPr>
              <w:t xml:space="preserve"> </w:t>
            </w:r>
            <w:r>
              <w:rPr>
                <w:spacing w:val="-8"/>
                <w:sz w:val="24"/>
                <w:szCs w:val="24"/>
                <w:highlight w:val="none"/>
              </w:rPr>
              <w:t>款</w:t>
            </w:r>
          </w:p>
        </w:tc>
        <w:tc>
          <w:tcPr>
            <w:tcW w:w="3456" w:type="dxa"/>
            <w:vAlign w:val="top"/>
          </w:tcPr>
          <w:p w14:paraId="6ED258DB">
            <w:pPr>
              <w:shd w:val="clear"/>
              <w:spacing w:line="260" w:lineRule="auto"/>
              <w:rPr>
                <w:rFonts w:ascii="Arial"/>
                <w:sz w:val="21"/>
                <w:highlight w:val="none"/>
              </w:rPr>
            </w:pPr>
          </w:p>
          <w:p w14:paraId="715DF0EE">
            <w:pPr>
              <w:shd w:val="clear"/>
              <w:spacing w:line="260" w:lineRule="auto"/>
              <w:rPr>
                <w:rFonts w:ascii="Arial"/>
                <w:sz w:val="21"/>
                <w:highlight w:val="none"/>
              </w:rPr>
            </w:pPr>
          </w:p>
          <w:p w14:paraId="4D9F5EB5">
            <w:pPr>
              <w:shd w:val="clear"/>
              <w:spacing w:line="260" w:lineRule="auto"/>
              <w:rPr>
                <w:rFonts w:ascii="Arial"/>
                <w:sz w:val="21"/>
                <w:highlight w:val="none"/>
              </w:rPr>
            </w:pPr>
          </w:p>
          <w:p w14:paraId="6D029D90">
            <w:pPr>
              <w:shd w:val="clear"/>
              <w:spacing w:line="261" w:lineRule="auto"/>
              <w:rPr>
                <w:rFonts w:ascii="Arial"/>
                <w:sz w:val="21"/>
                <w:highlight w:val="none"/>
              </w:rPr>
            </w:pPr>
          </w:p>
          <w:p w14:paraId="6019E00E">
            <w:pPr>
              <w:pStyle w:val="68"/>
              <w:shd w:val="clear"/>
              <w:spacing w:before="78" w:line="218" w:lineRule="auto"/>
              <w:ind w:left="111"/>
              <w:rPr>
                <w:sz w:val="24"/>
                <w:szCs w:val="24"/>
                <w:highlight w:val="none"/>
              </w:rPr>
            </w:pPr>
            <w:r>
              <w:rPr>
                <w:spacing w:val="-2"/>
                <w:sz w:val="24"/>
                <w:szCs w:val="24"/>
                <w:highlight w:val="none"/>
              </w:rPr>
              <w:t>合同价款支付时间</w:t>
            </w:r>
          </w:p>
        </w:tc>
        <w:tc>
          <w:tcPr>
            <w:tcW w:w="3751" w:type="dxa"/>
            <w:tcBorders>
              <w:right w:val="single" w:color="000000" w:sz="2" w:space="0"/>
            </w:tcBorders>
            <w:vAlign w:val="top"/>
          </w:tcPr>
          <w:p w14:paraId="03CB6F3C">
            <w:pPr>
              <w:pStyle w:val="68"/>
              <w:shd w:val="clear"/>
              <w:spacing w:before="39" w:line="235" w:lineRule="auto"/>
              <w:ind w:left="111" w:right="114" w:firstLine="1"/>
              <w:jc w:val="both"/>
              <w:rPr>
                <w:sz w:val="24"/>
                <w:szCs w:val="24"/>
                <w:highlight w:val="none"/>
              </w:rPr>
            </w:pPr>
            <w:r>
              <w:rPr>
                <w:spacing w:val="-3"/>
                <w:sz w:val="24"/>
                <w:szCs w:val="24"/>
                <w:highlight w:val="none"/>
              </w:rPr>
              <w:t>合同签订后支付合同金额的</w:t>
            </w:r>
            <w:r>
              <w:rPr>
                <w:spacing w:val="-38"/>
                <w:sz w:val="24"/>
                <w:szCs w:val="24"/>
                <w:highlight w:val="none"/>
              </w:rPr>
              <w:t xml:space="preserve"> </w:t>
            </w:r>
            <w:r>
              <w:rPr>
                <w:spacing w:val="-3"/>
                <w:sz w:val="24"/>
                <w:szCs w:val="24"/>
                <w:highlight w:val="none"/>
              </w:rPr>
              <w:t>50%，</w:t>
            </w:r>
            <w:r>
              <w:rPr>
                <w:spacing w:val="11"/>
                <w:sz w:val="24"/>
                <w:szCs w:val="24"/>
                <w:highlight w:val="none"/>
              </w:rPr>
              <w:t>所有产品到货且验收合格后支付</w:t>
            </w:r>
            <w:r>
              <w:rPr>
                <w:spacing w:val="-3"/>
                <w:sz w:val="24"/>
                <w:szCs w:val="24"/>
                <w:highlight w:val="none"/>
              </w:rPr>
              <w:t>合同金额的</w:t>
            </w:r>
            <w:r>
              <w:rPr>
                <w:spacing w:val="-39"/>
                <w:sz w:val="24"/>
                <w:szCs w:val="24"/>
                <w:highlight w:val="none"/>
              </w:rPr>
              <w:t xml:space="preserve"> </w:t>
            </w:r>
            <w:r>
              <w:rPr>
                <w:spacing w:val="-3"/>
                <w:sz w:val="24"/>
                <w:szCs w:val="24"/>
                <w:highlight w:val="none"/>
              </w:rPr>
              <w:t>50%，甲方付款前，乙</w:t>
            </w:r>
            <w:r>
              <w:rPr>
                <w:spacing w:val="11"/>
                <w:sz w:val="24"/>
                <w:szCs w:val="24"/>
                <w:highlight w:val="none"/>
              </w:rPr>
              <w:t>方应向甲方开具等额有效的增值</w:t>
            </w:r>
            <w:r>
              <w:rPr>
                <w:spacing w:val="-1"/>
                <w:sz w:val="24"/>
                <w:szCs w:val="24"/>
                <w:highlight w:val="none"/>
              </w:rPr>
              <w:t>税发票，</w:t>
            </w:r>
            <w:r>
              <w:rPr>
                <w:spacing w:val="50"/>
                <w:sz w:val="24"/>
                <w:szCs w:val="24"/>
                <w:highlight w:val="none"/>
              </w:rPr>
              <w:t xml:space="preserve"> </w:t>
            </w:r>
            <w:r>
              <w:rPr>
                <w:spacing w:val="-1"/>
                <w:sz w:val="24"/>
                <w:szCs w:val="24"/>
                <w:highlight w:val="none"/>
              </w:rPr>
              <w:t>甲方未收到发票的，有</w:t>
            </w:r>
            <w:r>
              <w:rPr>
                <w:spacing w:val="11"/>
                <w:sz w:val="24"/>
                <w:szCs w:val="24"/>
                <w:highlight w:val="none"/>
              </w:rPr>
              <w:t>权不予支付相应款项直至乙方提</w:t>
            </w:r>
            <w:r>
              <w:rPr>
                <w:spacing w:val="-6"/>
                <w:sz w:val="24"/>
                <w:szCs w:val="24"/>
                <w:highlight w:val="none"/>
              </w:rPr>
              <w:t>供合格发票，且不免除乙方后续义</w:t>
            </w:r>
            <w:r>
              <w:rPr>
                <w:spacing w:val="-2"/>
                <w:sz w:val="24"/>
                <w:szCs w:val="24"/>
                <w:highlight w:val="none"/>
              </w:rPr>
              <w:t>务的履行。</w:t>
            </w:r>
          </w:p>
        </w:tc>
      </w:tr>
      <w:tr w14:paraId="216F0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940" w:type="dxa"/>
            <w:tcBorders>
              <w:left w:val="single" w:color="000000" w:sz="2" w:space="0"/>
            </w:tcBorders>
            <w:vAlign w:val="top"/>
          </w:tcPr>
          <w:p w14:paraId="0EE8199D">
            <w:pPr>
              <w:pStyle w:val="68"/>
              <w:shd w:val="clear"/>
              <w:spacing w:before="38" w:line="223" w:lineRule="auto"/>
              <w:ind w:left="370" w:right="349" w:firstLine="180"/>
              <w:rPr>
                <w:sz w:val="24"/>
                <w:szCs w:val="24"/>
                <w:highlight w:val="none"/>
              </w:rPr>
            </w:pPr>
            <w:r>
              <w:rPr>
                <w:spacing w:val="-4"/>
                <w:sz w:val="24"/>
                <w:szCs w:val="24"/>
                <w:highlight w:val="none"/>
              </w:rPr>
              <w:t>第二节</w:t>
            </w:r>
            <w:r>
              <w:rPr>
                <w:spacing w:val="-8"/>
                <w:sz w:val="24"/>
                <w:szCs w:val="24"/>
                <w:highlight w:val="none"/>
              </w:rPr>
              <w:t>第</w:t>
            </w:r>
            <w:r>
              <w:rPr>
                <w:spacing w:val="-33"/>
                <w:sz w:val="24"/>
                <w:szCs w:val="24"/>
                <w:highlight w:val="none"/>
              </w:rPr>
              <w:t xml:space="preserve"> </w:t>
            </w:r>
            <w:r>
              <w:rPr>
                <w:spacing w:val="-8"/>
                <w:sz w:val="24"/>
                <w:szCs w:val="24"/>
                <w:highlight w:val="none"/>
              </w:rPr>
              <w:t>13.2</w:t>
            </w:r>
            <w:r>
              <w:rPr>
                <w:spacing w:val="-50"/>
                <w:sz w:val="24"/>
                <w:szCs w:val="24"/>
                <w:highlight w:val="none"/>
              </w:rPr>
              <w:t xml:space="preserve"> </w:t>
            </w:r>
            <w:r>
              <w:rPr>
                <w:spacing w:val="-8"/>
                <w:sz w:val="24"/>
                <w:szCs w:val="24"/>
                <w:highlight w:val="none"/>
              </w:rPr>
              <w:t>款</w:t>
            </w:r>
          </w:p>
        </w:tc>
        <w:tc>
          <w:tcPr>
            <w:tcW w:w="3456" w:type="dxa"/>
            <w:vAlign w:val="top"/>
          </w:tcPr>
          <w:p w14:paraId="32473314">
            <w:pPr>
              <w:pStyle w:val="68"/>
              <w:shd w:val="clear"/>
              <w:spacing w:before="193" w:line="220" w:lineRule="auto"/>
              <w:ind w:left="114"/>
              <w:rPr>
                <w:sz w:val="24"/>
                <w:szCs w:val="24"/>
                <w:highlight w:val="none"/>
              </w:rPr>
            </w:pPr>
            <w:r>
              <w:rPr>
                <w:spacing w:val="-2"/>
                <w:sz w:val="24"/>
                <w:szCs w:val="24"/>
                <w:highlight w:val="none"/>
              </w:rPr>
              <w:t>履约保证金不予退还的情形</w:t>
            </w:r>
          </w:p>
        </w:tc>
        <w:tc>
          <w:tcPr>
            <w:tcW w:w="3751" w:type="dxa"/>
            <w:tcBorders>
              <w:right w:val="single" w:color="000000" w:sz="2" w:space="0"/>
            </w:tcBorders>
            <w:vAlign w:val="top"/>
          </w:tcPr>
          <w:p w14:paraId="01D00C9E">
            <w:pPr>
              <w:pStyle w:val="68"/>
              <w:shd w:val="clear"/>
              <w:spacing w:before="193" w:line="220" w:lineRule="auto"/>
              <w:ind w:left="114"/>
              <w:rPr>
                <w:sz w:val="24"/>
                <w:szCs w:val="24"/>
                <w:highlight w:val="none"/>
              </w:rPr>
            </w:pPr>
            <w:r>
              <w:rPr>
                <w:sz w:val="24"/>
                <w:szCs w:val="24"/>
                <w:highlight w:val="none"/>
              </w:rPr>
              <w:t>无</w:t>
            </w:r>
          </w:p>
        </w:tc>
      </w:tr>
      <w:tr w14:paraId="1D4AF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40" w:type="dxa"/>
            <w:tcBorders>
              <w:left w:val="single" w:color="000000" w:sz="2" w:space="0"/>
            </w:tcBorders>
            <w:vAlign w:val="top"/>
          </w:tcPr>
          <w:p w14:paraId="3F367449">
            <w:pPr>
              <w:pStyle w:val="68"/>
              <w:shd w:val="clear"/>
              <w:spacing w:before="37" w:line="223" w:lineRule="auto"/>
              <w:ind w:left="370" w:right="349" w:firstLine="180"/>
              <w:rPr>
                <w:sz w:val="24"/>
                <w:szCs w:val="24"/>
                <w:highlight w:val="none"/>
              </w:rPr>
            </w:pPr>
            <w:r>
              <w:rPr>
                <w:spacing w:val="-4"/>
                <w:sz w:val="24"/>
                <w:szCs w:val="24"/>
                <w:highlight w:val="none"/>
              </w:rPr>
              <w:t>第二节</w:t>
            </w:r>
            <w:r>
              <w:rPr>
                <w:spacing w:val="-8"/>
                <w:sz w:val="24"/>
                <w:szCs w:val="24"/>
                <w:highlight w:val="none"/>
              </w:rPr>
              <w:t>第</w:t>
            </w:r>
            <w:r>
              <w:rPr>
                <w:spacing w:val="-33"/>
                <w:sz w:val="24"/>
                <w:szCs w:val="24"/>
                <w:highlight w:val="none"/>
              </w:rPr>
              <w:t xml:space="preserve"> </w:t>
            </w:r>
            <w:r>
              <w:rPr>
                <w:spacing w:val="-8"/>
                <w:sz w:val="24"/>
                <w:szCs w:val="24"/>
                <w:highlight w:val="none"/>
              </w:rPr>
              <w:t>13.3</w:t>
            </w:r>
            <w:r>
              <w:rPr>
                <w:spacing w:val="-50"/>
                <w:sz w:val="24"/>
                <w:szCs w:val="24"/>
                <w:highlight w:val="none"/>
              </w:rPr>
              <w:t xml:space="preserve"> </w:t>
            </w:r>
            <w:r>
              <w:rPr>
                <w:spacing w:val="-8"/>
                <w:sz w:val="24"/>
                <w:szCs w:val="24"/>
                <w:highlight w:val="none"/>
              </w:rPr>
              <w:t>款</w:t>
            </w:r>
          </w:p>
        </w:tc>
        <w:tc>
          <w:tcPr>
            <w:tcW w:w="3456" w:type="dxa"/>
            <w:vAlign w:val="top"/>
          </w:tcPr>
          <w:p w14:paraId="27E2ADAE">
            <w:pPr>
              <w:pStyle w:val="68"/>
              <w:shd w:val="clear"/>
              <w:spacing w:before="37" w:line="223" w:lineRule="auto"/>
              <w:ind w:left="129" w:right="126" w:hanging="15"/>
              <w:rPr>
                <w:sz w:val="24"/>
                <w:szCs w:val="24"/>
                <w:highlight w:val="none"/>
              </w:rPr>
            </w:pPr>
            <w:r>
              <w:rPr>
                <w:spacing w:val="-1"/>
                <w:sz w:val="24"/>
                <w:szCs w:val="24"/>
                <w:highlight w:val="none"/>
              </w:rPr>
              <w:t>履约保证金退还时间及逾期退还</w:t>
            </w:r>
            <w:r>
              <w:rPr>
                <w:spacing w:val="-8"/>
                <w:sz w:val="24"/>
                <w:szCs w:val="24"/>
                <w:highlight w:val="none"/>
              </w:rPr>
              <w:t>的违约金</w:t>
            </w:r>
          </w:p>
        </w:tc>
        <w:tc>
          <w:tcPr>
            <w:tcW w:w="3751" w:type="dxa"/>
            <w:tcBorders>
              <w:right w:val="single" w:color="000000" w:sz="2" w:space="0"/>
            </w:tcBorders>
            <w:vAlign w:val="top"/>
          </w:tcPr>
          <w:p w14:paraId="1294E664">
            <w:pPr>
              <w:pStyle w:val="68"/>
              <w:shd w:val="clear"/>
              <w:spacing w:before="191" w:line="220" w:lineRule="auto"/>
              <w:ind w:left="114"/>
              <w:rPr>
                <w:sz w:val="24"/>
                <w:szCs w:val="24"/>
                <w:highlight w:val="none"/>
              </w:rPr>
            </w:pPr>
            <w:r>
              <w:rPr>
                <w:sz w:val="24"/>
                <w:szCs w:val="24"/>
                <w:highlight w:val="none"/>
              </w:rPr>
              <w:t>无</w:t>
            </w:r>
          </w:p>
        </w:tc>
      </w:tr>
      <w:tr w14:paraId="2B422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940" w:type="dxa"/>
            <w:tcBorders>
              <w:left w:val="single" w:color="000000" w:sz="2" w:space="0"/>
            </w:tcBorders>
            <w:vAlign w:val="top"/>
          </w:tcPr>
          <w:p w14:paraId="25BAB41A">
            <w:pPr>
              <w:pStyle w:val="68"/>
              <w:shd w:val="clear"/>
              <w:spacing w:before="40" w:line="219" w:lineRule="auto"/>
              <w:ind w:left="550"/>
              <w:rPr>
                <w:sz w:val="24"/>
                <w:szCs w:val="24"/>
                <w:highlight w:val="none"/>
              </w:rPr>
            </w:pPr>
            <w:r>
              <w:rPr>
                <w:spacing w:val="-4"/>
                <w:sz w:val="24"/>
                <w:szCs w:val="24"/>
                <w:highlight w:val="none"/>
              </w:rPr>
              <w:t>第二节</w:t>
            </w:r>
          </w:p>
          <w:p w14:paraId="251DF601">
            <w:pPr>
              <w:pStyle w:val="68"/>
              <w:shd w:val="clear"/>
              <w:spacing w:before="24" w:line="207" w:lineRule="auto"/>
              <w:ind w:left="127"/>
              <w:rPr>
                <w:sz w:val="24"/>
                <w:szCs w:val="24"/>
                <w:highlight w:val="none"/>
              </w:rPr>
            </w:pPr>
            <w:r>
              <w:rPr>
                <w:spacing w:val="-9"/>
                <w:sz w:val="24"/>
                <w:szCs w:val="24"/>
                <w:highlight w:val="none"/>
              </w:rPr>
              <w:t>第</w:t>
            </w:r>
            <w:r>
              <w:rPr>
                <w:spacing w:val="-29"/>
                <w:sz w:val="24"/>
                <w:szCs w:val="24"/>
                <w:highlight w:val="none"/>
              </w:rPr>
              <w:t xml:space="preserve"> </w:t>
            </w:r>
            <w:r>
              <w:rPr>
                <w:spacing w:val="-9"/>
                <w:sz w:val="24"/>
                <w:szCs w:val="24"/>
                <w:highlight w:val="none"/>
              </w:rPr>
              <w:t>14.1（3）项</w:t>
            </w:r>
          </w:p>
        </w:tc>
        <w:tc>
          <w:tcPr>
            <w:tcW w:w="3456" w:type="dxa"/>
            <w:vAlign w:val="top"/>
          </w:tcPr>
          <w:p w14:paraId="6972102E">
            <w:pPr>
              <w:pStyle w:val="68"/>
              <w:shd w:val="clear"/>
              <w:spacing w:before="193" w:line="219" w:lineRule="auto"/>
              <w:ind w:left="110"/>
              <w:rPr>
                <w:sz w:val="24"/>
                <w:szCs w:val="24"/>
                <w:highlight w:val="none"/>
              </w:rPr>
            </w:pPr>
            <w:r>
              <w:rPr>
                <w:spacing w:val="-2"/>
                <w:sz w:val="24"/>
                <w:szCs w:val="24"/>
                <w:highlight w:val="none"/>
              </w:rPr>
              <w:t>运行监督、维修期限</w:t>
            </w:r>
          </w:p>
        </w:tc>
        <w:tc>
          <w:tcPr>
            <w:tcW w:w="3751" w:type="dxa"/>
            <w:tcBorders>
              <w:right w:val="single" w:color="000000" w:sz="2" w:space="0"/>
            </w:tcBorders>
            <w:vAlign w:val="top"/>
          </w:tcPr>
          <w:p w14:paraId="1F9FA4E6">
            <w:pPr>
              <w:pStyle w:val="68"/>
              <w:shd w:val="clear"/>
              <w:spacing w:before="193" w:line="219" w:lineRule="auto"/>
              <w:ind w:left="130"/>
              <w:rPr>
                <w:sz w:val="24"/>
                <w:szCs w:val="24"/>
                <w:highlight w:val="none"/>
              </w:rPr>
            </w:pPr>
            <w:r>
              <w:rPr>
                <w:spacing w:val="-14"/>
                <w:sz w:val="24"/>
                <w:szCs w:val="24"/>
                <w:highlight w:val="none"/>
              </w:rPr>
              <w:t>1</w:t>
            </w:r>
            <w:r>
              <w:rPr>
                <w:spacing w:val="-50"/>
                <w:sz w:val="24"/>
                <w:szCs w:val="24"/>
                <w:highlight w:val="none"/>
              </w:rPr>
              <w:t xml:space="preserve"> </w:t>
            </w:r>
            <w:r>
              <w:rPr>
                <w:spacing w:val="-14"/>
                <w:sz w:val="24"/>
                <w:szCs w:val="24"/>
                <w:highlight w:val="none"/>
              </w:rPr>
              <w:t>年</w:t>
            </w:r>
          </w:p>
        </w:tc>
      </w:tr>
      <w:tr w14:paraId="37D71B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940" w:type="dxa"/>
            <w:tcBorders>
              <w:left w:val="single" w:color="000000" w:sz="2" w:space="0"/>
            </w:tcBorders>
            <w:vAlign w:val="top"/>
          </w:tcPr>
          <w:p w14:paraId="2B631DF4">
            <w:pPr>
              <w:pStyle w:val="68"/>
              <w:shd w:val="clear"/>
              <w:spacing w:before="38" w:line="219" w:lineRule="auto"/>
              <w:ind w:left="550"/>
              <w:rPr>
                <w:sz w:val="24"/>
                <w:szCs w:val="24"/>
                <w:highlight w:val="none"/>
              </w:rPr>
            </w:pPr>
            <w:r>
              <w:rPr>
                <w:spacing w:val="-4"/>
                <w:sz w:val="24"/>
                <w:szCs w:val="24"/>
                <w:highlight w:val="none"/>
              </w:rPr>
              <w:t>第二节</w:t>
            </w:r>
          </w:p>
          <w:p w14:paraId="4E96C533">
            <w:pPr>
              <w:pStyle w:val="68"/>
              <w:shd w:val="clear"/>
              <w:spacing w:before="26" w:line="206" w:lineRule="auto"/>
              <w:ind w:left="127"/>
              <w:rPr>
                <w:sz w:val="24"/>
                <w:szCs w:val="24"/>
                <w:highlight w:val="none"/>
              </w:rPr>
            </w:pPr>
            <w:r>
              <w:rPr>
                <w:spacing w:val="-9"/>
                <w:sz w:val="24"/>
                <w:szCs w:val="24"/>
                <w:highlight w:val="none"/>
              </w:rPr>
              <w:t>第</w:t>
            </w:r>
            <w:r>
              <w:rPr>
                <w:spacing w:val="-29"/>
                <w:sz w:val="24"/>
                <w:szCs w:val="24"/>
                <w:highlight w:val="none"/>
              </w:rPr>
              <w:t xml:space="preserve"> </w:t>
            </w:r>
            <w:r>
              <w:rPr>
                <w:spacing w:val="-9"/>
                <w:sz w:val="24"/>
                <w:szCs w:val="24"/>
                <w:highlight w:val="none"/>
              </w:rPr>
              <w:t>14.1（5）项</w:t>
            </w:r>
          </w:p>
        </w:tc>
        <w:tc>
          <w:tcPr>
            <w:tcW w:w="3456" w:type="dxa"/>
            <w:vAlign w:val="top"/>
          </w:tcPr>
          <w:p w14:paraId="53CF69FC">
            <w:pPr>
              <w:pStyle w:val="68"/>
              <w:shd w:val="clear"/>
              <w:spacing w:before="193" w:line="219" w:lineRule="auto"/>
              <w:ind w:left="116"/>
              <w:rPr>
                <w:sz w:val="24"/>
                <w:szCs w:val="24"/>
                <w:highlight w:val="none"/>
              </w:rPr>
            </w:pPr>
            <w:r>
              <w:rPr>
                <w:spacing w:val="-3"/>
                <w:sz w:val="24"/>
                <w:szCs w:val="24"/>
                <w:highlight w:val="none"/>
              </w:rPr>
              <w:t>货物回收的约定</w:t>
            </w:r>
          </w:p>
        </w:tc>
        <w:tc>
          <w:tcPr>
            <w:tcW w:w="3751" w:type="dxa"/>
            <w:tcBorders>
              <w:right w:val="single" w:color="000000" w:sz="2" w:space="0"/>
            </w:tcBorders>
            <w:vAlign w:val="top"/>
          </w:tcPr>
          <w:p w14:paraId="49170299">
            <w:pPr>
              <w:pStyle w:val="68"/>
              <w:shd w:val="clear"/>
              <w:spacing w:before="193" w:line="220" w:lineRule="auto"/>
              <w:ind w:left="114"/>
              <w:rPr>
                <w:sz w:val="24"/>
                <w:szCs w:val="24"/>
                <w:highlight w:val="none"/>
              </w:rPr>
            </w:pPr>
            <w:r>
              <w:rPr>
                <w:sz w:val="24"/>
                <w:szCs w:val="24"/>
                <w:highlight w:val="none"/>
              </w:rPr>
              <w:t>无</w:t>
            </w:r>
          </w:p>
        </w:tc>
      </w:tr>
      <w:tr w14:paraId="5A83B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940" w:type="dxa"/>
            <w:tcBorders>
              <w:left w:val="single" w:color="000000" w:sz="2" w:space="0"/>
              <w:bottom w:val="single" w:color="000000" w:sz="2" w:space="0"/>
            </w:tcBorders>
            <w:vAlign w:val="top"/>
          </w:tcPr>
          <w:p w14:paraId="2F0C16ED">
            <w:pPr>
              <w:pStyle w:val="68"/>
              <w:shd w:val="clear"/>
              <w:spacing w:before="39" w:line="219" w:lineRule="auto"/>
              <w:ind w:left="550"/>
              <w:rPr>
                <w:sz w:val="24"/>
                <w:szCs w:val="24"/>
                <w:highlight w:val="none"/>
              </w:rPr>
            </w:pPr>
            <w:r>
              <w:rPr>
                <w:spacing w:val="-4"/>
                <w:sz w:val="24"/>
                <w:szCs w:val="24"/>
                <w:highlight w:val="none"/>
              </w:rPr>
              <w:t>第二节</w:t>
            </w:r>
          </w:p>
        </w:tc>
        <w:tc>
          <w:tcPr>
            <w:tcW w:w="3456" w:type="dxa"/>
            <w:tcBorders>
              <w:bottom w:val="single" w:color="000000" w:sz="2" w:space="0"/>
            </w:tcBorders>
            <w:vAlign w:val="top"/>
          </w:tcPr>
          <w:p w14:paraId="4F225246">
            <w:pPr>
              <w:pStyle w:val="68"/>
              <w:shd w:val="clear"/>
              <w:spacing w:before="38" w:line="219" w:lineRule="auto"/>
              <w:ind w:left="133"/>
              <w:rPr>
                <w:sz w:val="24"/>
                <w:szCs w:val="24"/>
                <w:highlight w:val="none"/>
              </w:rPr>
            </w:pPr>
            <w:r>
              <w:rPr>
                <w:spacing w:val="-4"/>
                <w:sz w:val="24"/>
                <w:szCs w:val="24"/>
                <w:highlight w:val="none"/>
              </w:rPr>
              <w:t>乙方提供的其他服务</w:t>
            </w:r>
          </w:p>
        </w:tc>
        <w:tc>
          <w:tcPr>
            <w:tcW w:w="3751" w:type="dxa"/>
            <w:tcBorders>
              <w:bottom w:val="single" w:color="000000" w:sz="2" w:space="0"/>
              <w:right w:val="single" w:color="000000" w:sz="2" w:space="0"/>
            </w:tcBorders>
            <w:vAlign w:val="top"/>
          </w:tcPr>
          <w:p w14:paraId="15FC3D84">
            <w:pPr>
              <w:pStyle w:val="68"/>
              <w:shd w:val="clear"/>
              <w:spacing w:before="39" w:line="219" w:lineRule="auto"/>
              <w:ind w:left="115"/>
              <w:rPr>
                <w:sz w:val="24"/>
                <w:szCs w:val="24"/>
                <w:highlight w:val="none"/>
              </w:rPr>
            </w:pPr>
            <w:r>
              <w:rPr>
                <w:spacing w:val="4"/>
                <w:sz w:val="24"/>
                <w:szCs w:val="24"/>
                <w:highlight w:val="none"/>
              </w:rPr>
              <w:t>24</w:t>
            </w:r>
            <w:r>
              <w:rPr>
                <w:spacing w:val="-31"/>
                <w:sz w:val="24"/>
                <w:szCs w:val="24"/>
                <w:highlight w:val="none"/>
              </w:rPr>
              <w:t xml:space="preserve"> </w:t>
            </w:r>
            <w:r>
              <w:rPr>
                <w:spacing w:val="4"/>
                <w:sz w:val="24"/>
                <w:szCs w:val="24"/>
                <w:highlight w:val="none"/>
              </w:rPr>
              <w:t>小时内满足甲方的紧急情况需</w:t>
            </w:r>
          </w:p>
        </w:tc>
      </w:tr>
    </w:tbl>
    <w:p w14:paraId="11590B8A">
      <w:pPr>
        <w:shd w:val="clear"/>
        <w:rPr>
          <w:rFonts w:ascii="Arial"/>
          <w:sz w:val="21"/>
          <w:highlight w:val="none"/>
        </w:rPr>
      </w:pPr>
    </w:p>
    <w:p w14:paraId="1CBCEAF0">
      <w:pPr>
        <w:shd w:val="clear"/>
        <w:rPr>
          <w:rFonts w:ascii="Arial" w:hAnsi="Arial" w:eastAsia="Arial" w:cs="Arial"/>
          <w:sz w:val="21"/>
          <w:szCs w:val="21"/>
          <w:highlight w:val="none"/>
        </w:rPr>
        <w:sectPr>
          <w:footerReference r:id="rId10" w:type="default"/>
          <w:pgSz w:w="11906" w:h="16839"/>
          <w:pgMar w:top="1134" w:right="1376" w:bottom="1152" w:left="1376" w:header="0" w:footer="987" w:gutter="0"/>
          <w:pgNumType w:fmt="numberInDash"/>
          <w:cols w:space="720" w:num="1"/>
        </w:sectPr>
      </w:pPr>
    </w:p>
    <w:p w14:paraId="5DA510BB">
      <w:pPr>
        <w:shd w:val="clear"/>
        <w:spacing w:before="19"/>
        <w:rPr>
          <w:highlight w:val="none"/>
        </w:rPr>
      </w:pPr>
    </w:p>
    <w:p w14:paraId="64945893">
      <w:pPr>
        <w:shd w:val="clear"/>
        <w:spacing w:before="19"/>
        <w:rPr>
          <w:highlight w:val="none"/>
        </w:rPr>
      </w:pPr>
    </w:p>
    <w:p w14:paraId="377F3DEF">
      <w:pPr>
        <w:shd w:val="clear"/>
        <w:spacing w:before="18"/>
        <w:rPr>
          <w:highlight w:val="none"/>
        </w:rPr>
      </w:pPr>
    </w:p>
    <w:p w14:paraId="6861E727">
      <w:pPr>
        <w:shd w:val="clear"/>
        <w:spacing w:before="18"/>
        <w:rPr>
          <w:highlight w:val="none"/>
        </w:rPr>
      </w:pPr>
    </w:p>
    <w:tbl>
      <w:tblPr>
        <w:tblStyle w:val="69"/>
        <w:tblW w:w="9147"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98"/>
        <w:gridCol w:w="3598"/>
        <w:gridCol w:w="3751"/>
      </w:tblGrid>
      <w:tr w14:paraId="4C38C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798" w:type="dxa"/>
            <w:tcBorders>
              <w:top w:val="single" w:color="000000" w:sz="2" w:space="0"/>
              <w:left w:val="single" w:color="000000" w:sz="2" w:space="0"/>
            </w:tcBorders>
            <w:vAlign w:val="top"/>
          </w:tcPr>
          <w:p w14:paraId="47D93EC6">
            <w:pPr>
              <w:pStyle w:val="68"/>
              <w:shd w:val="clear"/>
              <w:spacing w:before="46" w:line="209" w:lineRule="auto"/>
              <w:ind w:left="127"/>
              <w:rPr>
                <w:sz w:val="24"/>
                <w:szCs w:val="24"/>
                <w:highlight w:val="none"/>
              </w:rPr>
            </w:pPr>
            <w:r>
              <w:rPr>
                <w:spacing w:val="-9"/>
                <w:sz w:val="24"/>
                <w:szCs w:val="24"/>
                <w:highlight w:val="none"/>
              </w:rPr>
              <w:t>第</w:t>
            </w:r>
            <w:r>
              <w:rPr>
                <w:spacing w:val="-29"/>
                <w:sz w:val="24"/>
                <w:szCs w:val="24"/>
                <w:highlight w:val="none"/>
              </w:rPr>
              <w:t xml:space="preserve"> </w:t>
            </w:r>
            <w:r>
              <w:rPr>
                <w:spacing w:val="-9"/>
                <w:sz w:val="24"/>
                <w:szCs w:val="24"/>
                <w:highlight w:val="none"/>
              </w:rPr>
              <w:t>14.1（6）项</w:t>
            </w:r>
          </w:p>
        </w:tc>
        <w:tc>
          <w:tcPr>
            <w:tcW w:w="3598" w:type="dxa"/>
            <w:tcBorders>
              <w:top w:val="single" w:color="000000" w:sz="2" w:space="0"/>
            </w:tcBorders>
            <w:vAlign w:val="top"/>
          </w:tcPr>
          <w:p w14:paraId="57D27F05">
            <w:pPr>
              <w:shd w:val="clear"/>
              <w:rPr>
                <w:rFonts w:ascii="Arial"/>
                <w:sz w:val="21"/>
                <w:highlight w:val="none"/>
              </w:rPr>
            </w:pPr>
          </w:p>
        </w:tc>
        <w:tc>
          <w:tcPr>
            <w:tcW w:w="3751" w:type="dxa"/>
            <w:tcBorders>
              <w:top w:val="single" w:color="000000" w:sz="2" w:space="0"/>
              <w:right w:val="single" w:color="000000" w:sz="2" w:space="0"/>
            </w:tcBorders>
            <w:vAlign w:val="top"/>
          </w:tcPr>
          <w:p w14:paraId="7EB7DBD2">
            <w:pPr>
              <w:pStyle w:val="68"/>
              <w:shd w:val="clear"/>
              <w:spacing w:before="46" w:line="209" w:lineRule="auto"/>
              <w:ind w:left="114"/>
              <w:rPr>
                <w:sz w:val="24"/>
                <w:szCs w:val="24"/>
                <w:highlight w:val="none"/>
              </w:rPr>
            </w:pPr>
            <w:r>
              <w:rPr>
                <w:spacing w:val="-6"/>
                <w:sz w:val="24"/>
                <w:szCs w:val="24"/>
                <w:highlight w:val="none"/>
              </w:rPr>
              <w:t>求。</w:t>
            </w:r>
          </w:p>
        </w:tc>
      </w:tr>
      <w:tr w14:paraId="14B57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1798" w:type="dxa"/>
            <w:tcBorders>
              <w:left w:val="single" w:color="000000" w:sz="2" w:space="0"/>
            </w:tcBorders>
            <w:vAlign w:val="top"/>
          </w:tcPr>
          <w:p w14:paraId="754FCBD4">
            <w:pPr>
              <w:pStyle w:val="68"/>
              <w:shd w:val="clear"/>
              <w:spacing w:before="31" w:line="225" w:lineRule="auto"/>
              <w:ind w:left="370" w:right="349" w:firstLine="180"/>
              <w:rPr>
                <w:sz w:val="24"/>
                <w:szCs w:val="24"/>
                <w:highlight w:val="none"/>
              </w:rPr>
            </w:pPr>
            <w:r>
              <w:rPr>
                <w:spacing w:val="-4"/>
                <w:sz w:val="24"/>
                <w:szCs w:val="24"/>
                <w:highlight w:val="none"/>
              </w:rPr>
              <w:t>第二节</w:t>
            </w:r>
            <w:r>
              <w:rPr>
                <w:spacing w:val="-8"/>
                <w:sz w:val="24"/>
                <w:szCs w:val="24"/>
                <w:highlight w:val="none"/>
              </w:rPr>
              <w:t>第</w:t>
            </w:r>
            <w:r>
              <w:rPr>
                <w:spacing w:val="-33"/>
                <w:sz w:val="24"/>
                <w:szCs w:val="24"/>
                <w:highlight w:val="none"/>
              </w:rPr>
              <w:t xml:space="preserve"> </w:t>
            </w:r>
            <w:r>
              <w:rPr>
                <w:spacing w:val="-8"/>
                <w:sz w:val="24"/>
                <w:szCs w:val="24"/>
                <w:highlight w:val="none"/>
              </w:rPr>
              <w:t>15.1</w:t>
            </w:r>
            <w:r>
              <w:rPr>
                <w:spacing w:val="-50"/>
                <w:sz w:val="24"/>
                <w:szCs w:val="24"/>
                <w:highlight w:val="none"/>
              </w:rPr>
              <w:t xml:space="preserve"> </w:t>
            </w:r>
            <w:r>
              <w:rPr>
                <w:spacing w:val="-8"/>
                <w:sz w:val="24"/>
                <w:szCs w:val="24"/>
                <w:highlight w:val="none"/>
              </w:rPr>
              <w:t>款</w:t>
            </w:r>
          </w:p>
        </w:tc>
        <w:tc>
          <w:tcPr>
            <w:tcW w:w="3598" w:type="dxa"/>
            <w:vAlign w:val="top"/>
          </w:tcPr>
          <w:p w14:paraId="0D3B349E">
            <w:pPr>
              <w:pStyle w:val="68"/>
              <w:shd w:val="clear"/>
              <w:spacing w:before="189" w:line="219" w:lineRule="auto"/>
              <w:ind w:left="110"/>
              <w:rPr>
                <w:sz w:val="24"/>
                <w:szCs w:val="24"/>
                <w:highlight w:val="none"/>
              </w:rPr>
            </w:pPr>
            <w:r>
              <w:rPr>
                <w:spacing w:val="-1"/>
                <w:sz w:val="24"/>
                <w:szCs w:val="24"/>
                <w:highlight w:val="none"/>
              </w:rPr>
              <w:t>修理、重作、更换相关具体规定</w:t>
            </w:r>
          </w:p>
        </w:tc>
        <w:tc>
          <w:tcPr>
            <w:tcW w:w="3751" w:type="dxa"/>
            <w:tcBorders>
              <w:right w:val="single" w:color="000000" w:sz="2" w:space="0"/>
            </w:tcBorders>
            <w:vAlign w:val="top"/>
          </w:tcPr>
          <w:p w14:paraId="1A0FE000">
            <w:pPr>
              <w:pStyle w:val="68"/>
              <w:shd w:val="clear"/>
              <w:spacing w:before="188" w:line="220" w:lineRule="auto"/>
              <w:ind w:left="114"/>
              <w:rPr>
                <w:sz w:val="24"/>
                <w:szCs w:val="24"/>
                <w:highlight w:val="none"/>
              </w:rPr>
            </w:pPr>
            <w:r>
              <w:rPr>
                <w:sz w:val="24"/>
                <w:szCs w:val="24"/>
                <w:highlight w:val="none"/>
              </w:rPr>
              <w:t>无</w:t>
            </w:r>
          </w:p>
        </w:tc>
      </w:tr>
      <w:tr w14:paraId="5EE188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798" w:type="dxa"/>
            <w:tcBorders>
              <w:left w:val="single" w:color="000000" w:sz="2" w:space="0"/>
            </w:tcBorders>
            <w:vAlign w:val="top"/>
          </w:tcPr>
          <w:p w14:paraId="73E9E635">
            <w:pPr>
              <w:shd w:val="clear"/>
              <w:spacing w:line="419" w:lineRule="auto"/>
              <w:rPr>
                <w:rFonts w:ascii="Arial"/>
                <w:sz w:val="21"/>
                <w:highlight w:val="none"/>
              </w:rPr>
            </w:pPr>
          </w:p>
          <w:p w14:paraId="56DB5AEB">
            <w:pPr>
              <w:pStyle w:val="68"/>
              <w:shd w:val="clear"/>
              <w:spacing w:before="78" w:line="219" w:lineRule="auto"/>
              <w:ind w:left="550"/>
              <w:rPr>
                <w:sz w:val="24"/>
                <w:szCs w:val="24"/>
                <w:highlight w:val="none"/>
              </w:rPr>
            </w:pPr>
            <w:r>
              <w:rPr>
                <w:spacing w:val="-4"/>
                <w:sz w:val="24"/>
                <w:szCs w:val="24"/>
                <w:highlight w:val="none"/>
              </w:rPr>
              <w:t>第二节</w:t>
            </w:r>
          </w:p>
          <w:p w14:paraId="5DD2CF24">
            <w:pPr>
              <w:pStyle w:val="68"/>
              <w:shd w:val="clear"/>
              <w:spacing w:before="27" w:line="219" w:lineRule="auto"/>
              <w:ind w:left="127"/>
              <w:rPr>
                <w:sz w:val="24"/>
                <w:szCs w:val="24"/>
                <w:highlight w:val="none"/>
              </w:rPr>
            </w:pPr>
            <w:r>
              <w:rPr>
                <w:spacing w:val="-9"/>
                <w:sz w:val="24"/>
                <w:szCs w:val="24"/>
                <w:highlight w:val="none"/>
              </w:rPr>
              <w:t>第</w:t>
            </w:r>
            <w:r>
              <w:rPr>
                <w:spacing w:val="-29"/>
                <w:sz w:val="24"/>
                <w:szCs w:val="24"/>
                <w:highlight w:val="none"/>
              </w:rPr>
              <w:t xml:space="preserve"> </w:t>
            </w:r>
            <w:r>
              <w:rPr>
                <w:spacing w:val="-9"/>
                <w:sz w:val="24"/>
                <w:szCs w:val="24"/>
                <w:highlight w:val="none"/>
              </w:rPr>
              <w:t>15.2（2）项</w:t>
            </w:r>
          </w:p>
        </w:tc>
        <w:tc>
          <w:tcPr>
            <w:tcW w:w="3598" w:type="dxa"/>
            <w:vAlign w:val="top"/>
          </w:tcPr>
          <w:p w14:paraId="5ED4BCB0">
            <w:pPr>
              <w:shd w:val="clear"/>
              <w:spacing w:line="286" w:lineRule="auto"/>
              <w:rPr>
                <w:rFonts w:ascii="Arial"/>
                <w:sz w:val="21"/>
                <w:highlight w:val="none"/>
              </w:rPr>
            </w:pPr>
          </w:p>
          <w:p w14:paraId="36CFF955">
            <w:pPr>
              <w:shd w:val="clear"/>
              <w:spacing w:line="287" w:lineRule="auto"/>
              <w:rPr>
                <w:rFonts w:ascii="Arial"/>
                <w:sz w:val="21"/>
                <w:highlight w:val="none"/>
              </w:rPr>
            </w:pPr>
          </w:p>
          <w:p w14:paraId="44466B32">
            <w:pPr>
              <w:pStyle w:val="68"/>
              <w:shd w:val="clear"/>
              <w:spacing w:before="78" w:line="219" w:lineRule="auto"/>
              <w:ind w:left="110"/>
              <w:rPr>
                <w:sz w:val="24"/>
                <w:szCs w:val="24"/>
                <w:highlight w:val="none"/>
              </w:rPr>
            </w:pPr>
            <w:r>
              <w:rPr>
                <w:spacing w:val="-2"/>
                <w:sz w:val="24"/>
                <w:szCs w:val="24"/>
                <w:highlight w:val="none"/>
              </w:rPr>
              <w:t>迟延交货赔偿费</w:t>
            </w:r>
          </w:p>
        </w:tc>
        <w:tc>
          <w:tcPr>
            <w:tcW w:w="3751" w:type="dxa"/>
            <w:tcBorders>
              <w:right w:val="single" w:color="000000" w:sz="2" w:space="0"/>
            </w:tcBorders>
            <w:vAlign w:val="top"/>
          </w:tcPr>
          <w:p w14:paraId="701ABA6F">
            <w:pPr>
              <w:pStyle w:val="68"/>
              <w:shd w:val="clear"/>
              <w:spacing w:before="35" w:line="233" w:lineRule="auto"/>
              <w:ind w:left="111" w:right="117"/>
              <w:jc w:val="both"/>
              <w:rPr>
                <w:rFonts w:hint="eastAsia" w:eastAsia="宋体"/>
                <w:sz w:val="24"/>
                <w:szCs w:val="24"/>
                <w:highlight w:val="none"/>
                <w:lang w:eastAsia="zh-CN"/>
              </w:rPr>
            </w:pPr>
            <w:r>
              <w:rPr>
                <w:spacing w:val="-2"/>
                <w:sz w:val="24"/>
                <w:szCs w:val="24"/>
                <w:highlight w:val="none"/>
              </w:rPr>
              <w:t>每逾期</w:t>
            </w:r>
            <w:r>
              <w:rPr>
                <w:spacing w:val="-15"/>
                <w:sz w:val="24"/>
                <w:szCs w:val="24"/>
                <w:highlight w:val="none"/>
              </w:rPr>
              <w:t xml:space="preserve"> </w:t>
            </w:r>
            <w:r>
              <w:rPr>
                <w:spacing w:val="-2"/>
                <w:sz w:val="24"/>
                <w:szCs w:val="24"/>
                <w:highlight w:val="none"/>
              </w:rPr>
              <w:t>1 日按合同总额的</w:t>
            </w:r>
            <w:r>
              <w:rPr>
                <w:spacing w:val="-39"/>
                <w:sz w:val="24"/>
                <w:szCs w:val="24"/>
                <w:highlight w:val="none"/>
              </w:rPr>
              <w:t xml:space="preserve"> </w:t>
            </w:r>
            <w:r>
              <w:rPr>
                <w:spacing w:val="-2"/>
                <w:sz w:val="24"/>
                <w:szCs w:val="24"/>
                <w:highlight w:val="none"/>
              </w:rPr>
              <w:t>0.1%支</w:t>
            </w:r>
            <w:r>
              <w:rPr>
                <w:spacing w:val="2"/>
                <w:sz w:val="24"/>
                <w:szCs w:val="24"/>
                <w:highlight w:val="none"/>
              </w:rPr>
              <w:t xml:space="preserve">付违约金，逾期超过 </w:t>
            </w:r>
            <w:r>
              <w:rPr>
                <w:rFonts w:hint="eastAsia"/>
                <w:spacing w:val="2"/>
                <w:sz w:val="24"/>
                <w:szCs w:val="24"/>
                <w:highlight w:val="none"/>
                <w:lang w:val="en-US" w:eastAsia="zh-CN"/>
              </w:rPr>
              <w:t>15自然日</w:t>
            </w:r>
            <w:r>
              <w:rPr>
                <w:spacing w:val="2"/>
                <w:sz w:val="24"/>
                <w:szCs w:val="24"/>
                <w:highlight w:val="none"/>
              </w:rPr>
              <w:t>甲方有</w:t>
            </w:r>
            <w:r>
              <w:rPr>
                <w:spacing w:val="11"/>
                <w:sz w:val="24"/>
                <w:szCs w:val="24"/>
                <w:highlight w:val="none"/>
              </w:rPr>
              <w:t>权单方面解除合同</w:t>
            </w:r>
            <w:r>
              <w:rPr>
                <w:rFonts w:hint="eastAsia"/>
                <w:spacing w:val="11"/>
                <w:sz w:val="24"/>
                <w:szCs w:val="24"/>
                <w:highlight w:val="none"/>
                <w:lang w:eastAsia="zh-CN"/>
              </w:rPr>
              <w:t>，</w:t>
            </w:r>
            <w:r>
              <w:rPr>
                <w:spacing w:val="11"/>
                <w:sz w:val="24"/>
                <w:szCs w:val="24"/>
                <w:highlight w:val="none"/>
              </w:rPr>
              <w:t>并</w:t>
            </w:r>
            <w:r>
              <w:rPr>
                <w:rFonts w:hint="eastAsia"/>
                <w:spacing w:val="11"/>
                <w:sz w:val="24"/>
                <w:szCs w:val="24"/>
                <w:highlight w:val="none"/>
                <w:lang w:val="en-US" w:eastAsia="zh-CN"/>
              </w:rPr>
              <w:t>要求乙方支付合同金额20%的违约金</w:t>
            </w:r>
            <w:r>
              <w:rPr>
                <w:spacing w:val="-6"/>
                <w:sz w:val="24"/>
                <w:szCs w:val="24"/>
                <w:highlight w:val="none"/>
              </w:rPr>
              <w:t>，同时乙方应返回甲方全部</w:t>
            </w:r>
            <w:r>
              <w:rPr>
                <w:spacing w:val="-2"/>
                <w:sz w:val="24"/>
                <w:szCs w:val="24"/>
                <w:highlight w:val="none"/>
              </w:rPr>
              <w:t>已支付费用</w:t>
            </w:r>
            <w:r>
              <w:rPr>
                <w:rFonts w:hint="eastAsia"/>
                <w:spacing w:val="-2"/>
                <w:sz w:val="24"/>
                <w:szCs w:val="24"/>
                <w:highlight w:val="none"/>
                <w:lang w:eastAsia="zh-CN"/>
              </w:rPr>
              <w:t>。</w:t>
            </w:r>
          </w:p>
        </w:tc>
      </w:tr>
      <w:tr w14:paraId="0B4B8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1798" w:type="dxa"/>
            <w:tcBorders>
              <w:left w:val="single" w:color="000000" w:sz="2" w:space="0"/>
            </w:tcBorders>
            <w:vAlign w:val="top"/>
          </w:tcPr>
          <w:p w14:paraId="4832DDD4">
            <w:pPr>
              <w:pStyle w:val="68"/>
              <w:shd w:val="clear"/>
              <w:spacing w:before="192"/>
              <w:ind w:left="370" w:right="349" w:firstLine="180"/>
              <w:rPr>
                <w:sz w:val="24"/>
                <w:szCs w:val="24"/>
                <w:highlight w:val="none"/>
              </w:rPr>
            </w:pPr>
            <w:r>
              <w:rPr>
                <w:spacing w:val="-4"/>
                <w:sz w:val="24"/>
                <w:szCs w:val="24"/>
                <w:highlight w:val="none"/>
              </w:rPr>
              <w:t>第二节</w:t>
            </w:r>
            <w:r>
              <w:rPr>
                <w:spacing w:val="-8"/>
                <w:sz w:val="24"/>
                <w:szCs w:val="24"/>
                <w:highlight w:val="none"/>
              </w:rPr>
              <w:t>第</w:t>
            </w:r>
            <w:r>
              <w:rPr>
                <w:spacing w:val="-33"/>
                <w:sz w:val="24"/>
                <w:szCs w:val="24"/>
                <w:highlight w:val="none"/>
              </w:rPr>
              <w:t xml:space="preserve"> </w:t>
            </w:r>
            <w:r>
              <w:rPr>
                <w:spacing w:val="-8"/>
                <w:sz w:val="24"/>
                <w:szCs w:val="24"/>
                <w:highlight w:val="none"/>
              </w:rPr>
              <w:t>15.3</w:t>
            </w:r>
            <w:r>
              <w:rPr>
                <w:spacing w:val="-50"/>
                <w:sz w:val="24"/>
                <w:szCs w:val="24"/>
                <w:highlight w:val="none"/>
              </w:rPr>
              <w:t xml:space="preserve"> </w:t>
            </w:r>
            <w:r>
              <w:rPr>
                <w:spacing w:val="-8"/>
                <w:sz w:val="24"/>
                <w:szCs w:val="24"/>
                <w:highlight w:val="none"/>
              </w:rPr>
              <w:t>款</w:t>
            </w:r>
          </w:p>
        </w:tc>
        <w:tc>
          <w:tcPr>
            <w:tcW w:w="3598" w:type="dxa"/>
            <w:vAlign w:val="top"/>
          </w:tcPr>
          <w:p w14:paraId="7CAABDBF">
            <w:pPr>
              <w:shd w:val="clear"/>
              <w:spacing w:line="268" w:lineRule="auto"/>
              <w:rPr>
                <w:rFonts w:ascii="Arial"/>
                <w:sz w:val="21"/>
                <w:highlight w:val="none"/>
              </w:rPr>
            </w:pPr>
          </w:p>
          <w:p w14:paraId="4929D865">
            <w:pPr>
              <w:pStyle w:val="68"/>
              <w:shd w:val="clear"/>
              <w:spacing w:before="78" w:line="219" w:lineRule="auto"/>
              <w:ind w:left="108"/>
              <w:rPr>
                <w:sz w:val="24"/>
                <w:szCs w:val="24"/>
                <w:highlight w:val="none"/>
              </w:rPr>
            </w:pPr>
            <w:r>
              <w:rPr>
                <w:spacing w:val="-2"/>
                <w:sz w:val="24"/>
                <w:szCs w:val="24"/>
                <w:highlight w:val="none"/>
              </w:rPr>
              <w:t>逾期付款利息</w:t>
            </w:r>
          </w:p>
        </w:tc>
        <w:tc>
          <w:tcPr>
            <w:tcW w:w="3751" w:type="dxa"/>
            <w:tcBorders>
              <w:right w:val="single" w:color="000000" w:sz="2" w:space="0"/>
            </w:tcBorders>
            <w:vAlign w:val="top"/>
          </w:tcPr>
          <w:p w14:paraId="46C7D158">
            <w:pPr>
              <w:pStyle w:val="68"/>
              <w:shd w:val="clear"/>
              <w:spacing w:before="36" w:line="229" w:lineRule="auto"/>
              <w:ind w:left="114" w:right="117" w:firstLine="29"/>
              <w:jc w:val="both"/>
              <w:rPr>
                <w:sz w:val="24"/>
                <w:szCs w:val="24"/>
                <w:highlight w:val="none"/>
              </w:rPr>
            </w:pPr>
            <w:r>
              <w:rPr>
                <w:spacing w:val="-13"/>
                <w:sz w:val="24"/>
                <w:szCs w:val="24"/>
                <w:highlight w:val="none"/>
              </w:rPr>
              <w:t>甲方逾期付款，每逾期</w:t>
            </w:r>
            <w:r>
              <w:rPr>
                <w:spacing w:val="-31"/>
                <w:sz w:val="24"/>
                <w:szCs w:val="24"/>
                <w:highlight w:val="none"/>
              </w:rPr>
              <w:t xml:space="preserve"> </w:t>
            </w:r>
            <w:r>
              <w:rPr>
                <w:spacing w:val="-13"/>
                <w:sz w:val="24"/>
                <w:szCs w:val="24"/>
                <w:highlight w:val="none"/>
              </w:rPr>
              <w:t>1 日按未付</w:t>
            </w:r>
            <w:r>
              <w:rPr>
                <w:spacing w:val="-1"/>
                <w:sz w:val="24"/>
                <w:szCs w:val="24"/>
                <w:highlight w:val="none"/>
              </w:rPr>
              <w:t>金额的 0.05%</w:t>
            </w:r>
            <w:r>
              <w:rPr>
                <w:spacing w:val="45"/>
                <w:sz w:val="24"/>
                <w:szCs w:val="24"/>
                <w:highlight w:val="none"/>
              </w:rPr>
              <w:t xml:space="preserve"> </w:t>
            </w:r>
            <w:r>
              <w:rPr>
                <w:spacing w:val="-1"/>
                <w:sz w:val="24"/>
                <w:szCs w:val="24"/>
                <w:highlight w:val="none"/>
              </w:rPr>
              <w:t>向乙方支付滞纳金</w:t>
            </w:r>
            <w:r>
              <w:rPr>
                <w:spacing w:val="-2"/>
                <w:sz w:val="24"/>
                <w:szCs w:val="24"/>
                <w:highlight w:val="none"/>
              </w:rPr>
              <w:t>（最高不超过合同总价的</w:t>
            </w:r>
            <w:r>
              <w:rPr>
                <w:spacing w:val="-43"/>
                <w:sz w:val="24"/>
                <w:szCs w:val="24"/>
                <w:highlight w:val="none"/>
              </w:rPr>
              <w:t xml:space="preserve"> </w:t>
            </w:r>
            <w:r>
              <w:rPr>
                <w:spacing w:val="-2"/>
                <w:sz w:val="24"/>
                <w:szCs w:val="24"/>
                <w:highlight w:val="none"/>
              </w:rPr>
              <w:t>5%）。</w:t>
            </w:r>
          </w:p>
        </w:tc>
      </w:tr>
      <w:tr w14:paraId="61811B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798" w:type="dxa"/>
            <w:tcBorders>
              <w:left w:val="single" w:color="000000" w:sz="2" w:space="0"/>
              <w:bottom w:val="single" w:color="000000" w:sz="2" w:space="0"/>
              <w:right w:val="single" w:color="000000" w:sz="2" w:space="0"/>
            </w:tcBorders>
            <w:vAlign w:val="top"/>
          </w:tcPr>
          <w:p w14:paraId="2DA0FA24">
            <w:pPr>
              <w:pStyle w:val="68"/>
              <w:shd w:val="clear"/>
              <w:spacing w:before="35" w:line="222" w:lineRule="auto"/>
              <w:ind w:left="370" w:right="352" w:firstLine="180"/>
              <w:rPr>
                <w:sz w:val="24"/>
                <w:szCs w:val="24"/>
                <w:highlight w:val="none"/>
              </w:rPr>
            </w:pPr>
            <w:r>
              <w:rPr>
                <w:spacing w:val="-4"/>
                <w:sz w:val="24"/>
                <w:szCs w:val="24"/>
                <w:highlight w:val="none"/>
              </w:rPr>
              <w:t>第二节</w:t>
            </w:r>
            <w:r>
              <w:rPr>
                <w:spacing w:val="-8"/>
                <w:sz w:val="24"/>
                <w:szCs w:val="24"/>
                <w:highlight w:val="none"/>
              </w:rPr>
              <w:t>第</w:t>
            </w:r>
            <w:r>
              <w:rPr>
                <w:spacing w:val="-33"/>
                <w:sz w:val="24"/>
                <w:szCs w:val="24"/>
                <w:highlight w:val="none"/>
              </w:rPr>
              <w:t xml:space="preserve"> </w:t>
            </w:r>
            <w:r>
              <w:rPr>
                <w:spacing w:val="-8"/>
                <w:sz w:val="24"/>
                <w:szCs w:val="24"/>
                <w:highlight w:val="none"/>
              </w:rPr>
              <w:t>15.4</w:t>
            </w:r>
            <w:r>
              <w:rPr>
                <w:spacing w:val="-50"/>
                <w:sz w:val="24"/>
                <w:szCs w:val="24"/>
                <w:highlight w:val="none"/>
              </w:rPr>
              <w:t xml:space="preserve"> </w:t>
            </w:r>
            <w:r>
              <w:rPr>
                <w:spacing w:val="-8"/>
                <w:sz w:val="24"/>
                <w:szCs w:val="24"/>
                <w:highlight w:val="none"/>
              </w:rPr>
              <w:t>款</w:t>
            </w:r>
          </w:p>
        </w:tc>
        <w:tc>
          <w:tcPr>
            <w:tcW w:w="3598" w:type="dxa"/>
            <w:tcBorders>
              <w:left w:val="single" w:color="000000" w:sz="2" w:space="0"/>
              <w:bottom w:val="single" w:color="000000" w:sz="2" w:space="0"/>
              <w:right w:val="single" w:color="000000" w:sz="2" w:space="0"/>
            </w:tcBorders>
            <w:vAlign w:val="top"/>
          </w:tcPr>
          <w:p w14:paraId="25570E0E">
            <w:pPr>
              <w:pStyle w:val="68"/>
              <w:shd w:val="clear"/>
              <w:spacing w:before="192" w:line="219" w:lineRule="auto"/>
              <w:ind w:left="113"/>
              <w:rPr>
                <w:sz w:val="24"/>
                <w:szCs w:val="24"/>
                <w:highlight w:val="none"/>
              </w:rPr>
            </w:pPr>
            <w:r>
              <w:rPr>
                <w:spacing w:val="-2"/>
                <w:sz w:val="24"/>
                <w:szCs w:val="24"/>
                <w:highlight w:val="none"/>
              </w:rPr>
              <w:t>其他违约责任</w:t>
            </w:r>
          </w:p>
        </w:tc>
        <w:tc>
          <w:tcPr>
            <w:tcW w:w="3751" w:type="dxa"/>
            <w:tcBorders>
              <w:left w:val="single" w:color="000000" w:sz="2" w:space="0"/>
              <w:bottom w:val="single" w:color="000000" w:sz="2" w:space="0"/>
              <w:right w:val="single" w:color="000000" w:sz="2" w:space="0"/>
            </w:tcBorders>
            <w:vAlign w:val="top"/>
          </w:tcPr>
          <w:p w14:paraId="1E7B9861">
            <w:pPr>
              <w:shd w:val="clear"/>
              <w:rPr>
                <w:rFonts w:ascii="Arial"/>
                <w:sz w:val="21"/>
                <w:highlight w:val="none"/>
              </w:rPr>
            </w:pPr>
          </w:p>
        </w:tc>
      </w:tr>
      <w:tr w14:paraId="43FAE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1798" w:type="dxa"/>
            <w:tcBorders>
              <w:top w:val="single" w:color="000000" w:sz="2" w:space="0"/>
              <w:left w:val="single" w:color="000000" w:sz="2" w:space="0"/>
              <w:right w:val="single" w:color="000000" w:sz="2" w:space="0"/>
            </w:tcBorders>
            <w:vAlign w:val="top"/>
          </w:tcPr>
          <w:p w14:paraId="18BD96F3">
            <w:pPr>
              <w:shd w:val="clear"/>
              <w:spacing w:line="288" w:lineRule="auto"/>
              <w:rPr>
                <w:rFonts w:ascii="Arial"/>
                <w:sz w:val="21"/>
                <w:highlight w:val="none"/>
              </w:rPr>
            </w:pPr>
          </w:p>
          <w:p w14:paraId="0199305D">
            <w:pPr>
              <w:shd w:val="clear"/>
              <w:spacing w:line="289" w:lineRule="auto"/>
              <w:rPr>
                <w:rFonts w:ascii="Arial"/>
                <w:sz w:val="21"/>
                <w:highlight w:val="none"/>
              </w:rPr>
            </w:pPr>
          </w:p>
          <w:p w14:paraId="12978B64">
            <w:pPr>
              <w:pStyle w:val="68"/>
              <w:shd w:val="clear"/>
              <w:spacing w:before="78"/>
              <w:ind w:left="370" w:right="352" w:firstLine="180"/>
              <w:rPr>
                <w:sz w:val="24"/>
                <w:szCs w:val="24"/>
                <w:highlight w:val="none"/>
              </w:rPr>
            </w:pPr>
            <w:r>
              <w:rPr>
                <w:spacing w:val="-4"/>
                <w:sz w:val="24"/>
                <w:szCs w:val="24"/>
                <w:highlight w:val="none"/>
              </w:rPr>
              <w:t>第二节</w:t>
            </w:r>
            <w:r>
              <w:rPr>
                <w:spacing w:val="-8"/>
                <w:sz w:val="24"/>
                <w:szCs w:val="24"/>
                <w:highlight w:val="none"/>
              </w:rPr>
              <w:t>第</w:t>
            </w:r>
            <w:r>
              <w:rPr>
                <w:spacing w:val="-33"/>
                <w:sz w:val="24"/>
                <w:szCs w:val="24"/>
                <w:highlight w:val="none"/>
              </w:rPr>
              <w:t xml:space="preserve"> </w:t>
            </w:r>
            <w:r>
              <w:rPr>
                <w:spacing w:val="-8"/>
                <w:sz w:val="24"/>
                <w:szCs w:val="24"/>
                <w:highlight w:val="none"/>
              </w:rPr>
              <w:t>19.2</w:t>
            </w:r>
            <w:r>
              <w:rPr>
                <w:spacing w:val="-50"/>
                <w:sz w:val="24"/>
                <w:szCs w:val="24"/>
                <w:highlight w:val="none"/>
              </w:rPr>
              <w:t xml:space="preserve"> </w:t>
            </w:r>
            <w:r>
              <w:rPr>
                <w:spacing w:val="-8"/>
                <w:sz w:val="24"/>
                <w:szCs w:val="24"/>
                <w:highlight w:val="none"/>
              </w:rPr>
              <w:t>款</w:t>
            </w:r>
          </w:p>
        </w:tc>
        <w:tc>
          <w:tcPr>
            <w:tcW w:w="3598" w:type="dxa"/>
            <w:tcBorders>
              <w:top w:val="single" w:color="000000" w:sz="2" w:space="0"/>
              <w:left w:val="single" w:color="000000" w:sz="2" w:space="0"/>
              <w:right w:val="single" w:color="000000" w:sz="2" w:space="0"/>
            </w:tcBorders>
            <w:vAlign w:val="top"/>
          </w:tcPr>
          <w:p w14:paraId="7EC987C9">
            <w:pPr>
              <w:shd w:val="clear"/>
              <w:spacing w:line="243" w:lineRule="auto"/>
              <w:rPr>
                <w:rFonts w:ascii="Arial"/>
                <w:sz w:val="21"/>
                <w:highlight w:val="none"/>
              </w:rPr>
            </w:pPr>
          </w:p>
          <w:p w14:paraId="6D58EBF2">
            <w:pPr>
              <w:shd w:val="clear"/>
              <w:spacing w:line="243" w:lineRule="auto"/>
              <w:rPr>
                <w:rFonts w:ascii="Arial"/>
                <w:sz w:val="21"/>
                <w:highlight w:val="none"/>
              </w:rPr>
            </w:pPr>
          </w:p>
          <w:p w14:paraId="03013747">
            <w:pPr>
              <w:shd w:val="clear"/>
              <w:spacing w:line="244" w:lineRule="auto"/>
              <w:rPr>
                <w:rFonts w:ascii="Arial"/>
                <w:sz w:val="21"/>
                <w:highlight w:val="none"/>
              </w:rPr>
            </w:pPr>
          </w:p>
          <w:p w14:paraId="18376A09">
            <w:pPr>
              <w:pStyle w:val="68"/>
              <w:shd w:val="clear"/>
              <w:spacing w:before="78" w:line="219" w:lineRule="auto"/>
              <w:ind w:left="111"/>
              <w:rPr>
                <w:sz w:val="24"/>
                <w:szCs w:val="24"/>
                <w:highlight w:val="none"/>
              </w:rPr>
            </w:pPr>
            <w:r>
              <w:rPr>
                <w:spacing w:val="-2"/>
                <w:sz w:val="24"/>
                <w:szCs w:val="24"/>
                <w:highlight w:val="none"/>
              </w:rPr>
              <w:t>解决争议的方法</w:t>
            </w:r>
          </w:p>
        </w:tc>
        <w:tc>
          <w:tcPr>
            <w:tcW w:w="3751" w:type="dxa"/>
            <w:tcBorders>
              <w:top w:val="single" w:color="000000" w:sz="2" w:space="0"/>
              <w:left w:val="single" w:color="000000" w:sz="2" w:space="0"/>
              <w:right w:val="single" w:color="000000" w:sz="2" w:space="0"/>
            </w:tcBorders>
            <w:vAlign w:val="top"/>
          </w:tcPr>
          <w:p w14:paraId="771DE852">
            <w:pPr>
              <w:pStyle w:val="68"/>
              <w:shd w:val="clear"/>
              <w:spacing w:before="34"/>
              <w:ind w:left="119" w:right="100" w:firstLine="13"/>
              <w:rPr>
                <w:sz w:val="24"/>
                <w:szCs w:val="24"/>
                <w:highlight w:val="none"/>
              </w:rPr>
            </w:pPr>
            <w:r>
              <w:rPr>
                <w:spacing w:val="9"/>
                <w:sz w:val="24"/>
                <w:szCs w:val="24"/>
                <w:highlight w:val="none"/>
              </w:rPr>
              <w:t>因本合同及合同有关事项发生的</w:t>
            </w:r>
            <w:r>
              <w:rPr>
                <w:spacing w:val="-5"/>
                <w:sz w:val="24"/>
                <w:szCs w:val="24"/>
                <w:highlight w:val="none"/>
              </w:rPr>
              <w:t>争议，按下列第</w:t>
            </w:r>
            <w:r>
              <w:rPr>
                <w:spacing w:val="-5"/>
                <w:sz w:val="24"/>
                <w:szCs w:val="24"/>
                <w:highlight w:val="none"/>
                <w:u w:val="single" w:color="auto"/>
              </w:rPr>
              <w:t xml:space="preserve"> 2  </w:t>
            </w:r>
            <w:r>
              <w:rPr>
                <w:spacing w:val="-111"/>
                <w:sz w:val="24"/>
                <w:szCs w:val="24"/>
                <w:highlight w:val="none"/>
              </w:rPr>
              <w:t xml:space="preserve"> </w:t>
            </w:r>
            <w:r>
              <w:rPr>
                <w:spacing w:val="-5"/>
                <w:sz w:val="24"/>
                <w:szCs w:val="24"/>
                <w:highlight w:val="none"/>
              </w:rPr>
              <w:t>种方式解决：</w:t>
            </w:r>
          </w:p>
          <w:p w14:paraId="7E6F1687">
            <w:pPr>
              <w:pStyle w:val="68"/>
              <w:shd w:val="clear"/>
              <w:spacing w:line="239" w:lineRule="auto"/>
              <w:ind w:left="115" w:right="117" w:firstLine="10"/>
              <w:rPr>
                <w:sz w:val="24"/>
                <w:szCs w:val="24"/>
                <w:highlight w:val="none"/>
              </w:rPr>
            </w:pPr>
            <w:r>
              <w:rPr>
                <w:spacing w:val="1"/>
                <w:sz w:val="24"/>
                <w:szCs w:val="24"/>
                <w:highlight w:val="none"/>
              </w:rPr>
              <w:t>（1）</w:t>
            </w:r>
            <w:r>
              <w:rPr>
                <w:spacing w:val="-60"/>
                <w:sz w:val="24"/>
                <w:szCs w:val="24"/>
                <w:highlight w:val="none"/>
              </w:rPr>
              <w:t xml:space="preserve"> </w:t>
            </w:r>
            <w:r>
              <w:rPr>
                <w:spacing w:val="1"/>
                <w:sz w:val="24"/>
                <w:szCs w:val="24"/>
                <w:highlight w:val="none"/>
              </w:rPr>
              <w:t>向</w:t>
            </w:r>
            <w:r>
              <w:rPr>
                <w:spacing w:val="-110"/>
                <w:sz w:val="24"/>
                <w:szCs w:val="24"/>
                <w:highlight w:val="none"/>
              </w:rPr>
              <w:t xml:space="preserve"> </w:t>
            </w:r>
            <w:r>
              <w:rPr>
                <w:spacing w:val="10"/>
                <w:sz w:val="24"/>
                <w:szCs w:val="24"/>
                <w:highlight w:val="none"/>
                <w:u w:val="single" w:color="auto"/>
              </w:rPr>
              <w:t xml:space="preserve">     </w:t>
            </w:r>
            <w:r>
              <w:rPr>
                <w:spacing w:val="-111"/>
                <w:sz w:val="24"/>
                <w:szCs w:val="24"/>
                <w:highlight w:val="none"/>
              </w:rPr>
              <w:t xml:space="preserve"> </w:t>
            </w:r>
            <w:r>
              <w:rPr>
                <w:spacing w:val="1"/>
                <w:sz w:val="24"/>
                <w:szCs w:val="24"/>
                <w:highlight w:val="none"/>
              </w:rPr>
              <w:t>仲裁委员会申请仲</w:t>
            </w:r>
            <w:r>
              <w:rPr>
                <w:spacing w:val="-1"/>
                <w:sz w:val="24"/>
                <w:szCs w:val="24"/>
                <w:highlight w:val="none"/>
              </w:rPr>
              <w:t>裁，仲裁地点为</w:t>
            </w:r>
            <w:r>
              <w:rPr>
                <w:spacing w:val="-1"/>
                <w:sz w:val="24"/>
                <w:szCs w:val="24"/>
                <w:highlight w:val="none"/>
                <w:u w:val="single" w:color="auto"/>
              </w:rPr>
              <w:t xml:space="preserve">       </w:t>
            </w:r>
            <w:r>
              <w:rPr>
                <w:spacing w:val="-1"/>
                <w:sz w:val="24"/>
                <w:szCs w:val="24"/>
                <w:highlight w:val="none"/>
              </w:rPr>
              <w:t>；</w:t>
            </w:r>
          </w:p>
          <w:p w14:paraId="742663CC">
            <w:pPr>
              <w:pStyle w:val="68"/>
              <w:shd w:val="clear"/>
              <w:spacing w:before="2" w:line="222" w:lineRule="auto"/>
              <w:ind w:left="113" w:right="117" w:firstLine="12"/>
              <w:rPr>
                <w:sz w:val="24"/>
                <w:szCs w:val="24"/>
                <w:highlight w:val="none"/>
              </w:rPr>
            </w:pPr>
            <w:r>
              <w:rPr>
                <w:spacing w:val="-10"/>
                <w:sz w:val="24"/>
                <w:szCs w:val="24"/>
                <w:highlight w:val="none"/>
              </w:rPr>
              <w:t>（2）向</w:t>
            </w:r>
            <w:r>
              <w:rPr>
                <w:spacing w:val="49"/>
                <w:sz w:val="24"/>
                <w:szCs w:val="24"/>
                <w:highlight w:val="none"/>
                <w:u w:val="single" w:color="auto"/>
              </w:rPr>
              <w:t xml:space="preserve"> </w:t>
            </w:r>
            <w:r>
              <w:rPr>
                <w:rFonts w:hint="eastAsia"/>
                <w:spacing w:val="-10"/>
                <w:sz w:val="24"/>
                <w:szCs w:val="24"/>
                <w:highlight w:val="none"/>
                <w:u w:val="single" w:color="auto"/>
                <w:lang w:val="en-US" w:eastAsia="zh-CN"/>
              </w:rPr>
              <w:t>新疆生产建设兵团乌鲁木齐垦区</w:t>
            </w:r>
            <w:r>
              <w:rPr>
                <w:spacing w:val="-10"/>
                <w:sz w:val="24"/>
                <w:szCs w:val="24"/>
                <w:highlight w:val="none"/>
                <w:u w:val="single" w:color="auto"/>
              </w:rPr>
              <w:t xml:space="preserve">  </w:t>
            </w:r>
            <w:r>
              <w:rPr>
                <w:spacing w:val="-108"/>
                <w:sz w:val="24"/>
                <w:szCs w:val="24"/>
                <w:highlight w:val="none"/>
              </w:rPr>
              <w:t xml:space="preserve"> </w:t>
            </w:r>
            <w:r>
              <w:rPr>
                <w:spacing w:val="-10"/>
                <w:sz w:val="24"/>
                <w:szCs w:val="24"/>
                <w:highlight w:val="none"/>
              </w:rPr>
              <w:t>人民法院起</w:t>
            </w:r>
            <w:r>
              <w:rPr>
                <w:spacing w:val="-5"/>
                <w:sz w:val="24"/>
                <w:szCs w:val="24"/>
                <w:highlight w:val="none"/>
              </w:rPr>
              <w:t>诉。</w:t>
            </w:r>
          </w:p>
        </w:tc>
      </w:tr>
      <w:tr w14:paraId="381382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9" w:hRule="atLeast"/>
        </w:trPr>
        <w:tc>
          <w:tcPr>
            <w:tcW w:w="1798" w:type="dxa"/>
            <w:tcBorders>
              <w:left w:val="single" w:color="000000" w:sz="2" w:space="0"/>
              <w:bottom w:val="single" w:color="000000" w:sz="2" w:space="0"/>
            </w:tcBorders>
            <w:vAlign w:val="top"/>
          </w:tcPr>
          <w:p w14:paraId="1CDD4B47">
            <w:pPr>
              <w:pStyle w:val="68"/>
              <w:shd w:val="clear"/>
              <w:spacing w:before="38" w:line="231" w:lineRule="auto"/>
              <w:ind w:left="370" w:right="349" w:firstLine="180"/>
              <w:rPr>
                <w:sz w:val="24"/>
                <w:szCs w:val="24"/>
                <w:highlight w:val="none"/>
              </w:rPr>
            </w:pPr>
            <w:r>
              <w:rPr>
                <w:spacing w:val="-4"/>
                <w:sz w:val="24"/>
                <w:szCs w:val="24"/>
                <w:highlight w:val="none"/>
              </w:rPr>
              <w:t>第二节</w:t>
            </w:r>
            <w:r>
              <w:rPr>
                <w:spacing w:val="-6"/>
                <w:sz w:val="24"/>
                <w:szCs w:val="24"/>
                <w:highlight w:val="none"/>
              </w:rPr>
              <w:t>第</w:t>
            </w:r>
            <w:r>
              <w:rPr>
                <w:spacing w:val="-45"/>
                <w:sz w:val="24"/>
                <w:szCs w:val="24"/>
                <w:highlight w:val="none"/>
              </w:rPr>
              <w:t xml:space="preserve"> </w:t>
            </w:r>
            <w:r>
              <w:rPr>
                <w:spacing w:val="-6"/>
                <w:sz w:val="24"/>
                <w:szCs w:val="24"/>
                <w:highlight w:val="none"/>
              </w:rPr>
              <w:t>23.1</w:t>
            </w:r>
            <w:r>
              <w:rPr>
                <w:spacing w:val="-50"/>
                <w:sz w:val="24"/>
                <w:szCs w:val="24"/>
                <w:highlight w:val="none"/>
              </w:rPr>
              <w:t xml:space="preserve"> </w:t>
            </w:r>
            <w:r>
              <w:rPr>
                <w:spacing w:val="-6"/>
                <w:sz w:val="24"/>
                <w:szCs w:val="24"/>
                <w:highlight w:val="none"/>
              </w:rPr>
              <w:t>款</w:t>
            </w:r>
          </w:p>
        </w:tc>
        <w:tc>
          <w:tcPr>
            <w:tcW w:w="3598" w:type="dxa"/>
            <w:tcBorders>
              <w:bottom w:val="single" w:color="000000" w:sz="2" w:space="0"/>
            </w:tcBorders>
            <w:vAlign w:val="top"/>
          </w:tcPr>
          <w:p w14:paraId="1CB42839">
            <w:pPr>
              <w:pStyle w:val="68"/>
              <w:shd w:val="clear"/>
              <w:spacing w:before="195" w:line="219" w:lineRule="auto"/>
              <w:ind w:left="111"/>
              <w:rPr>
                <w:sz w:val="24"/>
                <w:szCs w:val="24"/>
                <w:highlight w:val="none"/>
              </w:rPr>
            </w:pPr>
            <w:r>
              <w:rPr>
                <w:spacing w:val="-2"/>
                <w:sz w:val="24"/>
                <w:szCs w:val="24"/>
                <w:highlight w:val="none"/>
              </w:rPr>
              <w:t>其他专用条款</w:t>
            </w:r>
          </w:p>
        </w:tc>
        <w:tc>
          <w:tcPr>
            <w:tcW w:w="3751" w:type="dxa"/>
            <w:tcBorders>
              <w:bottom w:val="single" w:color="000000" w:sz="2" w:space="0"/>
              <w:right w:val="single" w:color="000000" w:sz="2" w:space="0"/>
            </w:tcBorders>
            <w:vAlign w:val="top"/>
          </w:tcPr>
          <w:p w14:paraId="5C92A7A2">
            <w:pPr>
              <w:shd w:val="clear"/>
              <w:rPr>
                <w:rFonts w:ascii="Arial"/>
                <w:sz w:val="21"/>
                <w:highlight w:val="none"/>
              </w:rPr>
            </w:pPr>
          </w:p>
        </w:tc>
      </w:tr>
    </w:tbl>
    <w:p w14:paraId="7175CFE1">
      <w:pPr>
        <w:shd w:val="clear"/>
        <w:rPr>
          <w:rFonts w:ascii="Arial"/>
          <w:sz w:val="21"/>
          <w:highlight w:val="none"/>
        </w:rPr>
      </w:pPr>
    </w:p>
    <w:p w14:paraId="675830F1">
      <w:pPr>
        <w:shd w:val="clear"/>
        <w:rPr>
          <w:rFonts w:ascii="Arial" w:hAnsi="Arial" w:eastAsia="Arial" w:cs="Arial"/>
          <w:sz w:val="21"/>
          <w:szCs w:val="21"/>
          <w:highlight w:val="none"/>
        </w:rPr>
        <w:sectPr>
          <w:footerReference r:id="rId11" w:type="default"/>
          <w:pgSz w:w="11906" w:h="16839"/>
          <w:pgMar w:top="400" w:right="1376" w:bottom="1152" w:left="1376" w:header="0" w:footer="987" w:gutter="0"/>
          <w:pgNumType w:fmt="numberInDash"/>
          <w:cols w:space="720" w:num="1"/>
        </w:sectPr>
      </w:pPr>
    </w:p>
    <w:p w14:paraId="1EBBB031">
      <w:pPr>
        <w:pStyle w:val="3"/>
        <w:numPr>
          <w:ilvl w:val="0"/>
          <w:numId w:val="0"/>
        </w:numPr>
        <w:shd w:val="clear"/>
        <w:ind w:left="420" w:leftChars="0" w:hanging="420" w:firstLineChars="0"/>
        <w:rPr>
          <w:rFonts w:hint="eastAsia" w:ascii="宋体" w:hAnsi="宋体" w:eastAsia="宋体" w:cs="宋体"/>
          <w:color w:val="auto"/>
          <w:sz w:val="36"/>
          <w:szCs w:val="36"/>
          <w:highlight w:val="none"/>
        </w:rPr>
      </w:pPr>
      <w:bookmarkStart w:id="513" w:name="bookmark17"/>
      <w:bookmarkEnd w:id="513"/>
      <w:bookmarkStart w:id="514" w:name="_Toc12356"/>
      <w:bookmarkStart w:id="515" w:name="_Toc26172"/>
      <w:r>
        <w:rPr>
          <w:rFonts w:hint="eastAsia" w:ascii="宋体" w:hAnsi="宋体" w:eastAsia="宋体" w:cs="宋体"/>
          <w:b/>
          <w:bCs/>
          <w:color w:val="auto"/>
          <w:kern w:val="44"/>
          <w:sz w:val="36"/>
          <w:szCs w:val="36"/>
          <w:highlight w:val="none"/>
          <w:lang w:val="en-US" w:eastAsia="zh-CN" w:bidi="ar-SA"/>
        </w:rPr>
        <w:t xml:space="preserve">第六章 </w:t>
      </w:r>
      <w:r>
        <w:rPr>
          <w:rFonts w:hint="eastAsia" w:ascii="宋体" w:hAnsi="宋体" w:eastAsia="宋体" w:cs="宋体"/>
          <w:color w:val="auto"/>
          <w:sz w:val="36"/>
          <w:szCs w:val="36"/>
          <w:highlight w:val="none"/>
        </w:rPr>
        <w:t>响应文件的格式</w:t>
      </w:r>
      <w:bookmarkEnd w:id="514"/>
      <w:bookmarkEnd w:id="515"/>
    </w:p>
    <w:p w14:paraId="6EC4C082">
      <w:pPr>
        <w:shd w:val="clear"/>
        <w:ind w:firstLine="480" w:firstLineChars="200"/>
        <w:rPr>
          <w:rFonts w:hint="eastAsia" w:cs="仿宋_GB2312"/>
          <w:color w:val="auto"/>
          <w:highlight w:val="none"/>
          <w:lang w:val="zh-CN"/>
        </w:rPr>
      </w:pPr>
    </w:p>
    <w:p w14:paraId="66F9DB6D">
      <w:pPr>
        <w:shd w:val="clear"/>
        <w:ind w:firstLine="480" w:firstLineChars="200"/>
        <w:rPr>
          <w:rFonts w:hint="eastAsia" w:cs="仿宋_GB2312"/>
          <w:color w:val="auto"/>
          <w:highlight w:val="none"/>
          <w:lang w:val="zh-CN"/>
        </w:rPr>
      </w:pPr>
    </w:p>
    <w:p w14:paraId="0F1E5057">
      <w:pPr>
        <w:shd w:val="clear"/>
        <w:ind w:firstLine="480" w:firstLineChars="200"/>
        <w:rPr>
          <w:rFonts w:hint="eastAsia" w:cs="仿宋_GB2312"/>
          <w:color w:val="auto"/>
          <w:highlight w:val="none"/>
          <w:lang w:val="zh-CN"/>
        </w:rPr>
      </w:pPr>
    </w:p>
    <w:p w14:paraId="02C1CDE2">
      <w:pPr>
        <w:shd w:val="clear"/>
        <w:ind w:firstLine="480" w:firstLineChars="200"/>
        <w:rPr>
          <w:rFonts w:hint="eastAsia" w:cs="仿宋_GB2312"/>
          <w:color w:val="auto"/>
          <w:highlight w:val="none"/>
          <w:lang w:val="zh-CN"/>
        </w:rPr>
      </w:pPr>
    </w:p>
    <w:p w14:paraId="5FD4F8BE">
      <w:pPr>
        <w:shd w:val="clear"/>
        <w:ind w:firstLine="480" w:firstLineChars="200"/>
        <w:rPr>
          <w:rFonts w:hint="eastAsia" w:cs="仿宋_GB2312"/>
          <w:color w:val="auto"/>
          <w:highlight w:val="none"/>
          <w:lang w:val="zh-CN"/>
        </w:rPr>
      </w:pPr>
    </w:p>
    <w:p w14:paraId="40FD170D">
      <w:pPr>
        <w:shd w:val="clear"/>
        <w:ind w:firstLine="480" w:firstLineChars="200"/>
        <w:rPr>
          <w:rFonts w:hint="eastAsia" w:cs="仿宋_GB2312"/>
          <w:color w:val="auto"/>
          <w:highlight w:val="none"/>
          <w:lang w:val="zh-CN"/>
        </w:rPr>
      </w:pPr>
    </w:p>
    <w:p w14:paraId="333C12D2">
      <w:pPr>
        <w:shd w:val="clear"/>
        <w:ind w:firstLine="480" w:firstLineChars="200"/>
        <w:rPr>
          <w:rFonts w:hint="eastAsia" w:cs="仿宋_GB2312"/>
          <w:color w:val="auto"/>
          <w:highlight w:val="none"/>
          <w:lang w:val="zh-CN"/>
        </w:rPr>
      </w:pPr>
    </w:p>
    <w:p w14:paraId="0DC5F5FB">
      <w:pPr>
        <w:shd w:val="clear"/>
        <w:ind w:firstLine="480" w:firstLineChars="200"/>
        <w:rPr>
          <w:rFonts w:hint="eastAsia" w:cs="仿宋_GB2312"/>
          <w:color w:val="auto"/>
          <w:highlight w:val="none"/>
          <w:lang w:val="zh-CN"/>
        </w:rPr>
      </w:pPr>
    </w:p>
    <w:p w14:paraId="7D5CE0DF">
      <w:pPr>
        <w:shd w:val="clear"/>
        <w:ind w:firstLine="480" w:firstLineChars="200"/>
        <w:rPr>
          <w:rFonts w:hint="eastAsia" w:cs="仿宋_GB2312"/>
          <w:color w:val="auto"/>
          <w:highlight w:val="none"/>
          <w:lang w:val="zh-CN"/>
        </w:rPr>
      </w:pPr>
    </w:p>
    <w:p w14:paraId="226FEC9F">
      <w:pPr>
        <w:shd w:val="clear"/>
        <w:ind w:firstLine="480" w:firstLineChars="200"/>
        <w:rPr>
          <w:rFonts w:hint="eastAsia" w:cs="仿宋_GB2312"/>
          <w:color w:val="auto"/>
          <w:highlight w:val="none"/>
          <w:lang w:val="zh-CN"/>
        </w:rPr>
      </w:pPr>
    </w:p>
    <w:p w14:paraId="3B193948">
      <w:pPr>
        <w:shd w:val="clear"/>
        <w:ind w:firstLine="480" w:firstLineChars="200"/>
        <w:rPr>
          <w:rFonts w:hint="eastAsia" w:cs="仿宋_GB2312"/>
          <w:color w:val="auto"/>
          <w:highlight w:val="none"/>
          <w:lang w:val="zh-CN"/>
        </w:rPr>
      </w:pPr>
    </w:p>
    <w:p w14:paraId="25528327">
      <w:pPr>
        <w:shd w:val="clear"/>
        <w:ind w:firstLine="480" w:firstLineChars="200"/>
        <w:rPr>
          <w:rFonts w:hint="eastAsia" w:cs="仿宋_GB2312"/>
          <w:color w:val="auto"/>
          <w:highlight w:val="none"/>
          <w:lang w:val="zh-CN"/>
        </w:rPr>
      </w:pPr>
    </w:p>
    <w:p w14:paraId="6F2846A3">
      <w:pPr>
        <w:shd w:val="clear"/>
        <w:ind w:firstLine="480" w:firstLineChars="200"/>
        <w:rPr>
          <w:rFonts w:hint="eastAsia" w:cs="仿宋_GB2312"/>
          <w:color w:val="auto"/>
          <w:highlight w:val="none"/>
          <w:lang w:val="zh-CN"/>
        </w:rPr>
      </w:pPr>
    </w:p>
    <w:p w14:paraId="6D7EA01B">
      <w:pPr>
        <w:shd w:val="clear"/>
        <w:ind w:firstLine="480" w:firstLineChars="200"/>
        <w:rPr>
          <w:rFonts w:hint="eastAsia" w:cs="仿宋_GB2312"/>
          <w:color w:val="auto"/>
          <w:highlight w:val="none"/>
          <w:lang w:val="zh-CN"/>
        </w:rPr>
      </w:pPr>
    </w:p>
    <w:p w14:paraId="1FA1C6E4">
      <w:pPr>
        <w:shd w:val="clear"/>
        <w:ind w:firstLine="480" w:firstLineChars="200"/>
        <w:rPr>
          <w:rFonts w:hint="eastAsia" w:cs="仿宋_GB2312"/>
          <w:color w:val="auto"/>
          <w:highlight w:val="none"/>
          <w:lang w:val="zh-CN"/>
        </w:rPr>
      </w:pPr>
    </w:p>
    <w:p w14:paraId="7080018F">
      <w:pPr>
        <w:shd w:val="clear"/>
        <w:ind w:firstLine="480" w:firstLineChars="200"/>
        <w:rPr>
          <w:rFonts w:hint="eastAsia" w:cs="仿宋_GB2312"/>
          <w:color w:val="auto"/>
          <w:highlight w:val="none"/>
          <w:lang w:val="zh-CN"/>
        </w:rPr>
      </w:pPr>
    </w:p>
    <w:p w14:paraId="4B79049E">
      <w:pPr>
        <w:shd w:val="clear"/>
        <w:ind w:firstLine="480" w:firstLineChars="200"/>
        <w:rPr>
          <w:rFonts w:hint="eastAsia" w:cs="仿宋_GB2312"/>
          <w:color w:val="auto"/>
          <w:highlight w:val="none"/>
          <w:lang w:val="zh-CN"/>
        </w:rPr>
      </w:pPr>
    </w:p>
    <w:p w14:paraId="690F05F4">
      <w:pPr>
        <w:shd w:val="clear"/>
        <w:ind w:firstLine="480" w:firstLineChars="200"/>
        <w:rPr>
          <w:rFonts w:hint="eastAsia" w:cs="仿宋_GB2312"/>
          <w:color w:val="auto"/>
          <w:highlight w:val="none"/>
          <w:lang w:val="zh-CN"/>
        </w:rPr>
      </w:pPr>
    </w:p>
    <w:p w14:paraId="6ED94B89">
      <w:pPr>
        <w:shd w:val="clear"/>
        <w:ind w:firstLine="480" w:firstLineChars="200"/>
        <w:rPr>
          <w:rFonts w:hint="eastAsia" w:cs="仿宋_GB2312"/>
          <w:color w:val="auto"/>
          <w:highlight w:val="none"/>
          <w:lang w:val="zh-CN"/>
        </w:rPr>
      </w:pPr>
    </w:p>
    <w:p w14:paraId="7DE59651">
      <w:pPr>
        <w:shd w:val="clear"/>
        <w:ind w:firstLine="480" w:firstLineChars="200"/>
        <w:rPr>
          <w:rFonts w:hint="eastAsia" w:cs="仿宋_GB2312"/>
          <w:color w:val="auto"/>
          <w:highlight w:val="none"/>
          <w:lang w:val="zh-CN"/>
        </w:rPr>
      </w:pPr>
    </w:p>
    <w:p w14:paraId="0D899E1D">
      <w:pPr>
        <w:shd w:val="clear"/>
        <w:ind w:firstLine="480" w:firstLineChars="200"/>
        <w:rPr>
          <w:rFonts w:hint="eastAsia" w:cs="仿宋_GB2312"/>
          <w:color w:val="auto"/>
          <w:highlight w:val="none"/>
          <w:lang w:val="zh-CN"/>
        </w:rPr>
      </w:pPr>
    </w:p>
    <w:p w14:paraId="6EA0DF60">
      <w:pPr>
        <w:shd w:val="clear"/>
        <w:ind w:firstLine="480" w:firstLineChars="200"/>
        <w:rPr>
          <w:rFonts w:hint="eastAsia" w:cs="仿宋_GB2312"/>
          <w:color w:val="auto"/>
          <w:highlight w:val="none"/>
          <w:lang w:val="zh-CN"/>
        </w:rPr>
      </w:pPr>
    </w:p>
    <w:p w14:paraId="0EAD2D3B">
      <w:pPr>
        <w:shd w:val="clear"/>
        <w:ind w:firstLine="480" w:firstLineChars="200"/>
        <w:rPr>
          <w:rFonts w:hint="eastAsia" w:cs="仿宋_GB2312"/>
          <w:color w:val="auto"/>
          <w:highlight w:val="none"/>
          <w:lang w:val="zh-CN"/>
        </w:rPr>
      </w:pPr>
    </w:p>
    <w:p w14:paraId="470AE675">
      <w:pPr>
        <w:shd w:val="clear"/>
        <w:ind w:firstLine="480" w:firstLineChars="200"/>
        <w:rPr>
          <w:rFonts w:hint="eastAsia" w:cs="仿宋_GB2312"/>
          <w:color w:val="auto"/>
          <w:highlight w:val="none"/>
          <w:lang w:val="zh-CN"/>
        </w:rPr>
      </w:pPr>
    </w:p>
    <w:p w14:paraId="3D40132F">
      <w:pPr>
        <w:shd w:val="clear"/>
        <w:ind w:firstLine="480" w:firstLineChars="200"/>
        <w:rPr>
          <w:rFonts w:hint="eastAsia" w:cs="仿宋_GB2312"/>
          <w:color w:val="auto"/>
          <w:szCs w:val="24"/>
          <w:highlight w:val="none"/>
          <w:lang w:val="zh-CN"/>
        </w:rPr>
      </w:pPr>
    </w:p>
    <w:p w14:paraId="51ADE5D7">
      <w:pPr>
        <w:shd w:val="clear"/>
        <w:rPr>
          <w:rFonts w:hint="eastAsia" w:cs="仿宋_GB2312"/>
          <w:color w:val="auto"/>
          <w:szCs w:val="24"/>
          <w:highlight w:val="none"/>
          <w:lang w:val="zh-CN"/>
        </w:rPr>
      </w:pPr>
      <w:r>
        <w:rPr>
          <w:rFonts w:hint="eastAsia" w:cs="仿宋_GB2312"/>
          <w:color w:val="auto"/>
          <w:szCs w:val="24"/>
          <w:highlight w:val="none"/>
          <w:lang w:val="zh-CN"/>
        </w:rPr>
        <w:br w:type="page"/>
      </w:r>
    </w:p>
    <w:p w14:paraId="6DC90E3C">
      <w:pPr>
        <w:shd w:val="clea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202803F7">
      <w:pPr>
        <w:shd w:val="clear"/>
        <w:autoSpaceDE w:val="0"/>
        <w:autoSpaceDN w:val="0"/>
        <w:adjustRightInd w:val="0"/>
        <w:rPr>
          <w:color w:val="auto"/>
          <w:sz w:val="21"/>
          <w:szCs w:val="24"/>
          <w:highlight w:val="none"/>
        </w:rPr>
      </w:pPr>
    </w:p>
    <w:p w14:paraId="73B11C8A">
      <w:pPr>
        <w:shd w:val="clear"/>
        <w:autoSpaceDE w:val="0"/>
        <w:autoSpaceDN w:val="0"/>
        <w:adjustRightInd w:val="0"/>
        <w:rPr>
          <w:color w:val="auto"/>
          <w:sz w:val="21"/>
          <w:szCs w:val="24"/>
          <w:highlight w:val="none"/>
        </w:rPr>
      </w:pPr>
    </w:p>
    <w:p w14:paraId="36DF3F4E">
      <w:pPr>
        <w:shd w:val="clear"/>
        <w:autoSpaceDE w:val="0"/>
        <w:autoSpaceDN w:val="0"/>
        <w:adjustRightInd w:val="0"/>
        <w:jc w:val="center"/>
        <w:rPr>
          <w:color w:val="auto"/>
          <w:sz w:val="21"/>
          <w:szCs w:val="24"/>
          <w:highlight w:val="none"/>
        </w:rPr>
      </w:pPr>
    </w:p>
    <w:p w14:paraId="336E03FA">
      <w:pPr>
        <w:pStyle w:val="3"/>
        <w:shd w:val="clear"/>
        <w:bidi w:val="0"/>
        <w:rPr>
          <w:color w:val="auto"/>
          <w:sz w:val="72"/>
          <w:szCs w:val="72"/>
          <w:highlight w:val="none"/>
        </w:rPr>
      </w:pPr>
      <w:bookmarkStart w:id="516" w:name="_Toc5152"/>
      <w:r>
        <w:rPr>
          <w:rFonts w:hint="eastAsia"/>
          <w:color w:val="auto"/>
          <w:sz w:val="72"/>
          <w:szCs w:val="72"/>
          <w:highlight w:val="none"/>
          <w:lang w:val="en-US" w:eastAsia="zh-CN"/>
        </w:rPr>
        <w:t>响</w:t>
      </w:r>
      <w:r>
        <w:rPr>
          <w:rFonts w:hint="eastAsia"/>
          <w:color w:val="auto"/>
          <w:sz w:val="72"/>
          <w:szCs w:val="72"/>
          <w:highlight w:val="none"/>
        </w:rPr>
        <w:t xml:space="preserve"> </w:t>
      </w:r>
      <w:r>
        <w:rPr>
          <w:rFonts w:hint="eastAsia"/>
          <w:color w:val="auto"/>
          <w:sz w:val="72"/>
          <w:szCs w:val="72"/>
          <w:highlight w:val="none"/>
          <w:lang w:val="en-US" w:eastAsia="zh-CN"/>
        </w:rPr>
        <w:t>应</w:t>
      </w:r>
      <w:r>
        <w:rPr>
          <w:rFonts w:hint="eastAsia"/>
          <w:color w:val="auto"/>
          <w:sz w:val="72"/>
          <w:szCs w:val="72"/>
          <w:highlight w:val="none"/>
        </w:rPr>
        <w:t xml:space="preserve"> 文 件</w:t>
      </w:r>
      <w:bookmarkEnd w:id="516"/>
    </w:p>
    <w:p w14:paraId="7053976A">
      <w:pPr>
        <w:pStyle w:val="3"/>
        <w:shd w:val="clear"/>
        <w:bidi w:val="0"/>
        <w:rPr>
          <w:color w:val="auto"/>
          <w:sz w:val="72"/>
          <w:szCs w:val="72"/>
          <w:highlight w:val="none"/>
        </w:rPr>
      </w:pPr>
      <w:bookmarkStart w:id="517" w:name="_Toc7318"/>
      <w:r>
        <w:rPr>
          <w:rFonts w:hint="eastAsia"/>
          <w:color w:val="auto"/>
          <w:sz w:val="72"/>
          <w:szCs w:val="72"/>
          <w:highlight w:val="none"/>
        </w:rPr>
        <w:t>资格证明文件</w:t>
      </w:r>
      <w:bookmarkEnd w:id="517"/>
    </w:p>
    <w:p w14:paraId="11B2218D">
      <w:pPr>
        <w:shd w:val="clear"/>
        <w:autoSpaceDE w:val="0"/>
        <w:autoSpaceDN w:val="0"/>
        <w:adjustRightInd w:val="0"/>
        <w:rPr>
          <w:b/>
          <w:bCs/>
          <w:color w:val="auto"/>
          <w:sz w:val="22"/>
          <w:highlight w:val="none"/>
        </w:rPr>
      </w:pPr>
    </w:p>
    <w:p w14:paraId="7EDE7CD9">
      <w:pPr>
        <w:shd w:val="clear"/>
        <w:autoSpaceDE w:val="0"/>
        <w:autoSpaceDN w:val="0"/>
        <w:adjustRightInd w:val="0"/>
        <w:rPr>
          <w:color w:val="auto"/>
          <w:sz w:val="21"/>
          <w:szCs w:val="21"/>
          <w:highlight w:val="none"/>
        </w:rPr>
      </w:pPr>
    </w:p>
    <w:p w14:paraId="42DB1859">
      <w:pPr>
        <w:pStyle w:val="4"/>
        <w:shd w:val="clear"/>
        <w:rPr>
          <w:color w:val="auto"/>
          <w:highlight w:val="none"/>
        </w:rPr>
      </w:pPr>
    </w:p>
    <w:p w14:paraId="30EB22E6">
      <w:pPr>
        <w:shd w:val="clear"/>
        <w:autoSpaceDE w:val="0"/>
        <w:autoSpaceDN w:val="0"/>
        <w:adjustRightInd w:val="0"/>
        <w:rPr>
          <w:color w:val="auto"/>
          <w:sz w:val="21"/>
          <w:szCs w:val="21"/>
          <w:highlight w:val="none"/>
        </w:rPr>
      </w:pPr>
    </w:p>
    <w:p w14:paraId="0D158554">
      <w:pPr>
        <w:shd w:val="clear"/>
        <w:autoSpaceDE w:val="0"/>
        <w:autoSpaceDN w:val="0"/>
        <w:adjustRightInd w:val="0"/>
        <w:rPr>
          <w:color w:val="auto"/>
          <w:sz w:val="21"/>
          <w:szCs w:val="21"/>
          <w:highlight w:val="none"/>
        </w:rPr>
      </w:pPr>
    </w:p>
    <w:p w14:paraId="01B855BF">
      <w:pPr>
        <w:shd w:val="clea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7E0530D8">
      <w:pPr>
        <w:shd w:val="clea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4281C2EA">
      <w:pPr>
        <w:shd w:val="clea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val="en-US" w:eastAsia="zh-CN"/>
        </w:rPr>
        <w:t>供 应 商</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7DB2DE4">
      <w:pPr>
        <w:shd w:val="clear"/>
        <w:ind w:left="840" w:firstLine="420"/>
        <w:rPr>
          <w:b/>
          <w:bCs/>
          <w:color w:val="auto"/>
          <w:sz w:val="28"/>
          <w:szCs w:val="28"/>
          <w:highlight w:val="none"/>
        </w:rPr>
      </w:pPr>
    </w:p>
    <w:p w14:paraId="1D6D546F">
      <w:pPr>
        <w:shd w:val="clear"/>
        <w:ind w:left="840" w:firstLine="420"/>
        <w:rPr>
          <w:b/>
          <w:bCs/>
          <w:color w:val="auto"/>
          <w:sz w:val="28"/>
          <w:szCs w:val="28"/>
          <w:highlight w:val="none"/>
        </w:rPr>
      </w:pPr>
    </w:p>
    <w:p w14:paraId="167EF277">
      <w:pPr>
        <w:shd w:val="clear"/>
        <w:ind w:left="840" w:firstLine="420"/>
        <w:rPr>
          <w:b/>
          <w:bCs/>
          <w:color w:val="auto"/>
          <w:sz w:val="28"/>
          <w:szCs w:val="28"/>
          <w:highlight w:val="none"/>
        </w:rPr>
      </w:pPr>
    </w:p>
    <w:p w14:paraId="44B4D6D4">
      <w:pPr>
        <w:shd w:val="clear"/>
        <w:jc w:val="center"/>
        <w:rPr>
          <w:rFonts w:ascii="黑体" w:hAnsi="黑体" w:eastAsia="黑体"/>
          <w:color w:val="auto"/>
          <w:sz w:val="32"/>
          <w:szCs w:val="32"/>
          <w:highlight w:val="none"/>
        </w:rPr>
      </w:pPr>
      <w:r>
        <w:rPr>
          <w:rFonts w:hint="eastAsia" w:ascii="宋体" w:hAnsi="宋体" w:eastAsia="宋体" w:cs="宋体"/>
          <w:color w:val="auto"/>
          <w:sz w:val="32"/>
          <w:szCs w:val="32"/>
          <w:highlight w:val="none"/>
        </w:rPr>
        <w:t>年   月    日</w:t>
      </w:r>
    </w:p>
    <w:p w14:paraId="39BD53E8">
      <w:pPr>
        <w:shd w:val="clear"/>
        <w:jc w:val="center"/>
        <w:rPr>
          <w:b/>
          <w:bCs/>
          <w:color w:val="auto"/>
          <w:sz w:val="28"/>
          <w:szCs w:val="28"/>
          <w:highlight w:val="none"/>
        </w:rPr>
      </w:pPr>
      <w:r>
        <w:rPr>
          <w:b/>
          <w:bCs/>
          <w:color w:val="auto"/>
          <w:sz w:val="28"/>
          <w:szCs w:val="28"/>
          <w:highlight w:val="none"/>
        </w:rPr>
        <w:br w:type="page"/>
      </w:r>
    </w:p>
    <w:p w14:paraId="6DBE2CDA">
      <w:pPr>
        <w:shd w:val="clear"/>
        <w:rPr>
          <w:color w:val="auto"/>
          <w:highlight w:val="none"/>
          <w:lang w:val="zh-CN"/>
        </w:rPr>
      </w:pPr>
      <w:bookmarkStart w:id="518" w:name="_Toc155185928"/>
      <w:bookmarkStart w:id="519" w:name="_Toc163492922"/>
      <w:bookmarkStart w:id="520" w:name="_Toc163493643"/>
    </w:p>
    <w:p w14:paraId="1582779F">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521" w:name="_Toc30712"/>
      <w:bookmarkStart w:id="522" w:name="_Toc15682"/>
      <w:bookmarkStart w:id="523" w:name="_Toc155185927"/>
      <w:r>
        <w:rPr>
          <w:rFonts w:hint="eastAsia" w:eastAsia="宋体" w:asciiTheme="majorHAnsi" w:hAnsiTheme="majorHAnsi" w:cstheme="majorBidi"/>
          <w:b/>
          <w:bCs/>
          <w:color w:val="auto"/>
          <w:kern w:val="2"/>
          <w:sz w:val="28"/>
          <w:szCs w:val="28"/>
          <w:highlight w:val="none"/>
          <w:lang w:val="en-US" w:eastAsia="zh-CN" w:bidi="ar-SA"/>
        </w:rPr>
        <w:t>一、满足《中华人民共和国政府采购法》第二十二条规定</w:t>
      </w:r>
      <w:bookmarkEnd w:id="521"/>
      <w:bookmarkEnd w:id="522"/>
    </w:p>
    <w:bookmarkEnd w:id="523"/>
    <w:p w14:paraId="6B7B06FF">
      <w:pPr>
        <w:pStyle w:val="5"/>
        <w:shd w:val="clear"/>
        <w:bidi w:val="0"/>
        <w:rPr>
          <w:rFonts w:hint="eastAsia"/>
          <w:color w:val="auto"/>
          <w:sz w:val="28"/>
          <w:szCs w:val="28"/>
          <w:highlight w:val="none"/>
          <w:lang w:val="en-US" w:eastAsia="zh-CN"/>
        </w:rPr>
      </w:pPr>
      <w:r>
        <w:rPr>
          <w:rFonts w:hint="eastAsia"/>
          <w:color w:val="auto"/>
          <w:sz w:val="28"/>
          <w:szCs w:val="28"/>
          <w:highlight w:val="none"/>
          <w:lang w:val="en-US" w:eastAsia="zh-CN"/>
        </w:rPr>
        <w:t>（一）法人、其他组织或者自然人的证明文件</w:t>
      </w:r>
    </w:p>
    <w:p w14:paraId="18B0578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1、供应商</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1D91F8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2、供应商</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11EBB2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3、供应商</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783D09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4、供应商</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1C5E4BB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5、供应商</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77687BE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128F3677">
      <w:pPr>
        <w:shd w:val="clea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bookmarkEnd w:id="518"/>
    <w:bookmarkEnd w:id="519"/>
    <w:p w14:paraId="69A95AD2">
      <w:pPr>
        <w:pStyle w:val="5"/>
        <w:shd w:val="clear"/>
        <w:bidi w:val="0"/>
        <w:rPr>
          <w:rFonts w:hint="eastAsia"/>
          <w:color w:val="auto"/>
          <w:sz w:val="28"/>
          <w:szCs w:val="28"/>
          <w:highlight w:val="none"/>
          <w:lang w:val="en-US" w:eastAsia="zh-CN"/>
        </w:rPr>
      </w:pPr>
      <w:bookmarkStart w:id="524" w:name="_Toc4110"/>
      <w:bookmarkStart w:id="525" w:name="_Toc4705"/>
      <w:r>
        <w:rPr>
          <w:rFonts w:hint="eastAsia"/>
          <w:color w:val="auto"/>
          <w:sz w:val="28"/>
          <w:szCs w:val="28"/>
          <w:highlight w:val="none"/>
          <w:lang w:val="en-US" w:eastAsia="zh-CN"/>
        </w:rPr>
        <w:t>（二）兵团政府采购供应商信用承诺函</w:t>
      </w:r>
      <w:bookmarkEnd w:id="524"/>
      <w:bookmarkEnd w:id="525"/>
    </w:p>
    <w:p w14:paraId="149786FB">
      <w:pPr>
        <w:shd w:val="clea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48FFA3C0">
      <w:pPr>
        <w:shd w:val="clea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7DA4A26F">
      <w:pPr>
        <w:shd w:val="clea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2565F5FE">
      <w:pPr>
        <w:shd w:val="clear"/>
        <w:spacing w:line="560" w:lineRule="exact"/>
        <w:ind w:firstLine="480" w:firstLineChars="200"/>
        <w:rPr>
          <w:rFonts w:hint="eastAsia" w:ascii="宋体" w:hAnsi="宋体" w:eastAsia="宋体" w:cs="宋体"/>
          <w:color w:val="auto"/>
          <w:kern w:val="0"/>
          <w:sz w:val="24"/>
          <w:szCs w:val="24"/>
          <w:highlight w:val="none"/>
        </w:rPr>
      </w:pPr>
    </w:p>
    <w:p w14:paraId="39CDD6B5">
      <w:pPr>
        <w:shd w:val="clea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15BD2674">
      <w:pPr>
        <w:shd w:val="clea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3218A359">
      <w:pPr>
        <w:shd w:val="clea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p>
    <w:p w14:paraId="036C60EA">
      <w:pPr>
        <w:shd w:val="clea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p>
    <w:p w14:paraId="32BE9145">
      <w:pPr>
        <w:shd w:val="clea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p>
    <w:p w14:paraId="5C988BD2">
      <w:pPr>
        <w:shd w:val="clea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p>
    <w:p w14:paraId="64311F89">
      <w:pPr>
        <w:shd w:val="clea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p>
    <w:p w14:paraId="09591AFC">
      <w:pPr>
        <w:shd w:val="clea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1BA808C2">
      <w:pPr>
        <w:shd w:val="clea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、重大税收违法案件当事人名单、政府采购严重违法失信行为记录名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70127B20">
      <w:pPr>
        <w:shd w:val="clea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32445A77">
      <w:pPr>
        <w:shd w:val="clea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57CE52DB">
      <w:pPr>
        <w:shd w:val="clear"/>
        <w:spacing w:line="560" w:lineRule="exact"/>
        <w:rPr>
          <w:rFonts w:hint="eastAsia" w:ascii="宋体" w:hAnsi="宋体" w:eastAsia="宋体" w:cs="宋体"/>
          <w:color w:val="auto"/>
          <w:kern w:val="0"/>
          <w:sz w:val="24"/>
          <w:szCs w:val="24"/>
          <w:highlight w:val="none"/>
        </w:rPr>
      </w:pPr>
    </w:p>
    <w:p w14:paraId="5883D10C">
      <w:pPr>
        <w:shd w:val="clear"/>
        <w:spacing w:line="560" w:lineRule="exact"/>
        <w:rPr>
          <w:rFonts w:hint="eastAsia" w:ascii="宋体" w:hAnsi="宋体" w:eastAsia="宋体" w:cs="宋体"/>
          <w:color w:val="auto"/>
          <w:kern w:val="0"/>
          <w:sz w:val="24"/>
          <w:szCs w:val="24"/>
          <w:highlight w:val="none"/>
        </w:rPr>
      </w:pPr>
    </w:p>
    <w:p w14:paraId="02066849">
      <w:pPr>
        <w:shd w:val="clea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w:t>
      </w:r>
      <w:r>
        <w:rPr>
          <w:rFonts w:hint="eastAsia" w:cs="宋体"/>
          <w:color w:val="auto"/>
          <w:kern w:val="0"/>
          <w:sz w:val="24"/>
          <w:szCs w:val="24"/>
          <w:highlight w:val="none"/>
          <w:lang w:val="en-US" w:eastAsia="zh-CN"/>
        </w:rPr>
        <w:t>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3FCFFDCC">
      <w:pPr>
        <w:shd w:val="clea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本人</w:t>
      </w:r>
      <w:r>
        <w:rPr>
          <w:rFonts w:hint="eastAsia"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510A1256">
      <w:pPr>
        <w:shd w:val="clea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F4E790D">
      <w:pPr>
        <w:widowControl/>
        <w:shd w:val="clear"/>
        <w:spacing w:line="560" w:lineRule="exact"/>
        <w:ind w:firstLine="630"/>
        <w:jc w:val="left"/>
        <w:rPr>
          <w:rFonts w:hint="eastAsia" w:ascii="宋体" w:hAnsi="宋体" w:eastAsia="宋体" w:cs="宋体"/>
          <w:color w:val="auto"/>
          <w:kern w:val="0"/>
          <w:sz w:val="24"/>
          <w:szCs w:val="24"/>
          <w:highlight w:val="none"/>
        </w:rPr>
      </w:pPr>
    </w:p>
    <w:p w14:paraId="282D3BE6">
      <w:pPr>
        <w:shd w:val="clear"/>
        <w:rPr>
          <w:rFonts w:ascii="Arial" w:hAnsi="Arial" w:cs="Arial"/>
          <w:color w:val="auto"/>
          <w:szCs w:val="21"/>
          <w:highlight w:val="none"/>
        </w:rPr>
      </w:pPr>
      <w:r>
        <w:rPr>
          <w:rFonts w:ascii="Arial" w:hAnsi="Arial" w:cs="Arial"/>
          <w:color w:val="auto"/>
          <w:szCs w:val="21"/>
          <w:highlight w:val="none"/>
        </w:rPr>
        <w:br w:type="page"/>
      </w:r>
    </w:p>
    <w:p w14:paraId="33E55E65">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526" w:name="_Toc140132840"/>
      <w:bookmarkStart w:id="527" w:name="_Toc163492923"/>
      <w:bookmarkStart w:id="528" w:name="_Toc155185930"/>
      <w:bookmarkStart w:id="529" w:name="_Toc109899917"/>
      <w:bookmarkStart w:id="530" w:name="_Toc109899498"/>
      <w:bookmarkStart w:id="531" w:name="_Toc109900336"/>
      <w:bookmarkStart w:id="532" w:name="_Toc7114"/>
      <w:bookmarkStart w:id="533" w:name="_Toc17033"/>
      <w:r>
        <w:rPr>
          <w:rFonts w:hint="eastAsia" w:cstheme="majorBidi"/>
          <w:b/>
          <w:bCs/>
          <w:color w:val="auto"/>
          <w:kern w:val="2"/>
          <w:sz w:val="28"/>
          <w:szCs w:val="28"/>
          <w:highlight w:val="none"/>
          <w:lang w:val="en-US" w:eastAsia="zh-CN" w:bidi="ar-SA"/>
        </w:rPr>
        <w:t>二</w:t>
      </w:r>
      <w:r>
        <w:rPr>
          <w:rFonts w:hint="eastAsia" w:eastAsia="宋体" w:asciiTheme="majorHAnsi" w:hAnsiTheme="majorHAnsi" w:cstheme="majorBidi"/>
          <w:b/>
          <w:bCs/>
          <w:color w:val="auto"/>
          <w:kern w:val="2"/>
          <w:sz w:val="28"/>
          <w:szCs w:val="28"/>
          <w:highlight w:val="none"/>
          <w:lang w:val="en-US" w:eastAsia="zh-CN" w:bidi="ar-SA"/>
        </w:rPr>
        <w:t>、</w:t>
      </w:r>
      <w:bookmarkEnd w:id="526"/>
      <w:bookmarkEnd w:id="527"/>
      <w:bookmarkEnd w:id="528"/>
      <w:bookmarkEnd w:id="529"/>
      <w:bookmarkEnd w:id="530"/>
      <w:bookmarkEnd w:id="531"/>
      <w:bookmarkStart w:id="534" w:name="_Toc155185931"/>
      <w:r>
        <w:rPr>
          <w:rFonts w:hint="eastAsia" w:eastAsia="宋体" w:asciiTheme="majorHAnsi" w:hAnsiTheme="majorHAnsi" w:cstheme="majorBidi"/>
          <w:b/>
          <w:bCs/>
          <w:color w:val="auto"/>
          <w:kern w:val="2"/>
          <w:sz w:val="28"/>
          <w:szCs w:val="28"/>
          <w:highlight w:val="none"/>
          <w:lang w:val="zh-CN" w:eastAsia="zh-CN" w:bidi="ar-SA"/>
        </w:rPr>
        <w:t>联合体协议书</w:t>
      </w:r>
      <w:bookmarkEnd w:id="534"/>
      <w:r>
        <w:rPr>
          <w:rFonts w:hint="eastAsia" w:ascii="宋体" w:hAnsi="宋体" w:eastAsia="宋体" w:cstheme="minorBidi"/>
          <w:b w:val="0"/>
          <w:bCs w:val="0"/>
          <w:color w:val="auto"/>
          <w:kern w:val="2"/>
          <w:sz w:val="28"/>
          <w:szCs w:val="28"/>
          <w:highlight w:val="none"/>
          <w:lang w:val="zh-CN" w:eastAsia="zh-CN" w:bidi="ar-SA"/>
        </w:rPr>
        <w:t>【如适用】</w:t>
      </w:r>
      <w:bookmarkEnd w:id="532"/>
      <w:bookmarkEnd w:id="533"/>
    </w:p>
    <w:p w14:paraId="39563C7F">
      <w:pPr>
        <w:shd w:val="clear"/>
        <w:snapToGrid w:val="0"/>
        <w:spacing w:line="360" w:lineRule="auto"/>
        <w:jc w:val="center"/>
        <w:outlineLvl w:val="0"/>
        <w:rPr>
          <w:rFonts w:hint="eastAsia" w:ascii="宋体" w:hAnsi="宋体" w:cs="宋体"/>
          <w:b/>
          <w:color w:val="auto"/>
          <w:kern w:val="0"/>
          <w:sz w:val="32"/>
          <w:szCs w:val="32"/>
          <w:highlight w:val="none"/>
        </w:rPr>
      </w:pPr>
    </w:p>
    <w:p w14:paraId="0BBE5457">
      <w:pPr>
        <w:shd w:val="clear"/>
        <w:snapToGrid w:val="0"/>
        <w:spacing w:line="360" w:lineRule="auto"/>
        <w:jc w:val="center"/>
        <w:outlineLvl w:val="0"/>
        <w:rPr>
          <w:rFonts w:hint="eastAsia" w:ascii="宋体" w:hAnsi="宋体" w:cs="宋体"/>
          <w:b/>
          <w:color w:val="auto"/>
          <w:kern w:val="0"/>
          <w:sz w:val="32"/>
          <w:szCs w:val="32"/>
          <w:highlight w:val="none"/>
        </w:rPr>
      </w:pPr>
      <w:bookmarkStart w:id="535" w:name="_Toc30743"/>
      <w:bookmarkStart w:id="536" w:name="_Toc6473"/>
      <w:bookmarkStart w:id="537" w:name="_Toc12924"/>
      <w:r>
        <w:rPr>
          <w:rFonts w:hint="eastAsia" w:ascii="宋体" w:hAnsi="宋体" w:cs="宋体"/>
          <w:b/>
          <w:color w:val="auto"/>
          <w:kern w:val="0"/>
          <w:sz w:val="32"/>
          <w:szCs w:val="32"/>
          <w:highlight w:val="none"/>
        </w:rPr>
        <w:t>联合体协议书</w:t>
      </w:r>
      <w:bookmarkEnd w:id="535"/>
      <w:bookmarkEnd w:id="536"/>
      <w:bookmarkEnd w:id="537"/>
    </w:p>
    <w:p w14:paraId="67954623">
      <w:pPr>
        <w:widowControl/>
        <w:shd w:val="clear"/>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w:t>
      </w:r>
      <w:r>
        <w:rPr>
          <w:rFonts w:hint="eastAsia" w:cs="宋体"/>
          <w:b/>
          <w:color w:val="auto"/>
          <w:sz w:val="24"/>
          <w:highlight w:val="none"/>
          <w:lang w:val="en-US" w:eastAsia="zh-CN"/>
        </w:rPr>
        <w:t>谈判响应</w:t>
      </w:r>
      <w:r>
        <w:rPr>
          <w:rFonts w:hint="eastAsia" w:ascii="宋体" w:hAnsi="宋体" w:cs="宋体"/>
          <w:b/>
          <w:color w:val="auto"/>
          <w:sz w:val="24"/>
          <w:highlight w:val="none"/>
        </w:rPr>
        <w:t>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w:t>
      </w:r>
      <w:r>
        <w:rPr>
          <w:rFonts w:hint="eastAsia" w:cs="宋体"/>
          <w:b/>
          <w:color w:val="auto"/>
          <w:sz w:val="24"/>
          <w:highlight w:val="none"/>
          <w:lang w:val="en-US" w:eastAsia="zh-CN"/>
        </w:rPr>
        <w:t>谈判响应</w:t>
      </w:r>
      <w:r>
        <w:rPr>
          <w:rFonts w:hint="eastAsia" w:ascii="宋体" w:hAnsi="宋体" w:cs="宋体"/>
          <w:b/>
          <w:color w:val="auto"/>
          <w:sz w:val="24"/>
          <w:highlight w:val="none"/>
        </w:rPr>
        <w:t>或者</w:t>
      </w:r>
      <w:r>
        <w:rPr>
          <w:rFonts w:hint="eastAsia" w:cs="宋体"/>
          <w:b/>
          <w:color w:val="auto"/>
          <w:sz w:val="24"/>
          <w:highlight w:val="none"/>
          <w:lang w:val="en-US" w:eastAsia="zh-CN"/>
        </w:rPr>
        <w:t>供应商</w:t>
      </w:r>
      <w:r>
        <w:rPr>
          <w:rFonts w:hint="eastAsia" w:ascii="宋体" w:hAnsi="宋体" w:cs="宋体"/>
          <w:b/>
          <w:color w:val="auto"/>
          <w:sz w:val="24"/>
          <w:highlight w:val="none"/>
        </w:rPr>
        <w:t>不以联合体形式</w:t>
      </w:r>
      <w:r>
        <w:rPr>
          <w:rFonts w:hint="eastAsia" w:cs="宋体"/>
          <w:b/>
          <w:color w:val="auto"/>
          <w:sz w:val="24"/>
          <w:highlight w:val="none"/>
          <w:lang w:val="en-US" w:eastAsia="zh-CN"/>
        </w:rPr>
        <w:t>谈判响应</w:t>
      </w:r>
      <w:r>
        <w:rPr>
          <w:rFonts w:hint="eastAsia" w:ascii="宋体" w:hAnsi="宋体" w:cs="宋体"/>
          <w:b/>
          <w:color w:val="auto"/>
          <w:sz w:val="24"/>
          <w:highlight w:val="none"/>
        </w:rPr>
        <w:t>的，则不需要提供）</w:t>
      </w:r>
    </w:p>
    <w:p w14:paraId="40230D62">
      <w:pPr>
        <w:shd w:val="clear"/>
        <w:snapToGrid w:val="0"/>
        <w:ind w:firstLine="576"/>
        <w:rPr>
          <w:rFonts w:ascii="宋体" w:hAnsi="宋体" w:cs="宋体"/>
          <w:color w:val="auto"/>
          <w:kern w:val="0"/>
          <w:sz w:val="24"/>
          <w:highlight w:val="none"/>
          <w:lang w:val="zh-CN"/>
        </w:rPr>
      </w:pPr>
      <w:r>
        <w:rPr>
          <w:rFonts w:hint="eastAsia" w:cs="宋体"/>
          <w:color w:val="auto"/>
          <w:kern w:val="0"/>
          <w:highlight w:val="none"/>
          <w:u w:val="single"/>
        </w:rPr>
        <w:t>（联合体所有成员名称）</w:t>
      </w:r>
      <w:r>
        <w:rPr>
          <w:rFonts w:hint="eastAsia" w:cs="宋体"/>
          <w:color w:val="auto"/>
          <w:kern w:val="0"/>
          <w:highlight w:val="none"/>
        </w:rPr>
        <w:t>自愿</w:t>
      </w:r>
      <w:r>
        <w:rPr>
          <w:rFonts w:hint="eastAsia" w:cs="宋体"/>
          <w:color w:val="auto"/>
          <w:kern w:val="0"/>
          <w:highlight w:val="none"/>
          <w:lang w:val="zh-CN"/>
        </w:rPr>
        <w:t>组成一个联合体，以一个</w:t>
      </w:r>
      <w:r>
        <w:rPr>
          <w:rFonts w:hint="eastAsia" w:cs="宋体"/>
          <w:color w:val="auto"/>
          <w:kern w:val="0"/>
          <w:highlight w:val="none"/>
        </w:rPr>
        <w:t>供应商</w:t>
      </w:r>
      <w:r>
        <w:rPr>
          <w:rFonts w:hint="eastAsia" w:cs="宋体"/>
          <w:color w:val="auto"/>
          <w:kern w:val="0"/>
          <w:highlight w:val="none"/>
          <w:lang w:val="zh-CN"/>
        </w:rPr>
        <w:t>的身份</w:t>
      </w:r>
      <w:r>
        <w:rPr>
          <w:rFonts w:hint="eastAsia" w:cs="宋体"/>
          <w:color w:val="auto"/>
          <w:kern w:val="0"/>
          <w:highlight w:val="none"/>
        </w:rPr>
        <w:t>参加</w:t>
      </w:r>
      <w:r>
        <w:rPr>
          <w:rFonts w:hint="eastAsia" w:cs="宋体"/>
          <w:color w:val="auto"/>
          <w:highlight w:val="none"/>
          <w:u w:val="single"/>
        </w:rPr>
        <w:t>（项目名称）</w:t>
      </w:r>
      <w:r>
        <w:rPr>
          <w:rFonts w:hint="eastAsia" w:cs="宋体"/>
          <w:color w:val="auto"/>
          <w:highlight w:val="none"/>
          <w:u w:val="single"/>
          <w:lang w:val="en-US" w:eastAsia="zh-CN"/>
        </w:rPr>
        <w:t xml:space="preserve">     </w:t>
      </w:r>
      <w:r>
        <w:rPr>
          <w:rFonts w:hint="eastAsia" w:cs="宋体"/>
          <w:color w:val="auto"/>
          <w:highlight w:val="none"/>
        </w:rPr>
        <w:t>【</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cs="宋体"/>
          <w:color w:val="auto"/>
          <w:highlight w:val="none"/>
        </w:rPr>
        <w:t>】</w:t>
      </w:r>
      <w:r>
        <w:rPr>
          <w:rFonts w:hint="eastAsia" w:cs="宋体"/>
          <w:color w:val="auto"/>
          <w:kern w:val="0"/>
          <w:highlight w:val="none"/>
          <w:lang w:val="en-US" w:eastAsia="zh-CN"/>
        </w:rPr>
        <w:t>谈判</w:t>
      </w:r>
      <w:r>
        <w:rPr>
          <w:rFonts w:hint="eastAsia" w:cs="宋体"/>
          <w:color w:val="auto"/>
          <w:kern w:val="0"/>
          <w:highlight w:val="none"/>
          <w:lang w:val="zh-CN"/>
        </w:rPr>
        <w:t xml:space="preserve">。 </w:t>
      </w:r>
    </w:p>
    <w:p w14:paraId="682E8747">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w:t>
      </w:r>
      <w:r>
        <w:rPr>
          <w:rFonts w:hint="eastAsia" w:cs="宋体"/>
          <w:color w:val="auto"/>
          <w:sz w:val="24"/>
          <w:highlight w:val="none"/>
          <w:lang w:val="en-US" w:eastAsia="zh-CN"/>
        </w:rPr>
        <w:t>谈判响应</w:t>
      </w:r>
      <w:r>
        <w:rPr>
          <w:rFonts w:hint="eastAsia" w:ascii="宋体" w:hAnsi="宋体" w:cs="宋体"/>
          <w:color w:val="auto"/>
          <w:sz w:val="24"/>
          <w:highlight w:val="none"/>
        </w:rPr>
        <w:t>和合同实施阶段的主办、协调工作</w:t>
      </w:r>
      <w:r>
        <w:rPr>
          <w:rFonts w:hint="eastAsia" w:ascii="宋体" w:hAnsi="宋体" w:cs="宋体"/>
          <w:color w:val="auto"/>
          <w:kern w:val="0"/>
          <w:sz w:val="24"/>
          <w:highlight w:val="none"/>
          <w:lang w:val="zh-CN"/>
        </w:rPr>
        <w:t>。</w:t>
      </w:r>
    </w:p>
    <w:p w14:paraId="2FA3C75E">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w:t>
      </w:r>
      <w:r>
        <w:rPr>
          <w:rFonts w:hint="eastAsia" w:ascii="宋体" w:hAnsi="宋体" w:cs="宋体"/>
          <w:color w:val="auto"/>
          <w:kern w:val="0"/>
          <w:sz w:val="24"/>
          <w:highlight w:val="none"/>
          <w:lang w:val="zh-CN" w:eastAsia="zh-CN"/>
        </w:rPr>
        <w:t>竞争性</w:t>
      </w:r>
      <w:r>
        <w:rPr>
          <w:rFonts w:hint="eastAsia" w:cs="宋体"/>
          <w:color w:val="auto"/>
          <w:kern w:val="0"/>
          <w:sz w:val="24"/>
          <w:highlight w:val="none"/>
          <w:lang w:val="en-US" w:eastAsia="zh-CN"/>
        </w:rPr>
        <w:t>谈判</w:t>
      </w:r>
      <w:r>
        <w:rPr>
          <w:rFonts w:hint="eastAsia" w:ascii="宋体" w:hAnsi="宋体" w:cs="宋体"/>
          <w:color w:val="auto"/>
          <w:kern w:val="0"/>
          <w:sz w:val="24"/>
          <w:highlight w:val="none"/>
          <w:lang w:val="zh-CN"/>
        </w:rPr>
        <w:t>文件规定及</w:t>
      </w:r>
      <w:r>
        <w:rPr>
          <w:rFonts w:hint="eastAsia" w:cs="宋体"/>
          <w:color w:val="auto"/>
          <w:kern w:val="0"/>
          <w:sz w:val="24"/>
          <w:highlight w:val="none"/>
          <w:lang w:val="en-US" w:eastAsia="zh-CN"/>
        </w:rPr>
        <w:t>响应</w:t>
      </w:r>
      <w:r>
        <w:rPr>
          <w:rFonts w:hint="eastAsia" w:ascii="宋体" w:hAnsi="宋体" w:cs="宋体"/>
          <w:color w:val="auto"/>
          <w:kern w:val="0"/>
          <w:sz w:val="24"/>
          <w:highlight w:val="none"/>
          <w:lang w:val="zh-CN"/>
        </w:rPr>
        <w:t>内容而对采购人、采购代理机构所作的任何合法承诺，包括书面澄清及相应等均对联合</w:t>
      </w:r>
      <w:r>
        <w:rPr>
          <w:rFonts w:hint="eastAsia" w:cs="宋体"/>
          <w:color w:val="auto"/>
          <w:kern w:val="0"/>
          <w:sz w:val="24"/>
          <w:highlight w:val="none"/>
          <w:lang w:val="en-US" w:eastAsia="zh-CN"/>
        </w:rPr>
        <w:t>谈判响应</w:t>
      </w:r>
      <w:r>
        <w:rPr>
          <w:rFonts w:hint="eastAsia" w:ascii="宋体" w:hAnsi="宋体" w:cs="宋体"/>
          <w:color w:val="auto"/>
          <w:kern w:val="0"/>
          <w:sz w:val="24"/>
          <w:highlight w:val="none"/>
          <w:lang w:val="zh-CN"/>
        </w:rPr>
        <w:t>各方产生约束力。</w:t>
      </w:r>
    </w:p>
    <w:p w14:paraId="794C7560">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w:t>
      </w:r>
      <w:r>
        <w:rPr>
          <w:rFonts w:hint="eastAsia" w:cs="宋体"/>
          <w:color w:val="auto"/>
          <w:kern w:val="0"/>
          <w:sz w:val="24"/>
          <w:highlight w:val="none"/>
          <w:lang w:val="en-US" w:eastAsia="zh-CN"/>
        </w:rPr>
        <w:t>谈判响应</w:t>
      </w:r>
      <w:r>
        <w:rPr>
          <w:rFonts w:hint="eastAsia" w:ascii="宋体" w:hAnsi="宋体" w:cs="宋体"/>
          <w:color w:val="auto"/>
          <w:kern w:val="0"/>
          <w:sz w:val="24"/>
          <w:highlight w:val="none"/>
          <w:lang w:val="zh-CN"/>
        </w:rPr>
        <w:t>中，分工如下：</w:t>
      </w:r>
    </w:p>
    <w:p w14:paraId="5742291A">
      <w:pPr>
        <w:shd w:val="clear"/>
        <w:snapToGrid w:val="0"/>
        <w:spacing w:line="360" w:lineRule="auto"/>
        <w:ind w:firstLine="576"/>
        <w:rPr>
          <w:rFonts w:ascii="宋体" w:hAnsi="宋体" w:cs="宋体"/>
          <w:color w:val="auto"/>
          <w:kern w:val="0"/>
          <w:sz w:val="24"/>
          <w:highlight w:val="none"/>
          <w:lang w:val="zh-CN"/>
        </w:rPr>
      </w:pPr>
      <w:bookmarkStart w:id="538"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1F758BD">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E4350A6">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538"/>
    <w:p w14:paraId="417425E1">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0493970">
      <w:pPr>
        <w:shd w:val="clea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w:t>
      </w:r>
      <w:r>
        <w:rPr>
          <w:rFonts w:hint="eastAsia" w:cs="宋体"/>
          <w:b/>
          <w:color w:val="auto"/>
          <w:kern w:val="0"/>
          <w:sz w:val="24"/>
          <w:highlight w:val="none"/>
          <w:lang w:val="en-US" w:eastAsia="zh-CN"/>
        </w:rPr>
        <w:t>谈判响应</w:t>
      </w:r>
      <w:r>
        <w:rPr>
          <w:rFonts w:hint="eastAsia" w:ascii="宋体" w:hAnsi="宋体" w:cs="宋体"/>
          <w:b/>
          <w:color w:val="auto"/>
          <w:kern w:val="0"/>
          <w:sz w:val="24"/>
          <w:highlight w:val="none"/>
          <w:lang w:val="zh-CN"/>
        </w:rPr>
        <w:t>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w:t>
      </w:r>
      <w:r>
        <w:rPr>
          <w:rFonts w:hint="eastAsia" w:cs="宋体"/>
          <w:b/>
          <w:color w:val="auto"/>
          <w:kern w:val="0"/>
          <w:sz w:val="24"/>
          <w:highlight w:val="none"/>
          <w:lang w:val="en-US" w:eastAsia="zh-CN"/>
        </w:rPr>
        <w:t>审</w:t>
      </w:r>
      <w:r>
        <w:rPr>
          <w:rFonts w:hint="eastAsia" w:ascii="宋体" w:hAnsi="宋体" w:cs="宋体"/>
          <w:b/>
          <w:color w:val="auto"/>
          <w:kern w:val="0"/>
          <w:sz w:val="24"/>
          <w:highlight w:val="none"/>
          <w:lang w:val="zh-CN"/>
        </w:rPr>
        <w:t>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C0B640E">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w:t>
      </w:r>
      <w:r>
        <w:rPr>
          <w:rFonts w:hint="eastAsia" w:cs="宋体"/>
          <w:b/>
          <w:bCs/>
          <w:color w:val="auto"/>
          <w:sz w:val="24"/>
          <w:highlight w:val="none"/>
          <w:lang w:val="en-US" w:eastAsia="zh-CN"/>
        </w:rPr>
        <w:t>竞争性谈判</w:t>
      </w:r>
      <w:r>
        <w:rPr>
          <w:rFonts w:hint="eastAsia" w:ascii="宋体" w:hAnsi="宋体" w:cs="宋体"/>
          <w:b/>
          <w:bCs/>
          <w:color w:val="auto"/>
          <w:sz w:val="24"/>
          <w:highlight w:val="none"/>
        </w:rPr>
        <w:t>文件第一部分</w:t>
      </w:r>
      <w:r>
        <w:rPr>
          <w:rFonts w:hint="eastAsia" w:cs="宋体"/>
          <w:b/>
          <w:bCs/>
          <w:color w:val="auto"/>
          <w:sz w:val="24"/>
          <w:highlight w:val="none"/>
          <w:lang w:val="en-US" w:eastAsia="zh-CN"/>
        </w:rPr>
        <w:t>竞争性谈判</w:t>
      </w:r>
      <w:r>
        <w:rPr>
          <w:rFonts w:hint="eastAsia" w:ascii="宋体" w:hAnsi="宋体" w:cs="宋体"/>
          <w:b/>
          <w:bCs/>
          <w:color w:val="auto"/>
          <w:sz w:val="24"/>
          <w:highlight w:val="none"/>
        </w:rPr>
        <w:t>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1EC462A4">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w:t>
      </w:r>
      <w:r>
        <w:rPr>
          <w:rFonts w:hint="eastAsia" w:cs="宋体"/>
          <w:color w:val="auto"/>
          <w:kern w:val="0"/>
          <w:sz w:val="24"/>
          <w:highlight w:val="none"/>
          <w:lang w:val="en-US" w:eastAsia="zh-CN"/>
        </w:rPr>
        <w:t>成交</w:t>
      </w:r>
      <w:r>
        <w:rPr>
          <w:rFonts w:hint="eastAsia" w:ascii="宋体" w:hAnsi="宋体" w:cs="宋体"/>
          <w:color w:val="auto"/>
          <w:kern w:val="0"/>
          <w:sz w:val="24"/>
          <w:highlight w:val="none"/>
          <w:lang w:val="zh-CN"/>
        </w:rPr>
        <w:t>，</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0B6A82FE">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w:t>
      </w:r>
      <w:r>
        <w:rPr>
          <w:rFonts w:hint="eastAsia" w:cs="宋体"/>
          <w:color w:val="auto"/>
          <w:kern w:val="0"/>
          <w:sz w:val="24"/>
          <w:highlight w:val="none"/>
          <w:lang w:val="en-US" w:eastAsia="zh-CN"/>
        </w:rPr>
        <w:t>谈判响应</w:t>
      </w:r>
      <w:r>
        <w:rPr>
          <w:rFonts w:hint="eastAsia" w:ascii="宋体" w:hAnsi="宋体" w:cs="宋体"/>
          <w:color w:val="auto"/>
          <w:kern w:val="0"/>
          <w:sz w:val="24"/>
          <w:highlight w:val="none"/>
          <w:lang w:val="zh-CN"/>
        </w:rPr>
        <w:t>的其他事宜：</w:t>
      </w:r>
    </w:p>
    <w:p w14:paraId="518CE91A">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23C062C0">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0DAC4003">
      <w:pPr>
        <w:shd w:val="clea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5B293209">
      <w:pPr>
        <w:shd w:val="clea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43009373">
      <w:pPr>
        <w:shd w:val="clea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w:t>
      </w:r>
      <w:r>
        <w:rPr>
          <w:rFonts w:hint="eastAsia" w:cs="宋体"/>
          <w:color w:val="auto"/>
          <w:kern w:val="0"/>
          <w:sz w:val="24"/>
          <w:highlight w:val="none"/>
          <w:lang w:val="en-US" w:eastAsia="zh-CN"/>
        </w:rPr>
        <w:t>成交</w:t>
      </w:r>
      <w:r>
        <w:rPr>
          <w:rFonts w:hint="eastAsia" w:ascii="宋体" w:hAnsi="宋体" w:cs="宋体"/>
          <w:color w:val="auto"/>
          <w:kern w:val="0"/>
          <w:sz w:val="24"/>
          <w:highlight w:val="none"/>
          <w:lang w:val="zh-CN"/>
        </w:rPr>
        <w:t>，自本</w:t>
      </w:r>
      <w:r>
        <w:rPr>
          <w:rFonts w:hint="eastAsia" w:cs="宋体"/>
          <w:color w:val="auto"/>
          <w:kern w:val="0"/>
          <w:sz w:val="24"/>
          <w:highlight w:val="none"/>
          <w:lang w:val="en-US" w:eastAsia="zh-CN"/>
        </w:rPr>
        <w:t>响应文件</w:t>
      </w:r>
      <w:r>
        <w:rPr>
          <w:rFonts w:hint="eastAsia" w:ascii="宋体" w:hAnsi="宋体" w:cs="宋体"/>
          <w:color w:val="auto"/>
          <w:kern w:val="0"/>
          <w:sz w:val="24"/>
          <w:highlight w:val="none"/>
          <w:lang w:val="zh-CN"/>
        </w:rPr>
        <w:t>有效期结束后自行失效；若</w:t>
      </w:r>
      <w:r>
        <w:rPr>
          <w:rFonts w:hint="eastAsia" w:cs="宋体"/>
          <w:color w:val="auto"/>
          <w:kern w:val="0"/>
          <w:sz w:val="24"/>
          <w:highlight w:val="none"/>
          <w:lang w:val="en-US" w:eastAsia="zh-CN"/>
        </w:rPr>
        <w:t>成交</w:t>
      </w:r>
      <w:r>
        <w:rPr>
          <w:rFonts w:hint="eastAsia" w:ascii="宋体" w:hAnsi="宋体" w:cs="宋体"/>
          <w:color w:val="auto"/>
          <w:kern w:val="0"/>
          <w:sz w:val="24"/>
          <w:highlight w:val="none"/>
          <w:lang w:val="zh-CN"/>
        </w:rPr>
        <w:t>，自合同书规定的期限之后自行失效。</w:t>
      </w:r>
    </w:p>
    <w:p w14:paraId="580F475F">
      <w:pPr>
        <w:shd w:val="clea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1797DC92">
      <w:pPr>
        <w:pStyle w:val="4"/>
        <w:shd w:val="clear"/>
        <w:rPr>
          <w:color w:val="auto"/>
          <w:highlight w:val="none"/>
          <w:lang w:val="zh-CN"/>
        </w:rPr>
      </w:pPr>
    </w:p>
    <w:p w14:paraId="6A1B5B57">
      <w:pPr>
        <w:shd w:val="clea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名称(公章)：</w:t>
      </w:r>
    </w:p>
    <w:p w14:paraId="21DBA726">
      <w:pPr>
        <w:shd w:val="clea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名称(公章)：</w:t>
      </w:r>
    </w:p>
    <w:p w14:paraId="2C01AA77">
      <w:pPr>
        <w:shd w:val="clea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4D03F6B">
      <w:pPr>
        <w:shd w:val="clea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9BB115A">
      <w:pPr>
        <w:shd w:val="clea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68A2ACB2">
      <w:pPr>
        <w:keepNext w:val="0"/>
        <w:keepLines w:val="0"/>
        <w:pageBreakBefore w:val="0"/>
        <w:shd w:val="clear"/>
        <w:kinsoku/>
        <w:overflowPunct/>
        <w:topLinePunct w:val="0"/>
        <w:autoSpaceDE/>
        <w:autoSpaceDN/>
        <w:bidi w:val="0"/>
        <w:spacing w:before="157" w:beforeLines="50" w:after="157" w:afterLines="50"/>
        <w:ind w:left="2520" w:leftChars="1050"/>
        <w:textAlignment w:val="auto"/>
        <w:rPr>
          <w:rFonts w:cs="Tahoma"/>
          <w:color w:val="auto"/>
          <w:highlight w:val="none"/>
          <w:u w:val="single"/>
        </w:rPr>
      </w:pPr>
      <w:r>
        <w:rPr>
          <w:rFonts w:cs="Tahoma"/>
          <w:color w:val="auto"/>
          <w:highlight w:val="none"/>
          <w:u w:val="single"/>
        </w:rPr>
        <w:br w:type="page"/>
      </w:r>
    </w:p>
    <w:p w14:paraId="75121566">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539" w:name="_Toc156490356"/>
      <w:bookmarkStart w:id="540" w:name="_Toc30924"/>
      <w:bookmarkStart w:id="541" w:name="_Toc162299566"/>
      <w:bookmarkStart w:id="542" w:name="_Toc15286"/>
      <w:bookmarkStart w:id="543" w:name="_Hlk101169080"/>
      <w:r>
        <w:rPr>
          <w:rFonts w:hint="eastAsia" w:cstheme="majorBidi"/>
          <w:b/>
          <w:bCs/>
          <w:color w:val="auto"/>
          <w:kern w:val="2"/>
          <w:sz w:val="28"/>
          <w:szCs w:val="28"/>
          <w:highlight w:val="none"/>
          <w:lang w:val="en-US" w:eastAsia="zh-CN" w:bidi="ar-SA"/>
        </w:rPr>
        <w:t>三</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分包意向协议书</w:t>
      </w:r>
      <w:r>
        <w:rPr>
          <w:rFonts w:hint="eastAsia" w:ascii="宋体" w:hAnsi="宋体" w:eastAsia="宋体" w:cstheme="minorBidi"/>
          <w:b w:val="0"/>
          <w:bCs w:val="0"/>
          <w:color w:val="auto"/>
          <w:kern w:val="2"/>
          <w:sz w:val="28"/>
          <w:szCs w:val="28"/>
          <w:highlight w:val="none"/>
          <w:lang w:val="zh-CN" w:eastAsia="zh-CN" w:bidi="ar-SA"/>
        </w:rPr>
        <w:t>【如适用】</w:t>
      </w:r>
      <w:bookmarkEnd w:id="539"/>
      <w:bookmarkEnd w:id="540"/>
      <w:bookmarkEnd w:id="541"/>
      <w:bookmarkEnd w:id="542"/>
    </w:p>
    <w:p w14:paraId="72EF9FB2">
      <w:pPr>
        <w:shd w:val="clear"/>
        <w:snapToGrid w:val="0"/>
        <w:spacing w:line="360" w:lineRule="auto"/>
        <w:jc w:val="center"/>
        <w:outlineLvl w:val="0"/>
        <w:rPr>
          <w:rFonts w:hint="eastAsia" w:ascii="宋体" w:hAnsi="宋体" w:cs="宋体"/>
          <w:b/>
          <w:color w:val="auto"/>
          <w:kern w:val="0"/>
          <w:sz w:val="32"/>
          <w:szCs w:val="32"/>
          <w:highlight w:val="none"/>
        </w:rPr>
      </w:pPr>
    </w:p>
    <w:p w14:paraId="3CEAA822">
      <w:pPr>
        <w:shd w:val="clear"/>
        <w:snapToGrid w:val="0"/>
        <w:spacing w:line="360" w:lineRule="auto"/>
        <w:jc w:val="center"/>
        <w:outlineLvl w:val="0"/>
        <w:rPr>
          <w:rFonts w:hint="eastAsia" w:ascii="宋体" w:hAnsi="宋体" w:eastAsia="宋体" w:cs="宋体"/>
          <w:b/>
          <w:color w:val="auto"/>
          <w:kern w:val="0"/>
          <w:sz w:val="32"/>
          <w:szCs w:val="32"/>
          <w:highlight w:val="none"/>
          <w:lang w:val="en-US" w:eastAsia="zh-CN"/>
        </w:rPr>
      </w:pPr>
      <w:bookmarkStart w:id="544" w:name="_Toc24335"/>
      <w:bookmarkStart w:id="545" w:name="_Toc19341"/>
      <w:bookmarkStart w:id="546" w:name="_Toc30787"/>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544"/>
      <w:bookmarkEnd w:id="545"/>
      <w:bookmarkEnd w:id="546"/>
    </w:p>
    <w:p w14:paraId="4E9F0BF4">
      <w:pPr>
        <w:widowControl/>
        <w:shd w:val="clear"/>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cs="宋体"/>
          <w:b/>
          <w:color w:val="auto"/>
          <w:sz w:val="24"/>
          <w:highlight w:val="none"/>
          <w:lang w:val="en-US" w:eastAsia="zh-CN"/>
        </w:rPr>
        <w:t>成交</w:t>
      </w:r>
      <w:r>
        <w:rPr>
          <w:rFonts w:hint="eastAsia" w:ascii="宋体" w:hAnsi="宋体" w:cs="宋体"/>
          <w:b/>
          <w:color w:val="auto"/>
          <w:sz w:val="24"/>
          <w:highlight w:val="none"/>
        </w:rPr>
        <w:t>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w:t>
      </w:r>
      <w:r>
        <w:rPr>
          <w:rFonts w:hint="eastAsia" w:cs="宋体"/>
          <w:b/>
          <w:color w:val="auto"/>
          <w:sz w:val="24"/>
          <w:highlight w:val="none"/>
          <w:lang w:val="en-US" w:eastAsia="zh-CN"/>
        </w:rPr>
        <w:t>供应商成交</w:t>
      </w:r>
      <w:r>
        <w:rPr>
          <w:rFonts w:hint="eastAsia" w:ascii="宋体" w:hAnsi="宋体" w:cs="宋体"/>
          <w:b/>
          <w:color w:val="auto"/>
          <w:sz w:val="24"/>
          <w:highlight w:val="none"/>
        </w:rPr>
        <w:t>后不以分包方式履行合同的，则不需要提供。</w:t>
      </w:r>
      <w:r>
        <w:rPr>
          <w:rFonts w:hint="eastAsia" w:ascii="宋体" w:hAnsi="宋体" w:cs="宋体"/>
          <w:color w:val="auto"/>
          <w:sz w:val="24"/>
          <w:highlight w:val="none"/>
        </w:rPr>
        <w:t>）</w:t>
      </w:r>
    </w:p>
    <w:p w14:paraId="5791A450">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w:t>
      </w:r>
      <w:r>
        <w:rPr>
          <w:rFonts w:hint="eastAsia" w:cs="宋体"/>
          <w:color w:val="auto"/>
          <w:kern w:val="0"/>
          <w:sz w:val="24"/>
          <w:highlight w:val="none"/>
          <w:u w:val="single"/>
          <w:lang w:val="en-US" w:eastAsia="zh-CN"/>
        </w:rPr>
        <w:t>供应商</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u w:val="single"/>
        </w:rPr>
        <w:t>（项目名称）</w:t>
      </w:r>
      <w:r>
        <w:rPr>
          <w:rFonts w:hint="eastAsia"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/包号</w:t>
      </w:r>
      <w:r>
        <w:rPr>
          <w:rFonts w:hint="eastAsia" w:ascii="宋体" w:hAnsi="宋体" w:cs="宋体"/>
          <w:color w:val="auto"/>
          <w:sz w:val="24"/>
          <w:highlight w:val="none"/>
        </w:rPr>
        <w:t>：</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w:t>
      </w:r>
      <w:r>
        <w:rPr>
          <w:rFonts w:hint="eastAsia" w:cs="宋体"/>
          <w:color w:val="auto"/>
          <w:kern w:val="0"/>
          <w:sz w:val="24"/>
          <w:highlight w:val="none"/>
          <w:lang w:val="en-US" w:eastAsia="zh-CN"/>
        </w:rPr>
        <w:t>成交</w:t>
      </w:r>
      <w:r>
        <w:rPr>
          <w:rFonts w:hint="eastAsia" w:ascii="宋体" w:hAnsi="宋体" w:cs="宋体"/>
          <w:color w:val="auto"/>
          <w:kern w:val="0"/>
          <w:sz w:val="24"/>
          <w:highlight w:val="none"/>
          <w:lang w:val="zh-CN"/>
        </w:rPr>
        <w:t>供应商，将依法采取分包方式履行合同。</w:t>
      </w:r>
      <w:r>
        <w:rPr>
          <w:rFonts w:hint="eastAsia" w:ascii="宋体" w:hAnsi="宋体" w:cs="宋体"/>
          <w:color w:val="auto"/>
          <w:kern w:val="0"/>
          <w:sz w:val="24"/>
          <w:highlight w:val="none"/>
          <w:u w:val="single"/>
        </w:rPr>
        <w:t>（</w:t>
      </w:r>
      <w:r>
        <w:rPr>
          <w:rFonts w:hint="eastAsia" w:cs="宋体"/>
          <w:color w:val="auto"/>
          <w:kern w:val="0"/>
          <w:sz w:val="24"/>
          <w:highlight w:val="none"/>
          <w:u w:val="single"/>
          <w:lang w:val="en-US" w:eastAsia="zh-CN"/>
        </w:rPr>
        <w:t>供应商</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545E9079">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E087378">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w:t>
      </w:r>
      <w:r>
        <w:rPr>
          <w:rFonts w:hint="eastAsia" w:cs="宋体"/>
          <w:color w:val="auto"/>
          <w:kern w:val="0"/>
          <w:sz w:val="24"/>
          <w:highlight w:val="none"/>
          <w:u w:val="single"/>
          <w:lang w:val="en-US" w:eastAsia="zh-CN"/>
        </w:rPr>
        <w:t>供应商</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37B916C5">
      <w:pPr>
        <w:pStyle w:val="4"/>
        <w:shd w:val="clear"/>
        <w:tabs>
          <w:tab w:val="left" w:pos="432"/>
        </w:tabs>
        <w:ind w:left="758" w:leftChars="316" w:firstLine="229" w:firstLineChars="95"/>
        <w:rPr>
          <w:rFonts w:ascii="宋体" w:hAnsi="宋体" w:eastAsia="宋体" w:cs="宋体"/>
          <w:color w:val="auto"/>
          <w:kern w:val="0"/>
          <w:sz w:val="24"/>
          <w:szCs w:val="24"/>
          <w:highlight w:val="none"/>
        </w:rPr>
      </w:pPr>
      <w:bookmarkStart w:id="547" w:name="_Toc1032"/>
      <w:bookmarkStart w:id="548" w:name="_Toc7973"/>
      <w:bookmarkStart w:id="549" w:name="_Toc30204"/>
      <w:r>
        <w:rPr>
          <w:rFonts w:hint="eastAsia" w:ascii="宋体" w:hAnsi="宋体" w:eastAsia="宋体" w:cs="宋体"/>
          <w:color w:val="auto"/>
          <w:kern w:val="0"/>
          <w:sz w:val="24"/>
          <w:szCs w:val="24"/>
          <w:highlight w:val="none"/>
        </w:rPr>
        <w:t>……</w:t>
      </w:r>
      <w:bookmarkEnd w:id="547"/>
      <w:bookmarkEnd w:id="548"/>
      <w:bookmarkEnd w:id="549"/>
    </w:p>
    <w:p w14:paraId="04268894">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188898B5">
      <w:pPr>
        <w:shd w:val="clea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w:t>
      </w:r>
      <w:r>
        <w:rPr>
          <w:rFonts w:hint="eastAsia" w:cs="宋体"/>
          <w:b/>
          <w:color w:val="auto"/>
          <w:kern w:val="0"/>
          <w:sz w:val="24"/>
          <w:highlight w:val="none"/>
          <w:lang w:val="en-US" w:eastAsia="zh-CN"/>
        </w:rPr>
        <w:t>审</w:t>
      </w:r>
      <w:r>
        <w:rPr>
          <w:rFonts w:hint="eastAsia" w:ascii="宋体" w:hAnsi="宋体" w:cs="宋体"/>
          <w:b/>
          <w:color w:val="auto"/>
          <w:kern w:val="0"/>
          <w:sz w:val="24"/>
          <w:highlight w:val="none"/>
          <w:lang w:val="zh-CN"/>
        </w:rPr>
        <w:t>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145FF207">
      <w:pPr>
        <w:shd w:val="clea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50"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w:t>
      </w:r>
      <w:r>
        <w:rPr>
          <w:rFonts w:hint="eastAsia" w:cs="宋体"/>
          <w:b/>
          <w:bCs/>
          <w:color w:val="auto"/>
          <w:sz w:val="24"/>
          <w:highlight w:val="none"/>
          <w:lang w:val="en-US" w:eastAsia="zh-CN"/>
        </w:rPr>
        <w:t>谈判</w:t>
      </w:r>
      <w:r>
        <w:rPr>
          <w:rFonts w:hint="eastAsia" w:ascii="宋体" w:hAnsi="宋体" w:cs="宋体"/>
          <w:b/>
          <w:bCs/>
          <w:color w:val="auto"/>
          <w:sz w:val="24"/>
          <w:highlight w:val="none"/>
        </w:rPr>
        <w:t>文件第一部分</w:t>
      </w:r>
      <w:r>
        <w:rPr>
          <w:rFonts w:hint="eastAsia" w:cs="宋体"/>
          <w:b/>
          <w:bCs/>
          <w:color w:val="auto"/>
          <w:sz w:val="24"/>
          <w:highlight w:val="none"/>
          <w:lang w:val="en-US" w:eastAsia="zh-CN"/>
        </w:rPr>
        <w:t>竞争性谈判</w:t>
      </w:r>
      <w:r>
        <w:rPr>
          <w:rFonts w:hint="eastAsia" w:ascii="宋体" w:hAnsi="宋体" w:cs="宋体"/>
          <w:b/>
          <w:bCs/>
          <w:color w:val="auto"/>
          <w:sz w:val="24"/>
          <w:highlight w:val="none"/>
        </w:rPr>
        <w:t>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550"/>
    </w:p>
    <w:p w14:paraId="51C56E71">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7F26E4A3">
      <w:pPr>
        <w:shd w:val="clea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925029E">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7369B1B5">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E7AB092">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632B92C8">
      <w:pPr>
        <w:shd w:val="clea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C79FAF7">
      <w:pPr>
        <w:shd w:val="clea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17F77B90">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2CBB9BB">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5D83C451">
      <w:pPr>
        <w:shd w:val="clea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2A9066DF">
      <w:pPr>
        <w:shd w:val="clear"/>
        <w:snapToGrid w:val="0"/>
        <w:spacing w:line="360" w:lineRule="auto"/>
        <w:ind w:left="5861"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r>
        <w:rPr>
          <w:rFonts w:hint="eastAsia" w:cs="宋体"/>
          <w:color w:val="auto"/>
          <w:kern w:val="0"/>
          <w:sz w:val="24"/>
          <w:highlight w:val="none"/>
          <w:lang w:val="en-US" w:eastAsia="zh-CN"/>
        </w:rPr>
        <w:t>供应商</w:t>
      </w:r>
      <w:r>
        <w:rPr>
          <w:rFonts w:hint="eastAsia" w:ascii="宋体" w:hAnsi="宋体" w:cs="宋体"/>
          <w:color w:val="auto"/>
          <w:kern w:val="0"/>
          <w:sz w:val="24"/>
          <w:highlight w:val="none"/>
          <w:lang w:val="zh-CN"/>
        </w:rPr>
        <w:t>名称(</w:t>
      </w:r>
      <w:r>
        <w:rPr>
          <w:rFonts w:hint="eastAsia" w:cs="宋体"/>
          <w:color w:val="auto"/>
          <w:kern w:val="0"/>
          <w:sz w:val="24"/>
          <w:highlight w:val="none"/>
          <w:lang w:val="zh-CN"/>
        </w:rPr>
        <w:t>公章</w:t>
      </w:r>
      <w:r>
        <w:rPr>
          <w:rFonts w:hint="eastAsia" w:ascii="宋体" w:hAnsi="宋体" w:cs="宋体"/>
          <w:color w:val="auto"/>
          <w:kern w:val="0"/>
          <w:sz w:val="24"/>
          <w:highlight w:val="none"/>
          <w:lang w:val="zh-CN"/>
        </w:rPr>
        <w:t>)：</w:t>
      </w:r>
    </w:p>
    <w:p w14:paraId="665C464B">
      <w:pPr>
        <w:shd w:val="clea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分包供应商名称(公章)：</w:t>
      </w:r>
    </w:p>
    <w:p w14:paraId="102F6BD9">
      <w:pPr>
        <w:shd w:val="clea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22C38D7A">
      <w:pPr>
        <w:shd w:val="clea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49A2F910">
      <w:pPr>
        <w:shd w:val="clea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7F0D76CC">
      <w:pPr>
        <w:shd w:val="clear"/>
        <w:topLinePunct/>
        <w:ind w:firstLine="480" w:firstLineChars="200"/>
        <w:rPr>
          <w:rFonts w:hint="eastAsia"/>
          <w:color w:val="auto"/>
          <w:szCs w:val="32"/>
          <w:highlight w:val="none"/>
        </w:rPr>
      </w:pPr>
    </w:p>
    <w:p w14:paraId="5F400CB9">
      <w:pPr>
        <w:shd w:val="clear"/>
        <w:topLinePunct/>
        <w:ind w:firstLine="480" w:firstLineChars="200"/>
        <w:rPr>
          <w:rFonts w:hint="eastAsia"/>
          <w:color w:val="auto"/>
          <w:szCs w:val="32"/>
          <w:highlight w:val="none"/>
        </w:rPr>
      </w:pPr>
    </w:p>
    <w:p w14:paraId="11CAF290">
      <w:pPr>
        <w:shd w:val="clear"/>
        <w:topLinePunct/>
        <w:ind w:firstLine="480" w:firstLineChars="200"/>
        <w:rPr>
          <w:rFonts w:hint="eastAsia"/>
          <w:color w:val="auto"/>
          <w:szCs w:val="32"/>
          <w:highlight w:val="none"/>
        </w:rPr>
      </w:pPr>
    </w:p>
    <w:p w14:paraId="35CFE103">
      <w:pPr>
        <w:shd w:val="clear"/>
        <w:topLinePunct/>
        <w:ind w:firstLine="480" w:firstLineChars="200"/>
        <w:rPr>
          <w:rFonts w:hint="eastAsia"/>
          <w:color w:val="auto"/>
          <w:szCs w:val="32"/>
          <w:highlight w:val="none"/>
        </w:rPr>
      </w:pPr>
    </w:p>
    <w:bookmarkEnd w:id="543"/>
    <w:p w14:paraId="5775F461">
      <w:pPr>
        <w:shd w:val="clear"/>
        <w:ind w:left="2520" w:leftChars="1050"/>
        <w:rPr>
          <w:color w:val="auto"/>
          <w:highlight w:val="none"/>
        </w:rPr>
      </w:pPr>
      <w:r>
        <w:rPr>
          <w:rFonts w:cs="Courier New"/>
          <w:color w:val="auto"/>
          <w:szCs w:val="24"/>
          <w:highlight w:val="none"/>
        </w:rPr>
        <w:br w:type="page"/>
      </w:r>
    </w:p>
    <w:p w14:paraId="27442EEC">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551" w:name="_Toc155185932"/>
      <w:bookmarkStart w:id="552" w:name="_Toc163492926"/>
      <w:bookmarkStart w:id="553" w:name="_Toc18930"/>
      <w:bookmarkStart w:id="554" w:name="_Toc21866"/>
      <w:r>
        <w:rPr>
          <w:rFonts w:hint="eastAsia" w:cstheme="majorBidi"/>
          <w:b/>
          <w:bCs/>
          <w:color w:val="auto"/>
          <w:kern w:val="2"/>
          <w:sz w:val="28"/>
          <w:szCs w:val="28"/>
          <w:highlight w:val="none"/>
          <w:lang w:val="en-US" w:eastAsia="zh-CN" w:bidi="ar-SA"/>
        </w:rPr>
        <w:t>四</w:t>
      </w:r>
      <w:r>
        <w:rPr>
          <w:rFonts w:hint="eastAsia" w:eastAsia="宋体" w:asciiTheme="majorHAnsi" w:hAnsiTheme="majorHAnsi" w:cstheme="majorBidi"/>
          <w:b/>
          <w:bCs/>
          <w:color w:val="auto"/>
          <w:kern w:val="2"/>
          <w:sz w:val="28"/>
          <w:szCs w:val="28"/>
          <w:highlight w:val="none"/>
          <w:lang w:val="en-US" w:eastAsia="zh-CN" w:bidi="ar-SA"/>
        </w:rPr>
        <w:t>、</w:t>
      </w:r>
      <w:bookmarkEnd w:id="551"/>
      <w:bookmarkEnd w:id="552"/>
      <w:r>
        <w:rPr>
          <w:rFonts w:hint="eastAsia" w:eastAsia="宋体" w:asciiTheme="majorHAnsi" w:hAnsiTheme="majorHAnsi" w:cstheme="majorBidi"/>
          <w:b/>
          <w:bCs/>
          <w:color w:val="auto"/>
          <w:kern w:val="2"/>
          <w:sz w:val="28"/>
          <w:szCs w:val="28"/>
          <w:highlight w:val="none"/>
          <w:lang w:val="en-US" w:eastAsia="zh-CN" w:bidi="ar-SA"/>
        </w:rPr>
        <w:t>落实政府采购政策相关证明文件</w:t>
      </w:r>
      <w:bookmarkEnd w:id="553"/>
      <w:bookmarkEnd w:id="554"/>
    </w:p>
    <w:p w14:paraId="0BDCE4AB">
      <w:pPr>
        <w:pStyle w:val="5"/>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555" w:name="_Toc163492938"/>
      <w:bookmarkStart w:id="556" w:name="_Toc2471"/>
      <w:r>
        <w:rPr>
          <w:rFonts w:hint="eastAsia" w:ascii="宋体" w:hAnsi="宋体" w:eastAsia="宋体" w:cs="宋体"/>
          <w:b/>
          <w:bCs/>
          <w:color w:val="auto"/>
          <w:kern w:val="2"/>
          <w:sz w:val="24"/>
          <w:szCs w:val="24"/>
          <w:highlight w:val="none"/>
          <w:lang w:val="en-US" w:eastAsia="zh-CN" w:bidi="ar-SA"/>
        </w:rPr>
        <w:t>（一）节能环保产品清单及证明材料</w:t>
      </w:r>
      <w:r>
        <w:rPr>
          <w:rFonts w:hint="eastAsia" w:ascii="宋体" w:hAnsi="宋体" w:eastAsia="宋体" w:cs="宋体"/>
          <w:b w:val="0"/>
          <w:bCs w:val="0"/>
          <w:color w:val="auto"/>
          <w:kern w:val="2"/>
          <w:sz w:val="24"/>
          <w:szCs w:val="24"/>
          <w:highlight w:val="none"/>
          <w:lang w:val="en-US" w:eastAsia="zh-CN" w:bidi="ar-SA"/>
        </w:rPr>
        <w:t>【如适用】</w:t>
      </w:r>
      <w:bookmarkEnd w:id="555"/>
      <w:bookmarkEnd w:id="556"/>
    </w:p>
    <w:p w14:paraId="738C7A23">
      <w:pPr>
        <w:shd w:val="clea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lang w:val="en-US" w:eastAsia="zh-CN"/>
        </w:rPr>
        <w:t>/包号</w:t>
      </w:r>
      <w:r>
        <w:rPr>
          <w:rFonts w:hint="eastAsia" w:ascii="宋体" w:hAnsi="宋体" w:eastAsia="宋体" w:cs="宋体"/>
          <w:color w:val="auto"/>
          <w:sz w:val="24"/>
          <w:szCs w:val="24"/>
          <w:highlight w:val="none"/>
        </w:rPr>
        <w:t>：</w:t>
      </w:r>
    </w:p>
    <w:p w14:paraId="74728550">
      <w:pPr>
        <w:shd w:val="clea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27"/>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0D71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FCF36A0">
            <w:pPr>
              <w:pStyle w:val="44"/>
              <w:shd w:val="clear"/>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54C6998">
            <w:pPr>
              <w:pStyle w:val="44"/>
              <w:shd w:val="clear"/>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4BB5F633">
            <w:pPr>
              <w:pStyle w:val="44"/>
              <w:shd w:val="clear"/>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05539A93">
            <w:pPr>
              <w:pStyle w:val="44"/>
              <w:shd w:val="clear"/>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0DDEEF99">
            <w:pPr>
              <w:pStyle w:val="44"/>
              <w:shd w:val="clear"/>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3F9D9ED4">
            <w:pPr>
              <w:pStyle w:val="44"/>
              <w:shd w:val="clear"/>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46E5422B">
            <w:pPr>
              <w:pStyle w:val="44"/>
              <w:shd w:val="clear"/>
              <w:jc w:val="center"/>
              <w:rPr>
                <w:color w:val="auto"/>
                <w:sz w:val="21"/>
                <w:szCs w:val="21"/>
                <w:highlight w:val="none"/>
              </w:rPr>
            </w:pPr>
            <w:r>
              <w:rPr>
                <w:rFonts w:hint="eastAsia"/>
                <w:color w:val="auto"/>
                <w:sz w:val="21"/>
                <w:szCs w:val="21"/>
                <w:highlight w:val="none"/>
              </w:rPr>
              <w:t>单价</w:t>
            </w:r>
          </w:p>
          <w:p w14:paraId="4D8AC9C4">
            <w:pPr>
              <w:pStyle w:val="44"/>
              <w:shd w:val="clear"/>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514FB4B3">
            <w:pPr>
              <w:pStyle w:val="44"/>
              <w:shd w:val="clear"/>
              <w:jc w:val="center"/>
              <w:rPr>
                <w:color w:val="auto"/>
                <w:sz w:val="21"/>
                <w:szCs w:val="21"/>
                <w:highlight w:val="none"/>
              </w:rPr>
            </w:pPr>
            <w:r>
              <w:rPr>
                <w:rFonts w:hint="eastAsia"/>
                <w:color w:val="auto"/>
                <w:sz w:val="21"/>
                <w:szCs w:val="21"/>
                <w:highlight w:val="none"/>
              </w:rPr>
              <w:t>总价</w:t>
            </w:r>
          </w:p>
          <w:p w14:paraId="4637FB3E">
            <w:pPr>
              <w:pStyle w:val="44"/>
              <w:shd w:val="clear"/>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3D113D7A">
            <w:pPr>
              <w:pStyle w:val="44"/>
              <w:shd w:val="clear"/>
              <w:jc w:val="center"/>
              <w:rPr>
                <w:color w:val="auto"/>
                <w:sz w:val="21"/>
                <w:szCs w:val="21"/>
                <w:highlight w:val="none"/>
              </w:rPr>
            </w:pPr>
            <w:r>
              <w:rPr>
                <w:rFonts w:hint="eastAsia"/>
                <w:color w:val="auto"/>
                <w:sz w:val="21"/>
                <w:szCs w:val="21"/>
                <w:highlight w:val="none"/>
              </w:rPr>
              <w:t>属强制采购或优先采购</w:t>
            </w:r>
          </w:p>
        </w:tc>
      </w:tr>
      <w:tr w14:paraId="18D7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95B8E6D">
            <w:pPr>
              <w:pStyle w:val="44"/>
              <w:numPr>
                <w:ilvl w:val="0"/>
                <w:numId w:val="2"/>
              </w:numPr>
              <w:shd w:val="clea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532E04E">
            <w:pPr>
              <w:pStyle w:val="44"/>
              <w:shd w:val="clear"/>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3CDFCC5">
            <w:pPr>
              <w:pStyle w:val="44"/>
              <w:shd w:val="clear"/>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A4E845A">
            <w:pPr>
              <w:pStyle w:val="44"/>
              <w:shd w:val="clear"/>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4348699">
            <w:pPr>
              <w:pStyle w:val="44"/>
              <w:shd w:val="clear"/>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CEBECC8">
            <w:pPr>
              <w:pStyle w:val="44"/>
              <w:shd w:val="clear"/>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782F642">
            <w:pPr>
              <w:pStyle w:val="44"/>
              <w:shd w:val="clear"/>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2EADA19A">
            <w:pPr>
              <w:pStyle w:val="44"/>
              <w:shd w:val="clear"/>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BC80F3F">
            <w:pPr>
              <w:pStyle w:val="44"/>
              <w:shd w:val="clear"/>
              <w:jc w:val="center"/>
              <w:rPr>
                <w:color w:val="auto"/>
                <w:sz w:val="21"/>
                <w:szCs w:val="21"/>
                <w:highlight w:val="none"/>
              </w:rPr>
            </w:pPr>
          </w:p>
        </w:tc>
      </w:tr>
      <w:tr w14:paraId="13A5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09443BF">
            <w:pPr>
              <w:pStyle w:val="44"/>
              <w:numPr>
                <w:ilvl w:val="0"/>
                <w:numId w:val="2"/>
              </w:numPr>
              <w:shd w:val="clea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FB1FB35">
            <w:pPr>
              <w:pStyle w:val="44"/>
              <w:shd w:val="clear"/>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219D569">
            <w:pPr>
              <w:pStyle w:val="44"/>
              <w:shd w:val="clear"/>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9AEC486">
            <w:pPr>
              <w:pStyle w:val="44"/>
              <w:shd w:val="clear"/>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1046AFD5">
            <w:pPr>
              <w:pStyle w:val="44"/>
              <w:shd w:val="clear"/>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19C65DA">
            <w:pPr>
              <w:pStyle w:val="44"/>
              <w:shd w:val="clear"/>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B1B3EB9">
            <w:pPr>
              <w:pStyle w:val="44"/>
              <w:shd w:val="clear"/>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894FDF6">
            <w:pPr>
              <w:pStyle w:val="44"/>
              <w:shd w:val="clear"/>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C379112">
            <w:pPr>
              <w:pStyle w:val="44"/>
              <w:shd w:val="clear"/>
              <w:jc w:val="center"/>
              <w:rPr>
                <w:color w:val="auto"/>
                <w:sz w:val="21"/>
                <w:szCs w:val="21"/>
                <w:highlight w:val="none"/>
              </w:rPr>
            </w:pPr>
          </w:p>
        </w:tc>
      </w:tr>
      <w:tr w14:paraId="1A33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14FA40F">
            <w:pPr>
              <w:pStyle w:val="44"/>
              <w:numPr>
                <w:ilvl w:val="0"/>
                <w:numId w:val="2"/>
              </w:numPr>
              <w:shd w:val="clea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087F5988">
            <w:pPr>
              <w:pStyle w:val="44"/>
              <w:shd w:val="clear"/>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790E1A28">
            <w:pPr>
              <w:pStyle w:val="44"/>
              <w:shd w:val="clear"/>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A0864AE">
            <w:pPr>
              <w:pStyle w:val="44"/>
              <w:shd w:val="clear"/>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4C9F1D0">
            <w:pPr>
              <w:pStyle w:val="44"/>
              <w:shd w:val="clear"/>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686AC29">
            <w:pPr>
              <w:pStyle w:val="44"/>
              <w:shd w:val="clear"/>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343A306">
            <w:pPr>
              <w:pStyle w:val="44"/>
              <w:shd w:val="clear"/>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A6317B8">
            <w:pPr>
              <w:pStyle w:val="44"/>
              <w:shd w:val="clear"/>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0E24D072">
            <w:pPr>
              <w:pStyle w:val="44"/>
              <w:shd w:val="clear"/>
              <w:jc w:val="center"/>
              <w:rPr>
                <w:color w:val="auto"/>
                <w:sz w:val="21"/>
                <w:szCs w:val="21"/>
                <w:highlight w:val="none"/>
              </w:rPr>
            </w:pPr>
          </w:p>
        </w:tc>
      </w:tr>
    </w:tbl>
    <w:p w14:paraId="2831E0BE">
      <w:pPr>
        <w:shd w:val="clear"/>
        <w:spacing w:line="300" w:lineRule="auto"/>
        <w:rPr>
          <w:rFonts w:ascii="Arial" w:hAnsi="Arial" w:cs="Arial"/>
          <w:color w:val="auto"/>
          <w:szCs w:val="21"/>
          <w:highlight w:val="none"/>
        </w:rPr>
      </w:pPr>
    </w:p>
    <w:p w14:paraId="60D44E3F">
      <w:pPr>
        <w:shd w:val="clea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27"/>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1D26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57131EF">
            <w:pPr>
              <w:pStyle w:val="44"/>
              <w:shd w:val="clear"/>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B75546E">
            <w:pPr>
              <w:pStyle w:val="44"/>
              <w:shd w:val="clear"/>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48807FE9">
            <w:pPr>
              <w:pStyle w:val="44"/>
              <w:shd w:val="clear"/>
              <w:jc w:val="center"/>
              <w:rPr>
                <w:color w:val="auto"/>
                <w:sz w:val="21"/>
                <w:szCs w:val="21"/>
                <w:highlight w:val="none"/>
              </w:rPr>
            </w:pPr>
            <w:r>
              <w:rPr>
                <w:rFonts w:hint="eastAsia"/>
                <w:color w:val="auto"/>
                <w:sz w:val="21"/>
                <w:szCs w:val="21"/>
                <w:highlight w:val="none"/>
              </w:rPr>
              <w:t>制造商</w:t>
            </w:r>
          </w:p>
          <w:p w14:paraId="6871D586">
            <w:pPr>
              <w:pStyle w:val="44"/>
              <w:shd w:val="clear"/>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63CB73BC">
            <w:pPr>
              <w:pStyle w:val="44"/>
              <w:shd w:val="clear"/>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46FFC544">
            <w:pPr>
              <w:pStyle w:val="44"/>
              <w:shd w:val="clear"/>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067CEFC8">
            <w:pPr>
              <w:pStyle w:val="44"/>
              <w:shd w:val="clear"/>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37A87868">
            <w:pPr>
              <w:pStyle w:val="44"/>
              <w:shd w:val="clear"/>
              <w:jc w:val="center"/>
              <w:rPr>
                <w:color w:val="auto"/>
                <w:sz w:val="21"/>
                <w:szCs w:val="21"/>
                <w:highlight w:val="none"/>
              </w:rPr>
            </w:pPr>
            <w:r>
              <w:rPr>
                <w:rFonts w:hint="eastAsia"/>
                <w:color w:val="auto"/>
                <w:sz w:val="21"/>
                <w:szCs w:val="21"/>
                <w:highlight w:val="none"/>
              </w:rPr>
              <w:t>单价</w:t>
            </w:r>
          </w:p>
          <w:p w14:paraId="09FBCB92">
            <w:pPr>
              <w:pStyle w:val="44"/>
              <w:shd w:val="clear"/>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0A825EE6">
            <w:pPr>
              <w:pStyle w:val="44"/>
              <w:shd w:val="clear"/>
              <w:jc w:val="center"/>
              <w:rPr>
                <w:color w:val="auto"/>
                <w:sz w:val="21"/>
                <w:szCs w:val="21"/>
                <w:highlight w:val="none"/>
              </w:rPr>
            </w:pPr>
            <w:r>
              <w:rPr>
                <w:rFonts w:hint="eastAsia"/>
                <w:color w:val="auto"/>
                <w:sz w:val="21"/>
                <w:szCs w:val="21"/>
                <w:highlight w:val="none"/>
              </w:rPr>
              <w:t>总价</w:t>
            </w:r>
          </w:p>
          <w:p w14:paraId="33CDE01B">
            <w:pPr>
              <w:pStyle w:val="44"/>
              <w:shd w:val="clear"/>
              <w:jc w:val="center"/>
              <w:rPr>
                <w:color w:val="auto"/>
                <w:sz w:val="21"/>
                <w:szCs w:val="21"/>
                <w:highlight w:val="none"/>
              </w:rPr>
            </w:pPr>
            <w:r>
              <w:rPr>
                <w:rFonts w:hint="eastAsia"/>
                <w:color w:val="auto"/>
                <w:sz w:val="21"/>
                <w:szCs w:val="21"/>
                <w:highlight w:val="none"/>
              </w:rPr>
              <w:t>（万元）</w:t>
            </w:r>
          </w:p>
        </w:tc>
      </w:tr>
      <w:tr w14:paraId="7304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6FF683B">
            <w:pPr>
              <w:pStyle w:val="44"/>
              <w:numPr>
                <w:ilvl w:val="0"/>
                <w:numId w:val="3"/>
              </w:numPr>
              <w:shd w:val="clea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02A116FE">
            <w:pPr>
              <w:pStyle w:val="44"/>
              <w:shd w:val="clear"/>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737EAFD8">
            <w:pPr>
              <w:pStyle w:val="44"/>
              <w:shd w:val="clear"/>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148B80C">
            <w:pPr>
              <w:pStyle w:val="44"/>
              <w:shd w:val="clear"/>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46C9D21">
            <w:pPr>
              <w:pStyle w:val="44"/>
              <w:shd w:val="clear"/>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6E01E2C">
            <w:pPr>
              <w:pStyle w:val="44"/>
              <w:shd w:val="clear"/>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6EBB7355">
            <w:pPr>
              <w:pStyle w:val="44"/>
              <w:shd w:val="clear"/>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400014CA">
            <w:pPr>
              <w:pStyle w:val="44"/>
              <w:shd w:val="clear"/>
              <w:jc w:val="center"/>
              <w:rPr>
                <w:color w:val="auto"/>
                <w:sz w:val="21"/>
                <w:szCs w:val="21"/>
                <w:highlight w:val="none"/>
              </w:rPr>
            </w:pPr>
          </w:p>
        </w:tc>
      </w:tr>
      <w:tr w14:paraId="7D13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AE9564A">
            <w:pPr>
              <w:pStyle w:val="44"/>
              <w:numPr>
                <w:ilvl w:val="0"/>
                <w:numId w:val="3"/>
              </w:numPr>
              <w:shd w:val="clea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7E2EB56">
            <w:pPr>
              <w:pStyle w:val="44"/>
              <w:shd w:val="clear"/>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88C31A9">
            <w:pPr>
              <w:pStyle w:val="44"/>
              <w:shd w:val="clear"/>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90A4A93">
            <w:pPr>
              <w:pStyle w:val="44"/>
              <w:shd w:val="clear"/>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6DA7E15">
            <w:pPr>
              <w:pStyle w:val="44"/>
              <w:shd w:val="clear"/>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037ECDB">
            <w:pPr>
              <w:pStyle w:val="44"/>
              <w:shd w:val="clear"/>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23BD0E45">
            <w:pPr>
              <w:pStyle w:val="44"/>
              <w:shd w:val="clear"/>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5D0710D8">
            <w:pPr>
              <w:pStyle w:val="44"/>
              <w:shd w:val="clear"/>
              <w:jc w:val="center"/>
              <w:rPr>
                <w:color w:val="auto"/>
                <w:sz w:val="21"/>
                <w:szCs w:val="21"/>
                <w:highlight w:val="none"/>
              </w:rPr>
            </w:pPr>
          </w:p>
        </w:tc>
      </w:tr>
      <w:tr w14:paraId="7AC8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631B4FC">
            <w:pPr>
              <w:pStyle w:val="44"/>
              <w:numPr>
                <w:ilvl w:val="0"/>
                <w:numId w:val="3"/>
              </w:numPr>
              <w:shd w:val="clea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A83E45D">
            <w:pPr>
              <w:pStyle w:val="44"/>
              <w:shd w:val="clear"/>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13CA41C">
            <w:pPr>
              <w:pStyle w:val="44"/>
              <w:shd w:val="clear"/>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553DA88">
            <w:pPr>
              <w:pStyle w:val="44"/>
              <w:shd w:val="clear"/>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DE0615D">
            <w:pPr>
              <w:pStyle w:val="44"/>
              <w:shd w:val="clear"/>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874A069">
            <w:pPr>
              <w:pStyle w:val="44"/>
              <w:shd w:val="clear"/>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065BE9E4">
            <w:pPr>
              <w:pStyle w:val="44"/>
              <w:shd w:val="clear"/>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2910C53">
            <w:pPr>
              <w:pStyle w:val="44"/>
              <w:shd w:val="clear"/>
              <w:jc w:val="center"/>
              <w:rPr>
                <w:color w:val="auto"/>
                <w:sz w:val="21"/>
                <w:szCs w:val="21"/>
                <w:highlight w:val="none"/>
              </w:rPr>
            </w:pPr>
          </w:p>
        </w:tc>
      </w:tr>
    </w:tbl>
    <w:p w14:paraId="141E07B3">
      <w:pPr>
        <w:shd w:val="clear"/>
        <w:spacing w:line="300" w:lineRule="auto"/>
        <w:rPr>
          <w:rFonts w:ascii="Arial" w:hAnsi="Arial" w:cs="Arial"/>
          <w:color w:val="auto"/>
          <w:szCs w:val="21"/>
          <w:highlight w:val="none"/>
        </w:rPr>
      </w:pPr>
    </w:p>
    <w:p w14:paraId="606E5A08">
      <w:pPr>
        <w:shd w:val="clear"/>
        <w:rPr>
          <w:rFonts w:ascii="Arial" w:hAnsi="Arial" w:cs="Arial"/>
          <w:b/>
          <w:color w:val="auto"/>
          <w:sz w:val="21"/>
          <w:szCs w:val="21"/>
          <w:highlight w:val="none"/>
        </w:rPr>
      </w:pPr>
      <w:r>
        <w:rPr>
          <w:rFonts w:hint="eastAsia" w:ascii="Arial" w:hAnsi="Arial" w:cs="Arial"/>
          <w:b/>
          <w:color w:val="auto"/>
          <w:sz w:val="21"/>
          <w:szCs w:val="21"/>
          <w:highlight w:val="none"/>
        </w:rPr>
        <w:t>特别说明：</w:t>
      </w:r>
      <w:r>
        <w:rPr>
          <w:rFonts w:hint="eastAsia" w:ascii="Arial" w:hAnsi="Arial" w:cs="Arial"/>
          <w:b/>
          <w:color w:val="auto"/>
          <w:sz w:val="21"/>
          <w:szCs w:val="21"/>
          <w:highlight w:val="none"/>
          <w:lang w:val="en-US" w:eastAsia="zh-CN"/>
        </w:rPr>
        <w:t>供应商</w:t>
      </w:r>
      <w:r>
        <w:rPr>
          <w:rFonts w:hint="eastAsia" w:ascii="Arial" w:hAnsi="Arial" w:cs="Arial"/>
          <w:b/>
          <w:color w:val="auto"/>
          <w:sz w:val="21"/>
          <w:szCs w:val="21"/>
          <w:highlight w:val="none"/>
        </w:rPr>
        <w:t>应将所投产品中节能、环保产品分别列入上表中，并按本</w:t>
      </w:r>
      <w:r>
        <w:rPr>
          <w:rFonts w:hint="eastAsia" w:ascii="Arial" w:hAnsi="Arial" w:cs="Arial"/>
          <w:b/>
          <w:color w:val="auto"/>
          <w:sz w:val="21"/>
          <w:szCs w:val="21"/>
          <w:highlight w:val="none"/>
          <w:lang w:val="en-US" w:eastAsia="zh-CN"/>
        </w:rPr>
        <w:t>竞争性谈判</w:t>
      </w:r>
      <w:r>
        <w:rPr>
          <w:rFonts w:hint="eastAsia" w:ascii="Arial" w:hAnsi="Arial" w:cs="Arial"/>
          <w:b/>
          <w:color w:val="auto"/>
          <w:sz w:val="21"/>
          <w:szCs w:val="21"/>
          <w:highlight w:val="none"/>
        </w:rPr>
        <w:t>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供应商须知”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hint="eastAsia" w:ascii="Arial" w:hAnsi="Arial" w:cs="Arial"/>
          <w:b/>
          <w:color w:val="auto"/>
          <w:sz w:val="21"/>
          <w:szCs w:val="21"/>
          <w:highlight w:val="none"/>
          <w:lang w:val="en-US" w:eastAsia="zh-CN"/>
        </w:rPr>
        <w:t>评审优惠</w:t>
      </w:r>
      <w:r>
        <w:rPr>
          <w:rFonts w:hint="eastAsia" w:ascii="Arial" w:hAnsi="Arial" w:cs="Arial"/>
          <w:b/>
          <w:color w:val="auto"/>
          <w:sz w:val="21"/>
          <w:szCs w:val="21"/>
          <w:highlight w:val="none"/>
        </w:rPr>
        <w:t>。</w:t>
      </w:r>
    </w:p>
    <w:p w14:paraId="675C9164">
      <w:pPr>
        <w:shd w:val="clear"/>
        <w:spacing w:line="300" w:lineRule="auto"/>
        <w:rPr>
          <w:rFonts w:ascii="Arial" w:hAnsi="Arial" w:cs="Arial"/>
          <w:color w:val="auto"/>
          <w:szCs w:val="21"/>
          <w:highlight w:val="none"/>
        </w:rPr>
      </w:pPr>
    </w:p>
    <w:p w14:paraId="0BA1A982">
      <w:pPr>
        <w:shd w:val="clear"/>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lang w:val="en-US" w:eastAsia="zh-CN"/>
        </w:rPr>
        <w:t xml:space="preserve">                                         </w:t>
      </w:r>
      <w:r>
        <w:rPr>
          <w:rFonts w:hint="eastAsia" w:cs="宋体"/>
          <w:color w:val="auto"/>
          <w:kern w:val="0"/>
          <w:sz w:val="24"/>
          <w:highlight w:val="none"/>
          <w:lang w:val="en-US" w:eastAsia="zh-CN"/>
        </w:rPr>
        <w:t>供应商</w:t>
      </w:r>
      <w:r>
        <w:rPr>
          <w:rFonts w:hint="eastAsia" w:ascii="宋体" w:hAnsi="宋体" w:cs="宋体"/>
          <w:color w:val="auto"/>
          <w:kern w:val="0"/>
          <w:sz w:val="24"/>
          <w:highlight w:val="none"/>
          <w:lang w:val="zh-CN"/>
        </w:rPr>
        <w:t>名称(</w:t>
      </w:r>
      <w:r>
        <w:rPr>
          <w:rFonts w:hint="eastAsia" w:cs="宋体"/>
          <w:color w:val="auto"/>
          <w:kern w:val="0"/>
          <w:sz w:val="24"/>
          <w:highlight w:val="none"/>
          <w:lang w:val="zh-CN"/>
        </w:rPr>
        <w:t>公章</w:t>
      </w:r>
      <w:r>
        <w:rPr>
          <w:rFonts w:hint="eastAsia" w:ascii="宋体" w:hAnsi="宋体" w:cs="宋体"/>
          <w:color w:val="auto"/>
          <w:kern w:val="0"/>
          <w:sz w:val="24"/>
          <w:highlight w:val="none"/>
          <w:lang w:val="zh-CN"/>
        </w:rPr>
        <w:t>)：</w:t>
      </w:r>
    </w:p>
    <w:p w14:paraId="3068A70D">
      <w:pPr>
        <w:shd w:val="clear"/>
        <w:ind w:firstLine="5520" w:firstLineChars="2300"/>
        <w:rPr>
          <w:rFonts w:ascii="Arial" w:hAnsi="Arial" w:cs="Arial"/>
          <w:color w:val="auto"/>
          <w:szCs w:val="21"/>
          <w:highlight w:val="none"/>
        </w:rPr>
      </w:pPr>
      <w:r>
        <w:rPr>
          <w:rFonts w:ascii="Arial" w:hAnsi="Arial" w:cs="Arial"/>
          <w:color w:val="auto"/>
          <w:szCs w:val="21"/>
          <w:highlight w:val="none"/>
        </w:rPr>
        <w:t>日期：</w:t>
      </w:r>
    </w:p>
    <w:p w14:paraId="70617D68">
      <w:pPr>
        <w:shd w:val="clear"/>
        <w:rPr>
          <w:rFonts w:ascii="Arial" w:hAnsi="Arial" w:cs="Arial"/>
          <w:color w:val="auto"/>
          <w:szCs w:val="21"/>
          <w:highlight w:val="none"/>
        </w:rPr>
      </w:pPr>
      <w:r>
        <w:rPr>
          <w:rFonts w:ascii="Arial" w:hAnsi="Arial" w:cs="Arial"/>
          <w:color w:val="auto"/>
          <w:szCs w:val="21"/>
          <w:highlight w:val="none"/>
        </w:rPr>
        <w:br w:type="page"/>
      </w:r>
    </w:p>
    <w:p w14:paraId="711C0C58">
      <w:pPr>
        <w:pStyle w:val="5"/>
        <w:keepNext/>
        <w:keepLines/>
        <w:pageBreakBefore w:val="0"/>
        <w:widowControl w:val="0"/>
        <w:numPr>
          <w:ilvl w:val="0"/>
          <w:numId w:val="0"/>
        </w:numPr>
        <w:shd w:val="clea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557" w:name="_Toc163492939"/>
      <w:bookmarkStart w:id="558" w:name="_Toc8309"/>
      <w:r>
        <w:rPr>
          <w:rFonts w:hint="eastAsia" w:ascii="宋体" w:hAnsi="宋体" w:eastAsia="宋体" w:cstheme="minorBidi"/>
          <w:b/>
          <w:bCs/>
          <w:color w:val="auto"/>
          <w:kern w:val="2"/>
          <w:sz w:val="24"/>
          <w:szCs w:val="24"/>
          <w:highlight w:val="none"/>
          <w:lang w:val="en-US" w:eastAsia="zh-CN" w:bidi="ar-SA"/>
        </w:rPr>
        <w:t>（二）中小企业声明函</w:t>
      </w:r>
      <w:bookmarkEnd w:id="557"/>
      <w:bookmarkEnd w:id="558"/>
    </w:p>
    <w:p w14:paraId="17DF8322">
      <w:pPr>
        <w:pStyle w:val="37"/>
        <w:keepNext w:val="0"/>
        <w:keepLines w:val="0"/>
        <w:pageBreakBefore w:val="0"/>
        <w:widowControl w:val="0"/>
        <w:numPr>
          <w:ilvl w:val="0"/>
          <w:numId w:val="0"/>
        </w:numPr>
        <w:shd w:val="clea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31EF7E02">
      <w:pPr>
        <w:pStyle w:val="37"/>
        <w:numPr>
          <w:ilvl w:val="0"/>
          <w:numId w:val="0"/>
        </w:numPr>
        <w:shd w:val="clea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78BC1CF1">
      <w:pPr>
        <w:shd w:val="clear"/>
        <w:ind w:firstLine="504" w:firstLineChars="200"/>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w:t>
      </w:r>
      <w:r>
        <w:rPr>
          <w:rFonts w:hint="eastAsia" w:cs="宋体"/>
          <w:color w:val="auto"/>
          <w:spacing w:val="6"/>
          <w:szCs w:val="24"/>
          <w:highlight w:val="none"/>
          <w:lang w:val="en-US" w:eastAsia="zh-CN"/>
        </w:rPr>
        <w:t>书</w:t>
      </w:r>
      <w:r>
        <w:rPr>
          <w:rFonts w:hint="eastAsia" w:cs="宋体"/>
          <w:color w:val="auto"/>
          <w:spacing w:val="6"/>
          <w:szCs w:val="24"/>
          <w:highlight w:val="none"/>
        </w:rPr>
        <w:t>的中小企业）的具体情况如下：</w:t>
      </w:r>
    </w:p>
    <w:p w14:paraId="5FCC96F1">
      <w:pPr>
        <w:shd w:val="clear"/>
        <w:ind w:firstLine="504" w:firstLineChars="200"/>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1D01E102">
      <w:pPr>
        <w:shd w:val="clear"/>
        <w:ind w:firstLine="504" w:firstLineChars="200"/>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7CB1DD8C">
      <w:pPr>
        <w:shd w:val="clear"/>
        <w:ind w:firstLine="504" w:firstLineChars="200"/>
        <w:rPr>
          <w:rFonts w:cs="宋体"/>
          <w:color w:val="auto"/>
          <w:spacing w:val="6"/>
          <w:szCs w:val="24"/>
          <w:highlight w:val="none"/>
        </w:rPr>
      </w:pPr>
      <w:r>
        <w:rPr>
          <w:rFonts w:hint="eastAsia" w:cs="宋体"/>
          <w:color w:val="auto"/>
          <w:spacing w:val="6"/>
          <w:szCs w:val="24"/>
          <w:highlight w:val="none"/>
        </w:rPr>
        <w:t>……</w:t>
      </w:r>
    </w:p>
    <w:p w14:paraId="776FE44A">
      <w:pPr>
        <w:shd w:val="clear"/>
        <w:ind w:firstLine="504" w:firstLineChars="200"/>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3A720EA2">
      <w:pPr>
        <w:shd w:val="clear"/>
        <w:ind w:firstLine="504" w:firstLineChars="200"/>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5A6D844B">
      <w:pPr>
        <w:shd w:val="clear"/>
        <w:ind w:right="1008" w:firstLine="4788" w:firstLineChars="1900"/>
        <w:rPr>
          <w:rFonts w:cs="宋体"/>
          <w:color w:val="auto"/>
          <w:spacing w:val="6"/>
          <w:szCs w:val="24"/>
          <w:highlight w:val="none"/>
        </w:rPr>
      </w:pPr>
    </w:p>
    <w:p w14:paraId="165AEE2D">
      <w:pPr>
        <w:shd w:val="clear"/>
        <w:ind w:right="1008" w:firstLine="4080" w:firstLineChars="1700"/>
        <w:rPr>
          <w:rFonts w:cs="宋体"/>
          <w:color w:val="auto"/>
          <w:spacing w:val="6"/>
          <w:szCs w:val="24"/>
          <w:highlight w:val="none"/>
        </w:rPr>
      </w:pPr>
      <w:r>
        <w:rPr>
          <w:rFonts w:hint="eastAsia" w:ascii="宋体" w:hAnsi="宋体" w:cs="宋体"/>
          <w:color w:val="auto"/>
          <w:kern w:val="0"/>
          <w:sz w:val="24"/>
          <w:highlight w:val="none"/>
          <w:lang w:val="zh-CN"/>
        </w:rPr>
        <w:t xml:space="preserve">  </w:t>
      </w:r>
      <w:r>
        <w:rPr>
          <w:rFonts w:hint="eastAsia" w:cs="宋体"/>
          <w:color w:val="auto"/>
          <w:kern w:val="0"/>
          <w:sz w:val="24"/>
          <w:highlight w:val="none"/>
          <w:lang w:val="en-US" w:eastAsia="zh-CN"/>
        </w:rPr>
        <w:t>供应商</w:t>
      </w:r>
      <w:r>
        <w:rPr>
          <w:rFonts w:hint="eastAsia" w:ascii="宋体" w:hAnsi="宋体" w:cs="宋体"/>
          <w:color w:val="auto"/>
          <w:kern w:val="0"/>
          <w:sz w:val="24"/>
          <w:highlight w:val="none"/>
          <w:lang w:val="zh-CN"/>
        </w:rPr>
        <w:t>名称(</w:t>
      </w:r>
      <w:r>
        <w:rPr>
          <w:rFonts w:hint="eastAsia" w:cs="宋体"/>
          <w:color w:val="auto"/>
          <w:kern w:val="0"/>
          <w:sz w:val="24"/>
          <w:highlight w:val="none"/>
          <w:lang w:val="zh-CN"/>
        </w:rPr>
        <w:t>公章</w:t>
      </w:r>
      <w:r>
        <w:rPr>
          <w:rFonts w:hint="eastAsia" w:ascii="宋体" w:hAnsi="宋体" w:cs="宋体"/>
          <w:color w:val="auto"/>
          <w:kern w:val="0"/>
          <w:sz w:val="24"/>
          <w:highlight w:val="none"/>
          <w:lang w:val="zh-CN"/>
        </w:rPr>
        <w:t>)：</w:t>
      </w:r>
    </w:p>
    <w:p w14:paraId="5183E380">
      <w:pPr>
        <w:shd w:val="clear"/>
        <w:ind w:right="1008" w:firstLine="428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7BA8C73B">
      <w:pPr>
        <w:shd w:val="clear"/>
        <w:ind w:firstLine="504" w:firstLineChars="200"/>
        <w:rPr>
          <w:rFonts w:cs="宋体"/>
          <w:color w:val="auto"/>
          <w:spacing w:val="6"/>
          <w:szCs w:val="24"/>
          <w:highlight w:val="none"/>
        </w:rPr>
      </w:pPr>
    </w:p>
    <w:p w14:paraId="748B4DD4">
      <w:pPr>
        <w:shd w:val="clea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1.重要提示：供应商应仔细阅读本函附件1关于“中小企业声明函”的填写要求及提交要求，否则，因填写或提交等产生的一切不利后果，须自行承担。</w:t>
      </w:r>
    </w:p>
    <w:p w14:paraId="645259F9">
      <w:pPr>
        <w:shd w:val="clear"/>
        <w:ind w:firstLine="446" w:firstLineChars="200"/>
        <w:rPr>
          <w:rFonts w:hint="eastAsia"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1ADE189F">
      <w:pPr>
        <w:shd w:val="clear"/>
        <w:rPr>
          <w:rFonts w:hint="eastAsia" w:cs="宋体"/>
          <w:color w:val="auto"/>
          <w:spacing w:val="6"/>
          <w:sz w:val="24"/>
          <w:szCs w:val="24"/>
          <w:highlight w:val="none"/>
        </w:rPr>
      </w:pPr>
    </w:p>
    <w:p w14:paraId="4C098FFB">
      <w:pPr>
        <w:shd w:val="clear"/>
        <w:rPr>
          <w:rFonts w:hint="eastAsia" w:cs="宋体"/>
          <w:color w:val="auto"/>
          <w:spacing w:val="6"/>
          <w:sz w:val="24"/>
          <w:szCs w:val="24"/>
          <w:highlight w:val="none"/>
        </w:rPr>
      </w:pPr>
    </w:p>
    <w:p w14:paraId="3C73BF63">
      <w:pPr>
        <w:shd w:val="clear"/>
        <w:rPr>
          <w:rFonts w:hint="eastAsia" w:cs="宋体"/>
          <w:color w:val="auto"/>
          <w:spacing w:val="6"/>
          <w:sz w:val="24"/>
          <w:szCs w:val="24"/>
          <w:highlight w:val="none"/>
        </w:rPr>
      </w:pPr>
    </w:p>
    <w:p w14:paraId="3EAEDF66">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7006C7B7">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0A0B18BB">
      <w:pPr>
        <w:keepNext w:val="0"/>
        <w:keepLines w:val="0"/>
        <w:widowControl/>
        <w:suppressLineNumbers w:val="0"/>
        <w:shd w:val="clear"/>
        <w:ind w:firstLine="562" w:firstLineChars="200"/>
        <w:jc w:val="left"/>
        <w:rPr>
          <w:rStyle w:val="30"/>
          <w:rFonts w:hint="eastAsia" w:ascii="宋体" w:hAnsi="宋体" w:eastAsia="宋体" w:cs="宋体"/>
          <w:color w:val="auto"/>
          <w:kern w:val="0"/>
          <w:sz w:val="28"/>
          <w:szCs w:val="28"/>
          <w:highlight w:val="none"/>
          <w:lang w:val="en-US" w:eastAsia="zh-CN" w:bidi="ar"/>
        </w:rPr>
      </w:pPr>
    </w:p>
    <w:p w14:paraId="65EA448B">
      <w:pPr>
        <w:keepNext w:val="0"/>
        <w:keepLines w:val="0"/>
        <w:widowControl/>
        <w:suppressLineNumbers w:val="0"/>
        <w:shd w:val="clear"/>
        <w:ind w:firstLine="482" w:firstLineChars="200"/>
        <w:jc w:val="left"/>
        <w:rPr>
          <w:rStyle w:val="30"/>
          <w:rFonts w:hint="eastAsia" w:ascii="宋体" w:hAnsi="宋体" w:eastAsia="宋体" w:cs="宋体"/>
          <w:color w:val="auto"/>
          <w:kern w:val="0"/>
          <w:sz w:val="28"/>
          <w:szCs w:val="28"/>
          <w:highlight w:val="none"/>
          <w:lang w:val="en-US" w:eastAsia="zh-CN" w:bidi="ar"/>
        </w:rPr>
      </w:pPr>
      <w:r>
        <w:rPr>
          <w:rStyle w:val="30"/>
          <w:rFonts w:hint="eastAsia" w:ascii="宋体" w:hAnsi="宋体" w:eastAsia="宋体" w:cs="宋体"/>
          <w:color w:val="auto"/>
          <w:kern w:val="0"/>
          <w:sz w:val="24"/>
          <w:szCs w:val="24"/>
          <w:highlight w:val="none"/>
          <w:lang w:val="en-US" w:eastAsia="zh-CN" w:bidi="ar"/>
        </w:rPr>
        <w:t>（一）关于</w:t>
      </w:r>
      <w:r>
        <w:rPr>
          <w:rStyle w:val="30"/>
          <w:rFonts w:hint="eastAsia" w:cs="宋体"/>
          <w:color w:val="auto"/>
          <w:kern w:val="0"/>
          <w:sz w:val="24"/>
          <w:szCs w:val="24"/>
          <w:highlight w:val="none"/>
          <w:lang w:val="en-US" w:eastAsia="zh-CN" w:bidi="ar"/>
        </w:rPr>
        <w:t>“</w:t>
      </w:r>
      <w:r>
        <w:rPr>
          <w:rStyle w:val="30"/>
          <w:rFonts w:hint="eastAsia" w:ascii="宋体" w:hAnsi="宋体" w:eastAsia="宋体" w:cs="宋体"/>
          <w:color w:val="auto"/>
          <w:kern w:val="0"/>
          <w:sz w:val="24"/>
          <w:szCs w:val="24"/>
          <w:highlight w:val="none"/>
          <w:lang w:val="en-US" w:eastAsia="zh-CN" w:bidi="ar"/>
        </w:rPr>
        <w:t>中小企业声明函</w:t>
      </w:r>
      <w:r>
        <w:rPr>
          <w:rStyle w:val="30"/>
          <w:rFonts w:hint="eastAsia" w:cs="宋体"/>
          <w:color w:val="auto"/>
          <w:kern w:val="0"/>
          <w:sz w:val="24"/>
          <w:szCs w:val="24"/>
          <w:highlight w:val="none"/>
          <w:lang w:val="en-US" w:eastAsia="zh-CN" w:bidi="ar"/>
        </w:rPr>
        <w:t>”</w:t>
      </w:r>
      <w:r>
        <w:rPr>
          <w:rStyle w:val="30"/>
          <w:rFonts w:hint="eastAsia" w:ascii="宋体" w:hAnsi="宋体" w:eastAsia="宋体" w:cs="宋体"/>
          <w:color w:val="auto"/>
          <w:kern w:val="0"/>
          <w:sz w:val="24"/>
          <w:szCs w:val="24"/>
          <w:highlight w:val="none"/>
          <w:lang w:val="en-US" w:eastAsia="zh-CN" w:bidi="ar"/>
        </w:rPr>
        <w:t>的填写要求</w:t>
      </w:r>
    </w:p>
    <w:p w14:paraId="6BC4DFBE">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具体填写要求如下：</w:t>
      </w:r>
    </w:p>
    <w:p w14:paraId="414BDEE0">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1.“单位名称”应填写采购人名称。</w:t>
      </w:r>
    </w:p>
    <w:p w14:paraId="3C11145C">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5.“企业名称”应填写投标（响应）的货物制造商/服务承接商/工程承建商（根据项目属性确定）。</w:t>
      </w:r>
    </w:p>
    <w:p w14:paraId="1A04AFA6">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widowControl/>
        <w:suppressLineNumbers w:val="0"/>
        <w:shd w:val="clear"/>
        <w:ind w:firstLine="482" w:firstLineChars="200"/>
        <w:jc w:val="left"/>
        <w:rPr>
          <w:rStyle w:val="30"/>
          <w:rFonts w:hint="eastAsia" w:ascii="宋体" w:hAnsi="宋体" w:eastAsia="宋体" w:cs="宋体"/>
          <w:color w:val="auto"/>
          <w:kern w:val="0"/>
          <w:sz w:val="24"/>
          <w:szCs w:val="24"/>
          <w:highlight w:val="none"/>
          <w:lang w:val="en-US" w:eastAsia="zh-CN" w:bidi="ar"/>
        </w:rPr>
      </w:pPr>
      <w:r>
        <w:rPr>
          <w:rStyle w:val="30"/>
          <w:rFonts w:hint="eastAsia" w:ascii="宋体" w:hAnsi="宋体" w:eastAsia="宋体" w:cs="宋体"/>
          <w:color w:val="auto"/>
          <w:kern w:val="0"/>
          <w:sz w:val="24"/>
          <w:szCs w:val="24"/>
          <w:highlight w:val="none"/>
          <w:lang w:val="en-US" w:eastAsia="zh-CN" w:bidi="ar"/>
        </w:rPr>
        <w:t>（二）关于“中小企业声明函”的提交要求</w:t>
      </w:r>
    </w:p>
    <w:p w14:paraId="5F29A0D2">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1.投标（响应）供应商对</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w:t>
      </w:r>
    </w:p>
    <w:p w14:paraId="49FFD352">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2.鼓励供应商在投标（响应）时一并提供对货物制造商、服务承接商、工程承建商相关信息的核实核验情况以及其他佐证材料。</w:t>
      </w:r>
    </w:p>
    <w:p w14:paraId="15483C28">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3.如供应商提供的</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A812C40">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6E224C04">
      <w:pPr>
        <w:shd w:val="clear"/>
        <w:rPr>
          <w:rFonts w:cs="宋体"/>
          <w:color w:val="auto"/>
          <w:spacing w:val="6"/>
          <w:sz w:val="21"/>
          <w:szCs w:val="21"/>
          <w:highlight w:val="none"/>
        </w:rPr>
      </w:pPr>
    </w:p>
    <w:p w14:paraId="511B2BB4">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243BB2FE">
      <w:pPr>
        <w:pStyle w:val="16"/>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7FFC0F73">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Style w:val="30"/>
          <w:rFonts w:hint="eastAsia" w:ascii="宋体" w:hAnsi="宋体" w:eastAsia="宋体" w:cs="宋体"/>
          <w:b w:val="0"/>
          <w:color w:val="auto"/>
          <w:sz w:val="24"/>
          <w:szCs w:val="24"/>
          <w:highlight w:val="none"/>
        </w:rPr>
      </w:pPr>
      <w:r>
        <w:rPr>
          <w:rStyle w:val="30"/>
          <w:rFonts w:hint="eastAsia" w:ascii="宋体" w:hAnsi="宋体" w:eastAsia="宋体" w:cs="宋体"/>
          <w:b w:val="0"/>
          <w:color w:val="auto"/>
          <w:sz w:val="24"/>
          <w:szCs w:val="24"/>
          <w:highlight w:val="none"/>
        </w:rPr>
        <w:t>工信部联企业〔2011〕300号</w:t>
      </w:r>
    </w:p>
    <w:p w14:paraId="0E959BE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Style w:val="30"/>
          <w:rFonts w:hint="eastAsia" w:ascii="宋体" w:hAnsi="宋体" w:eastAsia="宋体" w:cs="宋体"/>
          <w:b w:val="0"/>
          <w:color w:val="auto"/>
          <w:sz w:val="24"/>
          <w:szCs w:val="24"/>
          <w:highlight w:val="none"/>
        </w:rPr>
      </w:pPr>
    </w:p>
    <w:p w14:paraId="289C59A7">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Style w:val="30"/>
          <w:rFonts w:hint="eastAsia" w:ascii="宋体" w:hAnsi="宋体" w:eastAsia="宋体" w:cs="宋体"/>
          <w:b w:val="0"/>
          <w:color w:val="auto"/>
          <w:sz w:val="24"/>
          <w:szCs w:val="24"/>
          <w:highlight w:val="none"/>
        </w:rPr>
      </w:pPr>
      <w:r>
        <w:rPr>
          <w:rStyle w:val="30"/>
          <w:rFonts w:hint="eastAsia" w:ascii="宋体" w:hAnsi="宋体" w:eastAsia="宋体" w:cs="宋体"/>
          <w:b w:val="0"/>
          <w:color w:val="auto"/>
          <w:sz w:val="24"/>
          <w:szCs w:val="24"/>
          <w:highlight w:val="none"/>
        </w:rPr>
        <w:t>各省、自治区、直辖市人民政府，国务院各部委、各直属机构及有关单位：</w:t>
      </w:r>
    </w:p>
    <w:p w14:paraId="11AACCD7">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keepNext w:val="0"/>
        <w:keepLines w:val="0"/>
        <w:pageBreakBefore w:val="0"/>
        <w:widowControl w:val="0"/>
        <w:shd w:val="clear"/>
        <w:kinsoku/>
        <w:wordWrap/>
        <w:overflowPunct/>
        <w:topLinePunct w:val="0"/>
        <w:autoSpaceDE/>
        <w:autoSpaceDN/>
        <w:bidi w:val="0"/>
        <w:adjustRightInd/>
        <w:snapToGrid/>
        <w:spacing w:line="360" w:lineRule="exact"/>
        <w:jc w:val="righ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工业和信息化部　国家统计局</w:t>
      </w:r>
    </w:p>
    <w:p w14:paraId="5C55A29B">
      <w:pPr>
        <w:keepNext w:val="0"/>
        <w:keepLines w:val="0"/>
        <w:pageBreakBefore w:val="0"/>
        <w:widowControl w:val="0"/>
        <w:shd w:val="clear"/>
        <w:kinsoku/>
        <w:wordWrap/>
        <w:overflowPunct/>
        <w:topLinePunct w:val="0"/>
        <w:autoSpaceDE/>
        <w:autoSpaceDN/>
        <w:bidi w:val="0"/>
        <w:adjustRightInd/>
        <w:snapToGrid/>
        <w:spacing w:line="360" w:lineRule="exact"/>
        <w:jc w:val="righ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国家发展和改革委员会　财政部</w:t>
      </w:r>
    </w:p>
    <w:p w14:paraId="6F52758A">
      <w:pPr>
        <w:keepNext w:val="0"/>
        <w:keepLines w:val="0"/>
        <w:pageBreakBefore w:val="0"/>
        <w:widowControl w:val="0"/>
        <w:shd w:val="clear"/>
        <w:kinsoku/>
        <w:wordWrap/>
        <w:overflowPunct/>
        <w:topLinePunct w:val="0"/>
        <w:autoSpaceDE/>
        <w:autoSpaceDN/>
        <w:bidi w:val="0"/>
        <w:adjustRightInd/>
        <w:snapToGrid/>
        <w:spacing w:line="360" w:lineRule="exact"/>
        <w:jc w:val="righ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二○一一年六月十八日</w:t>
      </w:r>
    </w:p>
    <w:p w14:paraId="75F0B3C6">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xml:space="preserve"> </w:t>
      </w:r>
    </w:p>
    <w:p w14:paraId="3E2FDBA7">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Style w:val="30"/>
          <w:rFonts w:hint="eastAsia" w:ascii="宋体" w:hAnsi="宋体" w:eastAsia="宋体" w:cs="宋体"/>
          <w:b/>
          <w:bCs w:val="0"/>
          <w:color w:val="auto"/>
          <w:sz w:val="28"/>
          <w:szCs w:val="28"/>
          <w:highlight w:val="none"/>
        </w:rPr>
      </w:pPr>
      <w:r>
        <w:rPr>
          <w:rStyle w:val="30"/>
          <w:rFonts w:hint="eastAsia" w:ascii="宋体" w:hAnsi="宋体" w:eastAsia="宋体" w:cs="宋体"/>
          <w:b/>
          <w:bCs w:val="0"/>
          <w:color w:val="auto"/>
          <w:sz w:val="28"/>
          <w:szCs w:val="28"/>
          <w:highlight w:val="none"/>
        </w:rPr>
        <w:t>中小企业划型标准规定</w:t>
      </w:r>
    </w:p>
    <w:p w14:paraId="7440C465">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507AD261">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58A39619">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四、各行业划型标准为：</w:t>
      </w:r>
    </w:p>
    <w:p w14:paraId="6B4E2D0C">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9E2F5AC">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7EB3B7">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509B953B">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五、企业类型的划分以统计部门的统计数据为依据。</w:t>
      </w:r>
    </w:p>
    <w:p w14:paraId="77228C0D">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4BB8EA">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69D789A4">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九、本规定由工业和信息化部、国家统计局会同有关部门负责解释。</w:t>
      </w:r>
    </w:p>
    <w:p w14:paraId="4299A031">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auto"/>
        <w:rPr>
          <w:rFonts w:cs="宋体"/>
          <w:color w:val="auto"/>
          <w:spacing w:val="6"/>
          <w:sz w:val="21"/>
          <w:szCs w:val="21"/>
          <w:highlight w:val="none"/>
        </w:rPr>
      </w:pPr>
      <w:r>
        <w:rPr>
          <w:rStyle w:val="30"/>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5BCE9D64">
      <w:pPr>
        <w:shd w:val="clear"/>
        <w:rPr>
          <w:rFonts w:cs="宋体"/>
          <w:color w:val="auto"/>
          <w:spacing w:val="6"/>
          <w:sz w:val="21"/>
          <w:szCs w:val="21"/>
          <w:highlight w:val="none"/>
        </w:rPr>
      </w:pPr>
      <w:r>
        <w:rPr>
          <w:rFonts w:cs="宋体"/>
          <w:color w:val="auto"/>
          <w:spacing w:val="6"/>
          <w:sz w:val="21"/>
          <w:szCs w:val="21"/>
          <w:highlight w:val="none"/>
        </w:rPr>
        <w:br w:type="page"/>
      </w:r>
    </w:p>
    <w:p w14:paraId="20B4770A">
      <w:pPr>
        <w:shd w:val="clear"/>
        <w:rPr>
          <w:rFonts w:cs="宋体"/>
          <w:color w:val="auto"/>
          <w:spacing w:val="6"/>
          <w:sz w:val="21"/>
          <w:szCs w:val="21"/>
          <w:highlight w:val="none"/>
        </w:rPr>
      </w:pPr>
      <w:bookmarkStart w:id="559" w:name="_Toc163492940"/>
    </w:p>
    <w:p w14:paraId="5FA7D1D1">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1AF7C83B">
      <w:pPr>
        <w:shd w:val="clear"/>
        <w:rPr>
          <w:rFonts w:hint="eastAsia" w:cs="宋体"/>
          <w:color w:val="auto"/>
          <w:spacing w:val="6"/>
          <w:sz w:val="21"/>
          <w:szCs w:val="21"/>
          <w:highlight w:val="none"/>
        </w:rPr>
      </w:pPr>
    </w:p>
    <w:p w14:paraId="134F6EBF">
      <w:pPr>
        <w:pStyle w:val="16"/>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54CACF8E">
      <w:pPr>
        <w:shd w:val="clear"/>
        <w:jc w:val="center"/>
        <w:rPr>
          <w:rStyle w:val="30"/>
          <w:rFonts w:hint="eastAsia" w:ascii="宋体" w:hAnsi="宋体" w:eastAsia="宋体" w:cs="宋体"/>
          <w:b w:val="0"/>
          <w:color w:val="auto"/>
          <w:sz w:val="24"/>
          <w:szCs w:val="24"/>
          <w:highlight w:val="none"/>
        </w:rPr>
      </w:pPr>
      <w:r>
        <w:rPr>
          <w:rStyle w:val="30"/>
          <w:rFonts w:hint="eastAsia" w:ascii="宋体" w:hAnsi="宋体" w:eastAsia="宋体" w:cs="宋体"/>
          <w:b w:val="0"/>
          <w:color w:val="auto"/>
          <w:sz w:val="24"/>
          <w:szCs w:val="24"/>
          <w:highlight w:val="none"/>
        </w:rPr>
        <w:t>银发〔2015〕309号</w:t>
      </w:r>
    </w:p>
    <w:p w14:paraId="6EBA1AEF">
      <w:pPr>
        <w:keepNext w:val="0"/>
        <w:keepLines w:val="0"/>
        <w:pageBreakBefore w:val="0"/>
        <w:widowControl w:val="0"/>
        <w:shd w:val="clear"/>
        <w:kinsoku/>
        <w:wordWrap/>
        <w:overflowPunct/>
        <w:topLinePunct w:val="0"/>
        <w:autoSpaceDE/>
        <w:autoSpaceDN/>
        <w:bidi w:val="0"/>
        <w:adjustRightInd/>
        <w:snapToGrid/>
        <w:spacing w:line="46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12B6BFCB">
      <w:pPr>
        <w:keepNext w:val="0"/>
        <w:keepLines w:val="0"/>
        <w:pageBreakBefore w:val="0"/>
        <w:widowControl w:val="0"/>
        <w:shd w:val="clear"/>
        <w:kinsoku/>
        <w:wordWrap/>
        <w:overflowPunct/>
        <w:topLinePunct w:val="0"/>
        <w:autoSpaceDE/>
        <w:autoSpaceDN/>
        <w:bidi w:val="0"/>
        <w:adjustRightInd/>
        <w:snapToGrid/>
        <w:spacing w:line="46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3F6A9E3">
      <w:pPr>
        <w:keepNext w:val="0"/>
        <w:keepLines w:val="0"/>
        <w:pageBreakBefore w:val="0"/>
        <w:widowControl w:val="0"/>
        <w:shd w:val="clear"/>
        <w:kinsoku/>
        <w:wordWrap/>
        <w:overflowPunct/>
        <w:topLinePunct w:val="0"/>
        <w:autoSpaceDE/>
        <w:autoSpaceDN/>
        <w:bidi w:val="0"/>
        <w:adjustRightInd/>
        <w:snapToGrid/>
        <w:spacing w:line="460" w:lineRule="exact"/>
        <w:ind w:firstLine="483"/>
        <w:textAlignment w:val="auto"/>
        <w:rPr>
          <w:rStyle w:val="30"/>
          <w:rFonts w:hint="eastAsia" w:ascii="宋体" w:hAnsi="宋体" w:eastAsia="宋体" w:cs="宋体"/>
          <w:b w:val="0"/>
          <w:bCs w:val="0"/>
          <w:color w:val="auto"/>
          <w:sz w:val="24"/>
          <w:szCs w:val="24"/>
          <w:highlight w:val="none"/>
        </w:rPr>
      </w:pPr>
    </w:p>
    <w:p w14:paraId="5AE5F476">
      <w:pPr>
        <w:keepNext w:val="0"/>
        <w:keepLines w:val="0"/>
        <w:pageBreakBefore w:val="0"/>
        <w:widowControl w:val="0"/>
        <w:shd w:val="clear"/>
        <w:kinsoku/>
        <w:wordWrap/>
        <w:overflowPunct/>
        <w:topLinePunct w:val="0"/>
        <w:autoSpaceDE/>
        <w:autoSpaceDN/>
        <w:bidi w:val="0"/>
        <w:adjustRightInd/>
        <w:snapToGrid/>
        <w:spacing w:line="46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附件：金融业企业划型标准规定</w:t>
      </w:r>
    </w:p>
    <w:p w14:paraId="575D4BF4">
      <w:pPr>
        <w:keepNext w:val="0"/>
        <w:keepLines w:val="0"/>
        <w:pageBreakBefore w:val="0"/>
        <w:widowControl w:val="0"/>
        <w:shd w:val="clear"/>
        <w:kinsoku/>
        <w:wordWrap/>
        <w:overflowPunct/>
        <w:topLinePunct w:val="0"/>
        <w:autoSpaceDE/>
        <w:autoSpaceDN/>
        <w:bidi w:val="0"/>
        <w:adjustRightInd/>
        <w:snapToGrid/>
        <w:spacing w:line="460" w:lineRule="exact"/>
        <w:textAlignment w:val="auto"/>
        <w:rPr>
          <w:rStyle w:val="30"/>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0"/>
          <w:rFonts w:hint="eastAsia" w:ascii="宋体" w:hAnsi="宋体" w:eastAsia="宋体" w:cs="宋体"/>
          <w:b w:val="0"/>
          <w:bCs w:val="0"/>
          <w:color w:val="auto"/>
          <w:sz w:val="24"/>
          <w:szCs w:val="24"/>
          <w:highlight w:val="none"/>
        </w:rPr>
        <w:t>       </w:t>
      </w:r>
      <w:r>
        <w:rPr>
          <w:rStyle w:val="30"/>
          <w:rFonts w:hint="eastAsia" w:cs="宋体"/>
          <w:b w:val="0"/>
          <w:bCs w:val="0"/>
          <w:color w:val="auto"/>
          <w:sz w:val="24"/>
          <w:szCs w:val="24"/>
          <w:highlight w:val="none"/>
          <w:lang w:val="en-US" w:eastAsia="zh-CN"/>
        </w:rPr>
        <w:t xml:space="preserve">                            </w:t>
      </w:r>
      <w:r>
        <w:rPr>
          <w:rStyle w:val="30"/>
          <w:rFonts w:hint="eastAsia" w:ascii="宋体" w:hAnsi="宋体" w:eastAsia="宋体" w:cs="宋体"/>
          <w:b w:val="0"/>
          <w:bCs w:val="0"/>
          <w:color w:val="auto"/>
          <w:sz w:val="24"/>
          <w:szCs w:val="24"/>
          <w:highlight w:val="none"/>
        </w:rPr>
        <w:t>中国人民银行</w:t>
      </w:r>
    </w:p>
    <w:p w14:paraId="0E162F05">
      <w:pPr>
        <w:keepNext w:val="0"/>
        <w:keepLines w:val="0"/>
        <w:pageBreakBefore w:val="0"/>
        <w:widowControl w:val="0"/>
        <w:shd w:val="clear"/>
        <w:kinsoku/>
        <w:wordWrap/>
        <w:overflowPunct/>
        <w:topLinePunct w:val="0"/>
        <w:autoSpaceDE/>
        <w:autoSpaceDN/>
        <w:bidi w:val="0"/>
        <w:adjustRightInd/>
        <w:snapToGrid/>
        <w:spacing w:line="460" w:lineRule="exact"/>
        <w:ind w:firstLine="2400" w:firstLineChars="1000"/>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中国银行业监督管理委员会</w:t>
      </w:r>
    </w:p>
    <w:p w14:paraId="644A820C">
      <w:pPr>
        <w:keepNext w:val="0"/>
        <w:keepLines w:val="0"/>
        <w:pageBreakBefore w:val="0"/>
        <w:widowControl w:val="0"/>
        <w:shd w:val="clear"/>
        <w:kinsoku/>
        <w:wordWrap/>
        <w:overflowPunct/>
        <w:topLinePunct w:val="0"/>
        <w:autoSpaceDE/>
        <w:autoSpaceDN/>
        <w:bidi w:val="0"/>
        <w:adjustRightInd/>
        <w:snapToGrid/>
        <w:spacing w:line="460" w:lineRule="exact"/>
        <w:ind w:firstLine="2400" w:firstLineChars="1000"/>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中国证券监督管理委员会</w:t>
      </w:r>
    </w:p>
    <w:p w14:paraId="13427FED">
      <w:pPr>
        <w:keepNext w:val="0"/>
        <w:keepLines w:val="0"/>
        <w:pageBreakBefore w:val="0"/>
        <w:widowControl w:val="0"/>
        <w:shd w:val="clear"/>
        <w:kinsoku/>
        <w:wordWrap/>
        <w:overflowPunct/>
        <w:topLinePunct w:val="0"/>
        <w:autoSpaceDE/>
        <w:autoSpaceDN/>
        <w:bidi w:val="0"/>
        <w:adjustRightInd/>
        <w:snapToGrid/>
        <w:spacing w:line="460" w:lineRule="exact"/>
        <w:ind w:firstLine="2400" w:firstLineChars="1000"/>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中国保险监督管理委员会</w:t>
      </w:r>
    </w:p>
    <w:p w14:paraId="189E390E">
      <w:pPr>
        <w:keepNext w:val="0"/>
        <w:keepLines w:val="0"/>
        <w:pageBreakBefore w:val="0"/>
        <w:widowControl w:val="0"/>
        <w:shd w:val="clear"/>
        <w:kinsoku/>
        <w:wordWrap/>
        <w:overflowPunct/>
        <w:topLinePunct w:val="0"/>
        <w:autoSpaceDE/>
        <w:autoSpaceDN/>
        <w:bidi w:val="0"/>
        <w:adjustRightInd/>
        <w:snapToGrid/>
        <w:spacing w:line="460" w:lineRule="exact"/>
        <w:ind w:firstLine="2160" w:firstLineChars="900"/>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中华人民共和国国家统计局</w:t>
      </w:r>
    </w:p>
    <w:p w14:paraId="35EB1163">
      <w:pPr>
        <w:keepNext w:val="0"/>
        <w:keepLines w:val="0"/>
        <w:pageBreakBefore w:val="0"/>
        <w:widowControl w:val="0"/>
        <w:shd w:val="clear"/>
        <w:kinsoku/>
        <w:wordWrap/>
        <w:overflowPunct/>
        <w:topLinePunct w:val="0"/>
        <w:autoSpaceDE/>
        <w:autoSpaceDN/>
        <w:bidi w:val="0"/>
        <w:adjustRightInd/>
        <w:snapToGrid/>
        <w:spacing w:line="460" w:lineRule="exact"/>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                                                     </w:t>
      </w:r>
      <w:r>
        <w:rPr>
          <w:rStyle w:val="30"/>
          <w:rFonts w:hint="eastAsia" w:cs="宋体"/>
          <w:b w:val="0"/>
          <w:bCs w:val="0"/>
          <w:color w:val="auto"/>
          <w:sz w:val="24"/>
          <w:szCs w:val="24"/>
          <w:highlight w:val="none"/>
          <w:lang w:val="en-US" w:eastAsia="zh-CN"/>
        </w:rPr>
        <w:t xml:space="preserve">     </w:t>
      </w:r>
      <w:r>
        <w:rPr>
          <w:rStyle w:val="30"/>
          <w:rFonts w:hint="eastAsia" w:ascii="宋体" w:hAnsi="宋体" w:eastAsia="宋体" w:cs="宋体"/>
          <w:b w:val="0"/>
          <w:bCs w:val="0"/>
          <w:color w:val="auto"/>
          <w:sz w:val="24"/>
          <w:szCs w:val="24"/>
          <w:highlight w:val="none"/>
        </w:rPr>
        <w:t> 2015年9月28日</w:t>
      </w:r>
    </w:p>
    <w:p w14:paraId="2D875BF0">
      <w:pPr>
        <w:shd w:val="clear"/>
        <w:rPr>
          <w:rFonts w:hint="eastAsia" w:cs="宋体"/>
          <w:color w:val="auto"/>
          <w:spacing w:val="6"/>
          <w:sz w:val="21"/>
          <w:szCs w:val="21"/>
          <w:highlight w:val="none"/>
        </w:rPr>
      </w:pPr>
    </w:p>
    <w:p w14:paraId="3D3E2F07">
      <w:pPr>
        <w:shd w:val="clear"/>
        <w:rPr>
          <w:rFonts w:hint="eastAsia" w:cs="宋体"/>
          <w:color w:val="auto"/>
          <w:spacing w:val="6"/>
          <w:sz w:val="21"/>
          <w:szCs w:val="21"/>
          <w:highlight w:val="none"/>
          <w:lang w:val="en-US" w:eastAsia="zh-CN"/>
        </w:rPr>
      </w:pPr>
    </w:p>
    <w:p w14:paraId="7D55D2C4">
      <w:pPr>
        <w:shd w:val="clear"/>
        <w:rPr>
          <w:rFonts w:hint="eastAsia" w:cs="宋体"/>
          <w:color w:val="auto"/>
          <w:spacing w:val="6"/>
          <w:sz w:val="21"/>
          <w:szCs w:val="21"/>
          <w:highlight w:val="none"/>
          <w:lang w:val="en-US" w:eastAsia="zh-CN"/>
        </w:rPr>
      </w:pPr>
    </w:p>
    <w:p w14:paraId="535B7B3C">
      <w:pPr>
        <w:shd w:val="clear"/>
        <w:rPr>
          <w:rFonts w:hint="eastAsia" w:cs="宋体"/>
          <w:color w:val="auto"/>
          <w:spacing w:val="6"/>
          <w:sz w:val="21"/>
          <w:szCs w:val="21"/>
          <w:highlight w:val="none"/>
          <w:lang w:val="en-US" w:eastAsia="zh-CN"/>
        </w:rPr>
      </w:pPr>
    </w:p>
    <w:p w14:paraId="0003DA46">
      <w:pPr>
        <w:shd w:val="clear"/>
        <w:rPr>
          <w:rFonts w:hint="eastAsia" w:cs="宋体"/>
          <w:color w:val="auto"/>
          <w:spacing w:val="6"/>
          <w:sz w:val="21"/>
          <w:szCs w:val="21"/>
          <w:highlight w:val="none"/>
          <w:lang w:val="en-US" w:eastAsia="zh-CN"/>
        </w:rPr>
      </w:pPr>
    </w:p>
    <w:p w14:paraId="2EB5298D">
      <w:pPr>
        <w:shd w:val="clear"/>
        <w:rPr>
          <w:rFonts w:hint="eastAsia" w:cs="宋体"/>
          <w:color w:val="auto"/>
          <w:spacing w:val="6"/>
          <w:sz w:val="21"/>
          <w:szCs w:val="21"/>
          <w:highlight w:val="none"/>
          <w:lang w:val="en-US" w:eastAsia="zh-CN"/>
        </w:rPr>
      </w:pPr>
    </w:p>
    <w:p w14:paraId="04253368">
      <w:pPr>
        <w:shd w:val="clear"/>
        <w:rPr>
          <w:rFonts w:hint="eastAsia" w:cs="宋体"/>
          <w:color w:val="auto"/>
          <w:spacing w:val="6"/>
          <w:sz w:val="21"/>
          <w:szCs w:val="21"/>
          <w:highlight w:val="none"/>
          <w:lang w:val="en-US" w:eastAsia="zh-CN"/>
        </w:rPr>
      </w:pPr>
    </w:p>
    <w:p w14:paraId="0C202F82">
      <w:pPr>
        <w:shd w:val="clea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3F79F65C">
      <w:pPr>
        <w:pStyle w:val="16"/>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Cs/>
          <w:color w:val="auto"/>
          <w:sz w:val="32"/>
          <w:szCs w:val="32"/>
          <w:highlight w:val="none"/>
        </w:rPr>
      </w:pPr>
      <w:r>
        <w:rPr>
          <w:rFonts w:hint="eastAsia" w:ascii="宋体" w:hAnsi="宋体" w:eastAsia="宋体" w:cs="宋体"/>
          <w:b/>
          <w:bCs w:val="0"/>
          <w:color w:val="auto"/>
          <w:sz w:val="28"/>
          <w:szCs w:val="28"/>
          <w:highlight w:val="none"/>
        </w:rPr>
        <w:t>金融业企业划型标准规定</w:t>
      </w:r>
    </w:p>
    <w:p w14:paraId="35BCA7B1">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465CF45A">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777FDD5F">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2D970">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3BF83806">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74257710">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6C9C1B6A">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192CC4C7">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2B49DF90">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0D837DC3">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266F6F91">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2D1B4E7F">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0E5BB8B0">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lang w:eastAsia="zh-CN"/>
        </w:rPr>
      </w:pPr>
      <w:r>
        <w:rPr>
          <w:rStyle w:val="30"/>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0"/>
          <w:rFonts w:hint="eastAsia" w:cs="宋体"/>
          <w:b w:val="0"/>
          <w:bCs w:val="0"/>
          <w:color w:val="auto"/>
          <w:sz w:val="24"/>
          <w:szCs w:val="24"/>
          <w:highlight w:val="none"/>
          <w:lang w:eastAsia="zh-CN"/>
        </w:rPr>
        <w:t>。</w:t>
      </w:r>
    </w:p>
    <w:p w14:paraId="32994D2F">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0"/>
          <w:rFonts w:hint="eastAsia" w:cs="宋体"/>
          <w:b w:val="0"/>
          <w:bCs w:val="0"/>
          <w:color w:val="auto"/>
          <w:sz w:val="24"/>
          <w:szCs w:val="24"/>
          <w:highlight w:val="none"/>
          <w:lang w:eastAsia="zh-CN"/>
        </w:rPr>
        <w:t>，</w:t>
      </w:r>
      <w:r>
        <w:rPr>
          <w:rStyle w:val="30"/>
          <w:rFonts w:hint="eastAsia" w:ascii="宋体" w:hAnsi="宋体" w:eastAsia="宋体" w:cs="宋体"/>
          <w:b w:val="0"/>
          <w:bCs w:val="0"/>
          <w:color w:val="auto"/>
          <w:sz w:val="24"/>
          <w:szCs w:val="24"/>
          <w:highlight w:val="none"/>
        </w:rPr>
        <w:t>方便政府部门和社会各界查询使用。</w:t>
      </w:r>
    </w:p>
    <w:p w14:paraId="034C4839">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01F56FF4">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lang w:eastAsia="zh-CN"/>
        </w:rPr>
      </w:pPr>
      <w:r>
        <w:rPr>
          <w:rStyle w:val="30"/>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0"/>
          <w:rFonts w:hint="eastAsia" w:cs="宋体"/>
          <w:b w:val="0"/>
          <w:bCs w:val="0"/>
          <w:color w:val="auto"/>
          <w:sz w:val="24"/>
          <w:szCs w:val="24"/>
          <w:highlight w:val="none"/>
          <w:lang w:eastAsia="zh-CN"/>
        </w:rPr>
        <w:t>。</w:t>
      </w:r>
    </w:p>
    <w:p w14:paraId="62B89F50">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lang w:eastAsia="zh-CN"/>
        </w:rPr>
      </w:pPr>
      <w:r>
        <w:rPr>
          <w:rStyle w:val="30"/>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0"/>
          <w:rFonts w:hint="eastAsia" w:cs="宋体"/>
          <w:b w:val="0"/>
          <w:bCs w:val="0"/>
          <w:color w:val="auto"/>
          <w:sz w:val="24"/>
          <w:szCs w:val="24"/>
          <w:highlight w:val="none"/>
          <w:lang w:eastAsia="zh-CN"/>
        </w:rPr>
        <w:t>。</w:t>
      </w:r>
    </w:p>
    <w:p w14:paraId="5562FAB9">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十、本规定由人民银行会同银监会、证监会、保监会和统计局负责解释。</w:t>
      </w:r>
    </w:p>
    <w:p w14:paraId="0CD76B78">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十一、本规定自发布之日起实施,</w:t>
      </w:r>
    </w:p>
    <w:p w14:paraId="5DAE7F9E">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p>
    <w:p w14:paraId="13D9865C">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0"/>
          <w:rFonts w:hint="eastAsia" w:ascii="宋体" w:hAnsi="宋体" w:eastAsia="宋体" w:cs="宋体"/>
          <w:b w:val="0"/>
          <w:bCs w:val="0"/>
          <w:color w:val="auto"/>
          <w:sz w:val="24"/>
          <w:szCs w:val="24"/>
          <w:highlight w:val="none"/>
        </w:rPr>
      </w:pPr>
      <w:r>
        <w:rPr>
          <w:rStyle w:val="30"/>
          <w:rFonts w:hint="eastAsia" w:ascii="宋体" w:hAnsi="宋体" w:eastAsia="宋体" w:cs="宋体"/>
          <w:b w:val="0"/>
          <w:bCs w:val="0"/>
          <w:color w:val="auto"/>
          <w:sz w:val="24"/>
          <w:szCs w:val="24"/>
          <w:highlight w:val="none"/>
        </w:rPr>
        <w:t>附:金融业企业划型标准</w:t>
      </w:r>
    </w:p>
    <w:p w14:paraId="4CB94869">
      <w:pPr>
        <w:shd w:val="clear"/>
        <w:rPr>
          <w:rFonts w:cs="宋体"/>
          <w:color w:val="auto"/>
          <w:spacing w:val="6"/>
          <w:sz w:val="21"/>
          <w:szCs w:val="21"/>
          <w:highlight w:val="none"/>
        </w:rPr>
      </w:pPr>
    </w:p>
    <w:p w14:paraId="018058A8">
      <w:pPr>
        <w:shd w:val="clear"/>
        <w:rPr>
          <w:rFonts w:hint="eastAsia" w:cs="宋体"/>
          <w:color w:val="auto"/>
          <w:spacing w:val="6"/>
          <w:sz w:val="24"/>
          <w:szCs w:val="24"/>
          <w:highlight w:val="none"/>
          <w:lang w:val="en-US" w:eastAsia="zh-CN"/>
        </w:rPr>
      </w:pPr>
    </w:p>
    <w:p w14:paraId="5023B69E">
      <w:pPr>
        <w:shd w:val="clear"/>
        <w:rPr>
          <w:rFonts w:hint="eastAsia" w:cs="宋体"/>
          <w:color w:val="auto"/>
          <w:spacing w:val="6"/>
          <w:sz w:val="24"/>
          <w:szCs w:val="24"/>
          <w:highlight w:val="none"/>
          <w:lang w:val="en-US" w:eastAsia="zh-CN"/>
        </w:rPr>
      </w:pPr>
    </w:p>
    <w:p w14:paraId="5F7D4B83">
      <w:pPr>
        <w:shd w:val="clear"/>
        <w:rPr>
          <w:rFonts w:hint="eastAsia" w:cs="宋体"/>
          <w:color w:val="auto"/>
          <w:spacing w:val="6"/>
          <w:sz w:val="24"/>
          <w:szCs w:val="24"/>
          <w:highlight w:val="none"/>
          <w:lang w:val="en-US" w:eastAsia="zh-CN"/>
        </w:rPr>
      </w:pPr>
    </w:p>
    <w:p w14:paraId="20B74F82">
      <w:pPr>
        <w:shd w:val="clear"/>
        <w:rPr>
          <w:rFonts w:hint="eastAsia" w:cs="宋体"/>
          <w:color w:val="auto"/>
          <w:spacing w:val="6"/>
          <w:sz w:val="24"/>
          <w:szCs w:val="24"/>
          <w:highlight w:val="none"/>
          <w:lang w:val="en-US" w:eastAsia="zh-CN"/>
        </w:rPr>
      </w:pPr>
    </w:p>
    <w:p w14:paraId="5D736742">
      <w:pPr>
        <w:shd w:val="clear"/>
        <w:rPr>
          <w:rFonts w:hint="eastAsia" w:cs="宋体"/>
          <w:color w:val="auto"/>
          <w:spacing w:val="6"/>
          <w:sz w:val="24"/>
          <w:szCs w:val="24"/>
          <w:highlight w:val="none"/>
          <w:lang w:val="en-US" w:eastAsia="zh-CN"/>
        </w:rPr>
      </w:pPr>
    </w:p>
    <w:p w14:paraId="226ECDE6">
      <w:pPr>
        <w:shd w:val="clea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3A51FB27">
      <w:pPr>
        <w:pStyle w:val="16"/>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bCs/>
          <w:color w:val="auto"/>
          <w:sz w:val="32"/>
          <w:szCs w:val="32"/>
          <w:highlight w:val="none"/>
        </w:rPr>
      </w:pPr>
      <w:r>
        <w:rPr>
          <w:rFonts w:hint="eastAsia" w:ascii="宋体" w:hAnsi="宋体" w:eastAsia="宋体" w:cs="宋体"/>
          <w:b/>
          <w:bCs w:val="0"/>
          <w:color w:val="auto"/>
          <w:sz w:val="28"/>
          <w:szCs w:val="28"/>
          <w:highlight w:val="none"/>
        </w:rPr>
        <w:t>金融业企业划型标准</w:t>
      </w:r>
    </w:p>
    <w:tbl>
      <w:tblPr>
        <w:tblStyle w:val="28"/>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26CB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287" w:type="dxa"/>
            <w:gridSpan w:val="2"/>
            <w:vAlign w:val="center"/>
          </w:tcPr>
          <w:p w14:paraId="25F9841A">
            <w:pPr>
              <w:shd w:val="clea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3B4008BC">
            <w:pPr>
              <w:shd w:val="clea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199F0882">
            <w:pPr>
              <w:shd w:val="clea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715E5C3B">
            <w:pPr>
              <w:shd w:val="clea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471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233504D">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4350DE89">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6D5CDA82">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18DA8CED">
            <w:pPr>
              <w:shd w:val="clea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6553EDDF">
            <w:pPr>
              <w:shd w:val="clea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7DD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5D803A9">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5CFC2BC">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92AD96A">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146F4352">
            <w:pPr>
              <w:shd w:val="clea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C955763">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738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44DEC46">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47E3A4E">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43C1290">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0A8569B9">
            <w:pPr>
              <w:shd w:val="clea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29C9E0F4">
            <w:pPr>
              <w:shd w:val="clea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1C15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A12E1E">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56574B6D">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7DD2F497">
            <w:pPr>
              <w:shd w:val="clea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46609FB8">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288F5BE5">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29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CFE49B">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EF9025F">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CC015F9">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699B1D7">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6E78EC6">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0CA5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EE674B4">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17EDCC4">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DEB5E22">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4E9D4A7">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00D701CA">
            <w:pPr>
              <w:shd w:val="clea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4B53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D041F7C">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95688AF">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2420EBEF">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05DE846">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07BBC2E">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39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180FDC1">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78270CB">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0CBA7696">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EA1A43D">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220FC05B">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7A6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9F23C9">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693061F1">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241FB1E">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076913A">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03E9BD7B">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10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A884F55">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6E78CF81">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04142618">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444928A">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0F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3B06C7E">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9421CAF">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4B5A7F4">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A9C4DFF">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01E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65FECCF">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ADD78C9">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0F7AF91">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3D0131F">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331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FAED341">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73A1B699">
            <w:pPr>
              <w:shd w:val="clea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7046BDEC">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1B9BB44">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386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C86132">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2ACF5AB">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61981C2">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7F195A7E">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1336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051FBA8">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A95E01E">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DD1435F">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9F4DBB0">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1B38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A4EBA5D">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741CF031">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70836B6C">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03C999A9">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C96EEDA">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394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38E5D4F">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343FC29">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EB960A0">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D76C176">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E689FDB">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3E9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1E32AA3">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41AB74F">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15F254D">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60C098A">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33182E48">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61C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3463AD">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65B75359">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5AA3A788">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6A34EBF4">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2863D8FC">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61E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F9BDD8">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774A5596">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58174A6">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3D84EB3">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34D1F52">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245B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88472CC">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4DB4D286">
            <w:pPr>
              <w:shd w:val="clea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2B6EDD2">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72A904B">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FC344BB">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3F9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046E9137">
            <w:pPr>
              <w:shd w:val="clea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10B14656">
            <w:pPr>
              <w:shd w:val="clea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3E665F4F">
            <w:pPr>
              <w:shd w:val="clea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00510279">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6033F5D6">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34EB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848A28">
            <w:pPr>
              <w:shd w:val="clea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2F2E72F9">
            <w:pPr>
              <w:shd w:val="clea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179DE2D0">
            <w:pPr>
              <w:shd w:val="clea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E623338">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2916BB7">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6DD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0F1E7A7B">
            <w:pPr>
              <w:shd w:val="clea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08010151">
            <w:pPr>
              <w:shd w:val="clea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71A393FF">
            <w:pPr>
              <w:shd w:val="clea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68714F1">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913FA3F">
            <w:pPr>
              <w:shd w:val="clea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26C2B589">
      <w:pPr>
        <w:shd w:val="clear"/>
        <w:rPr>
          <w:rFonts w:cs="宋体"/>
          <w:color w:val="auto"/>
          <w:spacing w:val="6"/>
          <w:sz w:val="21"/>
          <w:szCs w:val="21"/>
          <w:highlight w:val="none"/>
        </w:rPr>
      </w:pPr>
      <w:r>
        <w:rPr>
          <w:rFonts w:cs="宋体"/>
          <w:color w:val="auto"/>
          <w:spacing w:val="6"/>
          <w:sz w:val="21"/>
          <w:szCs w:val="21"/>
          <w:highlight w:val="none"/>
        </w:rPr>
        <w:br w:type="page"/>
      </w:r>
    </w:p>
    <w:p w14:paraId="5D4F19F2">
      <w:pPr>
        <w:pStyle w:val="16"/>
        <w:keepNext w:val="0"/>
        <w:keepLines w:val="0"/>
        <w:pageBreakBefore w:val="0"/>
        <w:widowControl w:val="0"/>
        <w:shd w:val="clear"/>
        <w:kinsoku/>
        <w:wordWrap/>
        <w:overflowPunct/>
        <w:topLinePunct w:val="0"/>
        <w:autoSpaceDE/>
        <w:autoSpaceDN/>
        <w:bidi w:val="0"/>
        <w:adjustRightInd/>
        <w:snapToGrid/>
        <w:spacing w:line="500" w:lineRule="exact"/>
        <w:jc w:val="both"/>
        <w:textAlignment w:val="auto"/>
        <w:rPr>
          <w:rFonts w:hint="eastAsia" w:ascii="方正小标宋_GBK" w:hAnsi="方正小标宋_GBK" w:eastAsia="方正小标宋_GBK" w:cs="方正小标宋_GBK"/>
          <w:bCs/>
          <w:color w:val="auto"/>
          <w:sz w:val="36"/>
          <w:szCs w:val="36"/>
          <w:highlight w:val="none"/>
          <w:lang w:val="en-US" w:eastAsia="zh-CN"/>
        </w:rPr>
      </w:pPr>
    </w:p>
    <w:p w14:paraId="0711552D">
      <w:pPr>
        <w:pStyle w:val="5"/>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560" w:name="_Toc31594"/>
      <w:r>
        <w:rPr>
          <w:rFonts w:hint="eastAsia" w:ascii="宋体" w:hAnsi="宋体" w:eastAsia="宋体" w:cstheme="minorBidi"/>
          <w:b/>
          <w:bCs/>
          <w:color w:val="auto"/>
          <w:kern w:val="2"/>
          <w:sz w:val="24"/>
          <w:szCs w:val="24"/>
          <w:highlight w:val="none"/>
          <w:lang w:val="en-US" w:eastAsia="zh-CN" w:bidi="ar-SA"/>
        </w:rPr>
        <w:t>（三）监狱企业证明文件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559"/>
      <w:bookmarkEnd w:id="560"/>
    </w:p>
    <w:p w14:paraId="744F56E2">
      <w:pPr>
        <w:shd w:val="clear"/>
        <w:rPr>
          <w:rFonts w:cs="仿宋_GB2312"/>
          <w:b/>
          <w:color w:val="auto"/>
          <w:sz w:val="28"/>
          <w:szCs w:val="28"/>
          <w:highlight w:val="none"/>
        </w:rPr>
      </w:pPr>
    </w:p>
    <w:p w14:paraId="23D1BFCD">
      <w:pPr>
        <w:shd w:val="clea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75238DB1">
      <w:pPr>
        <w:pStyle w:val="16"/>
        <w:shd w:val="clear"/>
        <w:spacing w:line="360" w:lineRule="auto"/>
        <w:jc w:val="center"/>
        <w:rPr>
          <w:rFonts w:hint="eastAsia" w:ascii="宋体" w:hAnsi="宋体" w:eastAsia="宋体" w:cs="宋体"/>
          <w:b/>
          <w:bCs w:val="0"/>
          <w:color w:val="auto"/>
          <w:sz w:val="32"/>
          <w:szCs w:val="32"/>
          <w:highlight w:val="none"/>
        </w:rPr>
      </w:pPr>
    </w:p>
    <w:p w14:paraId="3EAA5E2A">
      <w:pPr>
        <w:pStyle w:val="16"/>
        <w:shd w:val="clea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73EFA9C1">
      <w:pPr>
        <w:shd w:val="clear"/>
        <w:spacing w:line="360" w:lineRule="auto"/>
        <w:rPr>
          <w:rFonts w:hint="eastAsia" w:ascii="仿宋_GB2312" w:hAnsi="仿宋_GB2312" w:eastAsia="仿宋_GB2312" w:cs="仿宋_GB2312"/>
          <w:color w:val="auto"/>
          <w:sz w:val="32"/>
          <w:szCs w:val="32"/>
          <w:highlight w:val="none"/>
        </w:rPr>
      </w:pPr>
    </w:p>
    <w:p w14:paraId="7E6FDB37">
      <w:pPr>
        <w:shd w:val="clear"/>
        <w:ind w:firstLine="504" w:firstLineChars="200"/>
        <w:rPr>
          <w:rFonts w:hint="eastAsia" w:cs="宋体"/>
          <w:color w:val="auto"/>
          <w:spacing w:val="6"/>
          <w:szCs w:val="24"/>
          <w:highlight w:val="none"/>
        </w:rPr>
      </w:pPr>
      <w:r>
        <w:rPr>
          <w:rFonts w:hint="eastAsia" w:cs="宋体"/>
          <w:color w:val="auto"/>
          <w:spacing w:val="6"/>
          <w:szCs w:val="24"/>
          <w:highlight w:val="none"/>
        </w:rPr>
        <w:t>本公司郑重声明，根据财政部、司法部《关于政府采购支持监狱企业发展有关问题的通知》（财库【2014】68号）的规定，本公司为监狱企业。</w:t>
      </w:r>
    </w:p>
    <w:p w14:paraId="3C2CE4C6">
      <w:pPr>
        <w:shd w:val="clear"/>
        <w:spacing w:line="360" w:lineRule="auto"/>
        <w:rPr>
          <w:rFonts w:hint="eastAsia" w:ascii="宋体" w:hAnsi="宋体" w:eastAsia="宋体" w:cs="宋体"/>
          <w:color w:val="auto"/>
          <w:sz w:val="24"/>
          <w:szCs w:val="24"/>
          <w:highlight w:val="none"/>
        </w:rPr>
      </w:pPr>
    </w:p>
    <w:p w14:paraId="25406F97">
      <w:pPr>
        <w:shd w:val="clear"/>
        <w:ind w:firstLine="4440" w:firstLineChars="1850"/>
        <w:rPr>
          <w:rFonts w:hint="eastAsia" w:ascii="宋体" w:hAnsi="宋体" w:eastAsia="宋体" w:cs="宋体"/>
          <w:color w:val="auto"/>
          <w:sz w:val="24"/>
          <w:szCs w:val="24"/>
          <w:highlight w:val="none"/>
        </w:rPr>
      </w:pPr>
    </w:p>
    <w:p w14:paraId="44FF352C">
      <w:pPr>
        <w:shd w:val="clear"/>
        <w:ind w:firstLine="4440" w:firstLineChars="1850"/>
        <w:rPr>
          <w:rFonts w:hint="eastAsia" w:ascii="宋体" w:hAnsi="宋体" w:eastAsia="宋体" w:cs="宋体"/>
          <w:color w:val="auto"/>
          <w:sz w:val="24"/>
          <w:szCs w:val="24"/>
          <w:highlight w:val="none"/>
        </w:rPr>
      </w:pPr>
    </w:p>
    <w:p w14:paraId="0841D36F">
      <w:pPr>
        <w:shd w:val="clear"/>
        <w:ind w:right="1008" w:firstLine="4080" w:firstLineChars="1700"/>
        <w:rPr>
          <w:rFonts w:hint="eastAsia" w:ascii="宋体" w:hAnsi="宋体" w:eastAsia="宋体" w:cs="宋体"/>
          <w:color w:val="auto"/>
          <w:spacing w:val="6"/>
          <w:sz w:val="24"/>
          <w:szCs w:val="24"/>
          <w:highlight w:val="none"/>
        </w:rPr>
      </w:pPr>
      <w:r>
        <w:rPr>
          <w:rFonts w:hint="eastAsia" w:ascii="宋体" w:hAnsi="宋体" w:cs="宋体"/>
          <w:color w:val="auto"/>
          <w:kern w:val="0"/>
          <w:sz w:val="24"/>
          <w:highlight w:val="none"/>
          <w:lang w:val="zh-CN"/>
        </w:rPr>
        <w:t xml:space="preserve">  </w:t>
      </w:r>
      <w:r>
        <w:rPr>
          <w:rFonts w:hint="eastAsia" w:cs="宋体"/>
          <w:color w:val="auto"/>
          <w:kern w:val="0"/>
          <w:sz w:val="24"/>
          <w:highlight w:val="none"/>
          <w:lang w:val="en-US" w:eastAsia="zh-CN"/>
        </w:rPr>
        <w:t>供应商</w:t>
      </w:r>
      <w:r>
        <w:rPr>
          <w:rFonts w:hint="eastAsia" w:ascii="宋体" w:hAnsi="宋体" w:cs="宋体"/>
          <w:color w:val="auto"/>
          <w:kern w:val="0"/>
          <w:sz w:val="24"/>
          <w:highlight w:val="none"/>
          <w:lang w:val="zh-CN"/>
        </w:rPr>
        <w:t>名称(</w:t>
      </w:r>
      <w:r>
        <w:rPr>
          <w:rFonts w:hint="eastAsia" w:cs="宋体"/>
          <w:color w:val="auto"/>
          <w:kern w:val="0"/>
          <w:sz w:val="24"/>
          <w:highlight w:val="none"/>
          <w:lang w:val="zh-CN"/>
        </w:rPr>
        <w:t>公章</w:t>
      </w:r>
      <w:r>
        <w:rPr>
          <w:rFonts w:hint="eastAsia" w:ascii="宋体" w:hAnsi="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3678CEA7">
      <w:pPr>
        <w:shd w:val="clea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75D11779">
      <w:pPr>
        <w:shd w:val="clear"/>
        <w:spacing w:line="360" w:lineRule="auto"/>
        <w:ind w:firstLine="240" w:firstLineChars="100"/>
        <w:rPr>
          <w:rFonts w:hint="eastAsia" w:ascii="宋体" w:hAnsi="宋体" w:eastAsia="宋体" w:cs="宋体"/>
          <w:color w:val="auto"/>
          <w:sz w:val="24"/>
          <w:szCs w:val="24"/>
          <w:highlight w:val="none"/>
        </w:rPr>
      </w:pPr>
    </w:p>
    <w:p w14:paraId="7B8735C9">
      <w:pPr>
        <w:shd w:val="clear"/>
        <w:spacing w:line="360" w:lineRule="auto"/>
        <w:ind w:firstLine="240" w:firstLineChars="100"/>
        <w:rPr>
          <w:rFonts w:hint="eastAsia" w:ascii="宋体" w:hAnsi="宋体" w:eastAsia="宋体" w:cs="宋体"/>
          <w:color w:val="auto"/>
          <w:sz w:val="24"/>
          <w:szCs w:val="24"/>
          <w:highlight w:val="none"/>
        </w:rPr>
      </w:pPr>
    </w:p>
    <w:p w14:paraId="32722C7E">
      <w:pPr>
        <w:shd w:val="clea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20204BC0">
      <w:pPr>
        <w:shd w:val="clea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（含新疆生产建设兵团）（盖章）：  </w:t>
      </w:r>
    </w:p>
    <w:p w14:paraId="4A414B41">
      <w:pPr>
        <w:shd w:val="clea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028B0253">
      <w:pPr>
        <w:shd w:val="clear"/>
        <w:spacing w:line="360" w:lineRule="auto"/>
        <w:ind w:firstLine="240" w:firstLineChars="100"/>
        <w:rPr>
          <w:rFonts w:hint="eastAsia" w:ascii="宋体" w:hAnsi="宋体" w:eastAsia="宋体" w:cs="宋体"/>
          <w:color w:val="auto"/>
          <w:sz w:val="24"/>
          <w:szCs w:val="24"/>
          <w:highlight w:val="none"/>
        </w:rPr>
      </w:pPr>
    </w:p>
    <w:p w14:paraId="4A20867A">
      <w:pPr>
        <w:shd w:val="clear"/>
        <w:spacing w:line="360" w:lineRule="auto"/>
        <w:ind w:firstLine="4000" w:firstLineChars="1250"/>
        <w:rPr>
          <w:rFonts w:hint="eastAsia" w:ascii="仿宋_GB2312" w:hAnsi="仿宋_GB2312" w:eastAsia="仿宋_GB2312" w:cs="仿宋_GB2312"/>
          <w:color w:val="auto"/>
          <w:sz w:val="32"/>
          <w:szCs w:val="32"/>
          <w:highlight w:val="none"/>
        </w:rPr>
      </w:pPr>
    </w:p>
    <w:p w14:paraId="206A9633">
      <w:pPr>
        <w:shd w:val="clear"/>
        <w:spacing w:line="360" w:lineRule="auto"/>
        <w:rPr>
          <w:rFonts w:hint="eastAsia" w:ascii="仿宋_GB2312" w:hAnsi="仿宋_GB2312" w:eastAsia="仿宋_GB2312" w:cs="仿宋_GB2312"/>
          <w:color w:val="auto"/>
          <w:sz w:val="32"/>
          <w:szCs w:val="32"/>
          <w:highlight w:val="none"/>
        </w:rPr>
      </w:pPr>
    </w:p>
    <w:p w14:paraId="283F77FC">
      <w:pPr>
        <w:widowControl/>
        <w:shd w:val="clear"/>
        <w:spacing w:before="100" w:beforeAutospacing="1" w:after="100" w:afterAutospacing="1"/>
        <w:rPr>
          <w:rFonts w:ascii="Arial" w:hAnsi="Arial" w:cs="Arial"/>
          <w:color w:val="auto"/>
          <w:sz w:val="21"/>
          <w:szCs w:val="21"/>
          <w:highlight w:val="none"/>
        </w:rPr>
      </w:pPr>
    </w:p>
    <w:p w14:paraId="3ACDD48E">
      <w:pPr>
        <w:widowControl/>
        <w:shd w:val="clear"/>
        <w:spacing w:before="100" w:beforeAutospacing="1" w:after="100" w:afterAutospacing="1"/>
        <w:rPr>
          <w:rFonts w:ascii="Arial" w:hAnsi="Arial" w:cs="Arial"/>
          <w:color w:val="auto"/>
          <w:sz w:val="21"/>
          <w:szCs w:val="21"/>
          <w:highlight w:val="none"/>
        </w:rPr>
      </w:pPr>
    </w:p>
    <w:p w14:paraId="22F7A202">
      <w:pPr>
        <w:widowControl/>
        <w:shd w:val="clear"/>
        <w:spacing w:before="100" w:beforeAutospacing="1" w:after="100" w:afterAutospacing="1"/>
        <w:rPr>
          <w:rFonts w:ascii="Arial" w:hAnsi="Arial" w:cs="Arial"/>
          <w:color w:val="auto"/>
          <w:sz w:val="21"/>
          <w:szCs w:val="21"/>
          <w:highlight w:val="none"/>
        </w:rPr>
      </w:pPr>
    </w:p>
    <w:p w14:paraId="2AA0844D">
      <w:pPr>
        <w:pStyle w:val="5"/>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561" w:name="_Toc163492941"/>
    </w:p>
    <w:p w14:paraId="69ACD5D5">
      <w:pPr>
        <w:pStyle w:val="5"/>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562" w:name="_Toc7838"/>
      <w:r>
        <w:rPr>
          <w:rFonts w:hint="eastAsia" w:ascii="宋体" w:hAnsi="宋体" w:eastAsia="宋体" w:cstheme="minorBidi"/>
          <w:b/>
          <w:bCs/>
          <w:color w:val="auto"/>
          <w:kern w:val="2"/>
          <w:sz w:val="24"/>
          <w:szCs w:val="24"/>
          <w:highlight w:val="none"/>
          <w:lang w:val="en-US" w:eastAsia="zh-CN" w:bidi="ar-SA"/>
        </w:rPr>
        <w:t>（四）残疾人福利性单位声明函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561"/>
      <w:bookmarkEnd w:id="562"/>
    </w:p>
    <w:p w14:paraId="57F303A4">
      <w:pPr>
        <w:pStyle w:val="37"/>
        <w:numPr>
          <w:ilvl w:val="0"/>
          <w:numId w:val="0"/>
        </w:numPr>
        <w:shd w:val="clear"/>
        <w:ind w:left="420" w:leftChars="0" w:hanging="420" w:firstLineChars="0"/>
        <w:jc w:val="center"/>
        <w:rPr>
          <w:rFonts w:hint="eastAsia"/>
          <w:b/>
          <w:bCs/>
          <w:color w:val="auto"/>
          <w:sz w:val="32"/>
          <w:szCs w:val="32"/>
          <w:highlight w:val="none"/>
        </w:rPr>
      </w:pPr>
    </w:p>
    <w:p w14:paraId="6049E14B">
      <w:pPr>
        <w:pStyle w:val="37"/>
        <w:numPr>
          <w:ilvl w:val="0"/>
          <w:numId w:val="0"/>
        </w:numPr>
        <w:shd w:val="clea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4E988B10">
      <w:pPr>
        <w:shd w:val="clear"/>
        <w:wordWrap w:val="0"/>
        <w:ind w:firstLine="480" w:firstLineChars="200"/>
        <w:rPr>
          <w:rFonts w:hint="eastAsia"/>
          <w:color w:val="auto"/>
          <w:szCs w:val="24"/>
          <w:highlight w:val="none"/>
        </w:rPr>
      </w:pPr>
    </w:p>
    <w:p w14:paraId="2B2B6A0A">
      <w:pPr>
        <w:shd w:val="clear"/>
        <w:wordWrap w:val="0"/>
        <w:ind w:firstLine="480" w:firstLineChars="200"/>
        <w:rPr>
          <w:i w:val="0"/>
          <w:iCs w:val="0"/>
          <w:color w:val="auto"/>
          <w:szCs w:val="24"/>
          <w:highlight w:val="none"/>
        </w:rPr>
      </w:pPr>
      <w:r>
        <w:rPr>
          <w:rFonts w:hint="eastAsia"/>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2B0D31AB">
      <w:pPr>
        <w:shd w:val="clea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38F8FD5">
      <w:pPr>
        <w:shd w:val="clea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FB12063">
      <w:pPr>
        <w:shd w:val="clear"/>
        <w:wordWrap w:val="0"/>
        <w:ind w:firstLine="480" w:firstLineChars="200"/>
        <w:rPr>
          <w:i w:val="0"/>
          <w:iCs w:val="0"/>
          <w:color w:val="auto"/>
          <w:szCs w:val="24"/>
          <w:highlight w:val="none"/>
        </w:rPr>
      </w:pPr>
      <w:r>
        <w:rPr>
          <w:rFonts w:hint="eastAsia"/>
          <w:i w:val="0"/>
          <w:iCs w:val="0"/>
          <w:color w:val="auto"/>
          <w:szCs w:val="24"/>
          <w:highlight w:val="none"/>
        </w:rPr>
        <w:t>……</w:t>
      </w:r>
    </w:p>
    <w:p w14:paraId="7B8F3287">
      <w:pPr>
        <w:shd w:val="clear"/>
        <w:wordWrap w:val="0"/>
        <w:ind w:firstLine="480" w:firstLineChars="200"/>
        <w:rPr>
          <w:color w:val="auto"/>
          <w:szCs w:val="24"/>
          <w:highlight w:val="none"/>
        </w:rPr>
      </w:pPr>
      <w:r>
        <w:rPr>
          <w:rFonts w:hint="eastAsia"/>
          <w:color w:val="auto"/>
          <w:szCs w:val="24"/>
          <w:highlight w:val="none"/>
        </w:rPr>
        <w:t>以上企业，不属于大企业的分支机构，不存在控股股东为大企业的情形，也不存在与大企业的负责人为同一人的情形。</w:t>
      </w:r>
    </w:p>
    <w:p w14:paraId="18EB7223">
      <w:pPr>
        <w:shd w:val="clear"/>
        <w:wordWrap w:val="0"/>
        <w:ind w:left="1087" w:leftChars="200" w:hanging="607" w:hangingChars="253"/>
        <w:rPr>
          <w:color w:val="auto"/>
          <w:szCs w:val="24"/>
          <w:highlight w:val="none"/>
        </w:rPr>
      </w:pPr>
      <w:r>
        <w:rPr>
          <w:rFonts w:hint="eastAsia"/>
          <w:color w:val="auto"/>
          <w:szCs w:val="24"/>
          <w:highlight w:val="none"/>
        </w:rPr>
        <w:t>本企业对上述声明内容的真实性负责。如有虚假，将依法承担相应责任。</w:t>
      </w:r>
    </w:p>
    <w:p w14:paraId="44C7A080">
      <w:pPr>
        <w:shd w:val="clear"/>
        <w:wordWrap w:val="0"/>
        <w:ind w:left="1091" w:hanging="1091" w:hangingChars="453"/>
        <w:rPr>
          <w:b/>
          <w:bCs/>
          <w:color w:val="auto"/>
          <w:szCs w:val="24"/>
          <w:highlight w:val="none"/>
        </w:rPr>
      </w:pPr>
    </w:p>
    <w:p w14:paraId="43523196">
      <w:pPr>
        <w:shd w:val="clear"/>
        <w:wordWrap w:val="0"/>
        <w:ind w:left="1091" w:hanging="1091" w:hangingChars="453"/>
        <w:rPr>
          <w:bCs/>
          <w:color w:val="auto"/>
          <w:szCs w:val="24"/>
          <w:highlight w:val="none"/>
        </w:rPr>
      </w:pPr>
      <w:r>
        <w:rPr>
          <w:rFonts w:hint="eastAsia"/>
          <w:b/>
          <w:bCs/>
          <w:color w:val="auto"/>
          <w:szCs w:val="24"/>
          <w:highlight w:val="none"/>
        </w:rPr>
        <w:t>说明：</w:t>
      </w:r>
      <w:r>
        <w:rPr>
          <w:rFonts w:hint="eastAsia"/>
          <w:bCs/>
          <w:color w:val="auto"/>
          <w:szCs w:val="24"/>
          <w:highlight w:val="none"/>
        </w:rPr>
        <w:t>1、</w:t>
      </w:r>
      <w:r>
        <w:rPr>
          <w:rFonts w:hint="eastAsia"/>
          <w:bCs/>
          <w:color w:val="auto"/>
          <w:szCs w:val="21"/>
          <w:highlight w:val="none"/>
          <w:lang w:val="zh-CN"/>
        </w:rPr>
        <w:t>货物应当全部由符合政策要求的残疾人福利性单位生产且使用该残疾人福利性单位商号或注册商标（与代理商或</w:t>
      </w:r>
      <w:r>
        <w:rPr>
          <w:rFonts w:hint="eastAsia"/>
          <w:bCs/>
          <w:color w:val="auto"/>
          <w:szCs w:val="21"/>
          <w:highlight w:val="none"/>
          <w:lang w:val="en-US" w:eastAsia="zh-CN"/>
        </w:rPr>
        <w:t>供应商</w:t>
      </w:r>
      <w:r>
        <w:rPr>
          <w:rFonts w:hint="eastAsia"/>
          <w:bCs/>
          <w:color w:val="auto"/>
          <w:szCs w:val="21"/>
          <w:highlight w:val="none"/>
          <w:lang w:val="zh-CN"/>
        </w:rPr>
        <w:t>无关）；应当严格按上述格式及内容进行填写（应当明确每个</w:t>
      </w:r>
      <w:r>
        <w:rPr>
          <w:rFonts w:hint="eastAsia"/>
          <w:bCs/>
          <w:color w:val="auto"/>
          <w:szCs w:val="21"/>
          <w:highlight w:val="none"/>
          <w:lang w:val="en-US" w:eastAsia="zh-CN"/>
        </w:rPr>
        <w:t>包</w:t>
      </w:r>
      <w:r>
        <w:rPr>
          <w:rFonts w:hint="eastAsia"/>
          <w:bCs/>
          <w:color w:val="auto"/>
          <w:szCs w:val="21"/>
          <w:highlight w:val="none"/>
          <w:lang w:val="zh-CN"/>
        </w:rPr>
        <w:t>的的生产企业类型及相关数据），否则导致的后果由</w:t>
      </w:r>
      <w:r>
        <w:rPr>
          <w:rFonts w:hint="eastAsia"/>
          <w:bCs/>
          <w:color w:val="auto"/>
          <w:szCs w:val="21"/>
          <w:highlight w:val="none"/>
          <w:lang w:val="en-US" w:eastAsia="zh-CN"/>
        </w:rPr>
        <w:t>供应商</w:t>
      </w:r>
      <w:r>
        <w:rPr>
          <w:rFonts w:hint="eastAsia"/>
          <w:bCs/>
          <w:color w:val="auto"/>
          <w:szCs w:val="21"/>
          <w:highlight w:val="none"/>
          <w:lang w:val="zh-CN"/>
        </w:rPr>
        <w:t>自行承担；</w:t>
      </w:r>
    </w:p>
    <w:p w14:paraId="2288B711">
      <w:pPr>
        <w:shd w:val="clear"/>
        <w:wordWrap w:val="0"/>
        <w:ind w:left="1087" w:hanging="1087" w:hangingChars="453"/>
        <w:rPr>
          <w:rFonts w:cs="Courier New"/>
          <w:color w:val="auto"/>
          <w:szCs w:val="21"/>
          <w:highlight w:val="none"/>
        </w:rPr>
      </w:pPr>
      <w:r>
        <w:rPr>
          <w:rFonts w:hint="eastAsia"/>
          <w:bCs/>
          <w:color w:val="auto"/>
          <w:szCs w:val="21"/>
          <w:highlight w:val="none"/>
          <w:lang w:val="zh-CN"/>
        </w:rPr>
        <w:t xml:space="preserve">      2、</w:t>
      </w:r>
      <w:r>
        <w:rPr>
          <w:rFonts w:hint="eastAsia" w:cs="Courier New"/>
          <w:color w:val="auto"/>
          <w:szCs w:val="21"/>
          <w:highlight w:val="none"/>
        </w:rPr>
        <w:t>以联合体形式参加的，应</w:t>
      </w:r>
      <w:r>
        <w:rPr>
          <w:rFonts w:hint="eastAsia"/>
          <w:bCs/>
          <w:color w:val="auto"/>
          <w:szCs w:val="21"/>
          <w:highlight w:val="none"/>
          <w:lang w:val="zh-CN"/>
        </w:rPr>
        <w:t>当</w:t>
      </w:r>
      <w:r>
        <w:rPr>
          <w:rFonts w:hint="eastAsia" w:cs="Courier New"/>
          <w:color w:val="auto"/>
          <w:szCs w:val="21"/>
          <w:highlight w:val="none"/>
        </w:rPr>
        <w:t>由联合体各方盖章。</w:t>
      </w:r>
    </w:p>
    <w:p w14:paraId="71983F83">
      <w:pPr>
        <w:shd w:val="clear"/>
        <w:wordWrap w:val="0"/>
        <w:spacing w:before="100" w:beforeAutospacing="1" w:after="100" w:afterAutospacing="1"/>
        <w:ind w:firstLine="3316" w:firstLineChars="1382"/>
        <w:rPr>
          <w:bCs/>
          <w:color w:val="auto"/>
          <w:szCs w:val="21"/>
          <w:highlight w:val="none"/>
          <w:lang w:val="zh-CN"/>
        </w:rPr>
      </w:pPr>
      <w:r>
        <w:rPr>
          <w:rFonts w:hint="eastAsia"/>
          <w:bCs/>
          <w:color w:val="auto"/>
          <w:szCs w:val="21"/>
          <w:highlight w:val="none"/>
          <w:lang w:val="en-US" w:eastAsia="zh-CN"/>
        </w:rPr>
        <w:t>供应商名称（公章）</w:t>
      </w:r>
      <w:r>
        <w:rPr>
          <w:rFonts w:hint="eastAsia"/>
          <w:bCs/>
          <w:color w:val="auto"/>
          <w:szCs w:val="21"/>
          <w:highlight w:val="none"/>
          <w:lang w:val="zh-CN"/>
        </w:rPr>
        <w:t>：</w:t>
      </w:r>
      <w:r>
        <w:rPr>
          <w:rFonts w:hint="eastAsia"/>
          <w:bCs/>
          <w:color w:val="auto"/>
          <w:szCs w:val="21"/>
          <w:highlight w:val="none"/>
          <w:u w:val="single"/>
          <w:lang w:val="zh-CN"/>
        </w:rPr>
        <w:t xml:space="preserve">             </w:t>
      </w:r>
    </w:p>
    <w:p w14:paraId="3A972AC9">
      <w:pPr>
        <w:shd w:val="clear"/>
        <w:wordWrap w:val="0"/>
        <w:spacing w:before="100" w:beforeAutospacing="1" w:after="100" w:afterAutospacing="1"/>
        <w:ind w:firstLine="3316"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6F5F8DCA">
      <w:pPr>
        <w:shd w:val="clear"/>
        <w:ind w:left="4620" w:firstLine="281" w:firstLineChars="100"/>
        <w:rPr>
          <w:rFonts w:cs="仿宋_GB2312"/>
          <w:b/>
          <w:color w:val="auto"/>
          <w:sz w:val="28"/>
          <w:szCs w:val="28"/>
          <w:highlight w:val="none"/>
        </w:rPr>
      </w:pPr>
    </w:p>
    <w:p w14:paraId="7BDD1A80">
      <w:pPr>
        <w:shd w:val="clear"/>
        <w:rPr>
          <w:color w:val="auto"/>
          <w:highlight w:val="none"/>
        </w:rPr>
      </w:pPr>
      <w:r>
        <w:rPr>
          <w:color w:val="auto"/>
          <w:highlight w:val="none"/>
        </w:rPr>
        <w:br w:type="page"/>
      </w:r>
    </w:p>
    <w:p w14:paraId="14689676">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color w:val="auto"/>
          <w:kern w:val="2"/>
          <w:sz w:val="28"/>
          <w:szCs w:val="28"/>
          <w:highlight w:val="none"/>
          <w:lang w:val="en-US" w:eastAsia="zh-CN" w:bidi="ar-SA"/>
        </w:rPr>
      </w:pPr>
      <w:bookmarkStart w:id="563" w:name="_Toc8760"/>
      <w:bookmarkStart w:id="564" w:name="_Toc3073"/>
      <w:r>
        <w:rPr>
          <w:rFonts w:hint="eastAsia" w:cstheme="majorBidi"/>
          <w:b/>
          <w:bCs/>
          <w:color w:val="auto"/>
          <w:kern w:val="2"/>
          <w:sz w:val="28"/>
          <w:szCs w:val="28"/>
          <w:highlight w:val="none"/>
          <w:lang w:val="en-US" w:eastAsia="zh-CN" w:bidi="ar-SA"/>
        </w:rPr>
        <w:t>五、不参与围标串标承诺书</w:t>
      </w:r>
      <w:bookmarkEnd w:id="563"/>
      <w:bookmarkEnd w:id="564"/>
    </w:p>
    <w:p w14:paraId="415F309A">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eastAsia="宋体" w:asciiTheme="majorHAnsi" w:hAnsiTheme="majorHAnsi" w:cstheme="majorBidi"/>
          <w:b/>
          <w:bCs/>
          <w:color w:val="auto"/>
          <w:kern w:val="2"/>
          <w:sz w:val="32"/>
          <w:szCs w:val="32"/>
          <w:highlight w:val="none"/>
          <w:lang w:val="en-US" w:eastAsia="zh-CN" w:bidi="ar-SA"/>
        </w:rPr>
      </w:pPr>
    </w:p>
    <w:p w14:paraId="1FE71F6D">
      <w:pPr>
        <w:shd w:val="clear"/>
        <w:jc w:val="center"/>
        <w:rPr>
          <w:rFonts w:hint="eastAsia"/>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2DC5E9C8">
      <w:pPr>
        <w:shd w:val="clear"/>
        <w:rPr>
          <w:rFonts w:hint="eastAsia"/>
          <w:color w:val="auto"/>
          <w:highlight w:val="none"/>
          <w:lang w:val="en-US" w:eastAsia="zh-CN"/>
        </w:rPr>
      </w:pPr>
      <w:r>
        <w:rPr>
          <w:rFonts w:hint="eastAsia"/>
          <w:color w:val="auto"/>
          <w:highlight w:val="none"/>
          <w:lang w:val="en-US" w:eastAsia="zh-CN"/>
        </w:rPr>
        <w:t>  </w:t>
      </w:r>
    </w:p>
    <w:p w14:paraId="1ACC5C30">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本人作为经授权的供应商代表,清楚知晓我单位参与本项目竞争性谈判活动,对以下事项作出承诺：</w:t>
      </w:r>
    </w:p>
    <w:p w14:paraId="398E6081">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p>
    <w:p w14:paraId="26BB11E4">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10BBFC53">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二、我单位和我本人在本项目政府采购竞争性谈判活动中,未参与围标串标。</w:t>
      </w:r>
    </w:p>
    <w:p w14:paraId="1A7E3475">
      <w:pPr>
        <w:keepNext w:val="0"/>
        <w:keepLines w:val="0"/>
        <w:pageBreakBefore w:val="0"/>
        <w:widowControl w:val="0"/>
        <w:shd w:val="clear"/>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三、我单位如被查实在本项目政府采购竞争性谈判活动中存在围标串标的，递交响应文件行为作为实施串通投标违法行为的关键环节,由我单位及法定代表人承担相应的法律责任，接受相应行政处罚和失信惩戒。</w:t>
      </w:r>
    </w:p>
    <w:p w14:paraId="29E3C848">
      <w:pPr>
        <w:pStyle w:val="12"/>
        <w:shd w:val="clear"/>
        <w:rPr>
          <w:rFonts w:hint="eastAsia"/>
          <w:color w:val="auto"/>
          <w:highlight w:val="none"/>
          <w:lang w:val="en-US" w:eastAsia="zh-CN"/>
        </w:rPr>
      </w:pPr>
    </w:p>
    <w:p w14:paraId="39CB3E48">
      <w:pPr>
        <w:shd w:val="clear"/>
        <w:spacing w:line="560" w:lineRule="exact"/>
        <w:rPr>
          <w:rFonts w:hint="eastAsia" w:ascii="宋体" w:hAnsi="宋体" w:eastAsia="宋体" w:cs="宋体"/>
          <w:color w:val="auto"/>
          <w:kern w:val="0"/>
          <w:sz w:val="24"/>
          <w:szCs w:val="24"/>
          <w:highlight w:val="none"/>
        </w:rPr>
      </w:pPr>
    </w:p>
    <w:p w14:paraId="19648C53">
      <w:pPr>
        <w:shd w:val="clea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w:t>
      </w:r>
      <w:r>
        <w:rPr>
          <w:rFonts w:hint="eastAsia" w:cs="宋体"/>
          <w:color w:val="auto"/>
          <w:kern w:val="0"/>
          <w:sz w:val="24"/>
          <w:szCs w:val="24"/>
          <w:highlight w:val="none"/>
          <w:lang w:val="en-US" w:eastAsia="zh-CN"/>
        </w:rPr>
        <w:t>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2CCE383A">
      <w:pPr>
        <w:shd w:val="clea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本人</w:t>
      </w:r>
      <w:r>
        <w:rPr>
          <w:rFonts w:hint="eastAsia"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签字或印章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692B3277">
      <w:pPr>
        <w:shd w:val="clea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3DA43E0">
      <w:pPr>
        <w:widowControl/>
        <w:shd w:val="clear"/>
        <w:spacing w:line="560" w:lineRule="exact"/>
        <w:ind w:firstLine="630"/>
        <w:jc w:val="left"/>
        <w:rPr>
          <w:rFonts w:hint="eastAsia" w:ascii="宋体" w:hAnsi="宋体" w:eastAsia="宋体" w:cs="宋体"/>
          <w:color w:val="auto"/>
          <w:kern w:val="0"/>
          <w:sz w:val="24"/>
          <w:szCs w:val="24"/>
          <w:highlight w:val="none"/>
        </w:rPr>
      </w:pPr>
    </w:p>
    <w:p w14:paraId="7CD72A88">
      <w:pPr>
        <w:pStyle w:val="12"/>
        <w:shd w:val="clear"/>
        <w:rPr>
          <w:rFonts w:hint="eastAsia"/>
          <w:color w:val="auto"/>
          <w:highlight w:val="none"/>
          <w:lang w:val="en-US" w:eastAsia="zh-CN"/>
        </w:rPr>
      </w:pPr>
    </w:p>
    <w:p w14:paraId="6FC519D1">
      <w:pPr>
        <w:pStyle w:val="12"/>
        <w:shd w:val="clear"/>
        <w:rPr>
          <w:rFonts w:hint="eastAsia"/>
          <w:color w:val="auto"/>
          <w:highlight w:val="none"/>
          <w:lang w:val="en-US" w:eastAsia="zh-CN"/>
        </w:rPr>
      </w:pPr>
    </w:p>
    <w:p w14:paraId="7500053D">
      <w:pPr>
        <w:pStyle w:val="12"/>
        <w:shd w:val="clear"/>
        <w:rPr>
          <w:rFonts w:hint="eastAsia"/>
          <w:color w:val="auto"/>
          <w:highlight w:val="none"/>
          <w:lang w:val="en-US" w:eastAsia="zh-CN"/>
        </w:rPr>
      </w:pPr>
    </w:p>
    <w:p w14:paraId="5BF64493">
      <w:pPr>
        <w:pStyle w:val="12"/>
        <w:shd w:val="clear"/>
        <w:rPr>
          <w:rFonts w:hint="eastAsia"/>
          <w:color w:val="auto"/>
          <w:highlight w:val="none"/>
          <w:lang w:val="en-US" w:eastAsia="zh-CN"/>
        </w:rPr>
      </w:pPr>
    </w:p>
    <w:p w14:paraId="5CA01A8B">
      <w:pPr>
        <w:pStyle w:val="12"/>
        <w:shd w:val="clear"/>
        <w:rPr>
          <w:rFonts w:hint="eastAsia"/>
          <w:color w:val="auto"/>
          <w:highlight w:val="none"/>
          <w:lang w:val="en-US" w:eastAsia="zh-CN"/>
        </w:rPr>
      </w:pPr>
    </w:p>
    <w:p w14:paraId="029F743D">
      <w:pPr>
        <w:pStyle w:val="12"/>
        <w:shd w:val="clear"/>
        <w:rPr>
          <w:rFonts w:hint="eastAsia"/>
          <w:color w:val="auto"/>
          <w:highlight w:val="none"/>
          <w:lang w:val="en-US" w:eastAsia="zh-CN"/>
        </w:rPr>
      </w:pPr>
    </w:p>
    <w:p w14:paraId="41587146">
      <w:pPr>
        <w:pStyle w:val="12"/>
        <w:shd w:val="clear"/>
        <w:rPr>
          <w:rFonts w:hint="eastAsia"/>
          <w:color w:val="auto"/>
          <w:highlight w:val="none"/>
          <w:lang w:val="en-US" w:eastAsia="zh-CN"/>
        </w:rPr>
      </w:pPr>
    </w:p>
    <w:p w14:paraId="34406338">
      <w:pPr>
        <w:widowControl/>
        <w:shd w:val="clear"/>
        <w:spacing w:before="100" w:beforeAutospacing="1" w:after="100" w:afterAutospacing="1"/>
        <w:rPr>
          <w:rFonts w:hint="eastAsia" w:ascii="Arial" w:hAnsi="Arial" w:cs="Arial"/>
          <w:color w:val="auto"/>
          <w:sz w:val="21"/>
          <w:szCs w:val="21"/>
          <w:highlight w:val="none"/>
          <w:lang w:val="en-US" w:eastAsia="zh-CN"/>
        </w:rPr>
      </w:pPr>
    </w:p>
    <w:p w14:paraId="13DEAFB3">
      <w:pPr>
        <w:pStyle w:val="5"/>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p>
    <w:p w14:paraId="7A1B4817">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color w:val="auto"/>
          <w:kern w:val="2"/>
          <w:sz w:val="28"/>
          <w:szCs w:val="28"/>
          <w:highlight w:val="none"/>
          <w:lang w:val="zh-CN" w:eastAsia="zh-CN" w:bidi="ar-SA"/>
        </w:rPr>
      </w:pPr>
      <w:bookmarkStart w:id="565" w:name="_Toc29561"/>
      <w:bookmarkStart w:id="566" w:name="_Toc9438"/>
      <w:r>
        <w:rPr>
          <w:rFonts w:hint="eastAsia" w:cstheme="majorBidi"/>
          <w:b/>
          <w:bCs/>
          <w:color w:val="auto"/>
          <w:kern w:val="2"/>
          <w:sz w:val="28"/>
          <w:szCs w:val="28"/>
          <w:highlight w:val="none"/>
          <w:lang w:val="en-US" w:eastAsia="zh-CN" w:bidi="ar-SA"/>
        </w:rPr>
        <w:t>六</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其他资格证明文件</w:t>
      </w:r>
      <w:bookmarkEnd w:id="565"/>
      <w:bookmarkEnd w:id="566"/>
    </w:p>
    <w:p w14:paraId="0C24F0AE">
      <w:pPr>
        <w:pStyle w:val="33"/>
        <w:shd w:val="clear"/>
        <w:rPr>
          <w:rFonts w:hint="eastAsia"/>
          <w:color w:val="auto"/>
          <w:highlight w:val="none"/>
        </w:rPr>
      </w:pPr>
      <w:r>
        <w:rPr>
          <w:rFonts w:hint="eastAsia" w:cs="Courier New"/>
          <w:color w:val="auto"/>
          <w:szCs w:val="24"/>
          <w:highlight w:val="none"/>
          <w:lang w:val="en-US" w:eastAsia="zh-CN"/>
        </w:rPr>
        <w:t>供应商</w:t>
      </w:r>
      <w:r>
        <w:rPr>
          <w:rFonts w:hint="eastAsia" w:cs="Courier New"/>
          <w:color w:val="auto"/>
          <w:szCs w:val="24"/>
          <w:highlight w:val="none"/>
        </w:rPr>
        <w:t>认为需提供的其它相关资格证明材料</w:t>
      </w:r>
    </w:p>
    <w:p w14:paraId="7C2C3E83">
      <w:pPr>
        <w:pStyle w:val="33"/>
        <w:shd w:val="clear"/>
        <w:rPr>
          <w:rFonts w:hint="eastAsia"/>
          <w:color w:val="auto"/>
          <w:highlight w:val="none"/>
        </w:rPr>
      </w:pPr>
    </w:p>
    <w:p w14:paraId="58A36194">
      <w:pPr>
        <w:pStyle w:val="33"/>
        <w:shd w:val="clear"/>
        <w:rPr>
          <w:rFonts w:hint="eastAsia"/>
          <w:color w:val="auto"/>
          <w:highlight w:val="none"/>
        </w:rPr>
      </w:pPr>
    </w:p>
    <w:p w14:paraId="3553B395">
      <w:pPr>
        <w:pStyle w:val="33"/>
        <w:shd w:val="clear"/>
        <w:rPr>
          <w:rFonts w:hint="eastAsia"/>
          <w:color w:val="auto"/>
          <w:highlight w:val="none"/>
        </w:rPr>
      </w:pPr>
    </w:p>
    <w:p w14:paraId="49D404FC">
      <w:pPr>
        <w:pStyle w:val="33"/>
        <w:shd w:val="clear"/>
        <w:rPr>
          <w:rFonts w:hint="eastAsia"/>
          <w:color w:val="auto"/>
          <w:highlight w:val="none"/>
        </w:rPr>
      </w:pPr>
    </w:p>
    <w:p w14:paraId="4B98E4B6">
      <w:pPr>
        <w:pStyle w:val="33"/>
        <w:shd w:val="clear"/>
        <w:rPr>
          <w:rFonts w:hint="eastAsia"/>
          <w:color w:val="auto"/>
          <w:highlight w:val="none"/>
        </w:rPr>
      </w:pPr>
    </w:p>
    <w:p w14:paraId="737FEDD3">
      <w:pPr>
        <w:pStyle w:val="33"/>
        <w:shd w:val="clear"/>
        <w:rPr>
          <w:rFonts w:hint="eastAsia"/>
          <w:color w:val="auto"/>
          <w:highlight w:val="none"/>
        </w:rPr>
      </w:pPr>
    </w:p>
    <w:p w14:paraId="1C876135">
      <w:pPr>
        <w:pStyle w:val="33"/>
        <w:shd w:val="clear"/>
        <w:rPr>
          <w:rFonts w:hint="eastAsia"/>
          <w:color w:val="auto"/>
          <w:highlight w:val="none"/>
        </w:rPr>
      </w:pPr>
    </w:p>
    <w:p w14:paraId="7E85C842">
      <w:pPr>
        <w:pStyle w:val="33"/>
        <w:shd w:val="clear"/>
        <w:rPr>
          <w:rFonts w:hint="eastAsia"/>
          <w:color w:val="auto"/>
          <w:highlight w:val="none"/>
        </w:rPr>
      </w:pPr>
    </w:p>
    <w:p w14:paraId="4CBE3B0D">
      <w:pPr>
        <w:pStyle w:val="33"/>
        <w:shd w:val="clear"/>
        <w:rPr>
          <w:rFonts w:hint="eastAsia"/>
          <w:color w:val="auto"/>
          <w:highlight w:val="none"/>
        </w:rPr>
      </w:pPr>
    </w:p>
    <w:p w14:paraId="2E6E451F">
      <w:pPr>
        <w:pStyle w:val="33"/>
        <w:shd w:val="clear"/>
        <w:rPr>
          <w:rFonts w:hint="eastAsia"/>
          <w:color w:val="auto"/>
          <w:highlight w:val="none"/>
        </w:rPr>
      </w:pPr>
    </w:p>
    <w:p w14:paraId="38DC2C55">
      <w:pPr>
        <w:pStyle w:val="33"/>
        <w:shd w:val="clear"/>
        <w:rPr>
          <w:rFonts w:hint="eastAsia"/>
          <w:color w:val="auto"/>
          <w:highlight w:val="none"/>
        </w:rPr>
      </w:pPr>
    </w:p>
    <w:p w14:paraId="04DAFD3C">
      <w:pPr>
        <w:pStyle w:val="33"/>
        <w:shd w:val="clear"/>
        <w:rPr>
          <w:rFonts w:hint="eastAsia"/>
          <w:color w:val="auto"/>
          <w:highlight w:val="none"/>
        </w:rPr>
      </w:pPr>
    </w:p>
    <w:p w14:paraId="51E24CDC">
      <w:pPr>
        <w:pStyle w:val="33"/>
        <w:shd w:val="clear"/>
        <w:rPr>
          <w:rFonts w:hint="eastAsia"/>
          <w:color w:val="auto"/>
          <w:highlight w:val="none"/>
        </w:rPr>
      </w:pPr>
    </w:p>
    <w:p w14:paraId="1AC1942E">
      <w:pPr>
        <w:pStyle w:val="33"/>
        <w:shd w:val="clear"/>
        <w:rPr>
          <w:rFonts w:hint="eastAsia"/>
          <w:color w:val="auto"/>
          <w:highlight w:val="none"/>
        </w:rPr>
      </w:pPr>
    </w:p>
    <w:p w14:paraId="4722E259">
      <w:pPr>
        <w:pStyle w:val="33"/>
        <w:shd w:val="clear"/>
        <w:rPr>
          <w:rFonts w:hint="eastAsia"/>
          <w:color w:val="auto"/>
          <w:highlight w:val="none"/>
        </w:rPr>
      </w:pPr>
    </w:p>
    <w:p w14:paraId="07033BD3">
      <w:pPr>
        <w:pStyle w:val="33"/>
        <w:shd w:val="clear"/>
        <w:rPr>
          <w:rFonts w:hint="eastAsia"/>
          <w:color w:val="auto"/>
          <w:highlight w:val="none"/>
        </w:rPr>
      </w:pPr>
    </w:p>
    <w:p w14:paraId="6E1D094D">
      <w:pPr>
        <w:pStyle w:val="33"/>
        <w:shd w:val="clear"/>
        <w:rPr>
          <w:rFonts w:hint="eastAsia"/>
          <w:color w:val="auto"/>
          <w:highlight w:val="none"/>
        </w:rPr>
      </w:pPr>
    </w:p>
    <w:p w14:paraId="23B0DB54">
      <w:pPr>
        <w:pStyle w:val="33"/>
        <w:shd w:val="clear"/>
        <w:rPr>
          <w:rFonts w:hint="eastAsia"/>
          <w:color w:val="auto"/>
          <w:highlight w:val="none"/>
        </w:rPr>
      </w:pPr>
    </w:p>
    <w:p w14:paraId="07159DF6">
      <w:pPr>
        <w:pStyle w:val="33"/>
        <w:shd w:val="clear"/>
        <w:rPr>
          <w:rFonts w:hint="eastAsia"/>
          <w:color w:val="auto"/>
          <w:highlight w:val="none"/>
        </w:rPr>
      </w:pPr>
    </w:p>
    <w:p w14:paraId="44B3A5AA">
      <w:pPr>
        <w:pStyle w:val="33"/>
        <w:shd w:val="clear"/>
        <w:rPr>
          <w:rFonts w:hint="eastAsia"/>
          <w:color w:val="auto"/>
          <w:highlight w:val="none"/>
        </w:rPr>
      </w:pPr>
    </w:p>
    <w:p w14:paraId="05BB178A">
      <w:pPr>
        <w:pStyle w:val="33"/>
        <w:shd w:val="clear"/>
        <w:rPr>
          <w:rFonts w:hint="eastAsia"/>
          <w:color w:val="auto"/>
          <w:highlight w:val="none"/>
        </w:rPr>
      </w:pPr>
    </w:p>
    <w:p w14:paraId="0E7980AB">
      <w:pPr>
        <w:pStyle w:val="33"/>
        <w:shd w:val="clear"/>
        <w:rPr>
          <w:rFonts w:hint="eastAsia"/>
          <w:color w:val="auto"/>
          <w:highlight w:val="none"/>
        </w:rPr>
      </w:pPr>
    </w:p>
    <w:p w14:paraId="5A09B930">
      <w:pPr>
        <w:pStyle w:val="33"/>
        <w:shd w:val="clear"/>
        <w:rPr>
          <w:rFonts w:hint="eastAsia"/>
          <w:color w:val="auto"/>
          <w:highlight w:val="none"/>
        </w:rPr>
      </w:pPr>
    </w:p>
    <w:p w14:paraId="3FB1F62E">
      <w:pPr>
        <w:pStyle w:val="33"/>
        <w:shd w:val="clear"/>
        <w:rPr>
          <w:rFonts w:hint="eastAsia"/>
          <w:color w:val="auto"/>
          <w:highlight w:val="none"/>
        </w:rPr>
      </w:pPr>
    </w:p>
    <w:p w14:paraId="43B020C2">
      <w:pPr>
        <w:pStyle w:val="33"/>
        <w:shd w:val="clear"/>
        <w:rPr>
          <w:rFonts w:hint="eastAsia"/>
          <w:color w:val="auto"/>
          <w:highlight w:val="none"/>
        </w:rPr>
      </w:pPr>
    </w:p>
    <w:p w14:paraId="04384634">
      <w:pPr>
        <w:pStyle w:val="59"/>
        <w:keepNext w:val="0"/>
        <w:keepLines w:val="0"/>
        <w:pageBreakBefore w:val="0"/>
        <w:widowControl/>
        <w:shd w:val="clear" w:color="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047D3EE">
      <w:pPr>
        <w:pStyle w:val="59"/>
        <w:keepNext w:val="0"/>
        <w:keepLines w:val="0"/>
        <w:pageBreakBefore w:val="0"/>
        <w:widowControl/>
        <w:shd w:val="clear" w:color="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FC23E9A">
      <w:pPr>
        <w:shd w:val="clea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579E32CA">
      <w:pPr>
        <w:shd w:val="clear"/>
        <w:autoSpaceDE w:val="0"/>
        <w:autoSpaceDN w:val="0"/>
        <w:adjustRightInd w:val="0"/>
        <w:rPr>
          <w:color w:val="auto"/>
          <w:sz w:val="21"/>
          <w:szCs w:val="24"/>
          <w:highlight w:val="none"/>
        </w:rPr>
      </w:pPr>
    </w:p>
    <w:p w14:paraId="2CC27B4B">
      <w:pPr>
        <w:shd w:val="clear"/>
        <w:autoSpaceDE w:val="0"/>
        <w:autoSpaceDN w:val="0"/>
        <w:adjustRightInd w:val="0"/>
        <w:rPr>
          <w:color w:val="auto"/>
          <w:sz w:val="21"/>
          <w:szCs w:val="24"/>
          <w:highlight w:val="none"/>
        </w:rPr>
      </w:pPr>
    </w:p>
    <w:p w14:paraId="63CA31F9">
      <w:pPr>
        <w:shd w:val="clear"/>
        <w:autoSpaceDE w:val="0"/>
        <w:autoSpaceDN w:val="0"/>
        <w:adjustRightInd w:val="0"/>
        <w:jc w:val="center"/>
        <w:rPr>
          <w:color w:val="auto"/>
          <w:sz w:val="21"/>
          <w:szCs w:val="24"/>
          <w:highlight w:val="none"/>
        </w:rPr>
      </w:pPr>
    </w:p>
    <w:p w14:paraId="0F2A8793">
      <w:pPr>
        <w:pStyle w:val="3"/>
        <w:shd w:val="clear"/>
        <w:bidi w:val="0"/>
        <w:spacing w:line="360" w:lineRule="auto"/>
        <w:rPr>
          <w:rFonts w:hint="eastAsia" w:ascii="黑体" w:hAnsi="黑体" w:eastAsia="黑体" w:cs="黑体"/>
          <w:color w:val="auto"/>
          <w:sz w:val="72"/>
          <w:szCs w:val="72"/>
          <w:highlight w:val="none"/>
        </w:rPr>
      </w:pPr>
      <w:bookmarkStart w:id="567" w:name="_Toc2518"/>
      <w:r>
        <w:rPr>
          <w:rFonts w:hint="eastAsia" w:ascii="黑体" w:hAnsi="黑体" w:eastAsia="黑体" w:cs="黑体"/>
          <w:color w:val="auto"/>
          <w:sz w:val="72"/>
          <w:szCs w:val="72"/>
          <w:highlight w:val="none"/>
          <w:lang w:val="en-US" w:eastAsia="zh-CN"/>
        </w:rPr>
        <w:t>响 应</w:t>
      </w:r>
      <w:r>
        <w:rPr>
          <w:rFonts w:hint="eastAsia" w:ascii="黑体" w:hAnsi="黑体" w:eastAsia="黑体" w:cs="黑体"/>
          <w:color w:val="auto"/>
          <w:sz w:val="72"/>
          <w:szCs w:val="72"/>
          <w:highlight w:val="none"/>
        </w:rPr>
        <w:t xml:space="preserve"> 文 件</w:t>
      </w:r>
      <w:bookmarkEnd w:id="567"/>
    </w:p>
    <w:p w14:paraId="383861DE">
      <w:pPr>
        <w:pStyle w:val="3"/>
        <w:shd w:val="clear"/>
        <w:bidi w:val="0"/>
        <w:spacing w:line="360" w:lineRule="auto"/>
        <w:rPr>
          <w:rFonts w:hint="eastAsia" w:ascii="黑体" w:hAnsi="黑体" w:eastAsia="黑体" w:cs="黑体"/>
          <w:color w:val="auto"/>
          <w:sz w:val="72"/>
          <w:szCs w:val="72"/>
          <w:highlight w:val="none"/>
          <w:lang w:val="en-US" w:eastAsia="zh-CN"/>
        </w:rPr>
      </w:pPr>
      <w:bookmarkStart w:id="568" w:name="_Toc9782"/>
      <w:r>
        <w:rPr>
          <w:rFonts w:hint="eastAsia" w:ascii="黑体" w:hAnsi="黑体" w:eastAsia="黑体" w:cs="黑体"/>
          <w:color w:val="auto"/>
          <w:sz w:val="72"/>
          <w:szCs w:val="72"/>
          <w:highlight w:val="none"/>
          <w:lang w:val="en-US" w:eastAsia="zh-CN"/>
        </w:rPr>
        <w:t>报价文件</w:t>
      </w:r>
      <w:bookmarkEnd w:id="568"/>
    </w:p>
    <w:p w14:paraId="798A956E">
      <w:pPr>
        <w:pStyle w:val="4"/>
        <w:shd w:val="clear"/>
        <w:rPr>
          <w:color w:val="auto"/>
          <w:sz w:val="21"/>
          <w:szCs w:val="21"/>
          <w:highlight w:val="none"/>
        </w:rPr>
      </w:pPr>
    </w:p>
    <w:p w14:paraId="24B6A268">
      <w:pPr>
        <w:shd w:val="clear"/>
        <w:rPr>
          <w:color w:val="auto"/>
          <w:sz w:val="21"/>
          <w:szCs w:val="21"/>
          <w:highlight w:val="none"/>
        </w:rPr>
      </w:pPr>
    </w:p>
    <w:p w14:paraId="3DC104B3">
      <w:pPr>
        <w:shd w:val="clear"/>
        <w:rPr>
          <w:color w:val="auto"/>
          <w:highlight w:val="none"/>
        </w:rPr>
      </w:pPr>
    </w:p>
    <w:p w14:paraId="74A7A117">
      <w:pPr>
        <w:shd w:val="clear"/>
        <w:autoSpaceDE w:val="0"/>
        <w:autoSpaceDN w:val="0"/>
        <w:adjustRightInd w:val="0"/>
        <w:rPr>
          <w:color w:val="auto"/>
          <w:sz w:val="21"/>
          <w:szCs w:val="21"/>
          <w:highlight w:val="none"/>
        </w:rPr>
      </w:pPr>
    </w:p>
    <w:p w14:paraId="6EE89269">
      <w:pPr>
        <w:shd w:val="clear"/>
        <w:autoSpaceDE w:val="0"/>
        <w:autoSpaceDN w:val="0"/>
        <w:adjustRightInd w:val="0"/>
        <w:rPr>
          <w:color w:val="auto"/>
          <w:sz w:val="21"/>
          <w:szCs w:val="21"/>
          <w:highlight w:val="none"/>
        </w:rPr>
      </w:pPr>
    </w:p>
    <w:p w14:paraId="6F475132">
      <w:pPr>
        <w:shd w:val="clea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173F70E">
      <w:pPr>
        <w:shd w:val="clea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1680F9">
      <w:pPr>
        <w:shd w:val="clea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val="en-US" w:eastAsia="zh-CN"/>
        </w:rPr>
        <w:t>供 应 商</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B6644C">
      <w:pPr>
        <w:shd w:val="clear"/>
        <w:ind w:left="840" w:firstLine="420"/>
        <w:rPr>
          <w:b/>
          <w:bCs/>
          <w:color w:val="auto"/>
          <w:sz w:val="28"/>
          <w:szCs w:val="28"/>
          <w:highlight w:val="none"/>
        </w:rPr>
      </w:pPr>
    </w:p>
    <w:p w14:paraId="17D47AB2">
      <w:pPr>
        <w:shd w:val="clear"/>
        <w:ind w:left="840" w:firstLine="420"/>
        <w:rPr>
          <w:b/>
          <w:bCs/>
          <w:color w:val="auto"/>
          <w:sz w:val="28"/>
          <w:szCs w:val="28"/>
          <w:highlight w:val="none"/>
        </w:rPr>
      </w:pPr>
    </w:p>
    <w:p w14:paraId="6C0FD82C">
      <w:pPr>
        <w:shd w:val="clear"/>
        <w:jc w:val="center"/>
        <w:rPr>
          <w:rFonts w:ascii="黑体" w:hAnsi="黑体" w:eastAsia="黑体"/>
          <w:color w:val="auto"/>
          <w:sz w:val="32"/>
          <w:szCs w:val="32"/>
          <w:highlight w:val="none"/>
        </w:rPr>
      </w:pPr>
      <w:r>
        <w:rPr>
          <w:rFonts w:hint="eastAsia" w:ascii="宋体" w:hAnsi="宋体" w:eastAsia="宋体" w:cs="宋体"/>
          <w:color w:val="auto"/>
          <w:sz w:val="32"/>
          <w:szCs w:val="32"/>
          <w:highlight w:val="none"/>
        </w:rPr>
        <w:t>年   月    日</w:t>
      </w:r>
    </w:p>
    <w:p w14:paraId="2B025C97">
      <w:pPr>
        <w:shd w:val="clear"/>
        <w:rPr>
          <w:color w:val="auto"/>
          <w:highlight w:val="none"/>
          <w:lang w:val="zh-CN"/>
        </w:rPr>
      </w:pPr>
      <w:r>
        <w:rPr>
          <w:color w:val="auto"/>
          <w:highlight w:val="none"/>
          <w:lang w:val="zh-CN"/>
        </w:rPr>
        <w:br w:type="page"/>
      </w:r>
    </w:p>
    <w:p w14:paraId="5A6B7717">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730DA0BC">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569" w:name="_Toc8562"/>
      <w:bookmarkStart w:id="570" w:name="_Toc16501"/>
      <w:r>
        <w:rPr>
          <w:rFonts w:hint="eastAsia" w:cstheme="majorBidi"/>
          <w:b/>
          <w:bCs/>
          <w:color w:val="auto"/>
          <w:kern w:val="2"/>
          <w:sz w:val="32"/>
          <w:szCs w:val="32"/>
          <w:highlight w:val="none"/>
          <w:lang w:val="en-US" w:eastAsia="zh-CN" w:bidi="ar-SA"/>
        </w:rPr>
        <w:t>一、报价一览表</w:t>
      </w:r>
      <w:bookmarkEnd w:id="569"/>
      <w:bookmarkEnd w:id="570"/>
    </w:p>
    <w:p w14:paraId="2AB3D72A">
      <w:pPr>
        <w:shd w:val="clear"/>
        <w:spacing w:line="300" w:lineRule="auto"/>
        <w:rPr>
          <w:rFonts w:cs="仿宋_GB2312"/>
          <w:color w:val="auto"/>
          <w:szCs w:val="24"/>
          <w:highlight w:val="none"/>
        </w:rPr>
      </w:pPr>
    </w:p>
    <w:p w14:paraId="2E702B28">
      <w:pPr>
        <w:shd w:val="clea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0D117C7C">
      <w:pPr>
        <w:shd w:val="clea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p>
    <w:tbl>
      <w:tblPr>
        <w:tblStyle w:val="27"/>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F2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8B46E6E">
            <w:pPr>
              <w:widowControl/>
              <w:shd w:val="clear"/>
              <w:autoSpaceDE w:val="0"/>
              <w:autoSpaceDN w:val="0"/>
              <w:jc w:val="center"/>
              <w:textAlignment w:val="bottom"/>
              <w:rPr>
                <w:color w:val="auto"/>
                <w:szCs w:val="21"/>
                <w:highlight w:val="none"/>
              </w:rPr>
            </w:pPr>
            <w:r>
              <w:rPr>
                <w:rFonts w:hint="eastAsia"/>
                <w:color w:val="auto"/>
                <w:szCs w:val="21"/>
                <w:highlight w:val="none"/>
              </w:rPr>
              <w:t>序号</w:t>
            </w:r>
          </w:p>
        </w:tc>
        <w:tc>
          <w:tcPr>
            <w:tcW w:w="2352" w:type="dxa"/>
            <w:vAlign w:val="center"/>
          </w:tcPr>
          <w:p w14:paraId="5D10FF2E">
            <w:pPr>
              <w:widowControl/>
              <w:shd w:val="clear"/>
              <w:autoSpaceDE w:val="0"/>
              <w:autoSpaceDN w:val="0"/>
              <w:ind w:left="851" w:hanging="851"/>
              <w:jc w:val="center"/>
              <w:textAlignment w:val="bottom"/>
              <w:rPr>
                <w:color w:val="auto"/>
                <w:szCs w:val="21"/>
                <w:highlight w:val="none"/>
              </w:rPr>
            </w:pPr>
            <w:r>
              <w:rPr>
                <w:rFonts w:hint="eastAsia"/>
                <w:color w:val="auto"/>
                <w:szCs w:val="21"/>
                <w:highlight w:val="none"/>
                <w:lang w:val="en-US" w:eastAsia="zh-CN"/>
              </w:rPr>
              <w:t>谈判</w:t>
            </w:r>
            <w:r>
              <w:rPr>
                <w:rFonts w:hint="eastAsia"/>
                <w:color w:val="auto"/>
                <w:szCs w:val="21"/>
                <w:highlight w:val="none"/>
              </w:rPr>
              <w:t>报价</w:t>
            </w:r>
          </w:p>
        </w:tc>
        <w:tc>
          <w:tcPr>
            <w:tcW w:w="2161" w:type="dxa"/>
            <w:vAlign w:val="center"/>
          </w:tcPr>
          <w:p w14:paraId="48CC1886">
            <w:pPr>
              <w:widowControl/>
              <w:shd w:val="clear"/>
              <w:autoSpaceDE w:val="0"/>
              <w:autoSpaceDN w:val="0"/>
              <w:ind w:left="851" w:hanging="851"/>
              <w:jc w:val="center"/>
              <w:textAlignment w:val="bottom"/>
              <w:rPr>
                <w:color w:val="auto"/>
                <w:szCs w:val="21"/>
                <w:highlight w:val="none"/>
              </w:rPr>
            </w:pPr>
            <w:r>
              <w:rPr>
                <w:rFonts w:hint="eastAsia"/>
                <w:color w:val="auto"/>
                <w:szCs w:val="21"/>
                <w:highlight w:val="none"/>
              </w:rPr>
              <w:t>交货期限</w:t>
            </w:r>
          </w:p>
        </w:tc>
        <w:tc>
          <w:tcPr>
            <w:tcW w:w="2611" w:type="dxa"/>
            <w:vAlign w:val="center"/>
          </w:tcPr>
          <w:p w14:paraId="620875ED">
            <w:pPr>
              <w:widowControl/>
              <w:shd w:val="clear"/>
              <w:autoSpaceDE w:val="0"/>
              <w:autoSpaceDN w:val="0"/>
              <w:jc w:val="center"/>
              <w:textAlignment w:val="bottom"/>
              <w:rPr>
                <w:color w:val="auto"/>
                <w:szCs w:val="21"/>
                <w:highlight w:val="none"/>
              </w:rPr>
            </w:pPr>
            <w:r>
              <w:rPr>
                <w:rFonts w:hint="eastAsia"/>
                <w:color w:val="auto"/>
                <w:szCs w:val="21"/>
                <w:highlight w:val="none"/>
              </w:rPr>
              <w:t>备注（如有）</w:t>
            </w:r>
          </w:p>
        </w:tc>
      </w:tr>
      <w:tr w14:paraId="1B09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73431128">
            <w:pPr>
              <w:shd w:val="clear"/>
              <w:jc w:val="center"/>
              <w:rPr>
                <w:color w:val="auto"/>
                <w:sz w:val="28"/>
                <w:highlight w:val="none"/>
              </w:rPr>
            </w:pPr>
          </w:p>
        </w:tc>
        <w:tc>
          <w:tcPr>
            <w:tcW w:w="2352" w:type="dxa"/>
            <w:vAlign w:val="center"/>
          </w:tcPr>
          <w:p w14:paraId="45A40F19">
            <w:pPr>
              <w:widowControl/>
              <w:shd w:val="clear"/>
              <w:autoSpaceDE w:val="0"/>
              <w:autoSpaceDN w:val="0"/>
              <w:spacing w:line="240" w:lineRule="auto"/>
              <w:ind w:left="851" w:hanging="851"/>
              <w:jc w:val="left"/>
              <w:textAlignment w:val="bottom"/>
              <w:rPr>
                <w:rFonts w:hint="eastAsia"/>
                <w:color w:val="auto"/>
                <w:szCs w:val="21"/>
                <w:highlight w:val="none"/>
                <w:lang w:val="en-US" w:eastAsia="zh-CN"/>
              </w:rPr>
            </w:pPr>
            <w:r>
              <w:rPr>
                <w:rFonts w:hint="eastAsia"/>
                <w:color w:val="auto"/>
                <w:szCs w:val="21"/>
                <w:highlight w:val="none"/>
                <w:lang w:val="en-US" w:eastAsia="zh-CN"/>
              </w:rPr>
              <w:t>小写：</w:t>
            </w:r>
          </w:p>
          <w:p w14:paraId="131FC705">
            <w:pPr>
              <w:shd w:val="clear"/>
              <w:jc w:val="left"/>
              <w:rPr>
                <w:color w:val="auto"/>
                <w:sz w:val="28"/>
                <w:highlight w:val="none"/>
              </w:rPr>
            </w:pPr>
            <w:r>
              <w:rPr>
                <w:rFonts w:hint="eastAsia"/>
                <w:color w:val="auto"/>
                <w:szCs w:val="21"/>
                <w:highlight w:val="none"/>
                <w:lang w:val="en-US" w:eastAsia="zh-CN"/>
              </w:rPr>
              <w:t>大写：</w:t>
            </w:r>
          </w:p>
        </w:tc>
        <w:tc>
          <w:tcPr>
            <w:tcW w:w="2161" w:type="dxa"/>
            <w:vAlign w:val="center"/>
          </w:tcPr>
          <w:p w14:paraId="3409D243">
            <w:pPr>
              <w:shd w:val="clear"/>
              <w:jc w:val="center"/>
              <w:rPr>
                <w:color w:val="auto"/>
                <w:sz w:val="28"/>
                <w:highlight w:val="none"/>
              </w:rPr>
            </w:pPr>
          </w:p>
        </w:tc>
        <w:tc>
          <w:tcPr>
            <w:tcW w:w="2611" w:type="dxa"/>
            <w:vAlign w:val="center"/>
          </w:tcPr>
          <w:p w14:paraId="35602B49">
            <w:pPr>
              <w:shd w:val="clear"/>
              <w:jc w:val="center"/>
              <w:rPr>
                <w:color w:val="auto"/>
                <w:sz w:val="28"/>
                <w:highlight w:val="none"/>
              </w:rPr>
            </w:pPr>
          </w:p>
        </w:tc>
      </w:tr>
    </w:tbl>
    <w:p w14:paraId="486E37D7">
      <w:pPr>
        <w:shd w:val="clear"/>
        <w:spacing w:line="300" w:lineRule="auto"/>
        <w:rPr>
          <w:rFonts w:ascii="Arial" w:hAnsi="Arial" w:cs="Arial"/>
          <w:color w:val="auto"/>
          <w:szCs w:val="21"/>
          <w:highlight w:val="none"/>
          <w:u w:val="single"/>
        </w:rPr>
      </w:pPr>
    </w:p>
    <w:p w14:paraId="0270EFB4">
      <w:pPr>
        <w:shd w:val="clear"/>
        <w:spacing w:line="300" w:lineRule="auto"/>
        <w:rPr>
          <w:rFonts w:ascii="Arial" w:hAnsi="Arial" w:cs="Arial"/>
          <w:color w:val="auto"/>
          <w:szCs w:val="21"/>
          <w:highlight w:val="none"/>
        </w:rPr>
      </w:pPr>
      <w:r>
        <w:rPr>
          <w:rFonts w:hint="eastAsia" w:ascii="Arial" w:hAnsi="Arial" w:cs="Arial"/>
          <w:color w:val="auto"/>
          <w:szCs w:val="21"/>
          <w:highlight w:val="none"/>
          <w:lang w:val="en-US" w:eastAsia="zh-CN"/>
        </w:rPr>
        <w:t>供应商</w:t>
      </w:r>
      <w:r>
        <w:rPr>
          <w:rFonts w:ascii="Arial" w:hAnsi="Arial" w:cs="Arial"/>
          <w:color w:val="auto"/>
          <w:szCs w:val="21"/>
          <w:highlight w:val="none"/>
        </w:rPr>
        <w:t>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w:t>
      </w:r>
      <w:r>
        <w:rPr>
          <w:rFonts w:hint="eastAsia" w:ascii="宋体" w:hAnsi="宋体" w:eastAsia="宋体" w:cs="宋体"/>
          <w:color w:val="auto"/>
          <w:kern w:val="0"/>
          <w:sz w:val="24"/>
          <w:szCs w:val="24"/>
          <w:highlight w:val="none"/>
          <w:lang w:eastAsia="zh-CN"/>
        </w:rPr>
        <w:t>章）</w:t>
      </w:r>
      <w:r>
        <w:rPr>
          <w:rFonts w:ascii="Arial" w:hAnsi="Arial" w:cs="Arial"/>
          <w:color w:val="auto"/>
          <w:szCs w:val="21"/>
          <w:highlight w:val="none"/>
        </w:rPr>
        <w:t>：</w:t>
      </w:r>
    </w:p>
    <w:p w14:paraId="6302F8A6">
      <w:pPr>
        <w:shd w:val="clea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722CC087">
      <w:pPr>
        <w:shd w:val="clear"/>
        <w:rPr>
          <w:rFonts w:cs="Arial"/>
          <w:color w:val="auto"/>
          <w:szCs w:val="24"/>
          <w:highlight w:val="none"/>
        </w:rPr>
      </w:pPr>
    </w:p>
    <w:p w14:paraId="21BB3A26">
      <w:pPr>
        <w:pStyle w:val="12"/>
        <w:shd w:val="clear"/>
        <w:rPr>
          <w:rFonts w:cs="Arial"/>
          <w:color w:val="auto"/>
          <w:szCs w:val="24"/>
          <w:highlight w:val="none"/>
        </w:rPr>
      </w:pPr>
    </w:p>
    <w:p w14:paraId="4C551945">
      <w:pPr>
        <w:pStyle w:val="12"/>
        <w:shd w:val="clear"/>
        <w:rPr>
          <w:rFonts w:cs="Arial"/>
          <w:color w:val="auto"/>
          <w:szCs w:val="24"/>
          <w:highlight w:val="none"/>
        </w:rPr>
      </w:pPr>
    </w:p>
    <w:p w14:paraId="09ACCEBB">
      <w:pPr>
        <w:pStyle w:val="12"/>
        <w:shd w:val="clear"/>
        <w:rPr>
          <w:rFonts w:cs="Arial"/>
          <w:color w:val="auto"/>
          <w:szCs w:val="24"/>
          <w:highlight w:val="none"/>
        </w:rPr>
      </w:pPr>
    </w:p>
    <w:p w14:paraId="54CAC625">
      <w:pPr>
        <w:pStyle w:val="12"/>
        <w:shd w:val="clear"/>
        <w:rPr>
          <w:rFonts w:cs="Arial"/>
          <w:color w:val="auto"/>
          <w:szCs w:val="24"/>
          <w:highlight w:val="none"/>
        </w:rPr>
      </w:pPr>
    </w:p>
    <w:p w14:paraId="5D119674">
      <w:pPr>
        <w:shd w:val="clea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1266F1C5">
      <w:pPr>
        <w:pStyle w:val="12"/>
        <w:shd w:val="clea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1.上述</w:t>
      </w:r>
      <w:r>
        <w:rPr>
          <w:rFonts w:hint="eastAsia" w:ascii="宋体" w:hAnsi="宋体" w:cs="宋体"/>
          <w:color w:val="auto"/>
          <w:sz w:val="21"/>
          <w:szCs w:val="21"/>
          <w:highlight w:val="none"/>
          <w:lang w:val="en-US" w:eastAsia="zh-CN"/>
        </w:rPr>
        <w:t>谈判</w:t>
      </w:r>
      <w:r>
        <w:rPr>
          <w:rFonts w:hint="eastAsia" w:ascii="宋体" w:hAnsi="宋体" w:eastAsia="宋体" w:cs="宋体"/>
          <w:color w:val="auto"/>
          <w:sz w:val="21"/>
          <w:szCs w:val="21"/>
          <w:highlight w:val="none"/>
          <w:lang w:val="en-US" w:eastAsia="zh-CN"/>
        </w:rPr>
        <w:t>报价内容根据</w:t>
      </w:r>
      <w:r>
        <w:rPr>
          <w:rFonts w:hint="eastAsia" w:ascii="宋体" w:hAnsi="宋体" w:cs="宋体"/>
          <w:color w:val="auto"/>
          <w:sz w:val="21"/>
          <w:szCs w:val="21"/>
          <w:highlight w:val="none"/>
          <w:lang w:val="en-US" w:eastAsia="zh-CN"/>
        </w:rPr>
        <w:t>谈判</w:t>
      </w:r>
      <w:r>
        <w:rPr>
          <w:rFonts w:hint="eastAsia" w:ascii="宋体" w:hAnsi="宋体" w:eastAsia="宋体" w:cs="宋体"/>
          <w:color w:val="auto"/>
          <w:sz w:val="21"/>
          <w:szCs w:val="21"/>
          <w:highlight w:val="none"/>
          <w:lang w:val="en-US" w:eastAsia="zh-CN"/>
        </w:rPr>
        <w:t>文件要求包括了货物及其配套的设计、采购、制造、检测、试验、运输、保险、仓储、税费以及现场落地、安装及安装耗损、调试、培训、技术服务（包括技术资料、图纸的提供）质保期内的售后服务保障等所有费用。</w:t>
      </w:r>
    </w:p>
    <w:p w14:paraId="26C7BD91">
      <w:pPr>
        <w:pStyle w:val="12"/>
        <w:shd w:val="clear"/>
        <w:spacing w:line="360" w:lineRule="auto"/>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2.特殊事项在备注中注明。</w:t>
      </w:r>
    </w:p>
    <w:p w14:paraId="56ADDAE7">
      <w:pPr>
        <w:pStyle w:val="12"/>
        <w:shd w:val="clea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3.表中大写与小写不一致的，以大写为准</w:t>
      </w:r>
      <w:r>
        <w:rPr>
          <w:rFonts w:hint="eastAsia" w:ascii="宋体" w:hAnsi="宋体" w:eastAsia="宋体" w:cs="宋体"/>
          <w:color w:val="auto"/>
          <w:sz w:val="21"/>
          <w:szCs w:val="21"/>
          <w:highlight w:val="none"/>
        </w:rPr>
        <w:t>。</w:t>
      </w:r>
    </w:p>
    <w:p w14:paraId="5C45EAC1">
      <w:pPr>
        <w:pStyle w:val="12"/>
        <w:shd w:val="clear"/>
        <w:ind w:firstLine="480" w:firstLineChars="200"/>
        <w:rPr>
          <w:rFonts w:hint="eastAsia" w:ascii="宋体" w:hAnsi="宋体" w:eastAsia="宋体" w:cs="宋体"/>
          <w:color w:val="auto"/>
          <w:sz w:val="24"/>
          <w:szCs w:val="24"/>
          <w:highlight w:val="none"/>
        </w:rPr>
      </w:pPr>
    </w:p>
    <w:p w14:paraId="584BFACD">
      <w:pPr>
        <w:pStyle w:val="12"/>
        <w:shd w:val="clear"/>
        <w:ind w:firstLine="480" w:firstLineChars="200"/>
        <w:rPr>
          <w:rFonts w:hint="eastAsia" w:ascii="宋体" w:hAnsi="宋体" w:eastAsia="宋体" w:cs="宋体"/>
          <w:color w:val="auto"/>
          <w:sz w:val="24"/>
          <w:szCs w:val="24"/>
          <w:highlight w:val="none"/>
        </w:rPr>
      </w:pPr>
    </w:p>
    <w:p w14:paraId="3426CDB6">
      <w:pPr>
        <w:pStyle w:val="12"/>
        <w:shd w:val="clear"/>
        <w:ind w:firstLine="480" w:firstLineChars="200"/>
        <w:rPr>
          <w:rFonts w:hint="eastAsia" w:ascii="宋体" w:hAnsi="宋体" w:eastAsia="宋体" w:cs="宋体"/>
          <w:color w:val="auto"/>
          <w:sz w:val="24"/>
          <w:szCs w:val="24"/>
          <w:highlight w:val="none"/>
        </w:rPr>
      </w:pPr>
    </w:p>
    <w:p w14:paraId="39260CE5">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sectPr>
          <w:headerReference r:id="rId12" w:type="default"/>
          <w:footerReference r:id="rId13" w:type="default"/>
          <w:pgSz w:w="11906" w:h="16838"/>
          <w:pgMar w:top="1440" w:right="1800" w:bottom="1440" w:left="1800" w:header="851" w:footer="992" w:gutter="0"/>
          <w:pgNumType w:fmt="numberInDash"/>
          <w:cols w:space="425" w:num="1"/>
          <w:docGrid w:type="lines" w:linePitch="312" w:charSpace="0"/>
        </w:sectPr>
      </w:pPr>
    </w:p>
    <w:p w14:paraId="7B2B178E">
      <w:pPr>
        <w:pStyle w:val="4"/>
        <w:keepNext/>
        <w:keepLines/>
        <w:pageBreakBefore w:val="0"/>
        <w:widowControl w:val="0"/>
        <w:numPr>
          <w:ilvl w:val="0"/>
          <w:numId w:val="0"/>
        </w:numPr>
        <w:shd w:val="clear"/>
        <w:kinsoku/>
        <w:wordWrap/>
        <w:overflowPunct/>
        <w:topLinePunct w:val="0"/>
        <w:autoSpaceDE/>
        <w:autoSpaceDN/>
        <w:bidi w:val="0"/>
        <w:adjustRightInd/>
        <w:snapToGrid/>
        <w:spacing w:before="0" w:after="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571" w:name="_Toc22648"/>
      <w:bookmarkStart w:id="572" w:name="_Toc26650"/>
      <w:r>
        <w:rPr>
          <w:rFonts w:hint="eastAsia" w:cstheme="majorBidi"/>
          <w:b/>
          <w:bCs/>
          <w:color w:val="auto"/>
          <w:kern w:val="2"/>
          <w:sz w:val="32"/>
          <w:szCs w:val="32"/>
          <w:highlight w:val="none"/>
          <w:lang w:val="en-US" w:eastAsia="zh-CN" w:bidi="ar-SA"/>
        </w:rPr>
        <w:t>二、分项报价表</w:t>
      </w:r>
      <w:bookmarkEnd w:id="571"/>
      <w:bookmarkEnd w:id="572"/>
    </w:p>
    <w:p w14:paraId="36B29882">
      <w:pPr>
        <w:shd w:val="clea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r>
        <w:rPr>
          <w:rFonts w:hint="eastAsia"/>
          <w:b w:val="0"/>
          <w:bCs/>
          <w:color w:val="auto"/>
          <w:szCs w:val="21"/>
          <w:highlight w:val="none"/>
          <w:u w:val="single"/>
          <w:lang w:val="zh-CN"/>
        </w:rPr>
        <w:t xml:space="preserve">   </w:t>
      </w:r>
    </w:p>
    <w:p w14:paraId="48D45A94">
      <w:pPr>
        <w:shd w:val="clear"/>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b w:val="0"/>
          <w:bCs/>
          <w:color w:val="auto"/>
          <w:szCs w:val="21"/>
          <w:highlight w:val="none"/>
          <w:u w:val="single"/>
          <w:lang w:val="zh-CN"/>
        </w:rPr>
        <w:t xml:space="preserve">                     </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
        <w:gridCol w:w="609"/>
        <w:gridCol w:w="560"/>
        <w:gridCol w:w="571"/>
        <w:gridCol w:w="639"/>
        <w:gridCol w:w="566"/>
        <w:gridCol w:w="662"/>
        <w:gridCol w:w="560"/>
        <w:gridCol w:w="536"/>
        <w:gridCol w:w="820"/>
        <w:gridCol w:w="954"/>
        <w:gridCol w:w="548"/>
        <w:gridCol w:w="967"/>
      </w:tblGrid>
      <w:tr w14:paraId="3310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D51E333">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ascii="宋体" w:hAnsi="宋体" w:eastAsia="宋体" w:cs="宋体"/>
                <w:b w:val="0"/>
                <w:bCs/>
                <w:color w:val="auto"/>
                <w:kern w:val="2"/>
                <w:sz w:val="24"/>
                <w:szCs w:val="24"/>
                <w:highlight w:val="none"/>
              </w:rPr>
              <w:t>序号</w:t>
            </w:r>
          </w:p>
        </w:tc>
        <w:tc>
          <w:tcPr>
            <w:tcW w:w="1236" w:type="dxa"/>
            <w:vAlign w:val="center"/>
          </w:tcPr>
          <w:p w14:paraId="31DAB90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cs="宋体"/>
                <w:b w:val="0"/>
                <w:bCs/>
                <w:color w:val="auto"/>
                <w:sz w:val="24"/>
                <w:szCs w:val="24"/>
                <w:highlight w:val="none"/>
                <w:lang w:val="en-US" w:eastAsia="zh-CN"/>
              </w:rPr>
              <w:t>分项</w:t>
            </w:r>
            <w:r>
              <w:rPr>
                <w:rFonts w:hint="eastAsia" w:ascii="宋体" w:hAnsi="宋体" w:eastAsia="宋体" w:cs="宋体"/>
                <w:b w:val="0"/>
                <w:bCs/>
                <w:color w:val="auto"/>
                <w:sz w:val="24"/>
                <w:szCs w:val="24"/>
                <w:highlight w:val="none"/>
              </w:rPr>
              <w:t>名称</w:t>
            </w:r>
          </w:p>
        </w:tc>
        <w:tc>
          <w:tcPr>
            <w:tcW w:w="986" w:type="dxa"/>
            <w:vAlign w:val="center"/>
          </w:tcPr>
          <w:p w14:paraId="1FEEAE5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cs="宋体"/>
                <w:b w:val="0"/>
                <w:bCs/>
                <w:color w:val="auto"/>
                <w:sz w:val="24"/>
                <w:szCs w:val="24"/>
                <w:highlight w:val="none"/>
                <w:lang w:val="en-US" w:eastAsia="zh-CN"/>
              </w:rPr>
              <w:t>制造商</w:t>
            </w:r>
          </w:p>
        </w:tc>
        <w:tc>
          <w:tcPr>
            <w:tcW w:w="1040" w:type="dxa"/>
            <w:vAlign w:val="center"/>
          </w:tcPr>
          <w:p w14:paraId="264DEDBD">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cs="宋体"/>
                <w:b w:val="0"/>
                <w:bCs/>
                <w:color w:val="auto"/>
                <w:sz w:val="24"/>
                <w:szCs w:val="24"/>
                <w:highlight w:val="none"/>
                <w:lang w:val="en-US" w:eastAsia="zh-CN"/>
              </w:rPr>
              <w:t>产地/国别</w:t>
            </w:r>
          </w:p>
        </w:tc>
        <w:tc>
          <w:tcPr>
            <w:tcW w:w="1383" w:type="dxa"/>
            <w:vAlign w:val="center"/>
          </w:tcPr>
          <w:p w14:paraId="64AC8BC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val="en-US" w:eastAsia="zh-CN"/>
              </w:rPr>
              <w:t>制造商</w:t>
            </w:r>
          </w:p>
          <w:p w14:paraId="09B31A80">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ascii="宋体" w:hAnsi="宋体" w:eastAsia="宋体" w:cs="宋体"/>
                <w:b w:val="0"/>
                <w:bCs/>
                <w:color w:val="auto"/>
                <w:sz w:val="24"/>
                <w:szCs w:val="24"/>
                <w:highlight w:val="none"/>
                <w:lang w:val="en-US" w:eastAsia="zh-CN"/>
              </w:rPr>
              <w:t>统一社会信用代码</w:t>
            </w:r>
          </w:p>
        </w:tc>
        <w:tc>
          <w:tcPr>
            <w:tcW w:w="1012" w:type="dxa"/>
            <w:vAlign w:val="center"/>
          </w:tcPr>
          <w:p w14:paraId="7A390D4A">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ascii="宋体" w:hAnsi="宋体" w:eastAsia="宋体" w:cs="宋体"/>
                <w:b w:val="0"/>
                <w:bCs/>
                <w:color w:val="auto"/>
                <w:sz w:val="24"/>
                <w:szCs w:val="24"/>
                <w:highlight w:val="none"/>
                <w:lang w:val="en-US" w:eastAsia="zh-CN"/>
              </w:rPr>
              <w:t>制造商规模</w:t>
            </w:r>
          </w:p>
        </w:tc>
        <w:tc>
          <w:tcPr>
            <w:tcW w:w="1500" w:type="dxa"/>
            <w:vAlign w:val="center"/>
          </w:tcPr>
          <w:p w14:paraId="3A9B2DE2">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cs="宋体"/>
                <w:b w:val="0"/>
                <w:bCs/>
                <w:color w:val="auto"/>
                <w:sz w:val="24"/>
                <w:szCs w:val="24"/>
                <w:highlight w:val="none"/>
                <w:lang w:val="en-US" w:eastAsia="zh-CN"/>
              </w:rPr>
              <w:t>制造商实际控制人性别</w:t>
            </w:r>
          </w:p>
        </w:tc>
        <w:tc>
          <w:tcPr>
            <w:tcW w:w="985" w:type="dxa"/>
            <w:vAlign w:val="center"/>
          </w:tcPr>
          <w:p w14:paraId="37BD30CC">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cs="宋体"/>
                <w:b w:val="0"/>
                <w:bCs/>
                <w:color w:val="auto"/>
                <w:sz w:val="24"/>
                <w:szCs w:val="24"/>
                <w:highlight w:val="none"/>
                <w:lang w:val="en-US" w:eastAsia="zh-CN"/>
              </w:rPr>
              <w:t>外商投资类型</w:t>
            </w:r>
          </w:p>
        </w:tc>
        <w:tc>
          <w:tcPr>
            <w:tcW w:w="863" w:type="dxa"/>
            <w:vAlign w:val="center"/>
          </w:tcPr>
          <w:p w14:paraId="60D081D1">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ascii="宋体" w:hAnsi="宋体" w:eastAsia="宋体" w:cs="宋体"/>
                <w:b w:val="0"/>
                <w:bCs/>
                <w:color w:val="auto"/>
                <w:sz w:val="24"/>
                <w:szCs w:val="24"/>
                <w:highlight w:val="none"/>
              </w:rPr>
              <w:t>品牌</w:t>
            </w:r>
          </w:p>
        </w:tc>
        <w:tc>
          <w:tcPr>
            <w:tcW w:w="1324" w:type="dxa"/>
            <w:vAlign w:val="center"/>
          </w:tcPr>
          <w:p w14:paraId="6B3AFBFE">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ascii="宋体" w:hAnsi="宋体" w:eastAsia="宋体" w:cs="宋体"/>
                <w:b w:val="0"/>
                <w:bCs/>
                <w:color w:val="auto"/>
                <w:sz w:val="24"/>
                <w:szCs w:val="24"/>
                <w:highlight w:val="none"/>
                <w:lang w:val="en-US" w:eastAsia="zh-CN"/>
              </w:rPr>
              <w:t>规格</w:t>
            </w:r>
            <w:r>
              <w:rPr>
                <w:rFonts w:hint="eastAsia" w:cs="宋体"/>
                <w:b w:val="0"/>
                <w:bCs/>
                <w:color w:val="auto"/>
                <w:sz w:val="24"/>
                <w:szCs w:val="24"/>
                <w:highlight w:val="none"/>
                <w:lang w:val="en-US" w:eastAsia="zh-CN"/>
              </w:rPr>
              <w:t>、</w:t>
            </w:r>
            <w:r>
              <w:rPr>
                <w:rFonts w:hint="eastAsia" w:ascii="宋体" w:hAnsi="宋体" w:eastAsia="宋体" w:cs="宋体"/>
                <w:b w:val="0"/>
                <w:bCs/>
                <w:color w:val="auto"/>
                <w:sz w:val="24"/>
                <w:szCs w:val="24"/>
                <w:highlight w:val="none"/>
              </w:rPr>
              <w:t>型号</w:t>
            </w:r>
          </w:p>
        </w:tc>
        <w:tc>
          <w:tcPr>
            <w:tcW w:w="1026" w:type="dxa"/>
            <w:vAlign w:val="center"/>
          </w:tcPr>
          <w:p w14:paraId="45014B84">
            <w:pPr>
              <w:shd w:val="clear"/>
              <w:spacing w:line="240" w:lineRule="auto"/>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单价</w:t>
            </w:r>
          </w:p>
          <w:p w14:paraId="145DF2E9">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ascii="宋体" w:hAnsi="宋体" w:eastAsia="宋体" w:cs="宋体"/>
                <w:b w:val="0"/>
                <w:bCs/>
                <w:color w:val="auto"/>
                <w:sz w:val="24"/>
                <w:szCs w:val="24"/>
                <w:highlight w:val="none"/>
              </w:rPr>
              <w:t>（元）</w:t>
            </w:r>
          </w:p>
        </w:tc>
        <w:tc>
          <w:tcPr>
            <w:tcW w:w="923" w:type="dxa"/>
            <w:vAlign w:val="center"/>
          </w:tcPr>
          <w:p w14:paraId="3BCEDFCF">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ascii="宋体" w:hAnsi="宋体" w:eastAsia="宋体" w:cs="宋体"/>
                <w:b w:val="0"/>
                <w:bCs/>
                <w:color w:val="auto"/>
                <w:sz w:val="24"/>
                <w:szCs w:val="24"/>
                <w:highlight w:val="none"/>
              </w:rPr>
              <w:t>数量</w:t>
            </w:r>
          </w:p>
        </w:tc>
        <w:tc>
          <w:tcPr>
            <w:tcW w:w="1091" w:type="dxa"/>
            <w:vAlign w:val="center"/>
          </w:tcPr>
          <w:p w14:paraId="577D0E39">
            <w:pPr>
              <w:shd w:val="clear"/>
              <w:spacing w:line="240" w:lineRule="auto"/>
              <w:jc w:val="center"/>
              <w:rPr>
                <w:rFonts w:hint="default" w:ascii="宋体" w:hAnsi="宋体" w:eastAsia="宋体" w:cs="宋体"/>
                <w:b w:val="0"/>
                <w:bCs/>
                <w:color w:val="auto"/>
                <w:sz w:val="24"/>
                <w:szCs w:val="24"/>
                <w:highlight w:val="none"/>
                <w:lang w:val="en-US" w:eastAsia="zh-CN"/>
              </w:rPr>
            </w:pPr>
            <w:r>
              <w:rPr>
                <w:rFonts w:hint="eastAsia" w:cs="宋体"/>
                <w:b w:val="0"/>
                <w:bCs/>
                <w:color w:val="auto"/>
                <w:sz w:val="24"/>
                <w:szCs w:val="24"/>
                <w:highlight w:val="none"/>
                <w:lang w:val="en-US" w:eastAsia="zh-CN"/>
              </w:rPr>
              <w:t>合价</w:t>
            </w:r>
          </w:p>
          <w:p w14:paraId="2EC37A28">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b w:val="0"/>
                <w:bCs/>
                <w:color w:val="auto"/>
                <w:szCs w:val="21"/>
                <w:highlight w:val="none"/>
                <w:u w:val="none"/>
                <w:vertAlign w:val="baseline"/>
                <w:lang w:val="zh-CN"/>
              </w:rPr>
            </w:pPr>
            <w:r>
              <w:rPr>
                <w:rFonts w:hint="eastAsia" w:ascii="宋体" w:hAnsi="宋体" w:eastAsia="宋体" w:cs="宋体"/>
                <w:b w:val="0"/>
                <w:bCs/>
                <w:color w:val="auto"/>
                <w:sz w:val="24"/>
                <w:szCs w:val="24"/>
                <w:highlight w:val="none"/>
              </w:rPr>
              <w:t>（元）</w:t>
            </w:r>
          </w:p>
        </w:tc>
      </w:tr>
      <w:tr w14:paraId="3DDD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6007496">
            <w:pPr>
              <w:shd w:val="clear"/>
              <w:jc w:val="center"/>
              <w:rPr>
                <w:rFonts w:hint="eastAsia" w:eastAsia="宋体"/>
                <w:b w:val="0"/>
                <w:bCs/>
                <w:color w:val="auto"/>
                <w:szCs w:val="21"/>
                <w:highlight w:val="none"/>
                <w:u w:val="none"/>
                <w:vertAlign w:val="baseline"/>
                <w:lang w:val="en-US" w:eastAsia="zh-CN"/>
              </w:rPr>
            </w:pPr>
            <w:r>
              <w:rPr>
                <w:rFonts w:hint="eastAsia"/>
                <w:b w:val="0"/>
                <w:bCs/>
                <w:color w:val="auto"/>
                <w:szCs w:val="21"/>
                <w:highlight w:val="none"/>
                <w:u w:val="none"/>
                <w:vertAlign w:val="baseline"/>
                <w:lang w:val="en-US" w:eastAsia="zh-CN"/>
              </w:rPr>
              <w:t>1</w:t>
            </w:r>
          </w:p>
        </w:tc>
        <w:tc>
          <w:tcPr>
            <w:tcW w:w="1236" w:type="dxa"/>
            <w:vAlign w:val="center"/>
          </w:tcPr>
          <w:p w14:paraId="5185A0F8">
            <w:pPr>
              <w:shd w:val="clear"/>
              <w:jc w:val="center"/>
              <w:rPr>
                <w:rFonts w:hint="eastAsia"/>
                <w:b w:val="0"/>
                <w:bCs/>
                <w:color w:val="auto"/>
                <w:szCs w:val="21"/>
                <w:highlight w:val="none"/>
                <w:u w:val="none"/>
                <w:vertAlign w:val="baseline"/>
                <w:lang w:val="zh-CN"/>
              </w:rPr>
            </w:pPr>
          </w:p>
        </w:tc>
        <w:tc>
          <w:tcPr>
            <w:tcW w:w="986" w:type="dxa"/>
            <w:vAlign w:val="center"/>
          </w:tcPr>
          <w:p w14:paraId="440761B0">
            <w:pPr>
              <w:shd w:val="clear"/>
              <w:jc w:val="center"/>
              <w:rPr>
                <w:rFonts w:hint="eastAsia"/>
                <w:b w:val="0"/>
                <w:bCs/>
                <w:color w:val="auto"/>
                <w:szCs w:val="21"/>
                <w:highlight w:val="none"/>
                <w:u w:val="none"/>
                <w:vertAlign w:val="baseline"/>
                <w:lang w:val="zh-CN"/>
              </w:rPr>
            </w:pPr>
          </w:p>
        </w:tc>
        <w:tc>
          <w:tcPr>
            <w:tcW w:w="1040" w:type="dxa"/>
            <w:vAlign w:val="center"/>
          </w:tcPr>
          <w:p w14:paraId="2042EBA7">
            <w:pPr>
              <w:shd w:val="clear"/>
              <w:jc w:val="center"/>
              <w:rPr>
                <w:rFonts w:hint="eastAsia"/>
                <w:b w:val="0"/>
                <w:bCs/>
                <w:color w:val="auto"/>
                <w:szCs w:val="21"/>
                <w:highlight w:val="none"/>
                <w:u w:val="none"/>
                <w:vertAlign w:val="baseline"/>
                <w:lang w:val="zh-CN"/>
              </w:rPr>
            </w:pPr>
          </w:p>
        </w:tc>
        <w:tc>
          <w:tcPr>
            <w:tcW w:w="1383" w:type="dxa"/>
            <w:vAlign w:val="center"/>
          </w:tcPr>
          <w:p w14:paraId="74B97F46">
            <w:pPr>
              <w:shd w:val="clear"/>
              <w:jc w:val="center"/>
              <w:rPr>
                <w:rFonts w:hint="eastAsia"/>
                <w:b w:val="0"/>
                <w:bCs/>
                <w:color w:val="auto"/>
                <w:szCs w:val="21"/>
                <w:highlight w:val="none"/>
                <w:u w:val="none"/>
                <w:vertAlign w:val="baseline"/>
                <w:lang w:val="zh-CN"/>
              </w:rPr>
            </w:pPr>
          </w:p>
        </w:tc>
        <w:tc>
          <w:tcPr>
            <w:tcW w:w="1012" w:type="dxa"/>
            <w:vAlign w:val="center"/>
          </w:tcPr>
          <w:p w14:paraId="339AD079">
            <w:pPr>
              <w:shd w:val="clear"/>
              <w:jc w:val="center"/>
              <w:rPr>
                <w:rFonts w:hint="eastAsia"/>
                <w:b w:val="0"/>
                <w:bCs/>
                <w:color w:val="auto"/>
                <w:szCs w:val="21"/>
                <w:highlight w:val="none"/>
                <w:u w:val="none"/>
                <w:vertAlign w:val="baseline"/>
                <w:lang w:val="zh-CN"/>
              </w:rPr>
            </w:pPr>
          </w:p>
        </w:tc>
        <w:tc>
          <w:tcPr>
            <w:tcW w:w="1500" w:type="dxa"/>
            <w:vAlign w:val="center"/>
          </w:tcPr>
          <w:p w14:paraId="0CB6EDE3">
            <w:pPr>
              <w:shd w:val="clear"/>
              <w:jc w:val="center"/>
              <w:rPr>
                <w:rFonts w:hint="eastAsia"/>
                <w:b w:val="0"/>
                <w:bCs/>
                <w:color w:val="auto"/>
                <w:szCs w:val="21"/>
                <w:highlight w:val="none"/>
                <w:u w:val="none"/>
                <w:vertAlign w:val="baseline"/>
                <w:lang w:val="zh-CN"/>
              </w:rPr>
            </w:pPr>
          </w:p>
        </w:tc>
        <w:tc>
          <w:tcPr>
            <w:tcW w:w="985" w:type="dxa"/>
            <w:vAlign w:val="center"/>
          </w:tcPr>
          <w:p w14:paraId="2B5545C8">
            <w:pPr>
              <w:shd w:val="clear"/>
              <w:jc w:val="center"/>
              <w:rPr>
                <w:rFonts w:hint="eastAsia"/>
                <w:b w:val="0"/>
                <w:bCs/>
                <w:color w:val="auto"/>
                <w:szCs w:val="21"/>
                <w:highlight w:val="none"/>
                <w:u w:val="none"/>
                <w:vertAlign w:val="baseline"/>
                <w:lang w:val="zh-CN"/>
              </w:rPr>
            </w:pPr>
          </w:p>
        </w:tc>
        <w:tc>
          <w:tcPr>
            <w:tcW w:w="863" w:type="dxa"/>
            <w:vAlign w:val="center"/>
          </w:tcPr>
          <w:p w14:paraId="58D4443B">
            <w:pPr>
              <w:shd w:val="clear"/>
              <w:jc w:val="center"/>
              <w:rPr>
                <w:rFonts w:hint="eastAsia"/>
                <w:b w:val="0"/>
                <w:bCs/>
                <w:color w:val="auto"/>
                <w:szCs w:val="21"/>
                <w:highlight w:val="none"/>
                <w:u w:val="none"/>
                <w:vertAlign w:val="baseline"/>
                <w:lang w:val="zh-CN"/>
              </w:rPr>
            </w:pPr>
          </w:p>
        </w:tc>
        <w:tc>
          <w:tcPr>
            <w:tcW w:w="1324" w:type="dxa"/>
            <w:vAlign w:val="center"/>
          </w:tcPr>
          <w:p w14:paraId="38890D30">
            <w:pPr>
              <w:shd w:val="clear"/>
              <w:jc w:val="center"/>
              <w:rPr>
                <w:rFonts w:hint="eastAsia"/>
                <w:b w:val="0"/>
                <w:bCs/>
                <w:color w:val="auto"/>
                <w:szCs w:val="21"/>
                <w:highlight w:val="none"/>
                <w:u w:val="none"/>
                <w:vertAlign w:val="baseline"/>
                <w:lang w:val="zh-CN"/>
              </w:rPr>
            </w:pPr>
          </w:p>
        </w:tc>
        <w:tc>
          <w:tcPr>
            <w:tcW w:w="1026" w:type="dxa"/>
            <w:vAlign w:val="center"/>
          </w:tcPr>
          <w:p w14:paraId="50753003">
            <w:pPr>
              <w:shd w:val="clear"/>
              <w:jc w:val="center"/>
              <w:rPr>
                <w:rFonts w:hint="eastAsia"/>
                <w:b w:val="0"/>
                <w:bCs/>
                <w:color w:val="auto"/>
                <w:szCs w:val="21"/>
                <w:highlight w:val="none"/>
                <w:u w:val="none"/>
                <w:vertAlign w:val="baseline"/>
                <w:lang w:val="zh-CN"/>
              </w:rPr>
            </w:pPr>
          </w:p>
        </w:tc>
        <w:tc>
          <w:tcPr>
            <w:tcW w:w="923" w:type="dxa"/>
            <w:vAlign w:val="center"/>
          </w:tcPr>
          <w:p w14:paraId="722E72FF">
            <w:pPr>
              <w:shd w:val="clear"/>
              <w:jc w:val="center"/>
              <w:rPr>
                <w:rFonts w:hint="eastAsia"/>
                <w:b w:val="0"/>
                <w:bCs/>
                <w:color w:val="auto"/>
                <w:szCs w:val="21"/>
                <w:highlight w:val="none"/>
                <w:u w:val="none"/>
                <w:vertAlign w:val="baseline"/>
                <w:lang w:val="zh-CN"/>
              </w:rPr>
            </w:pPr>
          </w:p>
        </w:tc>
        <w:tc>
          <w:tcPr>
            <w:tcW w:w="1091" w:type="dxa"/>
            <w:vAlign w:val="center"/>
          </w:tcPr>
          <w:p w14:paraId="1F020DC5">
            <w:pPr>
              <w:shd w:val="clear"/>
              <w:jc w:val="center"/>
              <w:rPr>
                <w:rFonts w:hint="eastAsia"/>
                <w:b w:val="0"/>
                <w:bCs/>
                <w:color w:val="auto"/>
                <w:szCs w:val="21"/>
                <w:highlight w:val="none"/>
                <w:u w:val="none"/>
                <w:vertAlign w:val="baseline"/>
                <w:lang w:val="zh-CN"/>
              </w:rPr>
            </w:pPr>
          </w:p>
        </w:tc>
      </w:tr>
      <w:tr w14:paraId="327B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DA2FC9F">
            <w:pPr>
              <w:shd w:val="clear"/>
              <w:jc w:val="center"/>
              <w:rPr>
                <w:rFonts w:hint="eastAsia" w:eastAsia="宋体"/>
                <w:b w:val="0"/>
                <w:bCs/>
                <w:color w:val="auto"/>
                <w:szCs w:val="21"/>
                <w:highlight w:val="none"/>
                <w:u w:val="none"/>
                <w:vertAlign w:val="baseline"/>
                <w:lang w:val="en-US" w:eastAsia="zh-CN"/>
              </w:rPr>
            </w:pPr>
            <w:r>
              <w:rPr>
                <w:rFonts w:hint="eastAsia"/>
                <w:b w:val="0"/>
                <w:bCs/>
                <w:color w:val="auto"/>
                <w:szCs w:val="21"/>
                <w:highlight w:val="none"/>
                <w:u w:val="none"/>
                <w:vertAlign w:val="baseline"/>
                <w:lang w:val="en-US" w:eastAsia="zh-CN"/>
              </w:rPr>
              <w:t>2</w:t>
            </w:r>
          </w:p>
        </w:tc>
        <w:tc>
          <w:tcPr>
            <w:tcW w:w="1236" w:type="dxa"/>
            <w:vAlign w:val="center"/>
          </w:tcPr>
          <w:p w14:paraId="022E3F12">
            <w:pPr>
              <w:shd w:val="clear"/>
              <w:jc w:val="center"/>
              <w:rPr>
                <w:rFonts w:hint="eastAsia"/>
                <w:b w:val="0"/>
                <w:bCs/>
                <w:color w:val="auto"/>
                <w:szCs w:val="21"/>
                <w:highlight w:val="none"/>
                <w:u w:val="none"/>
                <w:vertAlign w:val="baseline"/>
                <w:lang w:val="zh-CN"/>
              </w:rPr>
            </w:pPr>
          </w:p>
        </w:tc>
        <w:tc>
          <w:tcPr>
            <w:tcW w:w="986" w:type="dxa"/>
            <w:vAlign w:val="center"/>
          </w:tcPr>
          <w:p w14:paraId="3FFF5518">
            <w:pPr>
              <w:shd w:val="clear"/>
              <w:jc w:val="center"/>
              <w:rPr>
                <w:rFonts w:hint="eastAsia"/>
                <w:b w:val="0"/>
                <w:bCs/>
                <w:color w:val="auto"/>
                <w:szCs w:val="21"/>
                <w:highlight w:val="none"/>
                <w:u w:val="none"/>
                <w:vertAlign w:val="baseline"/>
                <w:lang w:val="zh-CN"/>
              </w:rPr>
            </w:pPr>
          </w:p>
        </w:tc>
        <w:tc>
          <w:tcPr>
            <w:tcW w:w="1040" w:type="dxa"/>
            <w:vAlign w:val="center"/>
          </w:tcPr>
          <w:p w14:paraId="0C93B94B">
            <w:pPr>
              <w:shd w:val="clear"/>
              <w:jc w:val="center"/>
              <w:rPr>
                <w:rFonts w:hint="eastAsia"/>
                <w:b w:val="0"/>
                <w:bCs/>
                <w:color w:val="auto"/>
                <w:szCs w:val="21"/>
                <w:highlight w:val="none"/>
                <w:u w:val="none"/>
                <w:vertAlign w:val="baseline"/>
                <w:lang w:val="zh-CN"/>
              </w:rPr>
            </w:pPr>
          </w:p>
        </w:tc>
        <w:tc>
          <w:tcPr>
            <w:tcW w:w="1383" w:type="dxa"/>
            <w:vAlign w:val="center"/>
          </w:tcPr>
          <w:p w14:paraId="43F08D28">
            <w:pPr>
              <w:shd w:val="clear"/>
              <w:jc w:val="center"/>
              <w:rPr>
                <w:rFonts w:hint="eastAsia"/>
                <w:b w:val="0"/>
                <w:bCs/>
                <w:color w:val="auto"/>
                <w:szCs w:val="21"/>
                <w:highlight w:val="none"/>
                <w:u w:val="none"/>
                <w:vertAlign w:val="baseline"/>
                <w:lang w:val="zh-CN"/>
              </w:rPr>
            </w:pPr>
          </w:p>
        </w:tc>
        <w:tc>
          <w:tcPr>
            <w:tcW w:w="1012" w:type="dxa"/>
            <w:vAlign w:val="center"/>
          </w:tcPr>
          <w:p w14:paraId="4F7A043B">
            <w:pPr>
              <w:shd w:val="clear"/>
              <w:jc w:val="center"/>
              <w:rPr>
                <w:rFonts w:hint="eastAsia"/>
                <w:b w:val="0"/>
                <w:bCs/>
                <w:color w:val="auto"/>
                <w:szCs w:val="21"/>
                <w:highlight w:val="none"/>
                <w:u w:val="none"/>
                <w:vertAlign w:val="baseline"/>
                <w:lang w:val="zh-CN"/>
              </w:rPr>
            </w:pPr>
          </w:p>
        </w:tc>
        <w:tc>
          <w:tcPr>
            <w:tcW w:w="1500" w:type="dxa"/>
            <w:vAlign w:val="center"/>
          </w:tcPr>
          <w:p w14:paraId="2BA9D216">
            <w:pPr>
              <w:shd w:val="clear"/>
              <w:jc w:val="center"/>
              <w:rPr>
                <w:rFonts w:hint="eastAsia"/>
                <w:b w:val="0"/>
                <w:bCs/>
                <w:color w:val="auto"/>
                <w:szCs w:val="21"/>
                <w:highlight w:val="none"/>
                <w:u w:val="none"/>
                <w:vertAlign w:val="baseline"/>
                <w:lang w:val="zh-CN"/>
              </w:rPr>
            </w:pPr>
          </w:p>
        </w:tc>
        <w:tc>
          <w:tcPr>
            <w:tcW w:w="985" w:type="dxa"/>
            <w:vAlign w:val="center"/>
          </w:tcPr>
          <w:p w14:paraId="0E652E37">
            <w:pPr>
              <w:shd w:val="clear"/>
              <w:jc w:val="center"/>
              <w:rPr>
                <w:rFonts w:hint="eastAsia"/>
                <w:b w:val="0"/>
                <w:bCs/>
                <w:color w:val="auto"/>
                <w:szCs w:val="21"/>
                <w:highlight w:val="none"/>
                <w:u w:val="none"/>
                <w:vertAlign w:val="baseline"/>
                <w:lang w:val="zh-CN"/>
              </w:rPr>
            </w:pPr>
          </w:p>
        </w:tc>
        <w:tc>
          <w:tcPr>
            <w:tcW w:w="863" w:type="dxa"/>
            <w:vAlign w:val="center"/>
          </w:tcPr>
          <w:p w14:paraId="22025CB6">
            <w:pPr>
              <w:shd w:val="clear"/>
              <w:jc w:val="center"/>
              <w:rPr>
                <w:rFonts w:hint="eastAsia"/>
                <w:b w:val="0"/>
                <w:bCs/>
                <w:color w:val="auto"/>
                <w:szCs w:val="21"/>
                <w:highlight w:val="none"/>
                <w:u w:val="none"/>
                <w:vertAlign w:val="baseline"/>
                <w:lang w:val="zh-CN"/>
              </w:rPr>
            </w:pPr>
          </w:p>
        </w:tc>
        <w:tc>
          <w:tcPr>
            <w:tcW w:w="1324" w:type="dxa"/>
            <w:vAlign w:val="center"/>
          </w:tcPr>
          <w:p w14:paraId="62DDA3C2">
            <w:pPr>
              <w:shd w:val="clear"/>
              <w:jc w:val="center"/>
              <w:rPr>
                <w:rFonts w:hint="eastAsia"/>
                <w:b w:val="0"/>
                <w:bCs/>
                <w:color w:val="auto"/>
                <w:szCs w:val="21"/>
                <w:highlight w:val="none"/>
                <w:u w:val="none"/>
                <w:vertAlign w:val="baseline"/>
                <w:lang w:val="zh-CN"/>
              </w:rPr>
            </w:pPr>
          </w:p>
        </w:tc>
        <w:tc>
          <w:tcPr>
            <w:tcW w:w="1026" w:type="dxa"/>
            <w:vAlign w:val="center"/>
          </w:tcPr>
          <w:p w14:paraId="703F39B0">
            <w:pPr>
              <w:shd w:val="clear"/>
              <w:jc w:val="center"/>
              <w:rPr>
                <w:rFonts w:hint="eastAsia"/>
                <w:b w:val="0"/>
                <w:bCs/>
                <w:color w:val="auto"/>
                <w:szCs w:val="21"/>
                <w:highlight w:val="none"/>
                <w:u w:val="none"/>
                <w:vertAlign w:val="baseline"/>
                <w:lang w:val="zh-CN"/>
              </w:rPr>
            </w:pPr>
          </w:p>
        </w:tc>
        <w:tc>
          <w:tcPr>
            <w:tcW w:w="923" w:type="dxa"/>
            <w:vAlign w:val="center"/>
          </w:tcPr>
          <w:p w14:paraId="454AC89A">
            <w:pPr>
              <w:shd w:val="clear"/>
              <w:jc w:val="center"/>
              <w:rPr>
                <w:rFonts w:hint="eastAsia"/>
                <w:b w:val="0"/>
                <w:bCs/>
                <w:color w:val="auto"/>
                <w:szCs w:val="21"/>
                <w:highlight w:val="none"/>
                <w:u w:val="none"/>
                <w:vertAlign w:val="baseline"/>
                <w:lang w:val="zh-CN"/>
              </w:rPr>
            </w:pPr>
          </w:p>
        </w:tc>
        <w:tc>
          <w:tcPr>
            <w:tcW w:w="1091" w:type="dxa"/>
            <w:vAlign w:val="center"/>
          </w:tcPr>
          <w:p w14:paraId="3DE3EDC9">
            <w:pPr>
              <w:shd w:val="clear"/>
              <w:jc w:val="center"/>
              <w:rPr>
                <w:rFonts w:hint="eastAsia"/>
                <w:b w:val="0"/>
                <w:bCs/>
                <w:color w:val="auto"/>
                <w:szCs w:val="21"/>
                <w:highlight w:val="none"/>
                <w:u w:val="none"/>
                <w:vertAlign w:val="baseline"/>
                <w:lang w:val="zh-CN"/>
              </w:rPr>
            </w:pPr>
          </w:p>
        </w:tc>
      </w:tr>
      <w:tr w14:paraId="338F2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288DC270">
            <w:pPr>
              <w:shd w:val="clear"/>
              <w:jc w:val="center"/>
              <w:rPr>
                <w:rFonts w:hint="eastAsia" w:eastAsia="宋体"/>
                <w:b w:val="0"/>
                <w:bCs/>
                <w:color w:val="auto"/>
                <w:szCs w:val="21"/>
                <w:highlight w:val="none"/>
                <w:u w:val="none"/>
                <w:vertAlign w:val="baseline"/>
                <w:lang w:val="en-US" w:eastAsia="zh-CN"/>
              </w:rPr>
            </w:pPr>
            <w:r>
              <w:rPr>
                <w:rFonts w:hint="eastAsia"/>
                <w:b w:val="0"/>
                <w:bCs/>
                <w:color w:val="auto"/>
                <w:szCs w:val="21"/>
                <w:highlight w:val="none"/>
                <w:u w:val="none"/>
                <w:vertAlign w:val="baseline"/>
                <w:lang w:val="en-US" w:eastAsia="zh-CN"/>
              </w:rPr>
              <w:t>3</w:t>
            </w:r>
          </w:p>
        </w:tc>
        <w:tc>
          <w:tcPr>
            <w:tcW w:w="1236" w:type="dxa"/>
            <w:vAlign w:val="center"/>
          </w:tcPr>
          <w:p w14:paraId="296B3553">
            <w:pPr>
              <w:shd w:val="clear"/>
              <w:jc w:val="center"/>
              <w:rPr>
                <w:rFonts w:hint="eastAsia"/>
                <w:b w:val="0"/>
                <w:bCs/>
                <w:color w:val="auto"/>
                <w:szCs w:val="21"/>
                <w:highlight w:val="none"/>
                <w:u w:val="none"/>
                <w:vertAlign w:val="baseline"/>
                <w:lang w:val="zh-CN"/>
              </w:rPr>
            </w:pPr>
          </w:p>
        </w:tc>
        <w:tc>
          <w:tcPr>
            <w:tcW w:w="986" w:type="dxa"/>
            <w:vAlign w:val="center"/>
          </w:tcPr>
          <w:p w14:paraId="11A9BFBA">
            <w:pPr>
              <w:shd w:val="clear"/>
              <w:jc w:val="center"/>
              <w:rPr>
                <w:rFonts w:hint="eastAsia"/>
                <w:b w:val="0"/>
                <w:bCs/>
                <w:color w:val="auto"/>
                <w:szCs w:val="21"/>
                <w:highlight w:val="none"/>
                <w:u w:val="none"/>
                <w:vertAlign w:val="baseline"/>
                <w:lang w:val="zh-CN"/>
              </w:rPr>
            </w:pPr>
          </w:p>
        </w:tc>
        <w:tc>
          <w:tcPr>
            <w:tcW w:w="1040" w:type="dxa"/>
            <w:vAlign w:val="center"/>
          </w:tcPr>
          <w:p w14:paraId="6D34AAEE">
            <w:pPr>
              <w:shd w:val="clear"/>
              <w:jc w:val="center"/>
              <w:rPr>
                <w:rFonts w:hint="eastAsia"/>
                <w:b w:val="0"/>
                <w:bCs/>
                <w:color w:val="auto"/>
                <w:szCs w:val="21"/>
                <w:highlight w:val="none"/>
                <w:u w:val="none"/>
                <w:vertAlign w:val="baseline"/>
                <w:lang w:val="zh-CN"/>
              </w:rPr>
            </w:pPr>
          </w:p>
        </w:tc>
        <w:tc>
          <w:tcPr>
            <w:tcW w:w="1383" w:type="dxa"/>
            <w:vAlign w:val="center"/>
          </w:tcPr>
          <w:p w14:paraId="1895811B">
            <w:pPr>
              <w:shd w:val="clear"/>
              <w:jc w:val="center"/>
              <w:rPr>
                <w:rFonts w:hint="eastAsia"/>
                <w:b w:val="0"/>
                <w:bCs/>
                <w:color w:val="auto"/>
                <w:szCs w:val="21"/>
                <w:highlight w:val="none"/>
                <w:u w:val="none"/>
                <w:vertAlign w:val="baseline"/>
                <w:lang w:val="zh-CN"/>
              </w:rPr>
            </w:pPr>
          </w:p>
        </w:tc>
        <w:tc>
          <w:tcPr>
            <w:tcW w:w="1012" w:type="dxa"/>
            <w:vAlign w:val="center"/>
          </w:tcPr>
          <w:p w14:paraId="5C049FB4">
            <w:pPr>
              <w:shd w:val="clear"/>
              <w:jc w:val="center"/>
              <w:rPr>
                <w:rFonts w:hint="eastAsia"/>
                <w:b w:val="0"/>
                <w:bCs/>
                <w:color w:val="auto"/>
                <w:szCs w:val="21"/>
                <w:highlight w:val="none"/>
                <w:u w:val="none"/>
                <w:vertAlign w:val="baseline"/>
                <w:lang w:val="zh-CN"/>
              </w:rPr>
            </w:pPr>
          </w:p>
        </w:tc>
        <w:tc>
          <w:tcPr>
            <w:tcW w:w="1500" w:type="dxa"/>
            <w:vAlign w:val="center"/>
          </w:tcPr>
          <w:p w14:paraId="1EEF0947">
            <w:pPr>
              <w:shd w:val="clear"/>
              <w:jc w:val="center"/>
              <w:rPr>
                <w:rFonts w:hint="eastAsia"/>
                <w:b w:val="0"/>
                <w:bCs/>
                <w:color w:val="auto"/>
                <w:szCs w:val="21"/>
                <w:highlight w:val="none"/>
                <w:u w:val="none"/>
                <w:vertAlign w:val="baseline"/>
                <w:lang w:val="zh-CN"/>
              </w:rPr>
            </w:pPr>
          </w:p>
        </w:tc>
        <w:tc>
          <w:tcPr>
            <w:tcW w:w="985" w:type="dxa"/>
            <w:vAlign w:val="center"/>
          </w:tcPr>
          <w:p w14:paraId="7778CA91">
            <w:pPr>
              <w:shd w:val="clear"/>
              <w:jc w:val="center"/>
              <w:rPr>
                <w:rFonts w:hint="eastAsia"/>
                <w:b w:val="0"/>
                <w:bCs/>
                <w:color w:val="auto"/>
                <w:szCs w:val="21"/>
                <w:highlight w:val="none"/>
                <w:u w:val="none"/>
                <w:vertAlign w:val="baseline"/>
                <w:lang w:val="zh-CN"/>
              </w:rPr>
            </w:pPr>
          </w:p>
        </w:tc>
        <w:tc>
          <w:tcPr>
            <w:tcW w:w="863" w:type="dxa"/>
            <w:vAlign w:val="center"/>
          </w:tcPr>
          <w:p w14:paraId="4765FF03">
            <w:pPr>
              <w:shd w:val="clear"/>
              <w:jc w:val="center"/>
              <w:rPr>
                <w:rFonts w:hint="eastAsia"/>
                <w:b w:val="0"/>
                <w:bCs/>
                <w:color w:val="auto"/>
                <w:szCs w:val="21"/>
                <w:highlight w:val="none"/>
                <w:u w:val="none"/>
                <w:vertAlign w:val="baseline"/>
                <w:lang w:val="zh-CN"/>
              </w:rPr>
            </w:pPr>
          </w:p>
        </w:tc>
        <w:tc>
          <w:tcPr>
            <w:tcW w:w="1324" w:type="dxa"/>
            <w:vAlign w:val="center"/>
          </w:tcPr>
          <w:p w14:paraId="1030805C">
            <w:pPr>
              <w:shd w:val="clear"/>
              <w:jc w:val="center"/>
              <w:rPr>
                <w:rFonts w:hint="eastAsia"/>
                <w:b w:val="0"/>
                <w:bCs/>
                <w:color w:val="auto"/>
                <w:szCs w:val="21"/>
                <w:highlight w:val="none"/>
                <w:u w:val="none"/>
                <w:vertAlign w:val="baseline"/>
                <w:lang w:val="zh-CN"/>
              </w:rPr>
            </w:pPr>
          </w:p>
        </w:tc>
        <w:tc>
          <w:tcPr>
            <w:tcW w:w="1026" w:type="dxa"/>
            <w:vAlign w:val="center"/>
          </w:tcPr>
          <w:p w14:paraId="03FD13FA">
            <w:pPr>
              <w:shd w:val="clear"/>
              <w:jc w:val="center"/>
              <w:rPr>
                <w:rFonts w:hint="eastAsia"/>
                <w:b w:val="0"/>
                <w:bCs/>
                <w:color w:val="auto"/>
                <w:szCs w:val="21"/>
                <w:highlight w:val="none"/>
                <w:u w:val="none"/>
                <w:vertAlign w:val="baseline"/>
                <w:lang w:val="zh-CN"/>
              </w:rPr>
            </w:pPr>
          </w:p>
        </w:tc>
        <w:tc>
          <w:tcPr>
            <w:tcW w:w="923" w:type="dxa"/>
            <w:vAlign w:val="center"/>
          </w:tcPr>
          <w:p w14:paraId="16B2BB13">
            <w:pPr>
              <w:shd w:val="clear"/>
              <w:jc w:val="center"/>
              <w:rPr>
                <w:rFonts w:hint="eastAsia"/>
                <w:b w:val="0"/>
                <w:bCs/>
                <w:color w:val="auto"/>
                <w:szCs w:val="21"/>
                <w:highlight w:val="none"/>
                <w:u w:val="none"/>
                <w:vertAlign w:val="baseline"/>
                <w:lang w:val="zh-CN"/>
              </w:rPr>
            </w:pPr>
          </w:p>
        </w:tc>
        <w:tc>
          <w:tcPr>
            <w:tcW w:w="1091" w:type="dxa"/>
            <w:vAlign w:val="center"/>
          </w:tcPr>
          <w:p w14:paraId="568E139E">
            <w:pPr>
              <w:shd w:val="clear"/>
              <w:jc w:val="center"/>
              <w:rPr>
                <w:rFonts w:hint="eastAsia"/>
                <w:b w:val="0"/>
                <w:bCs/>
                <w:color w:val="auto"/>
                <w:szCs w:val="21"/>
                <w:highlight w:val="none"/>
                <w:u w:val="none"/>
                <w:vertAlign w:val="baseline"/>
                <w:lang w:val="zh-CN"/>
              </w:rPr>
            </w:pPr>
          </w:p>
        </w:tc>
      </w:tr>
      <w:tr w14:paraId="42C3E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0C125950">
            <w:pPr>
              <w:shd w:val="clear"/>
              <w:jc w:val="center"/>
              <w:rPr>
                <w:rFonts w:hint="default"/>
                <w:b w:val="0"/>
                <w:bCs/>
                <w:color w:val="auto"/>
                <w:szCs w:val="21"/>
                <w:highlight w:val="none"/>
                <w:u w:val="none"/>
                <w:vertAlign w:val="baseline"/>
                <w:lang w:val="en-US" w:eastAsia="zh-CN"/>
              </w:rPr>
            </w:pPr>
            <w:r>
              <w:rPr>
                <w:rFonts w:hint="eastAsia"/>
                <w:b w:val="0"/>
                <w:bCs/>
                <w:color w:val="auto"/>
                <w:szCs w:val="21"/>
                <w:highlight w:val="none"/>
                <w:u w:val="none"/>
                <w:vertAlign w:val="baseline"/>
                <w:lang w:val="en-US" w:eastAsia="zh-CN"/>
              </w:rPr>
              <w:t>4</w:t>
            </w:r>
          </w:p>
        </w:tc>
        <w:tc>
          <w:tcPr>
            <w:tcW w:w="1236" w:type="dxa"/>
            <w:vAlign w:val="center"/>
          </w:tcPr>
          <w:p w14:paraId="15DAFE63">
            <w:pPr>
              <w:shd w:val="clear"/>
              <w:jc w:val="center"/>
              <w:rPr>
                <w:rFonts w:hint="eastAsia"/>
                <w:b w:val="0"/>
                <w:bCs/>
                <w:color w:val="auto"/>
                <w:szCs w:val="21"/>
                <w:highlight w:val="none"/>
                <w:u w:val="none"/>
                <w:vertAlign w:val="baseline"/>
                <w:lang w:val="zh-CN"/>
              </w:rPr>
            </w:pPr>
          </w:p>
        </w:tc>
        <w:tc>
          <w:tcPr>
            <w:tcW w:w="986" w:type="dxa"/>
            <w:vAlign w:val="center"/>
          </w:tcPr>
          <w:p w14:paraId="2B09F9F1">
            <w:pPr>
              <w:shd w:val="clear"/>
              <w:jc w:val="center"/>
              <w:rPr>
                <w:rFonts w:hint="eastAsia"/>
                <w:b w:val="0"/>
                <w:bCs/>
                <w:color w:val="auto"/>
                <w:szCs w:val="21"/>
                <w:highlight w:val="none"/>
                <w:u w:val="none"/>
                <w:vertAlign w:val="baseline"/>
                <w:lang w:val="zh-CN"/>
              </w:rPr>
            </w:pPr>
          </w:p>
        </w:tc>
        <w:tc>
          <w:tcPr>
            <w:tcW w:w="1040" w:type="dxa"/>
            <w:vAlign w:val="center"/>
          </w:tcPr>
          <w:p w14:paraId="4CDA23AB">
            <w:pPr>
              <w:shd w:val="clear"/>
              <w:jc w:val="center"/>
              <w:rPr>
                <w:rFonts w:hint="eastAsia"/>
                <w:b w:val="0"/>
                <w:bCs/>
                <w:color w:val="auto"/>
                <w:szCs w:val="21"/>
                <w:highlight w:val="none"/>
                <w:u w:val="none"/>
                <w:vertAlign w:val="baseline"/>
                <w:lang w:val="zh-CN"/>
              </w:rPr>
            </w:pPr>
          </w:p>
        </w:tc>
        <w:tc>
          <w:tcPr>
            <w:tcW w:w="1383" w:type="dxa"/>
            <w:vAlign w:val="center"/>
          </w:tcPr>
          <w:p w14:paraId="0950F184">
            <w:pPr>
              <w:shd w:val="clear"/>
              <w:jc w:val="center"/>
              <w:rPr>
                <w:rFonts w:hint="eastAsia"/>
                <w:b w:val="0"/>
                <w:bCs/>
                <w:color w:val="auto"/>
                <w:szCs w:val="21"/>
                <w:highlight w:val="none"/>
                <w:u w:val="none"/>
                <w:vertAlign w:val="baseline"/>
                <w:lang w:val="zh-CN"/>
              </w:rPr>
            </w:pPr>
          </w:p>
        </w:tc>
        <w:tc>
          <w:tcPr>
            <w:tcW w:w="1012" w:type="dxa"/>
            <w:vAlign w:val="center"/>
          </w:tcPr>
          <w:p w14:paraId="1ADBDEB6">
            <w:pPr>
              <w:shd w:val="clear"/>
              <w:jc w:val="center"/>
              <w:rPr>
                <w:rFonts w:hint="eastAsia"/>
                <w:b w:val="0"/>
                <w:bCs/>
                <w:color w:val="auto"/>
                <w:szCs w:val="21"/>
                <w:highlight w:val="none"/>
                <w:u w:val="none"/>
                <w:vertAlign w:val="baseline"/>
                <w:lang w:val="zh-CN"/>
              </w:rPr>
            </w:pPr>
          </w:p>
        </w:tc>
        <w:tc>
          <w:tcPr>
            <w:tcW w:w="1500" w:type="dxa"/>
            <w:vAlign w:val="center"/>
          </w:tcPr>
          <w:p w14:paraId="6F43C248">
            <w:pPr>
              <w:shd w:val="clear"/>
              <w:jc w:val="center"/>
              <w:rPr>
                <w:rFonts w:hint="eastAsia"/>
                <w:b w:val="0"/>
                <w:bCs/>
                <w:color w:val="auto"/>
                <w:szCs w:val="21"/>
                <w:highlight w:val="none"/>
                <w:u w:val="none"/>
                <w:vertAlign w:val="baseline"/>
                <w:lang w:val="zh-CN"/>
              </w:rPr>
            </w:pPr>
          </w:p>
        </w:tc>
        <w:tc>
          <w:tcPr>
            <w:tcW w:w="985" w:type="dxa"/>
            <w:vAlign w:val="center"/>
          </w:tcPr>
          <w:p w14:paraId="0D8A82F2">
            <w:pPr>
              <w:shd w:val="clear"/>
              <w:jc w:val="center"/>
              <w:rPr>
                <w:rFonts w:hint="eastAsia"/>
                <w:b w:val="0"/>
                <w:bCs/>
                <w:color w:val="auto"/>
                <w:szCs w:val="21"/>
                <w:highlight w:val="none"/>
                <w:u w:val="none"/>
                <w:vertAlign w:val="baseline"/>
                <w:lang w:val="zh-CN"/>
              </w:rPr>
            </w:pPr>
          </w:p>
        </w:tc>
        <w:tc>
          <w:tcPr>
            <w:tcW w:w="863" w:type="dxa"/>
            <w:vAlign w:val="center"/>
          </w:tcPr>
          <w:p w14:paraId="7741B4AD">
            <w:pPr>
              <w:shd w:val="clear"/>
              <w:jc w:val="center"/>
              <w:rPr>
                <w:rFonts w:hint="eastAsia"/>
                <w:b w:val="0"/>
                <w:bCs/>
                <w:color w:val="auto"/>
                <w:szCs w:val="21"/>
                <w:highlight w:val="none"/>
                <w:u w:val="none"/>
                <w:vertAlign w:val="baseline"/>
                <w:lang w:val="zh-CN"/>
              </w:rPr>
            </w:pPr>
          </w:p>
        </w:tc>
        <w:tc>
          <w:tcPr>
            <w:tcW w:w="1324" w:type="dxa"/>
            <w:vAlign w:val="center"/>
          </w:tcPr>
          <w:p w14:paraId="16246DFE">
            <w:pPr>
              <w:shd w:val="clear"/>
              <w:jc w:val="center"/>
              <w:rPr>
                <w:rFonts w:hint="eastAsia"/>
                <w:b w:val="0"/>
                <w:bCs/>
                <w:color w:val="auto"/>
                <w:szCs w:val="21"/>
                <w:highlight w:val="none"/>
                <w:u w:val="none"/>
                <w:vertAlign w:val="baseline"/>
                <w:lang w:val="zh-CN"/>
              </w:rPr>
            </w:pPr>
          </w:p>
        </w:tc>
        <w:tc>
          <w:tcPr>
            <w:tcW w:w="1026" w:type="dxa"/>
            <w:vAlign w:val="center"/>
          </w:tcPr>
          <w:p w14:paraId="667E660E">
            <w:pPr>
              <w:shd w:val="clear"/>
              <w:jc w:val="center"/>
              <w:rPr>
                <w:rFonts w:hint="eastAsia"/>
                <w:b w:val="0"/>
                <w:bCs/>
                <w:color w:val="auto"/>
                <w:szCs w:val="21"/>
                <w:highlight w:val="none"/>
                <w:u w:val="none"/>
                <w:vertAlign w:val="baseline"/>
                <w:lang w:val="zh-CN"/>
              </w:rPr>
            </w:pPr>
          </w:p>
        </w:tc>
        <w:tc>
          <w:tcPr>
            <w:tcW w:w="923" w:type="dxa"/>
            <w:vAlign w:val="center"/>
          </w:tcPr>
          <w:p w14:paraId="0AB67270">
            <w:pPr>
              <w:shd w:val="clear"/>
              <w:jc w:val="center"/>
              <w:rPr>
                <w:rFonts w:hint="eastAsia"/>
                <w:b w:val="0"/>
                <w:bCs/>
                <w:color w:val="auto"/>
                <w:szCs w:val="21"/>
                <w:highlight w:val="none"/>
                <w:u w:val="none"/>
                <w:vertAlign w:val="baseline"/>
                <w:lang w:val="zh-CN"/>
              </w:rPr>
            </w:pPr>
          </w:p>
        </w:tc>
        <w:tc>
          <w:tcPr>
            <w:tcW w:w="1091" w:type="dxa"/>
            <w:vAlign w:val="center"/>
          </w:tcPr>
          <w:p w14:paraId="2CD8830B">
            <w:pPr>
              <w:shd w:val="clear"/>
              <w:jc w:val="center"/>
              <w:rPr>
                <w:rFonts w:hint="eastAsia"/>
                <w:b w:val="0"/>
                <w:bCs/>
                <w:color w:val="auto"/>
                <w:szCs w:val="21"/>
                <w:highlight w:val="none"/>
                <w:u w:val="none"/>
                <w:vertAlign w:val="baseline"/>
                <w:lang w:val="zh-CN"/>
              </w:rPr>
            </w:pPr>
          </w:p>
        </w:tc>
      </w:tr>
      <w:tr w14:paraId="5D110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6CAC30B4">
            <w:pPr>
              <w:shd w:val="clear"/>
              <w:jc w:val="center"/>
              <w:rPr>
                <w:rFonts w:hint="default"/>
                <w:b w:val="0"/>
                <w:bCs/>
                <w:color w:val="auto"/>
                <w:szCs w:val="21"/>
                <w:highlight w:val="none"/>
                <w:u w:val="none"/>
                <w:vertAlign w:val="baseline"/>
                <w:lang w:val="en-US" w:eastAsia="zh-CN"/>
              </w:rPr>
            </w:pPr>
            <w:r>
              <w:rPr>
                <w:rFonts w:hint="eastAsia"/>
                <w:b w:val="0"/>
                <w:bCs/>
                <w:color w:val="auto"/>
                <w:szCs w:val="21"/>
                <w:highlight w:val="none"/>
                <w:u w:val="none"/>
                <w:vertAlign w:val="baseline"/>
                <w:lang w:val="en-US" w:eastAsia="zh-CN"/>
              </w:rPr>
              <w:t>5</w:t>
            </w:r>
          </w:p>
        </w:tc>
        <w:tc>
          <w:tcPr>
            <w:tcW w:w="1236" w:type="dxa"/>
            <w:vAlign w:val="center"/>
          </w:tcPr>
          <w:p w14:paraId="3FB10D43">
            <w:pPr>
              <w:shd w:val="clear"/>
              <w:jc w:val="center"/>
              <w:rPr>
                <w:rFonts w:hint="eastAsia"/>
                <w:b w:val="0"/>
                <w:bCs/>
                <w:color w:val="auto"/>
                <w:szCs w:val="21"/>
                <w:highlight w:val="none"/>
                <w:u w:val="none"/>
                <w:vertAlign w:val="baseline"/>
                <w:lang w:val="zh-CN"/>
              </w:rPr>
            </w:pPr>
          </w:p>
        </w:tc>
        <w:tc>
          <w:tcPr>
            <w:tcW w:w="986" w:type="dxa"/>
            <w:vAlign w:val="center"/>
          </w:tcPr>
          <w:p w14:paraId="7E5FEF86">
            <w:pPr>
              <w:shd w:val="clear"/>
              <w:jc w:val="center"/>
              <w:rPr>
                <w:rFonts w:hint="eastAsia"/>
                <w:b w:val="0"/>
                <w:bCs/>
                <w:color w:val="auto"/>
                <w:szCs w:val="21"/>
                <w:highlight w:val="none"/>
                <w:u w:val="none"/>
                <w:vertAlign w:val="baseline"/>
                <w:lang w:val="zh-CN"/>
              </w:rPr>
            </w:pPr>
          </w:p>
        </w:tc>
        <w:tc>
          <w:tcPr>
            <w:tcW w:w="1040" w:type="dxa"/>
            <w:vAlign w:val="center"/>
          </w:tcPr>
          <w:p w14:paraId="0DB29551">
            <w:pPr>
              <w:shd w:val="clear"/>
              <w:jc w:val="center"/>
              <w:rPr>
                <w:rFonts w:hint="eastAsia"/>
                <w:b w:val="0"/>
                <w:bCs/>
                <w:color w:val="auto"/>
                <w:szCs w:val="21"/>
                <w:highlight w:val="none"/>
                <w:u w:val="none"/>
                <w:vertAlign w:val="baseline"/>
                <w:lang w:val="zh-CN"/>
              </w:rPr>
            </w:pPr>
          </w:p>
        </w:tc>
        <w:tc>
          <w:tcPr>
            <w:tcW w:w="1383" w:type="dxa"/>
            <w:vAlign w:val="center"/>
          </w:tcPr>
          <w:p w14:paraId="060CA4CC">
            <w:pPr>
              <w:shd w:val="clear"/>
              <w:jc w:val="center"/>
              <w:rPr>
                <w:rFonts w:hint="eastAsia"/>
                <w:b w:val="0"/>
                <w:bCs/>
                <w:color w:val="auto"/>
                <w:szCs w:val="21"/>
                <w:highlight w:val="none"/>
                <w:u w:val="none"/>
                <w:vertAlign w:val="baseline"/>
                <w:lang w:val="zh-CN"/>
              </w:rPr>
            </w:pPr>
          </w:p>
        </w:tc>
        <w:tc>
          <w:tcPr>
            <w:tcW w:w="1012" w:type="dxa"/>
            <w:vAlign w:val="center"/>
          </w:tcPr>
          <w:p w14:paraId="17C67F72">
            <w:pPr>
              <w:shd w:val="clear"/>
              <w:jc w:val="center"/>
              <w:rPr>
                <w:rFonts w:hint="eastAsia"/>
                <w:b w:val="0"/>
                <w:bCs/>
                <w:color w:val="auto"/>
                <w:szCs w:val="21"/>
                <w:highlight w:val="none"/>
                <w:u w:val="none"/>
                <w:vertAlign w:val="baseline"/>
                <w:lang w:val="zh-CN"/>
              </w:rPr>
            </w:pPr>
          </w:p>
        </w:tc>
        <w:tc>
          <w:tcPr>
            <w:tcW w:w="1500" w:type="dxa"/>
            <w:vAlign w:val="center"/>
          </w:tcPr>
          <w:p w14:paraId="71B216EF">
            <w:pPr>
              <w:shd w:val="clear"/>
              <w:jc w:val="center"/>
              <w:rPr>
                <w:rFonts w:hint="eastAsia"/>
                <w:b w:val="0"/>
                <w:bCs/>
                <w:color w:val="auto"/>
                <w:szCs w:val="21"/>
                <w:highlight w:val="none"/>
                <w:u w:val="none"/>
                <w:vertAlign w:val="baseline"/>
                <w:lang w:val="zh-CN"/>
              </w:rPr>
            </w:pPr>
          </w:p>
        </w:tc>
        <w:tc>
          <w:tcPr>
            <w:tcW w:w="985" w:type="dxa"/>
            <w:vAlign w:val="center"/>
          </w:tcPr>
          <w:p w14:paraId="3AD98D47">
            <w:pPr>
              <w:shd w:val="clear"/>
              <w:jc w:val="center"/>
              <w:rPr>
                <w:rFonts w:hint="eastAsia"/>
                <w:b w:val="0"/>
                <w:bCs/>
                <w:color w:val="auto"/>
                <w:szCs w:val="21"/>
                <w:highlight w:val="none"/>
                <w:u w:val="none"/>
                <w:vertAlign w:val="baseline"/>
                <w:lang w:val="zh-CN"/>
              </w:rPr>
            </w:pPr>
          </w:p>
        </w:tc>
        <w:tc>
          <w:tcPr>
            <w:tcW w:w="863" w:type="dxa"/>
            <w:vAlign w:val="center"/>
          </w:tcPr>
          <w:p w14:paraId="1B25BEDC">
            <w:pPr>
              <w:shd w:val="clear"/>
              <w:jc w:val="center"/>
              <w:rPr>
                <w:rFonts w:hint="eastAsia"/>
                <w:b w:val="0"/>
                <w:bCs/>
                <w:color w:val="auto"/>
                <w:szCs w:val="21"/>
                <w:highlight w:val="none"/>
                <w:u w:val="none"/>
                <w:vertAlign w:val="baseline"/>
                <w:lang w:val="zh-CN"/>
              </w:rPr>
            </w:pPr>
          </w:p>
        </w:tc>
        <w:tc>
          <w:tcPr>
            <w:tcW w:w="1324" w:type="dxa"/>
            <w:vAlign w:val="center"/>
          </w:tcPr>
          <w:p w14:paraId="2C65F4A3">
            <w:pPr>
              <w:shd w:val="clear"/>
              <w:jc w:val="center"/>
              <w:rPr>
                <w:rFonts w:hint="eastAsia"/>
                <w:b w:val="0"/>
                <w:bCs/>
                <w:color w:val="auto"/>
                <w:szCs w:val="21"/>
                <w:highlight w:val="none"/>
                <w:u w:val="none"/>
                <w:vertAlign w:val="baseline"/>
                <w:lang w:val="zh-CN"/>
              </w:rPr>
            </w:pPr>
          </w:p>
        </w:tc>
        <w:tc>
          <w:tcPr>
            <w:tcW w:w="1026" w:type="dxa"/>
            <w:vAlign w:val="center"/>
          </w:tcPr>
          <w:p w14:paraId="26EF7EA0">
            <w:pPr>
              <w:shd w:val="clear"/>
              <w:jc w:val="center"/>
              <w:rPr>
                <w:rFonts w:hint="eastAsia"/>
                <w:b w:val="0"/>
                <w:bCs/>
                <w:color w:val="auto"/>
                <w:szCs w:val="21"/>
                <w:highlight w:val="none"/>
                <w:u w:val="none"/>
                <w:vertAlign w:val="baseline"/>
                <w:lang w:val="zh-CN"/>
              </w:rPr>
            </w:pPr>
          </w:p>
        </w:tc>
        <w:tc>
          <w:tcPr>
            <w:tcW w:w="923" w:type="dxa"/>
            <w:vAlign w:val="center"/>
          </w:tcPr>
          <w:p w14:paraId="00B89591">
            <w:pPr>
              <w:shd w:val="clear"/>
              <w:jc w:val="center"/>
              <w:rPr>
                <w:rFonts w:hint="eastAsia"/>
                <w:b w:val="0"/>
                <w:bCs/>
                <w:color w:val="auto"/>
                <w:szCs w:val="21"/>
                <w:highlight w:val="none"/>
                <w:u w:val="none"/>
                <w:vertAlign w:val="baseline"/>
                <w:lang w:val="zh-CN"/>
              </w:rPr>
            </w:pPr>
          </w:p>
        </w:tc>
        <w:tc>
          <w:tcPr>
            <w:tcW w:w="1091" w:type="dxa"/>
            <w:vAlign w:val="center"/>
          </w:tcPr>
          <w:p w14:paraId="54182B1F">
            <w:pPr>
              <w:shd w:val="clear"/>
              <w:jc w:val="center"/>
              <w:rPr>
                <w:rFonts w:hint="eastAsia"/>
                <w:b w:val="0"/>
                <w:bCs/>
                <w:color w:val="auto"/>
                <w:szCs w:val="21"/>
                <w:highlight w:val="none"/>
                <w:u w:val="none"/>
                <w:vertAlign w:val="baseline"/>
                <w:lang w:val="zh-CN"/>
              </w:rPr>
            </w:pPr>
          </w:p>
        </w:tc>
      </w:tr>
      <w:tr w14:paraId="301DE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7EA94A24">
            <w:pPr>
              <w:shd w:val="clear"/>
              <w:jc w:val="center"/>
              <w:rPr>
                <w:rFonts w:hint="default"/>
                <w:b w:val="0"/>
                <w:bCs/>
                <w:color w:val="auto"/>
                <w:szCs w:val="21"/>
                <w:highlight w:val="none"/>
                <w:u w:val="none"/>
                <w:vertAlign w:val="baseline"/>
                <w:lang w:val="en-US" w:eastAsia="zh-CN"/>
              </w:rPr>
            </w:pPr>
            <w:r>
              <w:rPr>
                <w:rFonts w:hint="eastAsia"/>
                <w:b w:val="0"/>
                <w:bCs/>
                <w:color w:val="auto"/>
                <w:szCs w:val="21"/>
                <w:highlight w:val="none"/>
                <w:u w:val="none"/>
                <w:vertAlign w:val="baseline"/>
                <w:lang w:val="en-US" w:eastAsia="zh-CN"/>
              </w:rPr>
              <w:t>6</w:t>
            </w:r>
          </w:p>
        </w:tc>
        <w:tc>
          <w:tcPr>
            <w:tcW w:w="1236" w:type="dxa"/>
            <w:vAlign w:val="center"/>
          </w:tcPr>
          <w:p w14:paraId="3B5CDE55">
            <w:pPr>
              <w:shd w:val="clear"/>
              <w:jc w:val="center"/>
              <w:rPr>
                <w:rFonts w:hint="eastAsia"/>
                <w:b w:val="0"/>
                <w:bCs/>
                <w:color w:val="auto"/>
                <w:szCs w:val="21"/>
                <w:highlight w:val="none"/>
                <w:u w:val="none"/>
                <w:vertAlign w:val="baseline"/>
                <w:lang w:val="zh-CN"/>
              </w:rPr>
            </w:pPr>
          </w:p>
        </w:tc>
        <w:tc>
          <w:tcPr>
            <w:tcW w:w="986" w:type="dxa"/>
            <w:vAlign w:val="center"/>
          </w:tcPr>
          <w:p w14:paraId="1AB0C36B">
            <w:pPr>
              <w:shd w:val="clear"/>
              <w:jc w:val="center"/>
              <w:rPr>
                <w:rFonts w:hint="eastAsia"/>
                <w:b w:val="0"/>
                <w:bCs/>
                <w:color w:val="auto"/>
                <w:szCs w:val="21"/>
                <w:highlight w:val="none"/>
                <w:u w:val="none"/>
                <w:vertAlign w:val="baseline"/>
                <w:lang w:val="zh-CN"/>
              </w:rPr>
            </w:pPr>
          </w:p>
        </w:tc>
        <w:tc>
          <w:tcPr>
            <w:tcW w:w="1040" w:type="dxa"/>
            <w:vAlign w:val="center"/>
          </w:tcPr>
          <w:p w14:paraId="2F301FFC">
            <w:pPr>
              <w:shd w:val="clear"/>
              <w:jc w:val="center"/>
              <w:rPr>
                <w:rFonts w:hint="eastAsia"/>
                <w:b w:val="0"/>
                <w:bCs/>
                <w:color w:val="auto"/>
                <w:szCs w:val="21"/>
                <w:highlight w:val="none"/>
                <w:u w:val="none"/>
                <w:vertAlign w:val="baseline"/>
                <w:lang w:val="zh-CN"/>
              </w:rPr>
            </w:pPr>
          </w:p>
        </w:tc>
        <w:tc>
          <w:tcPr>
            <w:tcW w:w="1383" w:type="dxa"/>
            <w:vAlign w:val="center"/>
          </w:tcPr>
          <w:p w14:paraId="50F3BC75">
            <w:pPr>
              <w:shd w:val="clear"/>
              <w:jc w:val="center"/>
              <w:rPr>
                <w:rFonts w:hint="eastAsia"/>
                <w:b w:val="0"/>
                <w:bCs/>
                <w:color w:val="auto"/>
                <w:szCs w:val="21"/>
                <w:highlight w:val="none"/>
                <w:u w:val="none"/>
                <w:vertAlign w:val="baseline"/>
                <w:lang w:val="zh-CN"/>
              </w:rPr>
            </w:pPr>
          </w:p>
        </w:tc>
        <w:tc>
          <w:tcPr>
            <w:tcW w:w="1012" w:type="dxa"/>
            <w:vAlign w:val="center"/>
          </w:tcPr>
          <w:p w14:paraId="2B411435">
            <w:pPr>
              <w:shd w:val="clear"/>
              <w:jc w:val="center"/>
              <w:rPr>
                <w:rFonts w:hint="eastAsia"/>
                <w:b w:val="0"/>
                <w:bCs/>
                <w:color w:val="auto"/>
                <w:szCs w:val="21"/>
                <w:highlight w:val="none"/>
                <w:u w:val="none"/>
                <w:vertAlign w:val="baseline"/>
                <w:lang w:val="zh-CN"/>
              </w:rPr>
            </w:pPr>
          </w:p>
        </w:tc>
        <w:tc>
          <w:tcPr>
            <w:tcW w:w="1500" w:type="dxa"/>
            <w:vAlign w:val="center"/>
          </w:tcPr>
          <w:p w14:paraId="72CDC4A9">
            <w:pPr>
              <w:shd w:val="clear"/>
              <w:jc w:val="center"/>
              <w:rPr>
                <w:rFonts w:hint="eastAsia"/>
                <w:b w:val="0"/>
                <w:bCs/>
                <w:color w:val="auto"/>
                <w:szCs w:val="21"/>
                <w:highlight w:val="none"/>
                <w:u w:val="none"/>
                <w:vertAlign w:val="baseline"/>
                <w:lang w:val="zh-CN"/>
              </w:rPr>
            </w:pPr>
          </w:p>
        </w:tc>
        <w:tc>
          <w:tcPr>
            <w:tcW w:w="985" w:type="dxa"/>
            <w:vAlign w:val="center"/>
          </w:tcPr>
          <w:p w14:paraId="57B6F124">
            <w:pPr>
              <w:shd w:val="clear"/>
              <w:jc w:val="center"/>
              <w:rPr>
                <w:rFonts w:hint="eastAsia"/>
                <w:b w:val="0"/>
                <w:bCs/>
                <w:color w:val="auto"/>
                <w:szCs w:val="21"/>
                <w:highlight w:val="none"/>
                <w:u w:val="none"/>
                <w:vertAlign w:val="baseline"/>
                <w:lang w:val="zh-CN"/>
              </w:rPr>
            </w:pPr>
          </w:p>
        </w:tc>
        <w:tc>
          <w:tcPr>
            <w:tcW w:w="863" w:type="dxa"/>
            <w:vAlign w:val="center"/>
          </w:tcPr>
          <w:p w14:paraId="38450E2E">
            <w:pPr>
              <w:shd w:val="clear"/>
              <w:jc w:val="center"/>
              <w:rPr>
                <w:rFonts w:hint="eastAsia"/>
                <w:b w:val="0"/>
                <w:bCs/>
                <w:color w:val="auto"/>
                <w:szCs w:val="21"/>
                <w:highlight w:val="none"/>
                <w:u w:val="none"/>
                <w:vertAlign w:val="baseline"/>
                <w:lang w:val="zh-CN"/>
              </w:rPr>
            </w:pPr>
          </w:p>
        </w:tc>
        <w:tc>
          <w:tcPr>
            <w:tcW w:w="1324" w:type="dxa"/>
            <w:vAlign w:val="center"/>
          </w:tcPr>
          <w:p w14:paraId="0734D7CF">
            <w:pPr>
              <w:shd w:val="clear"/>
              <w:jc w:val="center"/>
              <w:rPr>
                <w:rFonts w:hint="eastAsia"/>
                <w:b w:val="0"/>
                <w:bCs/>
                <w:color w:val="auto"/>
                <w:szCs w:val="21"/>
                <w:highlight w:val="none"/>
                <w:u w:val="none"/>
                <w:vertAlign w:val="baseline"/>
                <w:lang w:val="zh-CN"/>
              </w:rPr>
            </w:pPr>
          </w:p>
        </w:tc>
        <w:tc>
          <w:tcPr>
            <w:tcW w:w="1026" w:type="dxa"/>
            <w:vAlign w:val="center"/>
          </w:tcPr>
          <w:p w14:paraId="6B88051D">
            <w:pPr>
              <w:shd w:val="clear"/>
              <w:jc w:val="center"/>
              <w:rPr>
                <w:rFonts w:hint="eastAsia"/>
                <w:b w:val="0"/>
                <w:bCs/>
                <w:color w:val="auto"/>
                <w:szCs w:val="21"/>
                <w:highlight w:val="none"/>
                <w:u w:val="none"/>
                <w:vertAlign w:val="baseline"/>
                <w:lang w:val="zh-CN"/>
              </w:rPr>
            </w:pPr>
          </w:p>
        </w:tc>
        <w:tc>
          <w:tcPr>
            <w:tcW w:w="923" w:type="dxa"/>
            <w:vAlign w:val="center"/>
          </w:tcPr>
          <w:p w14:paraId="4D587CF2">
            <w:pPr>
              <w:shd w:val="clear"/>
              <w:jc w:val="center"/>
              <w:rPr>
                <w:rFonts w:hint="eastAsia"/>
                <w:b w:val="0"/>
                <w:bCs/>
                <w:color w:val="auto"/>
                <w:szCs w:val="21"/>
                <w:highlight w:val="none"/>
                <w:u w:val="none"/>
                <w:vertAlign w:val="baseline"/>
                <w:lang w:val="zh-CN"/>
              </w:rPr>
            </w:pPr>
          </w:p>
        </w:tc>
        <w:tc>
          <w:tcPr>
            <w:tcW w:w="1091" w:type="dxa"/>
            <w:vAlign w:val="center"/>
          </w:tcPr>
          <w:p w14:paraId="3808F91F">
            <w:pPr>
              <w:shd w:val="clear"/>
              <w:jc w:val="center"/>
              <w:rPr>
                <w:rFonts w:hint="eastAsia"/>
                <w:b w:val="0"/>
                <w:bCs/>
                <w:color w:val="auto"/>
                <w:szCs w:val="21"/>
                <w:highlight w:val="none"/>
                <w:u w:val="none"/>
                <w:vertAlign w:val="baseline"/>
                <w:lang w:val="zh-CN"/>
              </w:rPr>
            </w:pPr>
          </w:p>
        </w:tc>
      </w:tr>
      <w:tr w14:paraId="24D4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vAlign w:val="center"/>
          </w:tcPr>
          <w:p w14:paraId="0CA1058F">
            <w:pPr>
              <w:shd w:val="clear"/>
              <w:jc w:val="center"/>
              <w:rPr>
                <w:rFonts w:hint="eastAsia"/>
                <w:b w:val="0"/>
                <w:bCs/>
                <w:color w:val="auto"/>
                <w:szCs w:val="21"/>
                <w:highlight w:val="none"/>
                <w:u w:val="none"/>
                <w:vertAlign w:val="baseline"/>
                <w:lang w:val="zh-CN"/>
              </w:rPr>
            </w:pPr>
            <w:r>
              <w:rPr>
                <w:rFonts w:hint="default" w:ascii="Arial" w:hAnsi="Arial" w:cs="Arial"/>
                <w:b w:val="0"/>
                <w:bCs/>
                <w:color w:val="auto"/>
                <w:szCs w:val="21"/>
                <w:highlight w:val="none"/>
                <w:u w:val="none"/>
                <w:vertAlign w:val="baseline"/>
                <w:lang w:val="zh-CN"/>
              </w:rPr>
              <w:t>…</w:t>
            </w:r>
          </w:p>
        </w:tc>
        <w:tc>
          <w:tcPr>
            <w:tcW w:w="1236" w:type="dxa"/>
            <w:vAlign w:val="center"/>
          </w:tcPr>
          <w:p w14:paraId="07D6C3C7">
            <w:pPr>
              <w:shd w:val="clear"/>
              <w:jc w:val="center"/>
              <w:rPr>
                <w:rFonts w:hint="eastAsia"/>
                <w:b w:val="0"/>
                <w:bCs/>
                <w:color w:val="auto"/>
                <w:szCs w:val="21"/>
                <w:highlight w:val="none"/>
                <w:u w:val="none"/>
                <w:vertAlign w:val="baseline"/>
                <w:lang w:val="zh-CN"/>
              </w:rPr>
            </w:pPr>
          </w:p>
        </w:tc>
        <w:tc>
          <w:tcPr>
            <w:tcW w:w="986" w:type="dxa"/>
            <w:vAlign w:val="center"/>
          </w:tcPr>
          <w:p w14:paraId="54762713">
            <w:pPr>
              <w:shd w:val="clear"/>
              <w:jc w:val="center"/>
              <w:rPr>
                <w:rFonts w:hint="eastAsia"/>
                <w:b w:val="0"/>
                <w:bCs/>
                <w:color w:val="auto"/>
                <w:szCs w:val="21"/>
                <w:highlight w:val="none"/>
                <w:u w:val="none"/>
                <w:vertAlign w:val="baseline"/>
                <w:lang w:val="zh-CN"/>
              </w:rPr>
            </w:pPr>
          </w:p>
        </w:tc>
        <w:tc>
          <w:tcPr>
            <w:tcW w:w="1040" w:type="dxa"/>
            <w:vAlign w:val="center"/>
          </w:tcPr>
          <w:p w14:paraId="6008D212">
            <w:pPr>
              <w:shd w:val="clear"/>
              <w:jc w:val="center"/>
              <w:rPr>
                <w:rFonts w:hint="eastAsia"/>
                <w:b w:val="0"/>
                <w:bCs/>
                <w:color w:val="auto"/>
                <w:szCs w:val="21"/>
                <w:highlight w:val="none"/>
                <w:u w:val="none"/>
                <w:vertAlign w:val="baseline"/>
                <w:lang w:val="zh-CN"/>
              </w:rPr>
            </w:pPr>
          </w:p>
        </w:tc>
        <w:tc>
          <w:tcPr>
            <w:tcW w:w="1383" w:type="dxa"/>
            <w:vAlign w:val="center"/>
          </w:tcPr>
          <w:p w14:paraId="7BB3E714">
            <w:pPr>
              <w:shd w:val="clear"/>
              <w:jc w:val="center"/>
              <w:rPr>
                <w:rFonts w:hint="eastAsia"/>
                <w:b w:val="0"/>
                <w:bCs/>
                <w:color w:val="auto"/>
                <w:szCs w:val="21"/>
                <w:highlight w:val="none"/>
                <w:u w:val="none"/>
                <w:vertAlign w:val="baseline"/>
                <w:lang w:val="zh-CN"/>
              </w:rPr>
            </w:pPr>
          </w:p>
        </w:tc>
        <w:tc>
          <w:tcPr>
            <w:tcW w:w="1012" w:type="dxa"/>
            <w:vAlign w:val="center"/>
          </w:tcPr>
          <w:p w14:paraId="4B0014E9">
            <w:pPr>
              <w:shd w:val="clear"/>
              <w:jc w:val="center"/>
              <w:rPr>
                <w:rFonts w:hint="eastAsia"/>
                <w:b w:val="0"/>
                <w:bCs/>
                <w:color w:val="auto"/>
                <w:szCs w:val="21"/>
                <w:highlight w:val="none"/>
                <w:u w:val="none"/>
                <w:vertAlign w:val="baseline"/>
                <w:lang w:val="zh-CN"/>
              </w:rPr>
            </w:pPr>
          </w:p>
        </w:tc>
        <w:tc>
          <w:tcPr>
            <w:tcW w:w="1500" w:type="dxa"/>
            <w:vAlign w:val="center"/>
          </w:tcPr>
          <w:p w14:paraId="53F16430">
            <w:pPr>
              <w:shd w:val="clear"/>
              <w:jc w:val="center"/>
              <w:rPr>
                <w:rFonts w:hint="eastAsia"/>
                <w:b w:val="0"/>
                <w:bCs/>
                <w:color w:val="auto"/>
                <w:szCs w:val="21"/>
                <w:highlight w:val="none"/>
                <w:u w:val="none"/>
                <w:vertAlign w:val="baseline"/>
                <w:lang w:val="zh-CN"/>
              </w:rPr>
            </w:pPr>
          </w:p>
        </w:tc>
        <w:tc>
          <w:tcPr>
            <w:tcW w:w="985" w:type="dxa"/>
            <w:vAlign w:val="center"/>
          </w:tcPr>
          <w:p w14:paraId="2BF5155B">
            <w:pPr>
              <w:shd w:val="clear"/>
              <w:jc w:val="center"/>
              <w:rPr>
                <w:rFonts w:hint="eastAsia"/>
                <w:b w:val="0"/>
                <w:bCs/>
                <w:color w:val="auto"/>
                <w:szCs w:val="21"/>
                <w:highlight w:val="none"/>
                <w:u w:val="none"/>
                <w:vertAlign w:val="baseline"/>
                <w:lang w:val="zh-CN"/>
              </w:rPr>
            </w:pPr>
          </w:p>
        </w:tc>
        <w:tc>
          <w:tcPr>
            <w:tcW w:w="863" w:type="dxa"/>
            <w:vAlign w:val="center"/>
          </w:tcPr>
          <w:p w14:paraId="30E0F0AA">
            <w:pPr>
              <w:shd w:val="clear"/>
              <w:jc w:val="center"/>
              <w:rPr>
                <w:rFonts w:hint="eastAsia"/>
                <w:b w:val="0"/>
                <w:bCs/>
                <w:color w:val="auto"/>
                <w:szCs w:val="21"/>
                <w:highlight w:val="none"/>
                <w:u w:val="none"/>
                <w:vertAlign w:val="baseline"/>
                <w:lang w:val="zh-CN"/>
              </w:rPr>
            </w:pPr>
          </w:p>
        </w:tc>
        <w:tc>
          <w:tcPr>
            <w:tcW w:w="1324" w:type="dxa"/>
            <w:vAlign w:val="center"/>
          </w:tcPr>
          <w:p w14:paraId="77514C69">
            <w:pPr>
              <w:shd w:val="clear"/>
              <w:jc w:val="center"/>
              <w:rPr>
                <w:rFonts w:hint="eastAsia"/>
                <w:b w:val="0"/>
                <w:bCs/>
                <w:color w:val="auto"/>
                <w:szCs w:val="21"/>
                <w:highlight w:val="none"/>
                <w:u w:val="none"/>
                <w:vertAlign w:val="baseline"/>
                <w:lang w:val="zh-CN"/>
              </w:rPr>
            </w:pPr>
          </w:p>
        </w:tc>
        <w:tc>
          <w:tcPr>
            <w:tcW w:w="1026" w:type="dxa"/>
            <w:vAlign w:val="center"/>
          </w:tcPr>
          <w:p w14:paraId="3C51E7DE">
            <w:pPr>
              <w:shd w:val="clear"/>
              <w:jc w:val="center"/>
              <w:rPr>
                <w:rFonts w:hint="eastAsia"/>
                <w:b w:val="0"/>
                <w:bCs/>
                <w:color w:val="auto"/>
                <w:szCs w:val="21"/>
                <w:highlight w:val="none"/>
                <w:u w:val="none"/>
                <w:vertAlign w:val="baseline"/>
                <w:lang w:val="zh-CN"/>
              </w:rPr>
            </w:pPr>
          </w:p>
        </w:tc>
        <w:tc>
          <w:tcPr>
            <w:tcW w:w="923" w:type="dxa"/>
            <w:vAlign w:val="center"/>
          </w:tcPr>
          <w:p w14:paraId="1C3D14DE">
            <w:pPr>
              <w:shd w:val="clear"/>
              <w:jc w:val="center"/>
              <w:rPr>
                <w:rFonts w:hint="eastAsia"/>
                <w:b w:val="0"/>
                <w:bCs/>
                <w:color w:val="auto"/>
                <w:szCs w:val="21"/>
                <w:highlight w:val="none"/>
                <w:u w:val="none"/>
                <w:vertAlign w:val="baseline"/>
                <w:lang w:val="zh-CN"/>
              </w:rPr>
            </w:pPr>
          </w:p>
        </w:tc>
        <w:tc>
          <w:tcPr>
            <w:tcW w:w="1091" w:type="dxa"/>
            <w:vAlign w:val="center"/>
          </w:tcPr>
          <w:p w14:paraId="7C3AA4BD">
            <w:pPr>
              <w:shd w:val="clear"/>
              <w:jc w:val="center"/>
              <w:rPr>
                <w:rFonts w:hint="eastAsia"/>
                <w:b w:val="0"/>
                <w:bCs/>
                <w:color w:val="auto"/>
                <w:szCs w:val="21"/>
                <w:highlight w:val="none"/>
                <w:u w:val="none"/>
                <w:vertAlign w:val="baseline"/>
                <w:lang w:val="zh-CN"/>
              </w:rPr>
            </w:pPr>
          </w:p>
        </w:tc>
      </w:tr>
      <w:tr w14:paraId="0C8A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3" w:type="dxa"/>
            <w:gridSpan w:val="12"/>
            <w:vAlign w:val="center"/>
          </w:tcPr>
          <w:p w14:paraId="66A2BE18">
            <w:pPr>
              <w:shd w:val="clear"/>
              <w:jc w:val="center"/>
              <w:rPr>
                <w:rFonts w:hint="default" w:eastAsia="宋体"/>
                <w:b w:val="0"/>
                <w:bCs/>
                <w:color w:val="auto"/>
                <w:szCs w:val="21"/>
                <w:highlight w:val="none"/>
                <w:u w:val="none"/>
                <w:vertAlign w:val="baseline"/>
                <w:lang w:val="en-US" w:eastAsia="zh-CN"/>
              </w:rPr>
            </w:pPr>
            <w:r>
              <w:rPr>
                <w:rFonts w:hint="eastAsia"/>
                <w:b w:val="0"/>
                <w:bCs/>
                <w:color w:val="auto"/>
                <w:szCs w:val="21"/>
                <w:highlight w:val="none"/>
                <w:u w:val="none"/>
                <w:vertAlign w:val="baseline"/>
                <w:lang w:val="en-US" w:eastAsia="zh-CN"/>
              </w:rPr>
              <w:t>总价</w:t>
            </w:r>
            <w:r>
              <w:rPr>
                <w:rFonts w:hint="eastAsia" w:ascii="宋体" w:hAnsi="宋体" w:eastAsia="宋体" w:cs="宋体"/>
                <w:b w:val="0"/>
                <w:bCs/>
                <w:color w:val="auto"/>
                <w:sz w:val="24"/>
                <w:szCs w:val="24"/>
                <w:highlight w:val="none"/>
              </w:rPr>
              <w:t>（元）</w:t>
            </w:r>
          </w:p>
        </w:tc>
        <w:tc>
          <w:tcPr>
            <w:tcW w:w="1091" w:type="dxa"/>
            <w:vAlign w:val="center"/>
          </w:tcPr>
          <w:p w14:paraId="6386598F">
            <w:pPr>
              <w:shd w:val="clear"/>
              <w:jc w:val="center"/>
              <w:rPr>
                <w:rFonts w:hint="eastAsia"/>
                <w:b w:val="0"/>
                <w:bCs/>
                <w:color w:val="auto"/>
                <w:szCs w:val="21"/>
                <w:highlight w:val="none"/>
                <w:u w:val="none"/>
                <w:vertAlign w:val="baseline"/>
                <w:lang w:val="zh-CN"/>
              </w:rPr>
            </w:pPr>
          </w:p>
        </w:tc>
      </w:tr>
    </w:tbl>
    <w:p w14:paraId="111A8E1A">
      <w:pPr>
        <w:shd w:val="clear"/>
        <w:spacing w:line="300" w:lineRule="auto"/>
        <w:rPr>
          <w:rFonts w:ascii="Arial" w:hAnsi="Arial" w:cs="Arial"/>
          <w:color w:val="auto"/>
          <w:szCs w:val="21"/>
          <w:highlight w:val="none"/>
        </w:rPr>
      </w:pPr>
    </w:p>
    <w:p w14:paraId="51101AF7">
      <w:pPr>
        <w:shd w:val="clear"/>
        <w:spacing w:line="300" w:lineRule="auto"/>
        <w:rPr>
          <w:rFonts w:ascii="Arial" w:hAnsi="Arial" w:cs="Arial"/>
          <w:color w:val="auto"/>
          <w:szCs w:val="21"/>
          <w:highlight w:val="none"/>
        </w:rPr>
      </w:pPr>
      <w:r>
        <w:rPr>
          <w:rFonts w:hint="eastAsia" w:ascii="Arial" w:hAnsi="Arial" w:cs="Arial"/>
          <w:color w:val="auto"/>
          <w:szCs w:val="21"/>
          <w:highlight w:val="none"/>
          <w:lang w:val="en-US" w:eastAsia="zh-CN"/>
        </w:rPr>
        <w:t>供应商</w:t>
      </w:r>
      <w:r>
        <w:rPr>
          <w:rFonts w:ascii="Arial" w:hAnsi="Arial" w:cs="Arial"/>
          <w:color w:val="auto"/>
          <w:szCs w:val="21"/>
          <w:highlight w:val="none"/>
        </w:rPr>
        <w:t>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w:t>
      </w:r>
      <w:r>
        <w:rPr>
          <w:rFonts w:hint="eastAsia" w:ascii="宋体" w:hAnsi="宋体" w:eastAsia="宋体" w:cs="宋体"/>
          <w:color w:val="auto"/>
          <w:kern w:val="0"/>
          <w:sz w:val="24"/>
          <w:szCs w:val="24"/>
          <w:highlight w:val="none"/>
          <w:lang w:eastAsia="zh-CN"/>
        </w:rPr>
        <w:t>章）</w:t>
      </w:r>
      <w:r>
        <w:rPr>
          <w:rFonts w:ascii="Arial" w:hAnsi="Arial" w:cs="Arial"/>
          <w:color w:val="auto"/>
          <w:szCs w:val="21"/>
          <w:highlight w:val="none"/>
        </w:rPr>
        <w:t>：</w:t>
      </w:r>
    </w:p>
    <w:p w14:paraId="2F327AC4">
      <w:pPr>
        <w:shd w:val="clear"/>
        <w:spacing w:line="300" w:lineRule="auto"/>
        <w:rPr>
          <w:rFonts w:ascii="Arial" w:hAnsi="Arial" w:cs="Arial"/>
          <w:color w:val="auto"/>
          <w:szCs w:val="21"/>
          <w:highlight w:val="none"/>
        </w:rPr>
      </w:pPr>
      <w:r>
        <w:rPr>
          <w:rFonts w:ascii="Arial" w:hAnsi="Arial" w:cs="Arial"/>
          <w:color w:val="auto"/>
          <w:szCs w:val="21"/>
          <w:highlight w:val="none"/>
        </w:rPr>
        <w:t>日期：</w:t>
      </w:r>
    </w:p>
    <w:p w14:paraId="27628D55">
      <w:pPr>
        <w:shd w:val="clear"/>
        <w:spacing w:line="240" w:lineRule="auto"/>
        <w:rPr>
          <w:rFonts w:hint="eastAsia" w:ascii="宋体" w:hAnsi="宋体" w:eastAsia="宋体" w:cs="宋体"/>
          <w:b/>
          <w:color w:val="auto"/>
          <w:sz w:val="24"/>
          <w:szCs w:val="24"/>
          <w:highlight w:val="none"/>
          <w:lang w:eastAsia="zh-CN"/>
        </w:rPr>
      </w:pPr>
    </w:p>
    <w:p w14:paraId="4681585F">
      <w:pPr>
        <w:shd w:val="clea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eastAsia="zh-CN"/>
        </w:rPr>
        <w:t>注：</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w:t>
      </w:r>
      <w:r>
        <w:rPr>
          <w:rFonts w:hint="eastAsia" w:cs="宋体"/>
          <w:color w:val="auto"/>
          <w:sz w:val="21"/>
          <w:szCs w:val="21"/>
          <w:highlight w:val="none"/>
          <w:lang w:val="en-US" w:eastAsia="zh-CN"/>
        </w:rPr>
        <w:t>总</w:t>
      </w:r>
      <w:r>
        <w:rPr>
          <w:rFonts w:hint="default" w:ascii="宋体" w:hAnsi="宋体" w:eastAsia="宋体" w:cs="宋体"/>
          <w:color w:val="auto"/>
          <w:sz w:val="21"/>
          <w:szCs w:val="21"/>
          <w:highlight w:val="none"/>
          <w:lang w:val="en-US" w:eastAsia="zh-CN"/>
        </w:rPr>
        <w:t>价填写到</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报价</w:t>
      </w:r>
      <w:r>
        <w:rPr>
          <w:rFonts w:hint="eastAsia" w:ascii="宋体" w:hAnsi="宋体" w:eastAsia="宋体" w:cs="宋体"/>
          <w:color w:val="auto"/>
          <w:sz w:val="21"/>
          <w:szCs w:val="21"/>
          <w:highlight w:val="none"/>
          <w:lang w:val="en-US" w:eastAsia="zh-CN"/>
        </w:rPr>
        <w:t>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“谈判报价”</w:t>
      </w:r>
      <w:r>
        <w:rPr>
          <w:rFonts w:hint="default" w:ascii="宋体" w:hAnsi="宋体" w:eastAsia="宋体" w:cs="宋体"/>
          <w:color w:val="auto"/>
          <w:sz w:val="21"/>
          <w:szCs w:val="21"/>
          <w:highlight w:val="none"/>
          <w:lang w:val="en-US" w:eastAsia="zh-CN"/>
        </w:rPr>
        <w:t>栏中。</w:t>
      </w:r>
    </w:p>
    <w:p w14:paraId="6B43AF2E">
      <w:pPr>
        <w:shd w:val="clear"/>
        <w:spacing w:line="360" w:lineRule="auto"/>
        <w:ind w:firstLine="420" w:firstLineChars="200"/>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表中所列货物为对应本项目需求的全部货物及所需附件购置费、包装费、运输费、人工费、保险费、安装调试费、各种税费、资料费、售后服务费及完成项目应有的全部费用。如有漏项或缺项，供应商承担全部责任。</w:t>
      </w:r>
    </w:p>
    <w:p w14:paraId="06F958AB">
      <w:pPr>
        <w:keepNext w:val="0"/>
        <w:keepLines w:val="0"/>
        <w:pageBreakBefore w:val="0"/>
        <w:widowControl w:val="0"/>
        <w:shd w:val="clear"/>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.表中须明确列出所投产品的</w:t>
      </w:r>
      <w:r>
        <w:rPr>
          <w:rFonts w:hint="eastAsia" w:cs="宋体"/>
          <w:color w:val="auto"/>
          <w:sz w:val="21"/>
          <w:szCs w:val="21"/>
          <w:highlight w:val="none"/>
          <w:lang w:val="en-US" w:eastAsia="zh-CN"/>
        </w:rPr>
        <w:t>分项</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制造商、</w:t>
      </w:r>
      <w:r>
        <w:rPr>
          <w:rFonts w:hint="eastAsia" w:cs="宋体"/>
          <w:b w:val="0"/>
          <w:bCs/>
          <w:color w:val="auto"/>
          <w:sz w:val="21"/>
          <w:szCs w:val="21"/>
          <w:highlight w:val="none"/>
          <w:lang w:val="en-US" w:eastAsia="zh-CN"/>
        </w:rPr>
        <w:t>产地/国别、</w:t>
      </w:r>
      <w:r>
        <w:rPr>
          <w:rFonts w:hint="eastAsia" w:ascii="宋体" w:hAnsi="宋体" w:eastAsia="宋体" w:cs="宋体"/>
          <w:b w:val="0"/>
          <w:bCs/>
          <w:color w:val="auto"/>
          <w:sz w:val="21"/>
          <w:szCs w:val="21"/>
          <w:highlight w:val="none"/>
          <w:lang w:val="en-US" w:eastAsia="zh-CN"/>
        </w:rPr>
        <w:t>制造商统一社会信用代码</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制造商规模</w:t>
      </w:r>
      <w:r>
        <w:rPr>
          <w:rFonts w:hint="eastAsia" w:cs="宋体"/>
          <w:b w:val="0"/>
          <w:bCs/>
          <w:color w:val="auto"/>
          <w:sz w:val="21"/>
          <w:szCs w:val="21"/>
          <w:highlight w:val="none"/>
          <w:lang w:val="en-US" w:eastAsia="zh-CN"/>
        </w:rPr>
        <w:t>、制造商所属性别、外商投资类型、</w:t>
      </w:r>
      <w:r>
        <w:rPr>
          <w:rFonts w:hint="eastAsia" w:ascii="宋体" w:hAnsi="宋体" w:eastAsia="宋体" w:cs="宋体"/>
          <w:color w:val="auto"/>
          <w:sz w:val="21"/>
          <w:szCs w:val="21"/>
          <w:highlight w:val="none"/>
        </w:rPr>
        <w:t>品牌、</w:t>
      </w:r>
      <w:r>
        <w:rPr>
          <w:rFonts w:hint="eastAsia" w:cs="宋体"/>
          <w:color w:val="auto"/>
          <w:sz w:val="21"/>
          <w:szCs w:val="21"/>
          <w:highlight w:val="none"/>
          <w:lang w:eastAsia="zh-CN"/>
        </w:rPr>
        <w:t>规格、</w:t>
      </w:r>
      <w:r>
        <w:rPr>
          <w:rFonts w:hint="eastAsia" w:ascii="宋体" w:hAnsi="宋体" w:eastAsia="宋体" w:cs="宋体"/>
          <w:color w:val="auto"/>
          <w:sz w:val="21"/>
          <w:szCs w:val="21"/>
          <w:highlight w:val="none"/>
        </w:rPr>
        <w:t>型号、</w:t>
      </w:r>
      <w:r>
        <w:rPr>
          <w:rFonts w:hint="eastAsia" w:cs="宋体"/>
          <w:color w:val="auto"/>
          <w:sz w:val="21"/>
          <w:szCs w:val="21"/>
          <w:highlight w:val="none"/>
          <w:lang w:eastAsia="zh-CN"/>
        </w:rPr>
        <w:t>单价、数量、</w:t>
      </w:r>
      <w:r>
        <w:rPr>
          <w:rFonts w:hint="eastAsia" w:cs="宋体"/>
          <w:color w:val="auto"/>
          <w:sz w:val="21"/>
          <w:szCs w:val="21"/>
          <w:highlight w:val="none"/>
          <w:lang w:val="en-US" w:eastAsia="zh-CN"/>
        </w:rPr>
        <w:t>合价等</w:t>
      </w:r>
      <w:r>
        <w:rPr>
          <w:rFonts w:hint="eastAsia" w:ascii="宋体" w:hAnsi="宋体" w:eastAsia="宋体" w:cs="宋体"/>
          <w:color w:val="auto"/>
          <w:sz w:val="21"/>
          <w:szCs w:val="21"/>
          <w:highlight w:val="none"/>
        </w:rPr>
        <w:t>，否则可能导致</w:t>
      </w:r>
      <w:r>
        <w:rPr>
          <w:rFonts w:hint="eastAsia" w:ascii="宋体" w:hAnsi="宋体" w:eastAsia="宋体" w:cs="宋体"/>
          <w:b/>
          <w:bCs/>
          <w:color w:val="auto"/>
          <w:sz w:val="21"/>
          <w:szCs w:val="21"/>
          <w:highlight w:val="none"/>
        </w:rPr>
        <w:t>响应无效</w:t>
      </w:r>
      <w:r>
        <w:rPr>
          <w:rFonts w:hint="eastAsia" w:ascii="宋体" w:hAnsi="宋体" w:eastAsia="宋体" w:cs="宋体"/>
          <w:color w:val="auto"/>
          <w:sz w:val="21"/>
          <w:szCs w:val="21"/>
          <w:highlight w:val="none"/>
        </w:rPr>
        <w:t>。</w:t>
      </w:r>
    </w:p>
    <w:p w14:paraId="66C30DF1">
      <w:pPr>
        <w:keepNext w:val="0"/>
        <w:keepLines w:val="0"/>
        <w:widowControl/>
        <w:suppressLineNumbers w:val="0"/>
        <w:shd w:val="clear"/>
        <w:jc w:val="left"/>
        <w:rPr>
          <w:rFonts w:hint="eastAsia" w:ascii="宋体" w:hAnsi="宋体" w:eastAsia="宋体" w:cs="宋体"/>
          <w:b/>
          <w:bCs/>
          <w:i w:val="0"/>
          <w:iCs w:val="0"/>
          <w:color w:val="auto"/>
          <w:kern w:val="0"/>
          <w:sz w:val="21"/>
          <w:szCs w:val="21"/>
          <w:highlight w:val="none"/>
          <w:lang w:val="en-US" w:eastAsia="zh-CN" w:bidi="ar"/>
        </w:rPr>
      </w:pPr>
    </w:p>
    <w:p w14:paraId="25FACF75">
      <w:pPr>
        <w:keepNext w:val="0"/>
        <w:keepLines w:val="0"/>
        <w:widowControl/>
        <w:suppressLineNumbers w:val="0"/>
        <w:shd w:val="clear"/>
        <w:jc w:val="left"/>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填写说明：</w:t>
      </w:r>
      <w:r>
        <w:rPr>
          <w:rFonts w:hint="eastAsia" w:ascii="宋体" w:hAnsi="宋体" w:eastAsia="宋体" w:cs="宋体"/>
          <w:b w:val="0"/>
          <w:bCs w:val="0"/>
          <w:i w:val="0"/>
          <w:iCs w:val="0"/>
          <w:color w:val="auto"/>
          <w:kern w:val="0"/>
          <w:sz w:val="21"/>
          <w:szCs w:val="21"/>
          <w:highlight w:val="none"/>
          <w:lang w:val="en-US" w:eastAsia="zh-CN" w:bidi="ar"/>
        </w:rPr>
        <w:t>1、</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制造商规模</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请填写“大型”、“中型”、“小型”、“微型”或“其他”，且不应与《中小企业声明函》或《拟分包情况说明》中内容矛盾。</w:t>
      </w:r>
    </w:p>
    <w:p w14:paraId="7811222F">
      <w:pPr>
        <w:keepNext w:val="0"/>
        <w:keepLines w:val="0"/>
        <w:widowControl/>
        <w:suppressLineNumbers w:val="0"/>
        <w:shd w:val="clear"/>
        <w:ind w:firstLine="1050" w:firstLineChars="500"/>
        <w:jc w:val="left"/>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按</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 xml:space="preserve">商实际控制人性别划分请填写“男”或“女”，指拥有制造商 51%以上绝对所有权的性别；绝对所有权拥有者可以是一个人，也可以是多人合计计算。 </w:t>
      </w:r>
    </w:p>
    <w:p w14:paraId="1549D4BD">
      <w:pPr>
        <w:shd w:val="clear"/>
        <w:spacing w:line="300" w:lineRule="auto"/>
        <w:ind w:firstLine="1050" w:firstLineChars="500"/>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外商投资类型</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请填写“外商单独投资”、“外商部分投资”或“内资”。</w:t>
      </w:r>
      <w:bookmarkStart w:id="573" w:name="_Toc4379"/>
    </w:p>
    <w:p w14:paraId="4DDBE92D">
      <w:pPr>
        <w:shd w:val="clear"/>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br w:type="page"/>
      </w:r>
    </w:p>
    <w:bookmarkEnd w:id="573"/>
    <w:p w14:paraId="2C323B69">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574" w:name="_Toc11961"/>
      <w:r>
        <w:rPr>
          <w:rFonts w:hint="eastAsia" w:cstheme="majorBidi"/>
          <w:b/>
          <w:bCs/>
          <w:color w:val="auto"/>
          <w:kern w:val="2"/>
          <w:sz w:val="32"/>
          <w:szCs w:val="32"/>
          <w:highlight w:val="none"/>
          <w:lang w:val="en-US" w:eastAsia="zh-CN" w:bidi="ar-SA"/>
        </w:rPr>
        <w:t>三、关于符合本国产品标准的声明函或财政部规定的其他</w:t>
      </w:r>
      <w:bookmarkEnd w:id="574"/>
    </w:p>
    <w:p w14:paraId="478C52C4">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575" w:name="_Toc3"/>
      <w:r>
        <w:rPr>
          <w:rFonts w:hint="eastAsia" w:cstheme="majorBidi"/>
          <w:b/>
          <w:bCs/>
          <w:color w:val="auto"/>
          <w:kern w:val="2"/>
          <w:sz w:val="32"/>
          <w:szCs w:val="32"/>
          <w:highlight w:val="none"/>
          <w:lang w:val="en-US" w:eastAsia="zh-CN" w:bidi="ar-SA"/>
        </w:rPr>
        <w:t>证明文件</w:t>
      </w:r>
      <w:bookmarkEnd w:id="575"/>
    </w:p>
    <w:p w14:paraId="6FF3AA7F">
      <w:pPr>
        <w:shd w:val="clear"/>
        <w:rPr>
          <w:rFonts w:hint="default" w:cs="宋体"/>
          <w:color w:val="auto"/>
          <w:spacing w:val="6"/>
          <w:sz w:val="21"/>
          <w:szCs w:val="21"/>
          <w:highlight w:val="none"/>
          <w:lang w:val="en-US" w:eastAsia="zh-CN"/>
        </w:rPr>
      </w:pPr>
      <w:r>
        <w:rPr>
          <w:rFonts w:hint="eastAsia" w:cs="宋体"/>
          <w:color w:val="auto"/>
          <w:spacing w:val="6"/>
          <w:sz w:val="21"/>
          <w:szCs w:val="21"/>
          <w:highlight w:val="none"/>
          <w:lang w:val="en-US" w:eastAsia="zh-CN"/>
        </w:rPr>
        <w:t>附件1</w:t>
      </w:r>
    </w:p>
    <w:p w14:paraId="5676474C">
      <w:pPr>
        <w:keepNext w:val="0"/>
        <w:keepLines w:val="0"/>
        <w:widowControl/>
        <w:suppressLineNumbers w:val="0"/>
        <w:shd w:val="clear"/>
        <w:ind w:firstLine="482" w:firstLineChars="200"/>
        <w:jc w:val="center"/>
        <w:rPr>
          <w:rFonts w:hint="eastAsia" w:ascii="宋体" w:hAnsi="宋体" w:eastAsia="宋体" w:cs="宋体"/>
          <w:color w:val="auto"/>
          <w:kern w:val="0"/>
          <w:sz w:val="24"/>
          <w:szCs w:val="24"/>
          <w:highlight w:val="none"/>
          <w:lang w:val="en-US" w:eastAsia="zh-CN" w:bidi="ar"/>
        </w:rPr>
      </w:pPr>
      <w:r>
        <w:rPr>
          <w:rFonts w:hint="eastAsia" w:cs="宋体"/>
          <w:b/>
          <w:bCs/>
          <w:color w:val="auto"/>
          <w:kern w:val="0"/>
          <w:sz w:val="24"/>
          <w:szCs w:val="24"/>
          <w:highlight w:val="none"/>
          <w:lang w:val="en-US" w:eastAsia="zh-CN" w:bidi="ar"/>
        </w:rPr>
        <w:t>（一）</w:t>
      </w:r>
      <w:r>
        <w:rPr>
          <w:rFonts w:hint="eastAsia" w:ascii="宋体" w:hAnsi="宋体" w:eastAsia="宋体" w:cs="宋体"/>
          <w:b/>
          <w:bCs/>
          <w:color w:val="auto"/>
          <w:kern w:val="0"/>
          <w:sz w:val="24"/>
          <w:szCs w:val="24"/>
          <w:highlight w:val="none"/>
          <w:lang w:val="en-US" w:eastAsia="zh-CN" w:bidi="ar"/>
        </w:rPr>
        <w:t>关于符合本国产品标准的声明函</w:t>
      </w:r>
    </w:p>
    <w:p w14:paraId="4E43082D">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本公司（单位）郑重声明，根据《国务院办公厅关于在政府采购中实施本国产品标准及相关政策的通知》（国办发〔2025〕34号）的规定，本公司（单位）提供的以下产品属于本国产品。具体情况如下：</w:t>
      </w:r>
    </w:p>
    <w:p w14:paraId="57EC3BEC">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u w:val="single"/>
          <w:lang w:val="en-US" w:eastAsia="zh-CN" w:bidi="ar"/>
        </w:rPr>
        <w:t>（产品名称1）</w:t>
      </w:r>
      <w:r>
        <w:rPr>
          <w:rFonts w:hint="eastAsia" w:ascii="宋体" w:hAnsi="宋体" w:eastAsia="宋体" w:cs="宋体"/>
          <w:color w:val="auto"/>
          <w:kern w:val="0"/>
          <w:sz w:val="21"/>
          <w:szCs w:val="21"/>
          <w:highlight w:val="none"/>
          <w:lang w:val="en-US" w:eastAsia="zh-CN" w:bidi="ar"/>
        </w:rPr>
        <w:t>1，生产厂为</w:t>
      </w:r>
      <w:r>
        <w:rPr>
          <w:rFonts w:hint="eastAsia" w:ascii="宋体" w:hAnsi="宋体" w:eastAsia="宋体" w:cs="宋体"/>
          <w:color w:val="auto"/>
          <w:kern w:val="0"/>
          <w:sz w:val="21"/>
          <w:szCs w:val="21"/>
          <w:highlight w:val="none"/>
          <w:u w:val="single"/>
          <w:lang w:val="en-US" w:eastAsia="zh-CN" w:bidi="ar"/>
        </w:rPr>
        <w:t>（厂名）</w:t>
      </w:r>
      <w:r>
        <w:rPr>
          <w:rFonts w:hint="eastAsia" w:ascii="宋体" w:hAnsi="宋体" w:eastAsia="宋体" w:cs="宋体"/>
          <w:color w:val="auto"/>
          <w:kern w:val="0"/>
          <w:sz w:val="21"/>
          <w:szCs w:val="21"/>
          <w:highlight w:val="none"/>
          <w:lang w:val="en-US" w:eastAsia="zh-CN" w:bidi="ar"/>
        </w:rPr>
        <w:t>2，厂址为</w:t>
      </w:r>
      <w:r>
        <w:rPr>
          <w:rFonts w:hint="eastAsia" w:ascii="宋体" w:hAnsi="宋体" w:eastAsia="宋体" w:cs="宋体"/>
          <w:color w:val="auto"/>
          <w:kern w:val="0"/>
          <w:sz w:val="21"/>
          <w:szCs w:val="21"/>
          <w:highlight w:val="none"/>
          <w:u w:val="single"/>
          <w:lang w:val="en-US" w:eastAsia="zh-CN" w:bidi="ar"/>
        </w:rPr>
        <w:t>（生产厂址）</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（产品名称1）</w:t>
      </w:r>
      <w:r>
        <w:rPr>
          <w:rFonts w:hint="eastAsia" w:ascii="宋体" w:hAnsi="宋体" w:eastAsia="宋体" w:cs="宋体"/>
          <w:color w:val="auto"/>
          <w:kern w:val="0"/>
          <w:sz w:val="21"/>
          <w:szCs w:val="21"/>
          <w:highlight w:val="none"/>
          <w:lang w:val="en-US" w:eastAsia="zh-CN" w:bidi="ar"/>
        </w:rPr>
        <w:t>的中国境内生产的组件成本占比≥</w:t>
      </w:r>
      <w:r>
        <w:rPr>
          <w:rFonts w:hint="eastAsia" w:ascii="宋体" w:hAnsi="宋体" w:eastAsia="宋体" w:cs="宋体"/>
          <w:color w:val="auto"/>
          <w:kern w:val="0"/>
          <w:sz w:val="21"/>
          <w:szCs w:val="21"/>
          <w:highlight w:val="none"/>
          <w:u w:val="single"/>
          <w:lang w:val="en-US" w:eastAsia="zh-CN" w:bidi="ar"/>
        </w:rPr>
        <w:t>（规定比例）</w:t>
      </w: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u w:val="single"/>
          <w:lang w:val="en-US" w:eastAsia="zh-CN" w:bidi="ar"/>
        </w:rPr>
        <w:t>（产品名称1）</w:t>
      </w:r>
      <w:r>
        <w:rPr>
          <w:rFonts w:hint="eastAsia" w:ascii="宋体" w:hAnsi="宋体" w:eastAsia="宋体" w:cs="宋体"/>
          <w:color w:val="auto"/>
          <w:kern w:val="0"/>
          <w:sz w:val="21"/>
          <w:szCs w:val="21"/>
          <w:highlight w:val="none"/>
          <w:lang w:val="en-US" w:eastAsia="zh-CN" w:bidi="ar"/>
        </w:rPr>
        <w:t>的</w:t>
      </w:r>
      <w:r>
        <w:rPr>
          <w:rFonts w:hint="eastAsia" w:ascii="宋体" w:hAnsi="宋体" w:eastAsia="宋体" w:cs="宋体"/>
          <w:color w:val="auto"/>
          <w:kern w:val="0"/>
          <w:sz w:val="21"/>
          <w:szCs w:val="21"/>
          <w:highlight w:val="none"/>
          <w:u w:val="single"/>
          <w:lang w:val="en-US" w:eastAsia="zh-CN" w:bidi="ar"/>
        </w:rPr>
        <w:t>（关键组件）</w:t>
      </w:r>
      <w:r>
        <w:rPr>
          <w:rFonts w:hint="eastAsia" w:ascii="宋体" w:hAnsi="宋体" w:eastAsia="宋体" w:cs="宋体"/>
          <w:color w:val="auto"/>
          <w:kern w:val="0"/>
          <w:sz w:val="21"/>
          <w:szCs w:val="21"/>
          <w:highlight w:val="none"/>
          <w:lang w:val="en-US" w:eastAsia="zh-CN" w:bidi="ar"/>
        </w:rPr>
        <w:t>4在中国境内生产。</w:t>
      </w:r>
      <w:r>
        <w:rPr>
          <w:rFonts w:hint="eastAsia" w:ascii="宋体" w:hAnsi="宋体" w:eastAsia="宋体" w:cs="宋体"/>
          <w:color w:val="auto"/>
          <w:kern w:val="0"/>
          <w:sz w:val="21"/>
          <w:szCs w:val="21"/>
          <w:highlight w:val="none"/>
          <w:u w:val="single"/>
          <w:lang w:val="en-US" w:eastAsia="zh-CN" w:bidi="ar"/>
        </w:rPr>
        <w:t>（产品名称1）</w:t>
      </w:r>
      <w:r>
        <w:rPr>
          <w:rFonts w:hint="eastAsia" w:ascii="宋体" w:hAnsi="宋体" w:eastAsia="宋体" w:cs="宋体"/>
          <w:color w:val="auto"/>
          <w:kern w:val="0"/>
          <w:sz w:val="21"/>
          <w:szCs w:val="21"/>
          <w:highlight w:val="none"/>
          <w:lang w:val="en-US" w:eastAsia="zh-CN" w:bidi="ar"/>
        </w:rPr>
        <w:t>的</w:t>
      </w:r>
      <w:r>
        <w:rPr>
          <w:rFonts w:hint="eastAsia" w:ascii="宋体" w:hAnsi="宋体" w:eastAsia="宋体" w:cs="宋体"/>
          <w:color w:val="auto"/>
          <w:kern w:val="0"/>
          <w:sz w:val="21"/>
          <w:szCs w:val="21"/>
          <w:highlight w:val="none"/>
          <w:u w:val="single"/>
          <w:lang w:val="en-US" w:eastAsia="zh-CN" w:bidi="ar"/>
        </w:rPr>
        <w:t>（关键工序）</w:t>
      </w:r>
      <w:r>
        <w:rPr>
          <w:rFonts w:hint="eastAsia" w:ascii="宋体" w:hAnsi="宋体" w:eastAsia="宋体" w:cs="宋体"/>
          <w:color w:val="auto"/>
          <w:kern w:val="0"/>
          <w:sz w:val="21"/>
          <w:szCs w:val="21"/>
          <w:highlight w:val="none"/>
          <w:lang w:val="en-US" w:eastAsia="zh-CN" w:bidi="ar"/>
        </w:rPr>
        <w:t>5在中国境内完成。</w:t>
      </w:r>
    </w:p>
    <w:p w14:paraId="31678879">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u w:val="single"/>
          <w:lang w:val="en-US" w:eastAsia="zh-CN" w:bidi="ar"/>
        </w:rPr>
        <w:t>（产品名称2）</w:t>
      </w:r>
      <w:r>
        <w:rPr>
          <w:rFonts w:hint="eastAsia" w:ascii="宋体" w:hAnsi="宋体" w:eastAsia="宋体" w:cs="宋体"/>
          <w:color w:val="auto"/>
          <w:kern w:val="0"/>
          <w:sz w:val="21"/>
          <w:szCs w:val="21"/>
          <w:highlight w:val="none"/>
          <w:lang w:val="en-US" w:eastAsia="zh-CN" w:bidi="ar"/>
        </w:rPr>
        <w:t>，生产厂为</w:t>
      </w:r>
      <w:r>
        <w:rPr>
          <w:rFonts w:hint="eastAsia" w:ascii="宋体" w:hAnsi="宋体" w:eastAsia="宋体" w:cs="宋体"/>
          <w:color w:val="auto"/>
          <w:kern w:val="0"/>
          <w:sz w:val="21"/>
          <w:szCs w:val="21"/>
          <w:highlight w:val="none"/>
          <w:u w:val="single"/>
          <w:lang w:val="en-US" w:eastAsia="zh-CN" w:bidi="ar"/>
        </w:rPr>
        <w:t>（厂名）</w:t>
      </w:r>
      <w:r>
        <w:rPr>
          <w:rFonts w:hint="eastAsia" w:ascii="宋体" w:hAnsi="宋体" w:eastAsia="宋体" w:cs="宋体"/>
          <w:color w:val="auto"/>
          <w:kern w:val="0"/>
          <w:sz w:val="21"/>
          <w:szCs w:val="21"/>
          <w:highlight w:val="none"/>
          <w:lang w:val="en-US" w:eastAsia="zh-CN" w:bidi="ar"/>
        </w:rPr>
        <w:t>，厂址为</w:t>
      </w:r>
      <w:r>
        <w:rPr>
          <w:rFonts w:hint="eastAsia" w:ascii="宋体" w:hAnsi="宋体" w:eastAsia="宋体" w:cs="宋体"/>
          <w:color w:val="auto"/>
          <w:kern w:val="0"/>
          <w:sz w:val="21"/>
          <w:szCs w:val="21"/>
          <w:highlight w:val="none"/>
          <w:u w:val="single"/>
          <w:lang w:val="en-US" w:eastAsia="zh-CN" w:bidi="ar"/>
        </w:rPr>
        <w:t>（生产厂址）</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（产品名称2）</w:t>
      </w:r>
      <w:r>
        <w:rPr>
          <w:rFonts w:hint="eastAsia" w:ascii="宋体" w:hAnsi="宋体" w:eastAsia="宋体" w:cs="宋体"/>
          <w:color w:val="auto"/>
          <w:kern w:val="0"/>
          <w:sz w:val="21"/>
          <w:szCs w:val="21"/>
          <w:highlight w:val="none"/>
          <w:lang w:val="en-US" w:eastAsia="zh-CN" w:bidi="ar"/>
        </w:rPr>
        <w:t>的中国境内生产的组件成本占比≥</w:t>
      </w:r>
      <w:r>
        <w:rPr>
          <w:rFonts w:hint="eastAsia" w:ascii="宋体" w:hAnsi="宋体" w:eastAsia="宋体" w:cs="宋体"/>
          <w:color w:val="auto"/>
          <w:kern w:val="0"/>
          <w:sz w:val="21"/>
          <w:szCs w:val="21"/>
          <w:highlight w:val="none"/>
          <w:u w:val="single"/>
          <w:lang w:val="en-US" w:eastAsia="zh-CN" w:bidi="ar"/>
        </w:rPr>
        <w:t>（规定比例）</w:t>
      </w:r>
      <w:r>
        <w:rPr>
          <w:rFonts w:hint="eastAsia" w:ascii="宋体" w:hAnsi="宋体" w:eastAsia="宋体"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u w:val="single"/>
          <w:lang w:val="en-US" w:eastAsia="zh-CN" w:bidi="ar"/>
        </w:rPr>
        <w:t>（产品名称2）</w:t>
      </w:r>
      <w:r>
        <w:rPr>
          <w:rFonts w:hint="eastAsia" w:ascii="宋体" w:hAnsi="宋体" w:eastAsia="宋体" w:cs="宋体"/>
          <w:color w:val="auto"/>
          <w:kern w:val="0"/>
          <w:sz w:val="21"/>
          <w:szCs w:val="21"/>
          <w:highlight w:val="none"/>
          <w:lang w:val="en-US" w:eastAsia="zh-CN" w:bidi="ar"/>
        </w:rPr>
        <w:t>的</w:t>
      </w:r>
      <w:r>
        <w:rPr>
          <w:rFonts w:hint="eastAsia" w:ascii="宋体" w:hAnsi="宋体" w:eastAsia="宋体" w:cs="宋体"/>
          <w:color w:val="auto"/>
          <w:kern w:val="0"/>
          <w:sz w:val="21"/>
          <w:szCs w:val="21"/>
          <w:highlight w:val="none"/>
          <w:u w:val="single"/>
          <w:lang w:val="en-US" w:eastAsia="zh-CN" w:bidi="ar"/>
        </w:rPr>
        <w:t>（关键组件）</w:t>
      </w:r>
      <w:r>
        <w:rPr>
          <w:rFonts w:hint="eastAsia" w:ascii="宋体" w:hAnsi="宋体" w:eastAsia="宋体" w:cs="宋体"/>
          <w:color w:val="auto"/>
          <w:kern w:val="0"/>
          <w:sz w:val="21"/>
          <w:szCs w:val="21"/>
          <w:highlight w:val="none"/>
          <w:lang w:val="en-US" w:eastAsia="zh-CN" w:bidi="ar"/>
        </w:rPr>
        <w:t>在中国境内生产。</w:t>
      </w:r>
      <w:r>
        <w:rPr>
          <w:rFonts w:hint="eastAsia" w:ascii="宋体" w:hAnsi="宋体" w:eastAsia="宋体" w:cs="宋体"/>
          <w:color w:val="auto"/>
          <w:kern w:val="0"/>
          <w:sz w:val="21"/>
          <w:szCs w:val="21"/>
          <w:highlight w:val="none"/>
          <w:u w:val="single"/>
          <w:lang w:val="en-US" w:eastAsia="zh-CN" w:bidi="ar"/>
        </w:rPr>
        <w:t>（产品名称2）</w:t>
      </w:r>
      <w:r>
        <w:rPr>
          <w:rFonts w:hint="eastAsia" w:ascii="宋体" w:hAnsi="宋体" w:eastAsia="宋体" w:cs="宋体"/>
          <w:color w:val="auto"/>
          <w:kern w:val="0"/>
          <w:sz w:val="21"/>
          <w:szCs w:val="21"/>
          <w:highlight w:val="none"/>
          <w:lang w:val="en-US" w:eastAsia="zh-CN" w:bidi="ar"/>
        </w:rPr>
        <w:t>的（关键工序）在中国境内完成。</w:t>
      </w:r>
    </w:p>
    <w:p w14:paraId="39D5F96B">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w:t>
      </w:r>
    </w:p>
    <w:p w14:paraId="0D9C897B">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本公司（单位）对上述声明内容的真实性负责。如有虚假，愿承担相应法律责任。</w:t>
      </w:r>
    </w:p>
    <w:p w14:paraId="1ADA7C7D">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p>
    <w:p w14:paraId="10BFACF5">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公司（单位）名称（盖章）：　        </w:t>
      </w:r>
    </w:p>
    <w:p w14:paraId="7EB9AE85">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日期：　     年　  月　  日         </w:t>
      </w:r>
    </w:p>
    <w:p w14:paraId="72A84A28">
      <w:pPr>
        <w:keepNext w:val="0"/>
        <w:keepLines w:val="0"/>
        <w:widowControl/>
        <w:suppressLineNumbers w:val="0"/>
        <w:shd w:val="clear"/>
        <w:ind w:firstLine="420" w:firstLineChars="200"/>
        <w:jc w:val="left"/>
        <w:rPr>
          <w:rFonts w:hint="eastAsia" w:ascii="宋体" w:hAnsi="宋体" w:eastAsia="宋体" w:cs="宋体"/>
          <w:color w:val="auto"/>
          <w:kern w:val="0"/>
          <w:sz w:val="21"/>
          <w:szCs w:val="21"/>
          <w:highlight w:val="none"/>
          <w:lang w:val="en-US" w:eastAsia="zh-CN" w:bidi="ar"/>
        </w:rPr>
      </w:pPr>
    </w:p>
    <w:p w14:paraId="3C20D06F">
      <w:pPr>
        <w:keepNext w:val="0"/>
        <w:keepLines w:val="0"/>
        <w:widowControl/>
        <w:suppressLineNumbers w:val="0"/>
        <w:shd w:val="clear"/>
        <w:jc w:val="left"/>
        <w:rPr>
          <w:rFonts w:hint="eastAsia" w:ascii="宋体" w:hAnsi="宋体" w:eastAsia="宋体" w:cs="宋体"/>
          <w:color w:val="auto"/>
          <w:kern w:val="0"/>
          <w:sz w:val="21"/>
          <w:szCs w:val="21"/>
          <w:highlight w:val="none"/>
          <w:lang w:val="en-US" w:eastAsia="zh-CN" w:bidi="ar"/>
        </w:rPr>
      </w:pPr>
      <w:r>
        <w:rPr>
          <w:rFonts w:hint="eastAsia" w:cs="宋体"/>
          <w:b/>
          <w:bCs/>
          <w:color w:val="auto"/>
          <w:kern w:val="0"/>
          <w:sz w:val="21"/>
          <w:szCs w:val="21"/>
          <w:highlight w:val="none"/>
          <w:lang w:val="en-US" w:eastAsia="zh-CN" w:bidi="ar"/>
        </w:rPr>
        <w:t>注：</w:t>
      </w:r>
      <w:r>
        <w:rPr>
          <w:rFonts w:hint="eastAsia" w:ascii="宋体" w:hAnsi="宋体" w:eastAsia="宋体" w:cs="宋体"/>
          <w:color w:val="auto"/>
          <w:kern w:val="0"/>
          <w:sz w:val="21"/>
          <w:szCs w:val="21"/>
          <w:highlight w:val="none"/>
          <w:lang w:val="en-US" w:eastAsia="zh-CN" w:bidi="ar"/>
        </w:rPr>
        <w:t>1.产品如有型号，请在“产品名称”栏一并填写。</w:t>
      </w:r>
    </w:p>
    <w:p w14:paraId="78267413">
      <w:pPr>
        <w:keepNext w:val="0"/>
        <w:keepLines w:val="0"/>
        <w:widowControl/>
        <w:suppressLineNumbers w:val="0"/>
        <w:shd w:val="clear"/>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2.生产厂名与厂址应与生产厂营业执照载明的相关信息保持一致。</w:t>
      </w:r>
    </w:p>
    <w:p w14:paraId="497E7BB9">
      <w:pPr>
        <w:keepNext w:val="0"/>
        <w:keepLines w:val="0"/>
        <w:widowControl/>
        <w:suppressLineNumbers w:val="0"/>
        <w:shd w:val="clear"/>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3.该产品的中国境内生产的组件成本占比相关要求实施前，“规定比例”栏可不填，下同。</w:t>
      </w:r>
    </w:p>
    <w:p w14:paraId="509B4ACE">
      <w:pPr>
        <w:keepNext w:val="0"/>
        <w:keepLines w:val="0"/>
        <w:widowControl/>
        <w:suppressLineNumbers w:val="0"/>
        <w:shd w:val="clear"/>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4.该产品的关键组件要求实施前，“关键组件”栏可不填，下同。</w:t>
      </w:r>
    </w:p>
    <w:p w14:paraId="301AB172">
      <w:pPr>
        <w:keepNext w:val="0"/>
        <w:keepLines w:val="0"/>
        <w:widowControl/>
        <w:suppressLineNumbers w:val="0"/>
        <w:shd w:val="clear"/>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5.该产品的关键工序要求实施前，“关键工序”栏可不填，下同。</w:t>
      </w:r>
    </w:p>
    <w:p w14:paraId="4AE36C1C">
      <w:pPr>
        <w:shd w:val="clear"/>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val="0"/>
          <w:bCs w:val="0"/>
          <w:i w:val="0"/>
          <w:iCs w:val="0"/>
          <w:color w:val="auto"/>
          <w:kern w:val="0"/>
          <w:sz w:val="21"/>
          <w:szCs w:val="21"/>
          <w:highlight w:val="none"/>
          <w:lang w:val="en-US" w:eastAsia="zh-CN" w:bidi="ar"/>
        </w:rPr>
        <w:br w:type="page"/>
      </w:r>
    </w:p>
    <w:p w14:paraId="0F8F4702">
      <w:pPr>
        <w:shd w:val="clear"/>
        <w:rPr>
          <w:rFonts w:hint="default" w:cs="宋体"/>
          <w:color w:val="auto"/>
          <w:spacing w:val="6"/>
          <w:sz w:val="21"/>
          <w:szCs w:val="21"/>
          <w:highlight w:val="none"/>
          <w:lang w:val="en-US" w:eastAsia="zh-CN"/>
        </w:rPr>
      </w:pPr>
      <w:r>
        <w:rPr>
          <w:rFonts w:hint="eastAsia" w:cs="宋体"/>
          <w:color w:val="auto"/>
          <w:spacing w:val="6"/>
          <w:sz w:val="21"/>
          <w:szCs w:val="21"/>
          <w:highlight w:val="none"/>
          <w:lang w:val="en-US" w:eastAsia="zh-CN"/>
        </w:rPr>
        <w:t>附件2</w:t>
      </w:r>
    </w:p>
    <w:p w14:paraId="6662B597">
      <w:pPr>
        <w:shd w:val="clear"/>
        <w:jc w:val="center"/>
        <w:rPr>
          <w:rFonts w:hint="eastAsia" w:ascii="宋体" w:hAnsi="宋体" w:eastAsia="宋体" w:cs="宋体"/>
          <w:b/>
          <w:bCs/>
          <w:color w:val="auto"/>
          <w:kern w:val="0"/>
          <w:sz w:val="24"/>
          <w:szCs w:val="24"/>
          <w:highlight w:val="none"/>
          <w:lang w:val="en-US" w:eastAsia="zh-CN" w:bidi="ar"/>
        </w:rPr>
      </w:pPr>
      <w:r>
        <w:rPr>
          <w:rFonts w:hint="eastAsia" w:cs="宋体"/>
          <w:b/>
          <w:bCs/>
          <w:color w:val="auto"/>
          <w:kern w:val="0"/>
          <w:sz w:val="24"/>
          <w:szCs w:val="24"/>
          <w:highlight w:val="none"/>
          <w:lang w:val="en-US" w:eastAsia="zh-CN" w:bidi="ar"/>
        </w:rPr>
        <w:t>（二）</w:t>
      </w:r>
      <w:r>
        <w:rPr>
          <w:rFonts w:hint="eastAsia" w:ascii="宋体" w:hAnsi="宋体" w:eastAsia="宋体" w:cs="宋体"/>
          <w:b/>
          <w:bCs/>
          <w:color w:val="auto"/>
          <w:kern w:val="0"/>
          <w:sz w:val="24"/>
          <w:szCs w:val="24"/>
          <w:highlight w:val="none"/>
          <w:lang w:val="en-US" w:eastAsia="zh-CN" w:bidi="ar"/>
        </w:rPr>
        <w:t>本国产品成本占比承诺函</w:t>
      </w:r>
    </w:p>
    <w:p w14:paraId="1E46F03A">
      <w:pPr>
        <w:keepNext w:val="0"/>
        <w:keepLines w:val="0"/>
        <w:pageBreakBefore w:val="0"/>
        <w:widowControl w:val="0"/>
        <w:shd w:val="clear"/>
        <w:kinsoku/>
        <w:wordWrap/>
        <w:overflowPunct/>
        <w:topLinePunct w:val="0"/>
        <w:autoSpaceDE/>
        <w:autoSpaceDN/>
        <w:bidi w:val="0"/>
        <w:adjustRightInd/>
        <w:snapToGrid/>
        <w:spacing w:line="640" w:lineRule="exact"/>
        <w:textAlignment w:val="auto"/>
        <w:rPr>
          <w:rFonts w:hint="eastAsia"/>
          <w:color w:val="auto"/>
          <w:sz w:val="24"/>
          <w:szCs w:val="24"/>
          <w:highlight w:val="none"/>
        </w:rPr>
      </w:pPr>
    </w:p>
    <w:p w14:paraId="58B0E73F">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致:[采购人/采购代理机构名称]</w:t>
      </w:r>
    </w:p>
    <w:p w14:paraId="35665E38">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本单位就参与[项目名称      、编号      ]政府采购项目，郑重承诺如下:</w:t>
      </w:r>
    </w:p>
    <w:p w14:paraId="2F0FA20D">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本单位为该项目(或采购包)提供的符合本国产品标准的产品成本之和，占所提供全部产品成本之和的比例为</w:t>
      </w:r>
      <w:r>
        <w:rPr>
          <w:rFonts w:hint="eastAsia" w:cs="宋体"/>
          <w:color w:val="auto"/>
          <w:kern w:val="0"/>
          <w:sz w:val="21"/>
          <w:szCs w:val="21"/>
          <w:highlight w:val="none"/>
          <w:u w:val="single"/>
          <w:lang w:val="en-US" w:eastAsia="zh-CN" w:bidi="ar"/>
        </w:rPr>
        <w:t xml:space="preserve">     </w:t>
      </w:r>
      <w:r>
        <w:rPr>
          <w:rFonts w:hint="eastAsia" w:ascii="宋体" w:hAnsi="宋体" w:eastAsia="宋体" w:cs="宋体"/>
          <w:color w:val="auto"/>
          <w:kern w:val="0"/>
          <w:sz w:val="21"/>
          <w:szCs w:val="21"/>
          <w:highlight w:val="none"/>
          <w:lang w:val="en-US" w:eastAsia="zh-CN" w:bidi="ar"/>
        </w:rPr>
        <w:t>%。本承诺内容真实有效，若存在虚假承诺，愿意承担相应法律责任，放弃中标(成交)资格，并接受政府采购监管部门处罚。</w:t>
      </w:r>
    </w:p>
    <w:p w14:paraId="2FEAB4C6">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p>
    <w:p w14:paraId="23191A52">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承诺人(供应商公章):</w:t>
      </w:r>
    </w:p>
    <w:p w14:paraId="492D49FA">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法定代表人或授权代表签字:</w:t>
      </w:r>
    </w:p>
    <w:p w14:paraId="28BE8647">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日期:  年  月  日</w:t>
      </w:r>
    </w:p>
    <w:p w14:paraId="62B3730C">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p>
    <w:p w14:paraId="49A0CD8B">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p>
    <w:p w14:paraId="4B4300D7">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p>
    <w:p w14:paraId="547ADD6E">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p>
    <w:p w14:paraId="1E91AD67">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p>
    <w:p w14:paraId="1C1085AD">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p>
    <w:p w14:paraId="5ED9EEAD">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p>
    <w:p w14:paraId="1B57883A">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p>
    <w:p w14:paraId="0CC4D559">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p>
    <w:p w14:paraId="23C5A329">
      <w:pPr>
        <w:keepNext w:val="0"/>
        <w:keepLines w:val="0"/>
        <w:widowControl/>
        <w:suppressLineNumbers w:val="0"/>
        <w:shd w:val="clear"/>
        <w:ind w:firstLine="420" w:firstLineChars="200"/>
        <w:jc w:val="both"/>
        <w:rPr>
          <w:rFonts w:hint="eastAsia" w:ascii="宋体" w:hAnsi="宋体" w:eastAsia="宋体" w:cs="宋体"/>
          <w:color w:val="auto"/>
          <w:kern w:val="0"/>
          <w:sz w:val="21"/>
          <w:szCs w:val="21"/>
          <w:highlight w:val="none"/>
          <w:lang w:val="en-US" w:eastAsia="zh-CN" w:bidi="ar"/>
        </w:rPr>
      </w:pPr>
    </w:p>
    <w:p w14:paraId="5E3FA7A7">
      <w:pPr>
        <w:keepNext w:val="0"/>
        <w:keepLines w:val="0"/>
        <w:widowControl/>
        <w:suppressLineNumbers w:val="0"/>
        <w:shd w:val="clear"/>
        <w:jc w:val="both"/>
        <w:rPr>
          <w:rFonts w:hint="default" w:cs="宋体"/>
          <w:strike w:val="0"/>
          <w:dstrike w:val="0"/>
          <w:color w:val="auto"/>
          <w:kern w:val="0"/>
          <w:sz w:val="21"/>
          <w:szCs w:val="21"/>
          <w:highlight w:val="none"/>
          <w:lang w:val="en-US" w:eastAsia="zh-CN" w:bidi="ar"/>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eastAsia" w:ascii="宋体" w:hAnsi="宋体" w:eastAsia="宋体" w:cs="宋体"/>
          <w:b/>
          <w:bCs/>
          <w:strike w:val="0"/>
          <w:dstrike w:val="0"/>
          <w:color w:val="auto"/>
          <w:kern w:val="0"/>
          <w:sz w:val="21"/>
          <w:szCs w:val="21"/>
          <w:highlight w:val="none"/>
          <w:lang w:val="en-US" w:eastAsia="zh-CN" w:bidi="ar"/>
        </w:rPr>
        <w:t>注：</w:t>
      </w:r>
      <w:r>
        <w:rPr>
          <w:rFonts w:hint="eastAsia" w:ascii="宋体" w:hAnsi="宋体" w:eastAsia="宋体" w:cs="宋体"/>
          <w:strike w:val="0"/>
          <w:dstrike w:val="0"/>
          <w:color w:val="auto"/>
          <w:kern w:val="0"/>
          <w:sz w:val="21"/>
          <w:szCs w:val="21"/>
          <w:highlight w:val="none"/>
          <w:lang w:val="en-US" w:eastAsia="zh-CN" w:bidi="ar"/>
        </w:rPr>
        <w:t>若供应商所投产品均符合本国产品标准，且已提供《声明函》，可不填写《承诺函》。</w:t>
      </w:r>
    </w:p>
    <w:p w14:paraId="63DED44F">
      <w:pPr>
        <w:pStyle w:val="59"/>
        <w:keepNext w:val="0"/>
        <w:keepLines w:val="0"/>
        <w:pageBreakBefore w:val="0"/>
        <w:widowControl/>
        <w:shd w:val="clear" w:color="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64FB4B2">
      <w:pPr>
        <w:shd w:val="clea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5EC829F4">
      <w:pPr>
        <w:shd w:val="clear"/>
        <w:autoSpaceDE w:val="0"/>
        <w:autoSpaceDN w:val="0"/>
        <w:adjustRightInd w:val="0"/>
        <w:rPr>
          <w:color w:val="auto"/>
          <w:sz w:val="21"/>
          <w:szCs w:val="24"/>
          <w:highlight w:val="none"/>
        </w:rPr>
      </w:pPr>
    </w:p>
    <w:p w14:paraId="0D39B890">
      <w:pPr>
        <w:shd w:val="clear"/>
        <w:autoSpaceDE w:val="0"/>
        <w:autoSpaceDN w:val="0"/>
        <w:adjustRightInd w:val="0"/>
        <w:rPr>
          <w:color w:val="auto"/>
          <w:sz w:val="21"/>
          <w:szCs w:val="24"/>
          <w:highlight w:val="none"/>
        </w:rPr>
      </w:pPr>
    </w:p>
    <w:p w14:paraId="2314362E">
      <w:pPr>
        <w:shd w:val="clear"/>
        <w:autoSpaceDE w:val="0"/>
        <w:autoSpaceDN w:val="0"/>
        <w:adjustRightInd w:val="0"/>
        <w:jc w:val="center"/>
        <w:rPr>
          <w:color w:val="auto"/>
          <w:sz w:val="21"/>
          <w:szCs w:val="24"/>
          <w:highlight w:val="none"/>
        </w:rPr>
      </w:pPr>
    </w:p>
    <w:p w14:paraId="6E0AECFB">
      <w:pPr>
        <w:pStyle w:val="3"/>
        <w:shd w:val="clear"/>
        <w:bidi w:val="0"/>
        <w:rPr>
          <w:color w:val="auto"/>
          <w:sz w:val="72"/>
          <w:szCs w:val="72"/>
          <w:highlight w:val="none"/>
        </w:rPr>
      </w:pPr>
      <w:bookmarkStart w:id="576" w:name="_Toc32227"/>
      <w:r>
        <w:rPr>
          <w:rFonts w:hint="eastAsia"/>
          <w:color w:val="auto"/>
          <w:sz w:val="72"/>
          <w:szCs w:val="72"/>
          <w:highlight w:val="none"/>
          <w:lang w:val="en-US" w:eastAsia="zh-CN"/>
        </w:rPr>
        <w:t>响 应</w:t>
      </w:r>
      <w:r>
        <w:rPr>
          <w:rFonts w:hint="eastAsia"/>
          <w:color w:val="auto"/>
          <w:sz w:val="72"/>
          <w:szCs w:val="72"/>
          <w:highlight w:val="none"/>
        </w:rPr>
        <w:t xml:space="preserve"> 文 件</w:t>
      </w:r>
      <w:bookmarkEnd w:id="576"/>
    </w:p>
    <w:p w14:paraId="4AF2D630">
      <w:pPr>
        <w:pStyle w:val="3"/>
        <w:shd w:val="clear"/>
        <w:bidi w:val="0"/>
        <w:rPr>
          <w:rFonts w:hint="eastAsia"/>
          <w:color w:val="auto"/>
          <w:sz w:val="72"/>
          <w:szCs w:val="72"/>
          <w:highlight w:val="none"/>
          <w:lang w:val="en-US" w:eastAsia="zh-CN"/>
        </w:rPr>
      </w:pPr>
      <w:bookmarkStart w:id="577" w:name="_Toc19324"/>
      <w:r>
        <w:rPr>
          <w:rFonts w:hint="eastAsia"/>
          <w:color w:val="auto"/>
          <w:sz w:val="72"/>
          <w:szCs w:val="72"/>
          <w:highlight w:val="none"/>
          <w:lang w:val="en-US" w:eastAsia="zh-CN"/>
        </w:rPr>
        <w:t>商务技术文件</w:t>
      </w:r>
      <w:bookmarkEnd w:id="577"/>
    </w:p>
    <w:p w14:paraId="69CDC1D3">
      <w:pPr>
        <w:shd w:val="clear"/>
        <w:autoSpaceDE w:val="0"/>
        <w:autoSpaceDN w:val="0"/>
        <w:adjustRightInd w:val="0"/>
        <w:jc w:val="center"/>
        <w:rPr>
          <w:rFonts w:hint="eastAsia" w:eastAsia="宋体"/>
          <w:color w:val="auto"/>
          <w:sz w:val="36"/>
          <w:szCs w:val="36"/>
          <w:highlight w:val="none"/>
          <w:lang w:eastAsia="zh-CN"/>
        </w:rPr>
      </w:pPr>
    </w:p>
    <w:p w14:paraId="4C52C730">
      <w:pPr>
        <w:pStyle w:val="4"/>
        <w:shd w:val="clear"/>
        <w:rPr>
          <w:color w:val="auto"/>
          <w:sz w:val="21"/>
          <w:szCs w:val="21"/>
          <w:highlight w:val="none"/>
        </w:rPr>
      </w:pPr>
    </w:p>
    <w:p w14:paraId="14C1B3A8">
      <w:pPr>
        <w:shd w:val="clear"/>
        <w:rPr>
          <w:color w:val="auto"/>
          <w:sz w:val="21"/>
          <w:szCs w:val="21"/>
          <w:highlight w:val="none"/>
        </w:rPr>
      </w:pPr>
    </w:p>
    <w:p w14:paraId="15227E06">
      <w:pPr>
        <w:shd w:val="clear"/>
        <w:rPr>
          <w:color w:val="auto"/>
          <w:highlight w:val="none"/>
        </w:rPr>
      </w:pPr>
    </w:p>
    <w:p w14:paraId="41D881B8">
      <w:pPr>
        <w:shd w:val="clear"/>
        <w:autoSpaceDE w:val="0"/>
        <w:autoSpaceDN w:val="0"/>
        <w:adjustRightInd w:val="0"/>
        <w:rPr>
          <w:color w:val="auto"/>
          <w:sz w:val="21"/>
          <w:szCs w:val="21"/>
          <w:highlight w:val="none"/>
        </w:rPr>
      </w:pPr>
    </w:p>
    <w:p w14:paraId="1C7F5439">
      <w:pPr>
        <w:shd w:val="clear"/>
        <w:autoSpaceDE w:val="0"/>
        <w:autoSpaceDN w:val="0"/>
        <w:adjustRightInd w:val="0"/>
        <w:rPr>
          <w:color w:val="auto"/>
          <w:sz w:val="21"/>
          <w:szCs w:val="21"/>
          <w:highlight w:val="none"/>
        </w:rPr>
      </w:pPr>
    </w:p>
    <w:p w14:paraId="037029E5">
      <w:pPr>
        <w:shd w:val="clea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lang w:val="en-US" w:eastAsia="zh-CN"/>
        </w:rPr>
        <w:t>/包号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538909E">
      <w:pPr>
        <w:shd w:val="clea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86FB53">
      <w:pPr>
        <w:shd w:val="clear"/>
        <w:ind w:left="420" w:leftChars="175"/>
        <w:rPr>
          <w:rFonts w:hint="eastAsia" w:ascii="宋体" w:hAnsi="宋体" w:eastAsia="宋体" w:cs="宋体"/>
          <w:color w:val="auto"/>
          <w:sz w:val="36"/>
          <w:szCs w:val="36"/>
          <w:highlight w:val="none"/>
        </w:rPr>
      </w:pPr>
      <w:r>
        <w:rPr>
          <w:rFonts w:hint="eastAsia" w:cs="宋体"/>
          <w:color w:val="auto"/>
          <w:sz w:val="36"/>
          <w:szCs w:val="36"/>
          <w:highlight w:val="none"/>
          <w:lang w:val="en-US" w:eastAsia="zh-CN"/>
        </w:rPr>
        <w:t>供 应 商</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7C5E0224">
      <w:pPr>
        <w:shd w:val="clear"/>
        <w:jc w:val="center"/>
        <w:rPr>
          <w:rFonts w:ascii="黑体" w:hAnsi="黑体" w:eastAsia="黑体"/>
          <w:color w:val="auto"/>
          <w:sz w:val="32"/>
          <w:szCs w:val="32"/>
          <w:highlight w:val="none"/>
        </w:rPr>
      </w:pPr>
    </w:p>
    <w:p w14:paraId="5C2AEB63">
      <w:pPr>
        <w:shd w:val="clear"/>
        <w:rPr>
          <w:color w:val="auto"/>
          <w:highlight w:val="none"/>
          <w:lang w:val="zh-CN"/>
        </w:rPr>
      </w:pPr>
      <w:r>
        <w:rPr>
          <w:color w:val="auto"/>
          <w:highlight w:val="none"/>
          <w:lang w:val="zh-CN"/>
        </w:rPr>
        <w:br w:type="page"/>
      </w:r>
    </w:p>
    <w:p w14:paraId="374BEE88">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578" w:name="_Toc109900327"/>
      <w:bookmarkStart w:id="579" w:name="_Toc3577"/>
      <w:bookmarkStart w:id="580" w:name="_Toc4097"/>
      <w:bookmarkStart w:id="581" w:name="_Toc155185921"/>
      <w:bookmarkStart w:id="582" w:name="_Toc140132831"/>
      <w:bookmarkStart w:id="583" w:name="_Toc109899489"/>
      <w:bookmarkStart w:id="584" w:name="_Toc25402"/>
      <w:bookmarkStart w:id="585" w:name="_Toc109899908"/>
      <w:bookmarkStart w:id="586" w:name="_Toc30642"/>
      <w:r>
        <w:rPr>
          <w:rFonts w:hint="eastAsia" w:eastAsia="宋体" w:asciiTheme="majorHAnsi" w:hAnsiTheme="majorHAnsi" w:cstheme="majorBidi"/>
          <w:b/>
          <w:bCs/>
          <w:color w:val="auto"/>
          <w:kern w:val="2"/>
          <w:sz w:val="32"/>
          <w:szCs w:val="32"/>
          <w:highlight w:val="none"/>
          <w:lang w:val="en-US" w:eastAsia="zh-CN" w:bidi="ar-SA"/>
        </w:rPr>
        <w:t>一、</w:t>
      </w:r>
      <w:r>
        <w:rPr>
          <w:rFonts w:hint="eastAsia" w:cstheme="majorBidi"/>
          <w:b/>
          <w:bCs/>
          <w:color w:val="auto"/>
          <w:kern w:val="2"/>
          <w:sz w:val="32"/>
          <w:szCs w:val="32"/>
          <w:highlight w:val="none"/>
          <w:lang w:val="en-US" w:eastAsia="zh-CN" w:bidi="ar-SA"/>
        </w:rPr>
        <w:t>响应</w:t>
      </w:r>
      <w:r>
        <w:rPr>
          <w:rFonts w:hint="eastAsia" w:eastAsia="宋体" w:asciiTheme="majorHAnsi" w:hAnsiTheme="majorHAnsi" w:cstheme="majorBidi"/>
          <w:b/>
          <w:bCs/>
          <w:color w:val="auto"/>
          <w:kern w:val="2"/>
          <w:sz w:val="32"/>
          <w:szCs w:val="32"/>
          <w:highlight w:val="none"/>
          <w:lang w:val="en-US" w:eastAsia="zh-CN" w:bidi="ar-SA"/>
        </w:rPr>
        <w:t>函</w:t>
      </w:r>
      <w:bookmarkEnd w:id="578"/>
      <w:bookmarkEnd w:id="579"/>
      <w:bookmarkEnd w:id="580"/>
      <w:bookmarkEnd w:id="581"/>
      <w:bookmarkEnd w:id="582"/>
      <w:bookmarkEnd w:id="583"/>
      <w:bookmarkEnd w:id="584"/>
      <w:bookmarkEnd w:id="585"/>
      <w:bookmarkEnd w:id="586"/>
    </w:p>
    <w:p w14:paraId="0ABD9EA3">
      <w:pPr>
        <w:shd w:val="clear"/>
        <w:rPr>
          <w:color w:val="auto"/>
          <w:highlight w:val="none"/>
        </w:rPr>
      </w:pPr>
      <w:r>
        <w:rPr>
          <w:rFonts w:hint="eastAsia"/>
          <w:color w:val="auto"/>
          <w:highlight w:val="none"/>
        </w:rPr>
        <w:t>致：（采购人）</w:t>
      </w:r>
    </w:p>
    <w:p w14:paraId="35C4266A">
      <w:pPr>
        <w:shd w:val="clear"/>
        <w:ind w:firstLine="48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u w:val="single"/>
          <w:lang w:val="en-US" w:eastAsia="zh-CN"/>
        </w:rPr>
        <w:t>/包号</w:t>
      </w:r>
      <w:r>
        <w:rPr>
          <w:rFonts w:hint="eastAsia" w:cs="仿宋_GB2312"/>
          <w:color w:val="auto"/>
          <w:szCs w:val="24"/>
          <w:highlight w:val="none"/>
          <w:u w:val="single"/>
        </w:rPr>
        <w:t>）</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竞争性谈判公告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w:t>
      </w:r>
      <w:r>
        <w:rPr>
          <w:rFonts w:hint="eastAsia" w:cs="仿宋_GB2312"/>
          <w:color w:val="auto"/>
          <w:szCs w:val="24"/>
          <w:highlight w:val="none"/>
          <w:lang w:val="en-US" w:eastAsia="zh-CN"/>
        </w:rPr>
        <w:t>供应商</w:t>
      </w:r>
      <w:r>
        <w:rPr>
          <w:rFonts w:hint="eastAsia" w:cs="仿宋_GB2312"/>
          <w:color w:val="auto"/>
          <w:szCs w:val="24"/>
          <w:highlight w:val="none"/>
          <w:u w:val="single"/>
        </w:rPr>
        <w:t>（</w:t>
      </w:r>
      <w:r>
        <w:rPr>
          <w:rFonts w:hint="eastAsia" w:cs="仿宋_GB2312"/>
          <w:color w:val="auto"/>
          <w:szCs w:val="24"/>
          <w:highlight w:val="none"/>
          <w:u w:val="single"/>
          <w:lang w:val="en-US" w:eastAsia="zh-CN"/>
        </w:rPr>
        <w:t>供应商</w:t>
      </w:r>
      <w:r>
        <w:rPr>
          <w:rFonts w:hint="eastAsia" w:cs="仿宋_GB2312"/>
          <w:color w:val="auto"/>
          <w:szCs w:val="24"/>
          <w:highlight w:val="none"/>
          <w:u w:val="single"/>
        </w:rPr>
        <w:t>名称、地址）</w:t>
      </w:r>
      <w:r>
        <w:rPr>
          <w:rFonts w:hint="eastAsia" w:cs="仿宋_GB2312"/>
          <w:color w:val="auto"/>
          <w:szCs w:val="24"/>
          <w:highlight w:val="none"/>
        </w:rPr>
        <w:t>提交下述文件</w:t>
      </w:r>
      <w:r>
        <w:rPr>
          <w:rFonts w:hint="eastAsia" w:cs="仿宋_GB2312"/>
          <w:b/>
          <w:bCs/>
          <w:color w:val="auto"/>
          <w:szCs w:val="24"/>
          <w:highlight w:val="none"/>
        </w:rPr>
        <w:t>：</w:t>
      </w:r>
    </w:p>
    <w:p w14:paraId="31DE4B23">
      <w:pPr>
        <w:shd w:val="clear"/>
        <w:spacing w:line="324" w:lineRule="auto"/>
        <w:ind w:firstLine="480" w:firstLineChars="200"/>
        <w:rPr>
          <w:rFonts w:hint="eastAsia" w:cs="Arial"/>
          <w:color w:val="auto"/>
          <w:szCs w:val="24"/>
          <w:highlight w:val="none"/>
          <w:lang w:val="en-US" w:eastAsia="zh-CN"/>
        </w:rPr>
      </w:pPr>
      <w:r>
        <w:rPr>
          <w:rFonts w:hint="eastAsia" w:cs="Arial"/>
          <w:color w:val="auto"/>
          <w:szCs w:val="24"/>
          <w:highlight w:val="none"/>
          <w:lang w:val="en-US" w:eastAsia="zh-CN"/>
        </w:rPr>
        <w:t>1.资格证明文件；</w:t>
      </w:r>
    </w:p>
    <w:p w14:paraId="7E086E9D">
      <w:pPr>
        <w:shd w:val="clear"/>
        <w:spacing w:line="324" w:lineRule="auto"/>
        <w:ind w:firstLine="480" w:firstLineChars="200"/>
        <w:rPr>
          <w:rFonts w:hint="eastAsia" w:cs="Arial"/>
          <w:color w:val="auto"/>
          <w:szCs w:val="24"/>
          <w:highlight w:val="none"/>
          <w:lang w:val="en-US" w:eastAsia="zh-CN"/>
        </w:rPr>
      </w:pPr>
      <w:r>
        <w:rPr>
          <w:rFonts w:hint="eastAsia" w:cs="Arial"/>
          <w:color w:val="auto"/>
          <w:szCs w:val="24"/>
          <w:highlight w:val="none"/>
          <w:lang w:val="en-US" w:eastAsia="zh-CN"/>
        </w:rPr>
        <w:t>2.报价文件；</w:t>
      </w:r>
    </w:p>
    <w:p w14:paraId="260B7A8D">
      <w:pPr>
        <w:shd w:val="clear"/>
        <w:spacing w:line="324" w:lineRule="auto"/>
        <w:ind w:firstLine="480" w:firstLineChars="200"/>
        <w:rPr>
          <w:rFonts w:hint="default" w:cs="Arial"/>
          <w:color w:val="auto"/>
          <w:szCs w:val="24"/>
          <w:highlight w:val="none"/>
          <w:lang w:val="en-US" w:eastAsia="zh-CN"/>
        </w:rPr>
      </w:pPr>
      <w:r>
        <w:rPr>
          <w:rFonts w:hint="eastAsia" w:cs="Arial"/>
          <w:color w:val="auto"/>
          <w:szCs w:val="24"/>
          <w:highlight w:val="none"/>
          <w:lang w:val="en-US" w:eastAsia="zh-CN"/>
        </w:rPr>
        <w:t>3.商务技术文件。</w:t>
      </w:r>
    </w:p>
    <w:p w14:paraId="2038C573">
      <w:pPr>
        <w:shd w:val="clear"/>
        <w:spacing w:line="324" w:lineRule="auto"/>
        <w:ind w:firstLine="480" w:firstLineChars="200"/>
        <w:rPr>
          <w:rFonts w:cs="Arial"/>
          <w:color w:val="auto"/>
          <w:szCs w:val="24"/>
          <w:highlight w:val="none"/>
        </w:rPr>
      </w:pPr>
      <w:r>
        <w:rPr>
          <w:rFonts w:cs="Arial"/>
          <w:color w:val="auto"/>
          <w:szCs w:val="24"/>
          <w:highlight w:val="none"/>
        </w:rPr>
        <w:t>根据此函，签字代表宣布同意如下：</w:t>
      </w:r>
    </w:p>
    <w:p w14:paraId="7021F257">
      <w:pPr>
        <w:numPr>
          <w:ilvl w:val="0"/>
          <w:numId w:val="0"/>
        </w:numPr>
        <w:shd w:val="clea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w:t>
      </w:r>
      <w:r>
        <w:rPr>
          <w:rFonts w:hint="eastAsia" w:cs="Arial"/>
          <w:color w:val="auto"/>
          <w:szCs w:val="24"/>
          <w:highlight w:val="none"/>
          <w:lang w:val="en-US" w:eastAsia="zh-CN"/>
        </w:rPr>
        <w:t>报价一览</w:t>
      </w:r>
      <w:r>
        <w:rPr>
          <w:rFonts w:cs="Arial"/>
          <w:color w:val="auto"/>
          <w:szCs w:val="24"/>
          <w:highlight w:val="none"/>
        </w:rPr>
        <w:t>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3FF1B405">
      <w:pPr>
        <w:numPr>
          <w:ilvl w:val="0"/>
          <w:numId w:val="0"/>
        </w:numPr>
        <w:shd w:val="clea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w:t>
      </w:r>
      <w:r>
        <w:rPr>
          <w:rFonts w:hint="eastAsia" w:cs="仿宋_GB2312"/>
          <w:color w:val="auto"/>
          <w:szCs w:val="24"/>
          <w:highlight w:val="none"/>
          <w:lang w:val="en-US" w:eastAsia="zh-CN"/>
        </w:rPr>
        <w:t>竞争性谈判</w:t>
      </w:r>
      <w:r>
        <w:rPr>
          <w:rFonts w:cs="Arial"/>
          <w:color w:val="auto"/>
          <w:szCs w:val="24"/>
          <w:highlight w:val="none"/>
        </w:rPr>
        <w:t>文件的规定履行合同责任和义务。</w:t>
      </w:r>
    </w:p>
    <w:p w14:paraId="464D767C">
      <w:pPr>
        <w:numPr>
          <w:ilvl w:val="0"/>
          <w:numId w:val="0"/>
        </w:numPr>
        <w:shd w:val="clear"/>
        <w:spacing w:line="324" w:lineRule="auto"/>
        <w:ind w:firstLine="480" w:firstLineChars="200"/>
        <w:jc w:val="both"/>
        <w:rPr>
          <w:rFonts w:cs="Arial"/>
          <w:i w:val="0"/>
          <w:iCs w:val="0"/>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w:t>
      </w:r>
      <w:r>
        <w:rPr>
          <w:rFonts w:hint="eastAsia" w:cs="仿宋_GB2312"/>
          <w:color w:val="auto"/>
          <w:szCs w:val="24"/>
          <w:highlight w:val="none"/>
          <w:lang w:val="en-US" w:eastAsia="zh-CN"/>
        </w:rPr>
        <w:t>竞争性谈判</w:t>
      </w:r>
      <w:r>
        <w:rPr>
          <w:rFonts w:cs="Arial"/>
          <w:color w:val="auto"/>
          <w:szCs w:val="24"/>
          <w:highlight w:val="none"/>
        </w:rPr>
        <w:t>文件</w:t>
      </w:r>
      <w:r>
        <w:rPr>
          <w:rFonts w:cs="Arial"/>
          <w:i w:val="0"/>
          <w:iCs w:val="0"/>
          <w:color w:val="auto"/>
          <w:szCs w:val="24"/>
          <w:highlight w:val="none"/>
        </w:rPr>
        <w:t>，包括第</w:t>
      </w:r>
      <w:r>
        <w:rPr>
          <w:rFonts w:cs="Arial"/>
          <w:i w:val="0"/>
          <w:iCs w:val="0"/>
          <w:color w:val="auto"/>
          <w:szCs w:val="24"/>
          <w:highlight w:val="none"/>
          <w:u w:val="single"/>
        </w:rPr>
        <w:t>（编号、补遗书）（如果有的话）</w:t>
      </w:r>
      <w:r>
        <w:rPr>
          <w:rFonts w:cs="Arial"/>
          <w:i w:val="0"/>
          <w:iCs w:val="0"/>
          <w:color w:val="auto"/>
          <w:szCs w:val="24"/>
          <w:highlight w:val="none"/>
        </w:rPr>
        <w:t>。我</w:t>
      </w:r>
      <w:r>
        <w:rPr>
          <w:rFonts w:hint="eastAsia" w:cs="Arial"/>
          <w:i w:val="0"/>
          <w:iCs w:val="0"/>
          <w:color w:val="auto"/>
          <w:szCs w:val="24"/>
          <w:highlight w:val="none"/>
        </w:rPr>
        <w:t>方</w:t>
      </w:r>
      <w:r>
        <w:rPr>
          <w:rFonts w:cs="Arial"/>
          <w:i w:val="0"/>
          <w:iCs w:val="0"/>
          <w:color w:val="auto"/>
          <w:szCs w:val="24"/>
          <w:highlight w:val="none"/>
        </w:rPr>
        <w:t>完全理解并同意放弃对这方面有不明及误解的权力。</w:t>
      </w:r>
    </w:p>
    <w:p w14:paraId="70CAE828">
      <w:pPr>
        <w:numPr>
          <w:ilvl w:val="0"/>
          <w:numId w:val="0"/>
        </w:numPr>
        <w:shd w:val="clea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4.</w:t>
      </w:r>
      <w:r>
        <w:rPr>
          <w:rFonts w:hint="eastAsia" w:cs="Arial"/>
          <w:i w:val="0"/>
          <w:iCs w:val="0"/>
          <w:color w:val="auto"/>
          <w:szCs w:val="24"/>
          <w:highlight w:val="none"/>
        </w:rPr>
        <w:t>响应有效期为自提交响应文件的截止之日起</w:t>
      </w:r>
      <w:r>
        <w:rPr>
          <w:rFonts w:hint="eastAsia" w:cs="Arial"/>
          <w:i w:val="0"/>
          <w:iCs w:val="0"/>
          <w:color w:val="auto"/>
          <w:szCs w:val="24"/>
          <w:highlight w:val="none"/>
          <w:u w:val="single"/>
        </w:rPr>
        <w:t xml:space="preserve"> （由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填写）</w:t>
      </w:r>
      <w:r>
        <w:rPr>
          <w:rFonts w:cs="Arial"/>
          <w:i w:val="0"/>
          <w:iCs w:val="0"/>
          <w:color w:val="auto"/>
          <w:szCs w:val="24"/>
          <w:highlight w:val="none"/>
        </w:rPr>
        <w:t>个日历天。</w:t>
      </w:r>
    </w:p>
    <w:p w14:paraId="52EDF2A7">
      <w:pPr>
        <w:numPr>
          <w:ilvl w:val="0"/>
          <w:numId w:val="0"/>
        </w:numPr>
        <w:shd w:val="clea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5.</w:t>
      </w:r>
      <w:r>
        <w:rPr>
          <w:rFonts w:hint="eastAsia" w:cs="Arial"/>
          <w:i w:val="0"/>
          <w:iCs w:val="0"/>
          <w:color w:val="auto"/>
          <w:szCs w:val="24"/>
          <w:highlight w:val="none"/>
        </w:rPr>
        <w:t>我方</w:t>
      </w:r>
      <w:r>
        <w:rPr>
          <w:rFonts w:cs="Arial"/>
          <w:i w:val="0"/>
          <w:iCs w:val="0"/>
          <w:color w:val="auto"/>
          <w:szCs w:val="24"/>
          <w:highlight w:val="none"/>
        </w:rPr>
        <w:t>同意提供按照贵方</w:t>
      </w:r>
      <w:r>
        <w:rPr>
          <w:rFonts w:hint="eastAsia" w:cs="Arial"/>
          <w:i w:val="0"/>
          <w:iCs w:val="0"/>
          <w:color w:val="auto"/>
          <w:szCs w:val="24"/>
          <w:highlight w:val="none"/>
          <w:lang w:val="en-US" w:eastAsia="zh-CN"/>
        </w:rPr>
        <w:t>竞争性谈判</w:t>
      </w:r>
      <w:r>
        <w:rPr>
          <w:rFonts w:hint="eastAsia" w:cs="Arial"/>
          <w:i w:val="0"/>
          <w:iCs w:val="0"/>
          <w:color w:val="auto"/>
          <w:szCs w:val="24"/>
          <w:highlight w:val="none"/>
        </w:rPr>
        <w:t>文件</w:t>
      </w:r>
      <w:r>
        <w:rPr>
          <w:rFonts w:cs="Arial"/>
          <w:i w:val="0"/>
          <w:iCs w:val="0"/>
          <w:color w:val="auto"/>
          <w:szCs w:val="24"/>
          <w:highlight w:val="none"/>
        </w:rPr>
        <w:t>要求的与</w:t>
      </w:r>
      <w:r>
        <w:rPr>
          <w:rFonts w:hint="eastAsia" w:cs="Arial"/>
          <w:i w:val="0"/>
          <w:iCs w:val="0"/>
          <w:color w:val="auto"/>
          <w:szCs w:val="24"/>
          <w:highlight w:val="none"/>
          <w:lang w:val="en-US" w:eastAsia="zh-CN"/>
        </w:rPr>
        <w:t>谈判响应</w:t>
      </w:r>
      <w:r>
        <w:rPr>
          <w:rFonts w:cs="Arial"/>
          <w:i w:val="0"/>
          <w:iCs w:val="0"/>
          <w:color w:val="auto"/>
          <w:szCs w:val="24"/>
          <w:highlight w:val="none"/>
        </w:rPr>
        <w:t>有关的一切数据或资料。</w:t>
      </w:r>
    </w:p>
    <w:p w14:paraId="3CF5A666">
      <w:pPr>
        <w:numPr>
          <w:ilvl w:val="0"/>
          <w:numId w:val="0"/>
        </w:numPr>
        <w:shd w:val="clea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6.</w:t>
      </w:r>
      <w:r>
        <w:rPr>
          <w:rFonts w:hint="eastAsia" w:cs="Arial"/>
          <w:i w:val="0"/>
          <w:iCs w:val="0"/>
          <w:color w:val="auto"/>
          <w:szCs w:val="24"/>
          <w:highlight w:val="none"/>
        </w:rPr>
        <w:t>本项目如由</w:t>
      </w:r>
      <w:r>
        <w:rPr>
          <w:rFonts w:hint="eastAsia" w:cs="Arial"/>
          <w:i w:val="0"/>
          <w:iCs w:val="0"/>
          <w:color w:val="auto"/>
          <w:szCs w:val="24"/>
          <w:highlight w:val="none"/>
          <w:lang w:val="en-US" w:eastAsia="zh-CN"/>
        </w:rPr>
        <w:t>成交</w:t>
      </w:r>
      <w:r>
        <w:rPr>
          <w:rFonts w:hint="eastAsia" w:cs="Arial"/>
          <w:i w:val="0"/>
          <w:iCs w:val="0"/>
          <w:color w:val="auto"/>
          <w:szCs w:val="24"/>
          <w:highlight w:val="none"/>
        </w:rPr>
        <w:t>人支付采购代理服务费，我方同意按</w:t>
      </w:r>
      <w:r>
        <w:rPr>
          <w:rFonts w:hint="eastAsia" w:cs="Arial"/>
          <w:i w:val="0"/>
          <w:iCs w:val="0"/>
          <w:color w:val="auto"/>
          <w:szCs w:val="24"/>
          <w:highlight w:val="none"/>
          <w:lang w:val="en-US" w:eastAsia="zh-CN"/>
        </w:rPr>
        <w:t>供应商</w:t>
      </w:r>
      <w:r>
        <w:rPr>
          <w:rFonts w:hint="eastAsia" w:cs="Arial"/>
          <w:i w:val="0"/>
          <w:iCs w:val="0"/>
          <w:color w:val="auto"/>
          <w:szCs w:val="24"/>
          <w:highlight w:val="none"/>
        </w:rPr>
        <w:t>须知前附表中规定向采购代理机构支付采购代理服务费。</w:t>
      </w:r>
    </w:p>
    <w:p w14:paraId="6A150207">
      <w:pPr>
        <w:numPr>
          <w:ilvl w:val="0"/>
          <w:numId w:val="0"/>
        </w:numPr>
        <w:shd w:val="clear"/>
        <w:snapToGrid w:val="0"/>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7.</w:t>
      </w:r>
      <w:r>
        <w:rPr>
          <w:rFonts w:hint="eastAsia" w:cs="Arial"/>
          <w:i w:val="0"/>
          <w:iCs w:val="0"/>
          <w:color w:val="auto"/>
          <w:szCs w:val="24"/>
          <w:highlight w:val="none"/>
        </w:rPr>
        <w:t>重要声明：</w:t>
      </w:r>
    </w:p>
    <w:p w14:paraId="40AFB77A">
      <w:pPr>
        <w:shd w:val="clea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1）与我方单位负责人为同一人的其他单位名称：</w:t>
      </w:r>
    </w:p>
    <w:p w14:paraId="409D2F71">
      <w:pPr>
        <w:shd w:val="clea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无；</w:t>
      </w:r>
      <w:r>
        <w:rPr>
          <w:rFonts w:hint="eastAsia"/>
          <w:i w:val="0"/>
          <w:iCs w:val="0"/>
          <w:color w:val="auto"/>
          <w:szCs w:val="24"/>
          <w:highlight w:val="none"/>
          <w:lang w:eastAsia="zh-CN"/>
        </w:rPr>
        <w:t>□</w:t>
      </w:r>
      <w:r>
        <w:rPr>
          <w:rFonts w:hint="eastAsia"/>
          <w:i w:val="0"/>
          <w:iCs w:val="0"/>
          <w:color w:val="auto"/>
          <w:szCs w:val="24"/>
          <w:highlight w:val="none"/>
        </w:rPr>
        <w:t>有，具体单位名称为：</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0B2F52C6">
      <w:pPr>
        <w:shd w:val="clea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2）与我方存在控股、管理关系的其他单位的名称：</w:t>
      </w:r>
    </w:p>
    <w:p w14:paraId="3BE8BBB8">
      <w:pPr>
        <w:shd w:val="clea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无；□有，具体单位名称为：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1103F8A2">
      <w:pPr>
        <w:shd w:val="clea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3）参与本项目采购活动前，是否为本项目前期准备提供过整体设计、规范编制或者项目管理、监理、检测等服务：</w:t>
      </w:r>
    </w:p>
    <w:p w14:paraId="73BE978C">
      <w:pPr>
        <w:shd w:val="clea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无；□有，已提供的具体服务内容为：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4FC84088">
      <w:pPr>
        <w:shd w:val="clear"/>
        <w:spacing w:line="324" w:lineRule="auto"/>
        <w:ind w:firstLine="480" w:firstLineChars="200"/>
        <w:rPr>
          <w:color w:val="auto"/>
          <w:szCs w:val="24"/>
          <w:highlight w:val="none"/>
        </w:rPr>
      </w:pPr>
      <w:r>
        <w:rPr>
          <w:rFonts w:hint="eastAsia"/>
          <w:i w:val="0"/>
          <w:iCs w:val="0"/>
          <w:color w:val="auto"/>
          <w:szCs w:val="24"/>
          <w:highlight w:val="none"/>
        </w:rPr>
        <w:t>（备注：以上</w:t>
      </w:r>
      <w:r>
        <w:rPr>
          <w:i w:val="0"/>
          <w:iCs w:val="0"/>
          <w:color w:val="auto"/>
          <w:szCs w:val="24"/>
          <w:highlight w:val="none"/>
        </w:rPr>
        <w:t>3</w:t>
      </w:r>
      <w:r>
        <w:rPr>
          <w:rFonts w:hint="eastAsia"/>
          <w:i w:val="0"/>
          <w:iCs w:val="0"/>
          <w:color w:val="auto"/>
          <w:szCs w:val="24"/>
          <w:highlight w:val="none"/>
        </w:rPr>
        <w:t>项声明，必须如实选择，选中项用</w:t>
      </w:r>
      <w:r>
        <w:rPr>
          <w:rFonts w:hint="eastAsia"/>
          <w:i w:val="0"/>
          <w:iCs w:val="0"/>
          <w:color w:val="auto"/>
          <w:szCs w:val="24"/>
          <w:highlight w:val="none"/>
          <w:lang w:eastAsia="zh-CN"/>
        </w:rPr>
        <w:t>☑</w:t>
      </w:r>
      <w:r>
        <w:rPr>
          <w:rFonts w:hint="eastAsia"/>
          <w:i w:val="0"/>
          <w:iCs w:val="0"/>
          <w:color w:val="auto"/>
          <w:szCs w:val="24"/>
          <w:highlight w:val="none"/>
        </w:rPr>
        <w:t>表示，未选中项</w:t>
      </w:r>
      <w:r>
        <w:rPr>
          <w:rFonts w:hint="eastAsia"/>
          <w:color w:val="auto"/>
          <w:szCs w:val="24"/>
          <w:highlight w:val="none"/>
        </w:rPr>
        <w:t>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9A44DC4">
      <w:pPr>
        <w:shd w:val="clear"/>
        <w:snapToGrid w:val="0"/>
        <w:spacing w:line="324" w:lineRule="auto"/>
        <w:ind w:firstLine="480" w:firstLineChars="200"/>
        <w:rPr>
          <w:color w:val="auto"/>
          <w:szCs w:val="24"/>
          <w:highlight w:val="none"/>
        </w:rPr>
      </w:pPr>
      <w:r>
        <w:rPr>
          <w:rFonts w:hint="eastAsia"/>
          <w:color w:val="auto"/>
          <w:szCs w:val="24"/>
          <w:highlight w:val="none"/>
        </w:rPr>
        <w:t>4）我方在本</w:t>
      </w:r>
      <w:r>
        <w:rPr>
          <w:rFonts w:hint="eastAsia"/>
          <w:color w:val="auto"/>
          <w:szCs w:val="24"/>
          <w:highlight w:val="none"/>
          <w:lang w:val="en-US" w:eastAsia="zh-CN"/>
        </w:rPr>
        <w:t>响应</w:t>
      </w:r>
      <w:r>
        <w:rPr>
          <w:rFonts w:hint="eastAsia"/>
          <w:color w:val="auto"/>
          <w:szCs w:val="24"/>
          <w:highlight w:val="none"/>
        </w:rPr>
        <w:t>文件中所提供的全部资料均真实有效，我方承诺对其真实性负责并承担相应后果。</w:t>
      </w:r>
    </w:p>
    <w:p w14:paraId="5FB2607B">
      <w:pPr>
        <w:shd w:val="clear"/>
        <w:snapToGrid w:val="0"/>
        <w:spacing w:line="324" w:lineRule="auto"/>
        <w:ind w:firstLine="480" w:firstLineChars="200"/>
        <w:rPr>
          <w:color w:val="auto"/>
          <w:szCs w:val="24"/>
          <w:highlight w:val="none"/>
        </w:rPr>
      </w:pPr>
      <w:r>
        <w:rPr>
          <w:rFonts w:hint="eastAsia"/>
          <w:color w:val="auto"/>
          <w:szCs w:val="24"/>
          <w:highlight w:val="none"/>
        </w:rPr>
        <w:t>5）我方承诺本《</w:t>
      </w:r>
      <w:r>
        <w:rPr>
          <w:rFonts w:hint="eastAsia"/>
          <w:color w:val="auto"/>
          <w:szCs w:val="24"/>
          <w:highlight w:val="none"/>
          <w:lang w:val="en-US" w:eastAsia="zh-CN"/>
        </w:rPr>
        <w:t>响应</w:t>
      </w:r>
      <w:r>
        <w:rPr>
          <w:rFonts w:hint="eastAsia"/>
          <w:color w:val="auto"/>
          <w:szCs w:val="24"/>
          <w:highlight w:val="none"/>
        </w:rPr>
        <w:t>函》的签章对本</w:t>
      </w:r>
      <w:r>
        <w:rPr>
          <w:rFonts w:hint="eastAsia"/>
          <w:color w:val="auto"/>
          <w:szCs w:val="24"/>
          <w:highlight w:val="none"/>
          <w:lang w:val="en-US" w:eastAsia="zh-CN"/>
        </w:rPr>
        <w:t>响应</w:t>
      </w:r>
      <w:r>
        <w:rPr>
          <w:rFonts w:hint="eastAsia"/>
          <w:color w:val="auto"/>
          <w:szCs w:val="24"/>
          <w:highlight w:val="none"/>
        </w:rPr>
        <w:t>文件全部内容具有约束力并承担法律责任。</w:t>
      </w:r>
    </w:p>
    <w:p w14:paraId="2A195747">
      <w:pPr>
        <w:shd w:val="clear"/>
        <w:spacing w:line="300" w:lineRule="auto"/>
        <w:rPr>
          <w:rFonts w:cs="Arial"/>
          <w:color w:val="auto"/>
          <w:szCs w:val="24"/>
          <w:highlight w:val="none"/>
        </w:rPr>
      </w:pPr>
    </w:p>
    <w:p w14:paraId="3F664789">
      <w:pPr>
        <w:shd w:val="clear"/>
        <w:spacing w:line="300" w:lineRule="auto"/>
        <w:rPr>
          <w:rFonts w:cs="Arial"/>
          <w:color w:val="auto"/>
          <w:szCs w:val="24"/>
          <w:highlight w:val="none"/>
        </w:rPr>
      </w:pPr>
    </w:p>
    <w:p w14:paraId="6C365FF0">
      <w:pPr>
        <w:shd w:val="clear"/>
        <w:spacing w:line="300" w:lineRule="auto"/>
        <w:rPr>
          <w:rFonts w:cs="Arial"/>
          <w:color w:val="auto"/>
          <w:szCs w:val="24"/>
          <w:highlight w:val="none"/>
        </w:rPr>
      </w:pPr>
    </w:p>
    <w:p w14:paraId="2DB608AC">
      <w:pPr>
        <w:shd w:val="clear"/>
        <w:autoSpaceDE w:val="0"/>
        <w:autoSpaceDN w:val="0"/>
        <w:adjustRightInd w:val="0"/>
        <w:snapToGrid w:val="0"/>
        <w:ind w:firstLine="480" w:firstLineChars="200"/>
        <w:rPr>
          <w:rFonts w:cs="宋体"/>
          <w:color w:val="auto"/>
          <w:highlight w:val="none"/>
        </w:rPr>
      </w:pPr>
      <w:r>
        <w:rPr>
          <w:rFonts w:hint="eastAsia" w:cs="宋体"/>
          <w:color w:val="auto"/>
          <w:highlight w:val="none"/>
          <w:lang w:val="en-US" w:eastAsia="zh-CN"/>
        </w:rPr>
        <w:t>供应商名称</w:t>
      </w:r>
      <w:r>
        <w:rPr>
          <w:rFonts w:hint="eastAsia" w:cs="宋体"/>
          <w:color w:val="auto"/>
          <w:highlight w:val="none"/>
        </w:rPr>
        <w:t>（公章）：</w:t>
      </w:r>
    </w:p>
    <w:p w14:paraId="1186FA25">
      <w:pPr>
        <w:shd w:val="clear"/>
        <w:autoSpaceDE w:val="0"/>
        <w:autoSpaceDN w:val="0"/>
        <w:adjustRightInd w:val="0"/>
        <w:snapToGrid w:val="0"/>
        <w:ind w:firstLine="480" w:firstLineChars="200"/>
        <w:rPr>
          <w:rFonts w:hint="eastAsia" w:cs="宋体"/>
          <w:color w:val="auto"/>
          <w:highlight w:val="none"/>
        </w:rPr>
      </w:pPr>
      <w:r>
        <w:rPr>
          <w:rFonts w:hint="eastAsia" w:cs="宋体"/>
          <w:color w:val="auto"/>
          <w:highlight w:val="none"/>
        </w:rPr>
        <w:t>法定代表人或授权代表</w:t>
      </w:r>
      <w:r>
        <w:rPr>
          <w:rFonts w:hint="eastAsia" w:cs="宋体"/>
          <w:color w:val="auto"/>
          <w:highlight w:val="none"/>
          <w:lang w:eastAsia="zh-CN"/>
        </w:rPr>
        <w:t>（</w:t>
      </w:r>
      <w:r>
        <w:rPr>
          <w:rFonts w:hint="eastAsia" w:cs="宋体"/>
          <w:color w:val="auto"/>
          <w:highlight w:val="none"/>
        </w:rPr>
        <w:t>签字或印章</w:t>
      </w:r>
      <w:r>
        <w:rPr>
          <w:rFonts w:hint="eastAsia" w:cs="宋体"/>
          <w:color w:val="auto"/>
          <w:highlight w:val="none"/>
          <w:lang w:eastAsia="zh-CN"/>
        </w:rPr>
        <w:t>）</w:t>
      </w:r>
      <w:r>
        <w:rPr>
          <w:rFonts w:hint="eastAsia" w:cs="宋体"/>
          <w:color w:val="auto"/>
          <w:highlight w:val="none"/>
        </w:rPr>
        <w:t>：</w:t>
      </w:r>
    </w:p>
    <w:p w14:paraId="4CCC9D16">
      <w:pPr>
        <w:shd w:val="clear"/>
        <w:autoSpaceDE w:val="0"/>
        <w:autoSpaceDN w:val="0"/>
        <w:adjustRightInd w:val="0"/>
        <w:snapToGrid w:val="0"/>
        <w:ind w:firstLine="480" w:firstLineChars="200"/>
        <w:rPr>
          <w:rFonts w:cs="宋体"/>
          <w:color w:val="auto"/>
          <w:highlight w:val="none"/>
        </w:rPr>
      </w:pPr>
      <w:r>
        <w:rPr>
          <w:rFonts w:hint="eastAsia" w:cs="宋体"/>
          <w:color w:val="auto"/>
          <w:highlight w:val="none"/>
        </w:rPr>
        <w:t>通  讯  地  址：</w:t>
      </w:r>
    </w:p>
    <w:p w14:paraId="268281DA">
      <w:pPr>
        <w:shd w:val="clea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0A396883">
      <w:pPr>
        <w:shd w:val="clear"/>
        <w:autoSpaceDE w:val="0"/>
        <w:autoSpaceDN w:val="0"/>
        <w:adjustRightInd w:val="0"/>
        <w:snapToGrid w:val="0"/>
        <w:ind w:firstLine="480" w:firstLineChars="200"/>
        <w:rPr>
          <w:rFonts w:cs="宋体"/>
          <w:color w:val="auto"/>
          <w:highlight w:val="none"/>
        </w:rPr>
      </w:pPr>
      <w:r>
        <w:rPr>
          <w:rFonts w:hint="eastAsia" w:cs="宋体"/>
          <w:color w:val="auto"/>
          <w:highlight w:val="none"/>
        </w:rPr>
        <w:t>电          话：</w:t>
      </w:r>
    </w:p>
    <w:p w14:paraId="63C92097">
      <w:pPr>
        <w:shd w:val="clear"/>
        <w:ind w:firstLine="48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6674502E">
      <w:pPr>
        <w:shd w:val="clear"/>
        <w:rPr>
          <w:rFonts w:cs="Arial"/>
          <w:color w:val="auto"/>
          <w:szCs w:val="24"/>
          <w:highlight w:val="none"/>
          <w:u w:val="single"/>
        </w:rPr>
      </w:pPr>
    </w:p>
    <w:p w14:paraId="478BFBB8">
      <w:pPr>
        <w:shd w:val="clear"/>
        <w:rPr>
          <w:rFonts w:cs="Arial"/>
          <w:color w:val="auto"/>
          <w:szCs w:val="24"/>
          <w:highlight w:val="none"/>
          <w:u w:val="single"/>
        </w:rPr>
      </w:pPr>
      <w:r>
        <w:rPr>
          <w:rFonts w:cs="Arial"/>
          <w:color w:val="auto"/>
          <w:szCs w:val="24"/>
          <w:highlight w:val="none"/>
          <w:u w:val="single"/>
        </w:rPr>
        <w:br w:type="page"/>
      </w:r>
    </w:p>
    <w:p w14:paraId="24B4BD65">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587" w:name="_Toc13314"/>
      <w:bookmarkStart w:id="588" w:name="_Toc155185924"/>
      <w:bookmarkStart w:id="589" w:name="_Toc13659"/>
      <w:r>
        <w:rPr>
          <w:rFonts w:hint="eastAsia" w:cstheme="majorBidi"/>
          <w:b/>
          <w:bCs/>
          <w:color w:val="auto"/>
          <w:kern w:val="2"/>
          <w:sz w:val="32"/>
          <w:szCs w:val="32"/>
          <w:highlight w:val="none"/>
          <w:lang w:val="en-US" w:eastAsia="zh-CN" w:bidi="ar-SA"/>
        </w:rPr>
        <w:t>二</w:t>
      </w:r>
      <w:r>
        <w:rPr>
          <w:rFonts w:hint="eastAsia" w:eastAsia="宋体" w:asciiTheme="majorHAnsi" w:hAnsiTheme="majorHAnsi" w:cstheme="majorBidi"/>
          <w:b/>
          <w:bCs/>
          <w:color w:val="auto"/>
          <w:kern w:val="2"/>
          <w:sz w:val="32"/>
          <w:szCs w:val="32"/>
          <w:highlight w:val="none"/>
          <w:lang w:val="en-US" w:eastAsia="zh-CN" w:bidi="ar-SA"/>
        </w:rPr>
        <w:t>、法定代表人（单位负责人）身份证明</w:t>
      </w:r>
      <w:bookmarkEnd w:id="587"/>
      <w:bookmarkEnd w:id="588"/>
      <w:bookmarkEnd w:id="589"/>
    </w:p>
    <w:p w14:paraId="46CF1AA3">
      <w:pPr>
        <w:shd w:val="clea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3DE52D6F">
      <w:pPr>
        <w:shd w:val="clear"/>
        <w:spacing w:line="480" w:lineRule="auto"/>
        <w:ind w:firstLine="96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1D36B9E0">
      <w:pPr>
        <w:shd w:val="clea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38746EB6">
      <w:pPr>
        <w:shd w:val="clea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（供应商名称）的法定代表人（单位负责人）。 </w:t>
      </w:r>
    </w:p>
    <w:p w14:paraId="3B002BC6">
      <w:pPr>
        <w:shd w:val="clea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60A8C36F">
      <w:pPr>
        <w:shd w:val="clear"/>
        <w:spacing w:line="480" w:lineRule="auto"/>
        <w:ind w:firstLine="480" w:firstLineChars="200"/>
        <w:rPr>
          <w:rFonts w:cs="仿宋_GB2312"/>
          <w:color w:val="auto"/>
          <w:szCs w:val="24"/>
          <w:highlight w:val="none"/>
        </w:rPr>
      </w:pPr>
    </w:p>
    <w:p w14:paraId="473563CD">
      <w:pPr>
        <w:shd w:val="clear"/>
        <w:rPr>
          <w:rFonts w:cs="Arial"/>
          <w:color w:val="auto"/>
          <w:sz w:val="21"/>
          <w:szCs w:val="21"/>
          <w:highlight w:val="none"/>
        </w:rPr>
      </w:pPr>
    </w:p>
    <w:tbl>
      <w:tblPr>
        <w:tblStyle w:val="27"/>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shd w:val="clear"/>
              <w:rPr>
                <w:rFonts w:cs="Arial"/>
                <w:color w:val="auto"/>
                <w:highlight w:val="none"/>
              </w:rPr>
            </w:pPr>
          </w:p>
        </w:tc>
      </w:tr>
    </w:tbl>
    <w:p w14:paraId="76B5C725">
      <w:pPr>
        <w:shd w:val="clear"/>
        <w:ind w:firstLine="840" w:firstLineChars="350"/>
        <w:jc w:val="center"/>
        <w:rPr>
          <w:rFonts w:cs="Arial"/>
          <w:color w:val="auto"/>
          <w:highlight w:val="none"/>
        </w:rPr>
      </w:pPr>
    </w:p>
    <w:p w14:paraId="4AD74708">
      <w:pPr>
        <w:keepNext w:val="0"/>
        <w:keepLines w:val="0"/>
        <w:widowControl/>
        <w:suppressLineNumbers w:val="0"/>
        <w:shd w:val="clear"/>
        <w:jc w:val="left"/>
        <w:rPr>
          <w:color w:val="auto"/>
          <w:highlight w:val="none"/>
        </w:rPr>
      </w:pPr>
      <w:r>
        <w:rPr>
          <w:rFonts w:hint="eastAsia" w:cs="宋体"/>
          <w:color w:val="auto"/>
          <w:kern w:val="0"/>
          <w:sz w:val="24"/>
          <w:szCs w:val="24"/>
          <w:highlight w:val="none"/>
          <w:lang w:val="en-US" w:eastAsia="zh-CN" w:bidi="ar"/>
        </w:rPr>
        <w:t>供应商</w:t>
      </w:r>
      <w:r>
        <w:rPr>
          <w:rFonts w:hint="eastAsia" w:ascii="宋体" w:hAnsi="宋体" w:eastAsia="宋体" w:cs="宋体"/>
          <w:color w:val="auto"/>
          <w:kern w:val="0"/>
          <w:sz w:val="24"/>
          <w:szCs w:val="24"/>
          <w:highlight w:val="none"/>
          <w:lang w:val="en-US" w:eastAsia="zh-CN" w:bidi="ar"/>
        </w:rPr>
        <w:t>名称（加盖公章）：</w:t>
      </w:r>
      <w:r>
        <w:rPr>
          <w:rFonts w:ascii="DejaVuSans" w:hAnsi="DejaVuSans" w:eastAsia="DejaVuSans" w:cs="DejaVuSans"/>
          <w:color w:val="auto"/>
          <w:kern w:val="0"/>
          <w:sz w:val="24"/>
          <w:szCs w:val="24"/>
          <w:highlight w:val="none"/>
          <w:lang w:val="en-US" w:eastAsia="zh-CN" w:bidi="ar"/>
        </w:rPr>
        <w:t xml:space="preserve">________________ </w:t>
      </w:r>
    </w:p>
    <w:p w14:paraId="364A1245">
      <w:pPr>
        <w:keepNext w:val="0"/>
        <w:keepLines w:val="0"/>
        <w:widowControl/>
        <w:suppressLineNumbers w:val="0"/>
        <w:shd w:val="clear"/>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法定代表人（单位负责人）（签字或签章）：</w:t>
      </w:r>
      <w:r>
        <w:rPr>
          <w:rFonts w:hint="default" w:ascii="DejaVuSans" w:hAnsi="DejaVuSans" w:eastAsia="DejaVuSans" w:cs="DejaVuSans"/>
          <w:color w:val="auto"/>
          <w:kern w:val="0"/>
          <w:sz w:val="24"/>
          <w:szCs w:val="24"/>
          <w:highlight w:val="none"/>
          <w:lang w:val="en-US" w:eastAsia="zh-CN" w:bidi="ar"/>
        </w:rPr>
        <w:t xml:space="preserve">_______ </w:t>
      </w:r>
    </w:p>
    <w:p w14:paraId="10B3C29F">
      <w:pPr>
        <w:keepNext w:val="0"/>
        <w:keepLines w:val="0"/>
        <w:widowControl/>
        <w:suppressLineNumbers w:val="0"/>
        <w:shd w:val="clear"/>
        <w:jc w:val="left"/>
        <w:rPr>
          <w:rFonts w:hint="eastAsia" w:ascii="宋体" w:hAnsi="宋体" w:eastAsia="宋体" w:cs="宋体"/>
          <w:color w:val="auto"/>
          <w:kern w:val="0"/>
          <w:sz w:val="24"/>
          <w:szCs w:val="24"/>
          <w:highlight w:val="none"/>
          <w:lang w:val="en-US" w:eastAsia="zh-CN" w:bidi="ar"/>
        </w:rPr>
      </w:pPr>
    </w:p>
    <w:p w14:paraId="7239FE13">
      <w:pPr>
        <w:keepNext w:val="0"/>
        <w:keepLines w:val="0"/>
        <w:widowControl/>
        <w:suppressLineNumbers w:val="0"/>
        <w:shd w:val="clear"/>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6948CD78">
      <w:pPr>
        <w:shd w:val="clear"/>
        <w:rPr>
          <w:b/>
          <w:color w:val="auto"/>
          <w:sz w:val="28"/>
          <w:szCs w:val="28"/>
          <w:highlight w:val="none"/>
        </w:rPr>
      </w:pPr>
    </w:p>
    <w:p w14:paraId="04FDD702">
      <w:pPr>
        <w:shd w:val="clear"/>
        <w:rPr>
          <w:b/>
          <w:color w:val="auto"/>
          <w:sz w:val="28"/>
          <w:szCs w:val="28"/>
          <w:highlight w:val="none"/>
        </w:rPr>
      </w:pPr>
      <w:r>
        <w:rPr>
          <w:b/>
          <w:color w:val="auto"/>
          <w:sz w:val="28"/>
          <w:szCs w:val="28"/>
          <w:highlight w:val="none"/>
        </w:rPr>
        <w:br w:type="page"/>
      </w:r>
    </w:p>
    <w:p w14:paraId="0EEE8A23">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590" w:name="_Toc16728"/>
      <w:bookmarkStart w:id="591" w:name="_Toc31851"/>
      <w:bookmarkStart w:id="592" w:name="_Toc155185925"/>
      <w:r>
        <w:rPr>
          <w:rFonts w:hint="eastAsia" w:cstheme="majorBidi"/>
          <w:b/>
          <w:bCs/>
          <w:color w:val="auto"/>
          <w:kern w:val="2"/>
          <w:sz w:val="32"/>
          <w:szCs w:val="32"/>
          <w:highlight w:val="none"/>
          <w:lang w:val="en-US" w:eastAsia="zh-CN" w:bidi="ar-SA"/>
        </w:rPr>
        <w:t>三</w:t>
      </w:r>
      <w:r>
        <w:rPr>
          <w:rFonts w:hint="eastAsia" w:eastAsia="宋体" w:asciiTheme="majorHAnsi" w:hAnsiTheme="majorHAnsi" w:cstheme="majorBidi"/>
          <w:b/>
          <w:bCs/>
          <w:color w:val="auto"/>
          <w:kern w:val="2"/>
          <w:sz w:val="32"/>
          <w:szCs w:val="32"/>
          <w:highlight w:val="none"/>
          <w:lang w:val="en-US" w:eastAsia="zh-CN" w:bidi="ar-SA"/>
        </w:rPr>
        <w:t>、授权委托书</w:t>
      </w:r>
      <w:bookmarkEnd w:id="590"/>
      <w:bookmarkEnd w:id="591"/>
      <w:bookmarkEnd w:id="592"/>
    </w:p>
    <w:p w14:paraId="593F068D">
      <w:pPr>
        <w:shd w:val="clear"/>
        <w:ind w:firstLine="48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w:t>
      </w:r>
      <w:r>
        <w:rPr>
          <w:rFonts w:hint="eastAsia" w:cs="仿宋_GB2312"/>
          <w:color w:val="auto"/>
          <w:szCs w:val="24"/>
          <w:highlight w:val="none"/>
          <w:u w:val="none"/>
          <w:lang w:val="en-US" w:eastAsia="zh-CN"/>
        </w:rPr>
        <w:t>供应商</w:t>
      </w:r>
      <w:r>
        <w:rPr>
          <w:rFonts w:hint="eastAsia" w:cs="仿宋_GB2312"/>
          <w:color w:val="auto"/>
          <w:szCs w:val="24"/>
          <w:highlight w:val="none"/>
          <w:u w:val="none"/>
        </w:rPr>
        <w:t>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w:t>
      </w:r>
      <w:r>
        <w:rPr>
          <w:rFonts w:hint="eastAsia" w:cs="仿宋_GB2312"/>
          <w:color w:val="auto"/>
          <w:szCs w:val="24"/>
          <w:highlight w:val="none"/>
          <w:lang w:val="en-US" w:eastAsia="zh-CN"/>
        </w:rPr>
        <w:t>响应</w:t>
      </w:r>
      <w:r>
        <w:rPr>
          <w:rFonts w:hint="eastAsia" w:cs="仿宋_GB2312"/>
          <w:color w:val="auto"/>
          <w:szCs w:val="24"/>
          <w:highlight w:val="none"/>
        </w:rPr>
        <w:t>文件、签订合同和处理有关事宜，其法律后果由我方承担。</w:t>
      </w:r>
    </w:p>
    <w:p w14:paraId="56B80D1C">
      <w:pPr>
        <w:shd w:val="clear"/>
        <w:ind w:firstLine="48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自本授权委托书签署之日起至响应文件有效期届满之日止。</w:t>
      </w:r>
    </w:p>
    <w:p w14:paraId="0A605ABE">
      <w:pPr>
        <w:shd w:val="clear"/>
        <w:ind w:firstLine="480" w:firstLineChars="200"/>
        <w:rPr>
          <w:rFonts w:cs="仿宋_GB2312"/>
          <w:color w:val="auto"/>
          <w:szCs w:val="24"/>
          <w:highlight w:val="none"/>
        </w:rPr>
      </w:pPr>
      <w:r>
        <w:rPr>
          <w:rFonts w:hint="eastAsia" w:cs="仿宋_GB2312"/>
          <w:color w:val="auto"/>
          <w:szCs w:val="24"/>
          <w:highlight w:val="none"/>
        </w:rPr>
        <w:t>代理人无转委托权。</w:t>
      </w:r>
    </w:p>
    <w:p w14:paraId="03C5EAD4">
      <w:pPr>
        <w:keepNext w:val="0"/>
        <w:keepLines w:val="0"/>
        <w:pageBreakBefore w:val="0"/>
        <w:widowControl w:val="0"/>
        <w:shd w:val="clear"/>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rPr>
      </w:pPr>
    </w:p>
    <w:p w14:paraId="27333291">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color w:val="auto"/>
          <w:highlight w:val="none"/>
        </w:rPr>
      </w:pPr>
      <w:r>
        <w:rPr>
          <w:rFonts w:hint="eastAsia" w:cs="宋体"/>
          <w:color w:val="auto"/>
          <w:kern w:val="0"/>
          <w:sz w:val="24"/>
          <w:szCs w:val="24"/>
          <w:highlight w:val="none"/>
          <w:lang w:val="en-US" w:eastAsia="zh-CN" w:bidi="ar"/>
        </w:rPr>
        <w:t>供应商</w:t>
      </w:r>
      <w:r>
        <w:rPr>
          <w:rFonts w:hint="eastAsia" w:ascii="宋体" w:hAnsi="宋体" w:eastAsia="宋体" w:cs="宋体"/>
          <w:color w:val="auto"/>
          <w:kern w:val="0"/>
          <w:sz w:val="24"/>
          <w:szCs w:val="24"/>
          <w:highlight w:val="none"/>
          <w:lang w:val="en-US" w:eastAsia="zh-CN" w:bidi="ar"/>
        </w:rPr>
        <w:t>名称（加盖公章）：</w:t>
      </w:r>
      <w:r>
        <w:rPr>
          <w:rFonts w:ascii="DejaVuSans" w:hAnsi="DejaVuSans" w:eastAsia="DejaVuSans" w:cs="DejaVuSans"/>
          <w:color w:val="auto"/>
          <w:kern w:val="0"/>
          <w:sz w:val="24"/>
          <w:szCs w:val="24"/>
          <w:highlight w:val="none"/>
          <w:lang w:val="en-US" w:eastAsia="zh-CN" w:bidi="ar"/>
        </w:rPr>
        <w:t xml:space="preserve">________________ </w:t>
      </w:r>
    </w:p>
    <w:p w14:paraId="4CD5B2EF">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法定代表人（单位负责人）（签字或签章）：</w:t>
      </w:r>
      <w:r>
        <w:rPr>
          <w:rFonts w:hint="default" w:ascii="DejaVuSans" w:hAnsi="DejaVuSans" w:eastAsia="DejaVuSans" w:cs="DejaVuSans"/>
          <w:color w:val="auto"/>
          <w:kern w:val="0"/>
          <w:sz w:val="24"/>
          <w:szCs w:val="24"/>
          <w:highlight w:val="none"/>
          <w:lang w:val="en-US" w:eastAsia="zh-CN" w:bidi="ar"/>
        </w:rPr>
        <w:t xml:space="preserve">________________ </w:t>
      </w:r>
    </w:p>
    <w:p w14:paraId="77AA3C36">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rFonts w:hint="default"/>
          <w:color w:val="auto"/>
          <w:highlight w:val="none"/>
          <w:u w:val="single"/>
          <w:lang w:val="en-US"/>
        </w:rPr>
      </w:pPr>
      <w:r>
        <w:rPr>
          <w:rFonts w:hint="eastAsia" w:ascii="宋体" w:hAnsi="宋体" w:eastAsia="宋体" w:cs="宋体"/>
          <w:color w:val="auto"/>
          <w:kern w:val="0"/>
          <w:sz w:val="24"/>
          <w:szCs w:val="24"/>
          <w:highlight w:val="none"/>
          <w:lang w:val="en-US" w:eastAsia="zh-CN" w:bidi="ar"/>
        </w:rPr>
        <w:t>委托代理人（签字或签章）：</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eastAsia" w:ascii="DejaVuSans" w:hAnsi="DejaVuSans" w:eastAsia="DejaVuSans" w:cs="DejaVuSans"/>
          <w:color w:val="auto"/>
          <w:kern w:val="0"/>
          <w:sz w:val="24"/>
          <w:szCs w:val="24"/>
          <w:highlight w:val="none"/>
          <w:u w:val="single"/>
          <w:lang w:val="en-US" w:eastAsia="zh-CN" w:bidi="ar"/>
        </w:rPr>
        <w:t xml:space="preserve">              </w:t>
      </w:r>
    </w:p>
    <w:p w14:paraId="4FD66B47">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0D7E210D">
      <w:pPr>
        <w:keepNext w:val="0"/>
        <w:keepLines w:val="0"/>
        <w:pageBreakBefore w:val="0"/>
        <w:widowControl w:val="0"/>
        <w:shd w:val="clear"/>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lang w:val="en-US" w:eastAsia="zh-CN"/>
        </w:rPr>
      </w:pPr>
    </w:p>
    <w:p w14:paraId="7CE346A7">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27"/>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shd w:val="clear"/>
              <w:rPr>
                <w:rFonts w:cs="Arial"/>
                <w:color w:val="auto"/>
                <w:highlight w:val="none"/>
              </w:rPr>
            </w:pPr>
          </w:p>
        </w:tc>
      </w:tr>
    </w:tbl>
    <w:p w14:paraId="003FC2D7">
      <w:pPr>
        <w:shd w:val="clea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6A6FAC65">
      <w:pPr>
        <w:shd w:val="clea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1.若供应商为事业单位或其他组织或分支机构，则法定代表人（单位负责人）处的签署人可为单位负责人。 </w:t>
      </w:r>
    </w:p>
    <w:p w14:paraId="7579C425">
      <w:pPr>
        <w:shd w:val="clear"/>
        <w:ind w:firstLine="48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若响应文件中签字之处均为法定代表人（单位负责人）本人签署，则可不提供本《授权委托书》，但须提供《法定代表人（单位负责人）身份证明》。 </w:t>
      </w:r>
    </w:p>
    <w:p w14:paraId="7D81952A">
      <w:pPr>
        <w:shd w:val="clear"/>
        <w:ind w:firstLine="48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供应商为自然人的情形，可不提供本《授权委托书》。 </w:t>
      </w:r>
    </w:p>
    <w:p w14:paraId="16E91B57">
      <w:pPr>
        <w:shd w:val="clear"/>
        <w:ind w:firstLine="48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供应商应随本《授权委托书》同时提供法定代表人（单位负责人）及委托代理人的有效的身份证、护照等身份证明文件电子件。提供身份证的，应同时提供身份证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0B2EBA16">
      <w:pPr>
        <w:shd w:val="clear"/>
        <w:rPr>
          <w:color w:val="auto"/>
          <w:highlight w:val="none"/>
        </w:rPr>
      </w:pPr>
      <w:r>
        <w:rPr>
          <w:color w:val="auto"/>
          <w:highlight w:val="none"/>
        </w:rPr>
        <w:br w:type="page"/>
      </w:r>
    </w:p>
    <w:p w14:paraId="117D25C9">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593" w:name="_Toc155185934"/>
      <w:bookmarkStart w:id="594" w:name="_Toc163492928"/>
      <w:bookmarkStart w:id="595" w:name="_Toc10900"/>
      <w:r>
        <w:rPr>
          <w:rFonts w:hint="eastAsia" w:cstheme="majorBidi"/>
          <w:b/>
          <w:bCs/>
          <w:color w:val="auto"/>
          <w:kern w:val="2"/>
          <w:sz w:val="32"/>
          <w:szCs w:val="32"/>
          <w:highlight w:val="none"/>
          <w:lang w:val="en-US" w:eastAsia="zh-CN" w:bidi="ar-SA"/>
        </w:rPr>
        <w:t>四</w:t>
      </w:r>
      <w:r>
        <w:rPr>
          <w:rFonts w:hint="eastAsia" w:eastAsia="宋体" w:asciiTheme="majorHAnsi" w:hAnsiTheme="majorHAnsi" w:cstheme="majorBidi"/>
          <w:b/>
          <w:bCs/>
          <w:color w:val="auto"/>
          <w:kern w:val="2"/>
          <w:sz w:val="32"/>
          <w:szCs w:val="32"/>
          <w:highlight w:val="none"/>
          <w:lang w:val="en-US" w:eastAsia="zh-CN" w:bidi="ar-SA"/>
        </w:rPr>
        <w:t>、</w:t>
      </w:r>
      <w:bookmarkEnd w:id="593"/>
      <w:bookmarkEnd w:id="594"/>
      <w:r>
        <w:rPr>
          <w:rFonts w:hint="eastAsia" w:eastAsia="宋体" w:asciiTheme="majorHAnsi" w:hAnsiTheme="majorHAnsi" w:cstheme="majorBidi"/>
          <w:b/>
          <w:bCs/>
          <w:color w:val="auto"/>
          <w:kern w:val="2"/>
          <w:sz w:val="32"/>
          <w:szCs w:val="32"/>
          <w:highlight w:val="none"/>
          <w:lang w:val="zh-CN" w:eastAsia="zh-CN" w:bidi="ar-SA"/>
        </w:rPr>
        <w:t>政府采购供应商廉洁自律承诺书</w:t>
      </w:r>
      <w:bookmarkEnd w:id="595"/>
    </w:p>
    <w:p w14:paraId="2AB445CF">
      <w:pPr>
        <w:pStyle w:val="12"/>
        <w:shd w:val="clear"/>
        <w:rPr>
          <w:color w:val="auto"/>
          <w:highlight w:val="none"/>
        </w:rPr>
      </w:pPr>
    </w:p>
    <w:p w14:paraId="2CE177B4">
      <w:pPr>
        <w:shd w:val="clea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2139BFB4">
      <w:pPr>
        <w:shd w:val="clea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w:t>
      </w:r>
      <w:r>
        <w:rPr>
          <w:rFonts w:hint="eastAsia" w:cs="宋体"/>
          <w:color w:val="auto"/>
          <w:kern w:val="0"/>
          <w:sz w:val="24"/>
          <w:szCs w:val="24"/>
          <w:highlight w:val="none"/>
          <w:lang w:val="en-US" w:eastAsia="zh-CN"/>
        </w:rPr>
        <w:t>竞争性谈判文件</w:t>
      </w:r>
      <w:r>
        <w:rPr>
          <w:rFonts w:hint="eastAsia" w:ascii="宋体" w:hAnsi="宋体" w:cs="宋体"/>
          <w:color w:val="auto"/>
          <w:kern w:val="0"/>
          <w:sz w:val="24"/>
          <w:szCs w:val="24"/>
          <w:highlight w:val="none"/>
          <w:lang w:val="zh-CN"/>
        </w:rPr>
        <w:t>要求参加</w:t>
      </w:r>
      <w:r>
        <w:rPr>
          <w:rFonts w:hint="eastAsia" w:cs="宋体"/>
          <w:color w:val="auto"/>
          <w:kern w:val="0"/>
          <w:sz w:val="24"/>
          <w:szCs w:val="24"/>
          <w:highlight w:val="none"/>
          <w:lang w:val="en-US" w:eastAsia="zh-CN"/>
        </w:rPr>
        <w:t>谈判响应</w:t>
      </w:r>
      <w:r>
        <w:rPr>
          <w:rFonts w:hint="eastAsia" w:ascii="宋体" w:hAnsi="宋体" w:cs="宋体"/>
          <w:color w:val="auto"/>
          <w:kern w:val="0"/>
          <w:sz w:val="24"/>
          <w:szCs w:val="24"/>
          <w:highlight w:val="none"/>
          <w:lang w:val="zh-CN"/>
        </w:rPr>
        <w:t>。在这次</w:t>
      </w:r>
      <w:r>
        <w:rPr>
          <w:rFonts w:hint="eastAsia" w:cs="宋体"/>
          <w:color w:val="auto"/>
          <w:kern w:val="0"/>
          <w:sz w:val="24"/>
          <w:szCs w:val="24"/>
          <w:highlight w:val="none"/>
          <w:lang w:val="en-US" w:eastAsia="zh-CN"/>
        </w:rPr>
        <w:t>谈判响应</w:t>
      </w:r>
      <w:r>
        <w:rPr>
          <w:rFonts w:hint="eastAsia" w:ascii="宋体" w:hAnsi="宋体" w:cs="宋体"/>
          <w:color w:val="auto"/>
          <w:kern w:val="0"/>
          <w:sz w:val="24"/>
          <w:szCs w:val="24"/>
          <w:highlight w:val="none"/>
          <w:lang w:val="zh-CN"/>
        </w:rPr>
        <w:t>过程中和</w:t>
      </w:r>
      <w:r>
        <w:rPr>
          <w:rFonts w:hint="eastAsia" w:cs="宋体"/>
          <w:color w:val="auto"/>
          <w:kern w:val="0"/>
          <w:sz w:val="24"/>
          <w:szCs w:val="24"/>
          <w:highlight w:val="none"/>
          <w:lang w:val="en-US" w:eastAsia="zh-CN"/>
        </w:rPr>
        <w:t>成交</w:t>
      </w:r>
      <w:r>
        <w:rPr>
          <w:rFonts w:hint="eastAsia" w:ascii="宋体" w:hAnsi="宋体" w:cs="宋体"/>
          <w:color w:val="auto"/>
          <w:kern w:val="0"/>
          <w:sz w:val="24"/>
          <w:szCs w:val="24"/>
          <w:highlight w:val="none"/>
          <w:lang w:val="zh-CN"/>
        </w:rPr>
        <w:t>后，我们将严格遵守国家法律法规要求，并郑重承诺：</w:t>
      </w:r>
    </w:p>
    <w:p w14:paraId="2B87D13C">
      <w:pPr>
        <w:shd w:val="clea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063D62B4">
      <w:pPr>
        <w:shd w:val="clea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5ADDE615">
      <w:pPr>
        <w:shd w:val="clea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6B70337F">
      <w:pPr>
        <w:shd w:val="clea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6421E616">
      <w:pPr>
        <w:shd w:val="clea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663761CE">
      <w:pPr>
        <w:shd w:val="clea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六、严格遵守《中华人民共和国政府采购法》《中华人民共和国政府采购法</w:t>
      </w:r>
      <w:r>
        <w:rPr>
          <w:rFonts w:hint="eastAsia" w:cs="宋体"/>
          <w:color w:val="auto"/>
          <w:kern w:val="0"/>
          <w:sz w:val="24"/>
          <w:szCs w:val="24"/>
          <w:highlight w:val="none"/>
          <w:lang w:val="en-US" w:eastAsia="zh-CN"/>
        </w:rPr>
        <w:t>实施条例</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5C8FD2B8">
      <w:pPr>
        <w:shd w:val="clea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w:t>
      </w:r>
      <w:r>
        <w:rPr>
          <w:rFonts w:hint="eastAsia" w:cs="宋体"/>
          <w:color w:val="auto"/>
          <w:kern w:val="0"/>
          <w:sz w:val="24"/>
          <w:szCs w:val="24"/>
          <w:highlight w:val="none"/>
          <w:lang w:val="en-US" w:eastAsia="zh-CN"/>
        </w:rPr>
        <w:t>谈判响应</w:t>
      </w:r>
      <w:r>
        <w:rPr>
          <w:rFonts w:hint="eastAsia" w:ascii="宋体" w:hAnsi="宋体" w:cs="宋体"/>
          <w:color w:val="auto"/>
          <w:kern w:val="0"/>
          <w:sz w:val="24"/>
          <w:szCs w:val="24"/>
          <w:highlight w:val="none"/>
          <w:lang w:val="zh-CN"/>
        </w:rPr>
        <w:t>、</w:t>
      </w:r>
      <w:r>
        <w:rPr>
          <w:rFonts w:hint="eastAsia" w:cs="宋体"/>
          <w:color w:val="auto"/>
          <w:kern w:val="0"/>
          <w:sz w:val="24"/>
          <w:szCs w:val="24"/>
          <w:highlight w:val="none"/>
          <w:lang w:val="en-US" w:eastAsia="zh-CN"/>
        </w:rPr>
        <w:t>成交</w:t>
      </w:r>
      <w:r>
        <w:rPr>
          <w:rFonts w:hint="eastAsia" w:ascii="宋体" w:hAnsi="宋体" w:cs="宋体"/>
          <w:color w:val="auto"/>
          <w:kern w:val="0"/>
          <w:sz w:val="24"/>
          <w:szCs w:val="24"/>
          <w:highlight w:val="none"/>
          <w:lang w:val="zh-CN"/>
        </w:rPr>
        <w:t>或在建项目的建设资格，有权拒绝我单位在一定时期内进入你单位进行项目建设或其他经营活动，并通报</w:t>
      </w:r>
      <w:r>
        <w:rPr>
          <w:rFonts w:hint="eastAsia" w:ascii="宋体" w:hAnsi="宋体" w:cs="宋体"/>
          <w:color w:val="auto"/>
          <w:kern w:val="0"/>
          <w:sz w:val="24"/>
          <w:szCs w:val="24"/>
          <w:highlight w:val="none"/>
          <w:lang w:val="en-US" w:eastAsia="zh-CN"/>
        </w:rPr>
        <w:t>兵团</w:t>
      </w:r>
      <w:r>
        <w:rPr>
          <w:rFonts w:hint="eastAsia" w:ascii="宋体" w:hAnsi="宋体" w:cs="宋体"/>
          <w:color w:val="auto"/>
          <w:kern w:val="0"/>
          <w:sz w:val="24"/>
          <w:szCs w:val="24"/>
          <w:highlight w:val="none"/>
          <w:lang w:val="zh-CN"/>
        </w:rPr>
        <w:t>财政局。由此引起的相应损失均由我单位承担。</w:t>
      </w:r>
    </w:p>
    <w:p w14:paraId="5E22ECB4">
      <w:pPr>
        <w:shd w:val="clear"/>
        <w:autoSpaceDE w:val="0"/>
        <w:autoSpaceDN w:val="0"/>
        <w:spacing w:line="360" w:lineRule="auto"/>
        <w:ind w:left="2"/>
        <w:jc w:val="left"/>
        <w:rPr>
          <w:rFonts w:ascii="宋体" w:hAnsi="宋体" w:cs="宋体"/>
          <w:color w:val="auto"/>
          <w:kern w:val="0"/>
          <w:sz w:val="24"/>
          <w:szCs w:val="24"/>
          <w:highlight w:val="none"/>
          <w:lang w:val="zh-CN"/>
        </w:rPr>
      </w:pPr>
    </w:p>
    <w:p w14:paraId="0914ACDE">
      <w:pPr>
        <w:shd w:val="clear"/>
        <w:autoSpaceDE w:val="0"/>
        <w:autoSpaceDN w:val="0"/>
        <w:spacing w:line="360" w:lineRule="auto"/>
        <w:ind w:left="2"/>
        <w:jc w:val="left"/>
        <w:rPr>
          <w:rFonts w:ascii="宋体" w:hAnsi="宋体" w:cs="宋体"/>
          <w:color w:val="auto"/>
          <w:kern w:val="0"/>
          <w:sz w:val="24"/>
          <w:szCs w:val="24"/>
          <w:highlight w:val="none"/>
          <w:lang w:val="zh-CN"/>
        </w:rPr>
      </w:pPr>
    </w:p>
    <w:p w14:paraId="02E01AF0">
      <w:pPr>
        <w:shd w:val="clear"/>
        <w:autoSpaceDE w:val="0"/>
        <w:autoSpaceDN w:val="0"/>
        <w:spacing w:line="360" w:lineRule="auto"/>
        <w:ind w:left="2"/>
        <w:jc w:val="left"/>
        <w:rPr>
          <w:rFonts w:ascii="宋体" w:hAnsi="宋体" w:cs="宋体"/>
          <w:color w:val="auto"/>
          <w:kern w:val="0"/>
          <w:sz w:val="24"/>
          <w:szCs w:val="24"/>
          <w:highlight w:val="none"/>
          <w:lang w:val="zh-CN"/>
        </w:rPr>
      </w:pPr>
    </w:p>
    <w:p w14:paraId="3EA46769">
      <w:pPr>
        <w:shd w:val="clea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cs="宋体"/>
          <w:color w:val="auto"/>
          <w:kern w:val="0"/>
          <w:sz w:val="24"/>
          <w:szCs w:val="24"/>
          <w:highlight w:val="none"/>
          <w:lang w:val="en-US" w:eastAsia="zh-CN"/>
        </w:rPr>
        <w:t>供应商</w:t>
      </w:r>
      <w:r>
        <w:rPr>
          <w:rFonts w:hint="eastAsia" w:ascii="宋体" w:hAnsi="宋体" w:cs="宋体"/>
          <w:color w:val="auto"/>
          <w:kern w:val="0"/>
          <w:sz w:val="24"/>
          <w:szCs w:val="24"/>
          <w:highlight w:val="none"/>
          <w:lang w:val="zh-CN"/>
        </w:rPr>
        <w:t>名称（</w:t>
      </w:r>
      <w:r>
        <w:rPr>
          <w:rFonts w:hint="eastAsia" w:cs="宋体"/>
          <w:color w:val="auto"/>
          <w:sz w:val="24"/>
          <w:szCs w:val="24"/>
          <w:highlight w:val="none"/>
          <w:lang w:eastAsia="zh-CN"/>
        </w:rPr>
        <w:t>公章</w:t>
      </w:r>
      <w:r>
        <w:rPr>
          <w:rFonts w:hint="eastAsia" w:ascii="宋体" w:hAnsi="宋体" w:cs="宋体"/>
          <w:color w:val="auto"/>
          <w:kern w:val="0"/>
          <w:sz w:val="24"/>
          <w:szCs w:val="24"/>
          <w:highlight w:val="none"/>
          <w:lang w:val="zh-CN"/>
        </w:rPr>
        <w:t xml:space="preserve">）：                                                                                                                                                                                                               </w:t>
      </w:r>
    </w:p>
    <w:p w14:paraId="0FD8A2DC">
      <w:pPr>
        <w:shd w:val="clea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5AA40BF9">
      <w:pPr>
        <w:shd w:val="clear"/>
        <w:rPr>
          <w:rFonts w:hint="eastAsia" w:eastAsia="宋体" w:asciiTheme="majorHAnsi" w:hAnsiTheme="majorHAnsi" w:cstheme="majorBidi"/>
          <w:b/>
          <w:bCs/>
          <w:color w:val="auto"/>
          <w:kern w:val="2"/>
          <w:sz w:val="24"/>
          <w:szCs w:val="24"/>
          <w:highlight w:val="none"/>
          <w:lang w:val="en-US" w:eastAsia="zh-CN" w:bidi="ar-SA"/>
        </w:rPr>
      </w:pPr>
    </w:p>
    <w:p w14:paraId="2917743B">
      <w:pPr>
        <w:pStyle w:val="12"/>
        <w:shd w:val="clear"/>
        <w:rPr>
          <w:rFonts w:hint="eastAsia" w:eastAsia="宋体" w:asciiTheme="majorHAnsi" w:hAnsiTheme="majorHAnsi" w:cstheme="majorBidi"/>
          <w:b/>
          <w:bCs/>
          <w:color w:val="auto"/>
          <w:kern w:val="2"/>
          <w:sz w:val="24"/>
          <w:szCs w:val="24"/>
          <w:highlight w:val="none"/>
          <w:lang w:val="en-US" w:eastAsia="zh-CN" w:bidi="ar-SA"/>
        </w:rPr>
      </w:pPr>
    </w:p>
    <w:p w14:paraId="2CC927CA">
      <w:pPr>
        <w:pStyle w:val="12"/>
        <w:shd w:val="clear"/>
        <w:rPr>
          <w:rFonts w:hint="eastAsia" w:eastAsia="宋体" w:asciiTheme="majorHAnsi" w:hAnsiTheme="majorHAnsi" w:cstheme="majorBidi"/>
          <w:b/>
          <w:bCs/>
          <w:color w:val="auto"/>
          <w:kern w:val="2"/>
          <w:sz w:val="24"/>
          <w:szCs w:val="24"/>
          <w:highlight w:val="none"/>
          <w:lang w:val="en-US" w:eastAsia="zh-CN" w:bidi="ar-SA"/>
        </w:rPr>
      </w:pPr>
    </w:p>
    <w:p w14:paraId="18FDCDE0">
      <w:pPr>
        <w:pStyle w:val="12"/>
        <w:shd w:val="clear"/>
        <w:rPr>
          <w:rFonts w:hint="eastAsia" w:eastAsia="宋体" w:asciiTheme="majorHAnsi" w:hAnsiTheme="majorHAnsi" w:cstheme="majorBidi"/>
          <w:b/>
          <w:bCs/>
          <w:color w:val="auto"/>
          <w:kern w:val="2"/>
          <w:sz w:val="24"/>
          <w:szCs w:val="24"/>
          <w:highlight w:val="none"/>
          <w:lang w:val="en-US" w:eastAsia="zh-CN" w:bidi="ar-SA"/>
        </w:rPr>
      </w:pPr>
    </w:p>
    <w:p w14:paraId="0D5FD33D">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596" w:name="_Toc19356"/>
      <w:r>
        <w:rPr>
          <w:rFonts w:hint="eastAsia" w:eastAsia="宋体" w:asciiTheme="majorHAnsi" w:hAnsiTheme="majorHAnsi" w:cstheme="majorBidi"/>
          <w:b/>
          <w:bCs/>
          <w:color w:val="auto"/>
          <w:kern w:val="2"/>
          <w:sz w:val="32"/>
          <w:szCs w:val="32"/>
          <w:highlight w:val="none"/>
          <w:lang w:val="en-US" w:eastAsia="zh-CN" w:bidi="ar-SA"/>
        </w:rPr>
        <w:t>五、实质性响应一览表</w:t>
      </w:r>
      <w:r>
        <w:rPr>
          <w:rFonts w:hint="eastAsia" w:eastAsia="宋体" w:asciiTheme="majorHAnsi" w:hAnsiTheme="majorHAnsi" w:cstheme="majorBidi"/>
          <w:b/>
          <w:bCs/>
          <w:color w:val="auto"/>
          <w:kern w:val="2"/>
          <w:sz w:val="32"/>
          <w:szCs w:val="32"/>
          <w:highlight w:val="none"/>
          <w:lang w:val="zh-CN" w:eastAsia="zh-CN" w:bidi="ar-SA"/>
        </w:rPr>
        <w:t>【</w:t>
      </w:r>
      <w:r>
        <w:rPr>
          <w:rFonts w:hint="eastAsia" w:eastAsia="宋体" w:asciiTheme="majorHAnsi" w:hAnsiTheme="majorHAnsi" w:cstheme="majorBidi"/>
          <w:b/>
          <w:bCs/>
          <w:color w:val="auto"/>
          <w:kern w:val="2"/>
          <w:sz w:val="32"/>
          <w:szCs w:val="32"/>
          <w:highlight w:val="none"/>
          <w:lang w:val="en-US" w:eastAsia="zh-CN" w:bidi="ar-SA"/>
        </w:rPr>
        <w:t>本表须与第四章的一致】</w:t>
      </w:r>
      <w:bookmarkEnd w:id="596"/>
    </w:p>
    <w:p w14:paraId="72869DE6">
      <w:pPr>
        <w:keepNext w:val="0"/>
        <w:keepLines w:val="0"/>
        <w:pageBreakBefore w:val="0"/>
        <w:widowControl w:val="0"/>
        <w:shd w:val="clear" w:color="auto"/>
        <w:tabs>
          <w:tab w:val="left" w:pos="3045"/>
        </w:tabs>
        <w:kinsoku/>
        <w:wordWrap/>
        <w:overflowPunct/>
        <w:topLinePunct w:val="0"/>
        <w:autoSpaceDE w:val="0"/>
        <w:autoSpaceDN w:val="0"/>
        <w:bidi w:val="0"/>
        <w:adjustRightInd w:val="0"/>
        <w:snapToGrid w:val="0"/>
        <w:spacing w:line="360" w:lineRule="exact"/>
        <w:jc w:val="center"/>
        <w:textAlignment w:val="auto"/>
        <w:rPr>
          <w:rFonts w:hint="eastAsia" w:ascii="宋体" w:hAnsi="宋体" w:cs="宋体"/>
          <w:b/>
          <w:color w:val="auto"/>
          <w:sz w:val="24"/>
          <w:highlight w:val="none"/>
        </w:rPr>
      </w:pPr>
      <w:r>
        <w:rPr>
          <w:rFonts w:hint="eastAsia" w:ascii="宋体" w:hAnsi="宋体" w:cs="宋体"/>
          <w:b w:val="0"/>
          <w:bCs/>
          <w:color w:val="auto"/>
          <w:sz w:val="24"/>
          <w:highlight w:val="none"/>
        </w:rPr>
        <w:t>（供应商须对本附表所有内容逐条响应且无负偏离，否则</w:t>
      </w:r>
      <w:r>
        <w:rPr>
          <w:rFonts w:hint="eastAsia" w:cs="宋体"/>
          <w:b w:val="0"/>
          <w:bCs/>
          <w:color w:val="auto"/>
          <w:sz w:val="24"/>
          <w:highlight w:val="none"/>
          <w:lang w:val="en-US" w:eastAsia="zh-CN"/>
        </w:rPr>
        <w:t>其</w:t>
      </w:r>
      <w:r>
        <w:rPr>
          <w:rFonts w:hint="eastAsia" w:cs="宋体"/>
          <w:b/>
          <w:color w:val="auto"/>
          <w:sz w:val="24"/>
          <w:highlight w:val="none"/>
          <w:lang w:val="en-US" w:eastAsia="zh-CN"/>
        </w:rPr>
        <w:t>响应</w:t>
      </w:r>
      <w:r>
        <w:rPr>
          <w:rFonts w:hint="eastAsia" w:ascii="宋体" w:hAnsi="宋体" w:cs="宋体"/>
          <w:b/>
          <w:color w:val="auto"/>
          <w:sz w:val="24"/>
          <w:highlight w:val="none"/>
        </w:rPr>
        <w:t>无效</w:t>
      </w:r>
      <w:r>
        <w:rPr>
          <w:rFonts w:hint="eastAsia" w:ascii="宋体" w:hAnsi="宋体" w:cs="宋体"/>
          <w:b w:val="0"/>
          <w:bCs/>
          <w:color w:val="auto"/>
          <w:sz w:val="24"/>
          <w:highlight w:val="none"/>
        </w:rPr>
        <w:t>）</w:t>
      </w:r>
    </w:p>
    <w:p w14:paraId="597D85C2">
      <w:pPr>
        <w:pStyle w:val="21"/>
        <w:shd w:val="clear"/>
        <w:rPr>
          <w:rFonts w:hint="eastAsia" w:ascii="宋体" w:hAnsi="宋体" w:cs="宋体"/>
          <w:color w:val="auto"/>
          <w:highlight w:val="none"/>
        </w:rPr>
      </w:pPr>
    </w:p>
    <w:tbl>
      <w:tblPr>
        <w:tblStyle w:val="27"/>
        <w:tblW w:w="5590" w:type="pct"/>
        <w:tblInd w:w="-5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496"/>
        <w:gridCol w:w="3671"/>
        <w:gridCol w:w="1957"/>
        <w:gridCol w:w="732"/>
      </w:tblGrid>
      <w:tr w14:paraId="5636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353" w:type="pct"/>
            <w:vMerge w:val="restart"/>
            <w:noWrap w:val="0"/>
            <w:vAlign w:val="center"/>
          </w:tcPr>
          <w:p w14:paraId="70DEA68C">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235" w:type="pct"/>
            <w:gridSpan w:val="2"/>
            <w:noWrap w:val="0"/>
            <w:vAlign w:val="center"/>
          </w:tcPr>
          <w:p w14:paraId="7BD88E5A">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rPr>
              <w:t>文件要求的实质性响应内容</w:t>
            </w:r>
          </w:p>
        </w:tc>
        <w:tc>
          <w:tcPr>
            <w:tcW w:w="1026" w:type="pct"/>
            <w:vMerge w:val="restart"/>
            <w:noWrap w:val="0"/>
            <w:vAlign w:val="center"/>
          </w:tcPr>
          <w:p w14:paraId="2598EDF7">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文件具体</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响应内容</w:t>
            </w:r>
          </w:p>
        </w:tc>
        <w:tc>
          <w:tcPr>
            <w:tcW w:w="384" w:type="pct"/>
            <w:vMerge w:val="restart"/>
            <w:noWrap w:val="0"/>
            <w:vAlign w:val="center"/>
          </w:tcPr>
          <w:p w14:paraId="0E80A1FB">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22BA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353" w:type="pct"/>
            <w:vMerge w:val="continue"/>
            <w:noWrap w:val="0"/>
            <w:vAlign w:val="center"/>
          </w:tcPr>
          <w:p w14:paraId="788F1149">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rPr>
            </w:pPr>
          </w:p>
        </w:tc>
        <w:tc>
          <w:tcPr>
            <w:tcW w:w="1309" w:type="pct"/>
            <w:noWrap w:val="0"/>
            <w:vAlign w:val="center"/>
          </w:tcPr>
          <w:p w14:paraId="5B941D59">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实质性要求</w:t>
            </w:r>
          </w:p>
        </w:tc>
        <w:tc>
          <w:tcPr>
            <w:tcW w:w="1926" w:type="pct"/>
            <w:noWrap w:val="0"/>
            <w:vAlign w:val="center"/>
          </w:tcPr>
          <w:p w14:paraId="1887A7EA">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谈判</w:t>
            </w:r>
            <w:r>
              <w:rPr>
                <w:rFonts w:hint="eastAsia" w:ascii="宋体" w:hAnsi="宋体" w:eastAsia="宋体" w:cs="宋体"/>
                <w:color w:val="auto"/>
                <w:sz w:val="24"/>
                <w:szCs w:val="24"/>
                <w:highlight w:val="none"/>
                <w:lang w:val="en-US" w:eastAsia="zh-CN"/>
              </w:rPr>
              <w:t>文件中的规定</w:t>
            </w:r>
          </w:p>
        </w:tc>
        <w:tc>
          <w:tcPr>
            <w:tcW w:w="1026" w:type="pct"/>
            <w:vMerge w:val="continue"/>
            <w:noWrap w:val="0"/>
            <w:vAlign w:val="center"/>
          </w:tcPr>
          <w:p w14:paraId="5FF6F466">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eastAsia="zh-CN"/>
              </w:rPr>
            </w:pPr>
          </w:p>
        </w:tc>
        <w:tc>
          <w:tcPr>
            <w:tcW w:w="384" w:type="pct"/>
            <w:vMerge w:val="continue"/>
            <w:noWrap w:val="0"/>
            <w:vAlign w:val="center"/>
          </w:tcPr>
          <w:p w14:paraId="231BB2B8">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eastAsia="zh-CN"/>
              </w:rPr>
            </w:pPr>
          </w:p>
        </w:tc>
      </w:tr>
      <w:tr w14:paraId="19EB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30499CF5">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1309" w:type="pct"/>
            <w:noWrap w:val="0"/>
            <w:vAlign w:val="center"/>
          </w:tcPr>
          <w:p w14:paraId="1710CDD0">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1926" w:type="pct"/>
            <w:noWrap w:val="0"/>
            <w:vAlign w:val="center"/>
          </w:tcPr>
          <w:p w14:paraId="63B0DE90">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sz w:val="24"/>
                <w:szCs w:val="24"/>
                <w:highlight w:val="none"/>
              </w:rPr>
            </w:pPr>
          </w:p>
        </w:tc>
        <w:tc>
          <w:tcPr>
            <w:tcW w:w="1026" w:type="pct"/>
            <w:noWrap w:val="0"/>
            <w:vAlign w:val="center"/>
          </w:tcPr>
          <w:p w14:paraId="0B1E2FB0">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84" w:type="pct"/>
            <w:noWrap w:val="0"/>
            <w:vAlign w:val="center"/>
          </w:tcPr>
          <w:p w14:paraId="259753B0">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78B0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4CBD69A7">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1309" w:type="pct"/>
            <w:noWrap w:val="0"/>
            <w:vAlign w:val="center"/>
          </w:tcPr>
          <w:p w14:paraId="07A7760F">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1926" w:type="pct"/>
            <w:noWrap w:val="0"/>
            <w:vAlign w:val="center"/>
          </w:tcPr>
          <w:p w14:paraId="5649ACF6">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sz w:val="24"/>
                <w:szCs w:val="24"/>
                <w:highlight w:val="none"/>
                <w:lang w:eastAsia="zh-CN"/>
              </w:rPr>
            </w:pPr>
          </w:p>
        </w:tc>
        <w:tc>
          <w:tcPr>
            <w:tcW w:w="1026" w:type="pct"/>
            <w:noWrap w:val="0"/>
            <w:vAlign w:val="center"/>
          </w:tcPr>
          <w:p w14:paraId="4746B94F">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84" w:type="pct"/>
            <w:noWrap w:val="0"/>
            <w:vAlign w:val="center"/>
          </w:tcPr>
          <w:p w14:paraId="06627A9E">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970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3B9948B9">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1309" w:type="pct"/>
            <w:noWrap w:val="0"/>
            <w:vAlign w:val="center"/>
          </w:tcPr>
          <w:p w14:paraId="3EA46013">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926" w:type="pct"/>
            <w:noWrap w:val="0"/>
            <w:vAlign w:val="center"/>
          </w:tcPr>
          <w:p w14:paraId="62EC5B93">
            <w:pPr>
              <w:pStyle w:val="61"/>
              <w:keepNext w:val="0"/>
              <w:keepLines w:val="0"/>
              <w:pageBreakBefore w:val="0"/>
              <w:widowControl w:val="0"/>
              <w:shd w:val="clear" w:color="auto"/>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lang w:val="en-US" w:eastAsia="zh-CN" w:bidi="ar-SA"/>
              </w:rPr>
            </w:pPr>
          </w:p>
        </w:tc>
        <w:tc>
          <w:tcPr>
            <w:tcW w:w="1026" w:type="pct"/>
            <w:noWrap w:val="0"/>
            <w:vAlign w:val="center"/>
          </w:tcPr>
          <w:p w14:paraId="0A9F8338">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84" w:type="pct"/>
            <w:noWrap w:val="0"/>
            <w:vAlign w:val="center"/>
          </w:tcPr>
          <w:p w14:paraId="08E089DB">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C6F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08F70755">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1309" w:type="pct"/>
            <w:noWrap w:val="0"/>
            <w:vAlign w:val="center"/>
          </w:tcPr>
          <w:p w14:paraId="695BCC8E">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926" w:type="pct"/>
            <w:noWrap w:val="0"/>
            <w:vAlign w:val="center"/>
          </w:tcPr>
          <w:p w14:paraId="7AA3A6EB">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lang w:val="en-US" w:eastAsia="zh-CN" w:bidi="ar-SA"/>
              </w:rPr>
            </w:pPr>
          </w:p>
        </w:tc>
        <w:tc>
          <w:tcPr>
            <w:tcW w:w="1026" w:type="pct"/>
            <w:noWrap w:val="0"/>
            <w:vAlign w:val="center"/>
          </w:tcPr>
          <w:p w14:paraId="0F247756">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84" w:type="pct"/>
            <w:noWrap w:val="0"/>
            <w:vAlign w:val="center"/>
          </w:tcPr>
          <w:p w14:paraId="7E099895">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1BAE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01C20FB8">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1309" w:type="pct"/>
            <w:noWrap w:val="0"/>
            <w:vAlign w:val="center"/>
          </w:tcPr>
          <w:p w14:paraId="6450B6FD">
            <w:pPr>
              <w:pStyle w:val="61"/>
              <w:keepNext w:val="0"/>
              <w:keepLines w:val="0"/>
              <w:pageBreakBefore w:val="0"/>
              <w:widowControl w:val="0"/>
              <w:shd w:val="clear" w:color="auto"/>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sz w:val="24"/>
                <w:szCs w:val="24"/>
                <w:highlight w:val="none"/>
                <w:lang w:val="en-US" w:eastAsia="zh-CN"/>
              </w:rPr>
            </w:pPr>
          </w:p>
        </w:tc>
        <w:tc>
          <w:tcPr>
            <w:tcW w:w="1926" w:type="pct"/>
            <w:noWrap w:val="0"/>
            <w:vAlign w:val="center"/>
          </w:tcPr>
          <w:p w14:paraId="76FAB450">
            <w:pPr>
              <w:keepNext w:val="0"/>
              <w:keepLines w:val="0"/>
              <w:pageBreakBefore w:val="0"/>
              <w:widowControl w:val="0"/>
              <w:shd w:val="clear" w:color="auto"/>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4"/>
                <w:szCs w:val="24"/>
                <w:highlight w:val="none"/>
                <w:lang w:val="en-US" w:eastAsia="zh-CN"/>
              </w:rPr>
            </w:pPr>
          </w:p>
        </w:tc>
        <w:tc>
          <w:tcPr>
            <w:tcW w:w="1026" w:type="pct"/>
            <w:noWrap w:val="0"/>
            <w:vAlign w:val="center"/>
          </w:tcPr>
          <w:p w14:paraId="07DA94E9">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84" w:type="pct"/>
            <w:noWrap w:val="0"/>
            <w:vAlign w:val="center"/>
          </w:tcPr>
          <w:p w14:paraId="07E6D393">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27D3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4F43B457">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1309" w:type="pct"/>
            <w:noWrap w:val="0"/>
            <w:vAlign w:val="center"/>
          </w:tcPr>
          <w:p w14:paraId="369ABCBD">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1926" w:type="pct"/>
            <w:noWrap w:val="0"/>
            <w:vAlign w:val="center"/>
          </w:tcPr>
          <w:p w14:paraId="3A38EA74">
            <w:pPr>
              <w:keepNext w:val="0"/>
              <w:keepLines w:val="0"/>
              <w:pageBreakBefore w:val="0"/>
              <w:widowControl w:val="0"/>
              <w:shd w:val="clear" w:color="auto"/>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p>
        </w:tc>
        <w:tc>
          <w:tcPr>
            <w:tcW w:w="1026" w:type="pct"/>
            <w:noWrap w:val="0"/>
            <w:vAlign w:val="center"/>
          </w:tcPr>
          <w:p w14:paraId="24EE6A9D">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84" w:type="pct"/>
            <w:noWrap w:val="0"/>
            <w:vAlign w:val="center"/>
          </w:tcPr>
          <w:p w14:paraId="1ABD1D6E">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0163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6E2F1659">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1309" w:type="pct"/>
            <w:noWrap w:val="0"/>
            <w:vAlign w:val="center"/>
          </w:tcPr>
          <w:p w14:paraId="317CE50D">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1926" w:type="pct"/>
            <w:noWrap w:val="0"/>
            <w:vAlign w:val="center"/>
          </w:tcPr>
          <w:p w14:paraId="678C1995">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p>
        </w:tc>
        <w:tc>
          <w:tcPr>
            <w:tcW w:w="1026" w:type="pct"/>
            <w:noWrap w:val="0"/>
            <w:vAlign w:val="center"/>
          </w:tcPr>
          <w:p w14:paraId="63C11E7C">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84" w:type="pct"/>
            <w:noWrap w:val="0"/>
            <w:vAlign w:val="center"/>
          </w:tcPr>
          <w:p w14:paraId="168EE7BD">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r w14:paraId="5013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53" w:type="pct"/>
            <w:noWrap w:val="0"/>
            <w:vAlign w:val="center"/>
          </w:tcPr>
          <w:p w14:paraId="65574B31">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lang w:val="en-US" w:eastAsia="zh-CN"/>
              </w:rPr>
            </w:pPr>
          </w:p>
        </w:tc>
        <w:tc>
          <w:tcPr>
            <w:tcW w:w="1309" w:type="pct"/>
            <w:shd w:val="clear" w:color="auto" w:fill="auto"/>
            <w:noWrap w:val="0"/>
            <w:vAlign w:val="center"/>
          </w:tcPr>
          <w:p w14:paraId="4892F810">
            <w:pPr>
              <w:pStyle w:val="44"/>
              <w:shd w:val="clea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sz w:val="24"/>
                <w:szCs w:val="24"/>
                <w:highlight w:val="none"/>
                <w:lang w:val="zh-CN"/>
              </w:rPr>
              <w:t>……</w:t>
            </w:r>
          </w:p>
        </w:tc>
        <w:tc>
          <w:tcPr>
            <w:tcW w:w="1926" w:type="pct"/>
            <w:noWrap w:val="0"/>
            <w:vAlign w:val="center"/>
          </w:tcPr>
          <w:p w14:paraId="6EE49605">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lang w:eastAsia="zh-CN"/>
              </w:rPr>
            </w:pPr>
          </w:p>
        </w:tc>
        <w:tc>
          <w:tcPr>
            <w:tcW w:w="1026" w:type="pct"/>
            <w:noWrap w:val="0"/>
            <w:vAlign w:val="center"/>
          </w:tcPr>
          <w:p w14:paraId="5A390DA1">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c>
          <w:tcPr>
            <w:tcW w:w="384" w:type="pct"/>
            <w:noWrap w:val="0"/>
            <w:vAlign w:val="center"/>
          </w:tcPr>
          <w:p w14:paraId="639F5956">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rPr>
            </w:pPr>
          </w:p>
        </w:tc>
      </w:tr>
    </w:tbl>
    <w:p w14:paraId="4758525D">
      <w:pPr>
        <w:shd w:val="clear"/>
        <w:rPr>
          <w:rFonts w:hint="eastAsia" w:cstheme="majorBidi"/>
          <w:b/>
          <w:bCs/>
          <w:color w:val="auto"/>
          <w:kern w:val="2"/>
          <w:sz w:val="32"/>
          <w:szCs w:val="32"/>
          <w:highlight w:val="none"/>
          <w:lang w:val="en-US" w:eastAsia="zh-CN" w:bidi="ar-SA"/>
        </w:rPr>
      </w:pPr>
    </w:p>
    <w:p w14:paraId="75D4FE8C">
      <w:pPr>
        <w:shd w:val="clear"/>
        <w:rPr>
          <w:rFonts w:hint="eastAsia" w:cstheme="majorBidi"/>
          <w:b/>
          <w:bCs/>
          <w:color w:val="auto"/>
          <w:kern w:val="2"/>
          <w:sz w:val="32"/>
          <w:szCs w:val="32"/>
          <w:highlight w:val="none"/>
          <w:lang w:val="en-US" w:eastAsia="zh-CN" w:bidi="ar-SA"/>
        </w:rPr>
      </w:pPr>
      <w:r>
        <w:rPr>
          <w:rFonts w:hint="eastAsia" w:cstheme="majorBidi"/>
          <w:b/>
          <w:bCs/>
          <w:color w:val="auto"/>
          <w:kern w:val="2"/>
          <w:sz w:val="32"/>
          <w:szCs w:val="32"/>
          <w:highlight w:val="none"/>
          <w:lang w:val="en-US" w:eastAsia="zh-CN" w:bidi="ar-SA"/>
        </w:rPr>
        <w:br w:type="page"/>
      </w:r>
    </w:p>
    <w:p w14:paraId="626EF50E">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597" w:name="_Toc24814"/>
      <w:bookmarkStart w:id="598" w:name="_Toc3163"/>
      <w:r>
        <w:rPr>
          <w:rFonts w:hint="eastAsia" w:cstheme="majorBidi"/>
          <w:b/>
          <w:bCs/>
          <w:color w:val="auto"/>
          <w:kern w:val="2"/>
          <w:sz w:val="32"/>
          <w:szCs w:val="32"/>
          <w:highlight w:val="none"/>
          <w:lang w:val="en-US" w:eastAsia="zh-CN" w:bidi="ar-SA"/>
        </w:rPr>
        <w:t>六、</w:t>
      </w:r>
      <w:r>
        <w:rPr>
          <w:rFonts w:hint="eastAsia" w:eastAsia="宋体" w:asciiTheme="majorHAnsi" w:hAnsiTheme="majorHAnsi" w:cstheme="majorBidi"/>
          <w:b/>
          <w:bCs/>
          <w:color w:val="auto"/>
          <w:kern w:val="2"/>
          <w:sz w:val="32"/>
          <w:szCs w:val="32"/>
          <w:highlight w:val="none"/>
          <w:lang w:val="en-US" w:eastAsia="zh-CN" w:bidi="ar-SA"/>
        </w:rPr>
        <w:t>商务响应偏离表</w:t>
      </w:r>
      <w:bookmarkEnd w:id="597"/>
      <w:bookmarkEnd w:id="598"/>
    </w:p>
    <w:p w14:paraId="21AF32D6">
      <w:pPr>
        <w:shd w:val="clear"/>
        <w:rPr>
          <w:rFonts w:cs="仿宋_GB2312"/>
          <w:color w:val="auto"/>
          <w:szCs w:val="24"/>
          <w:highlight w:val="none"/>
        </w:rPr>
      </w:pPr>
      <w:r>
        <w:rPr>
          <w:rFonts w:hint="eastAsia" w:cs="仿宋_GB2312"/>
          <w:color w:val="auto"/>
          <w:szCs w:val="24"/>
          <w:highlight w:val="none"/>
        </w:rPr>
        <w:t xml:space="preserve">项目名称：                                         </w:t>
      </w:r>
    </w:p>
    <w:p w14:paraId="0424C095">
      <w:pPr>
        <w:shd w:val="clear"/>
        <w:rPr>
          <w:rFonts w:cs="仿宋_GB2312"/>
          <w:color w:val="auto"/>
          <w:szCs w:val="24"/>
          <w:highlight w:val="none"/>
        </w:rPr>
      </w:pPr>
      <w:r>
        <w:rPr>
          <w:rFonts w:hint="eastAsia" w:cs="仿宋_GB2312"/>
          <w:color w:val="auto"/>
          <w:szCs w:val="24"/>
          <w:highlight w:val="none"/>
        </w:rPr>
        <w:t>项目编号</w:t>
      </w:r>
      <w:r>
        <w:rPr>
          <w:rFonts w:hint="eastAsia"/>
          <w:b w:val="0"/>
          <w:bCs/>
          <w:color w:val="auto"/>
          <w:szCs w:val="21"/>
          <w:highlight w:val="none"/>
          <w:lang w:val="en-US" w:eastAsia="zh-CN"/>
        </w:rPr>
        <w:t>/</w:t>
      </w:r>
      <w:r>
        <w:rPr>
          <w:rFonts w:hint="eastAsia"/>
          <w:b w:val="0"/>
          <w:bCs/>
          <w:color w:val="auto"/>
          <w:szCs w:val="21"/>
          <w:highlight w:val="none"/>
          <w:lang w:val="zh-CN"/>
        </w:rPr>
        <w:t>包号</w:t>
      </w:r>
      <w:r>
        <w:rPr>
          <w:rFonts w:hint="eastAsia" w:cs="仿宋_GB2312"/>
          <w:color w:val="auto"/>
          <w:szCs w:val="24"/>
          <w:highlight w:val="none"/>
        </w:rPr>
        <w:t xml:space="preserve">：        </w:t>
      </w:r>
    </w:p>
    <w:tbl>
      <w:tblPr>
        <w:tblStyle w:val="27"/>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44"/>
              <w:shd w:val="clear"/>
              <w:jc w:val="center"/>
              <w:rPr>
                <w:color w:val="auto"/>
                <w:highlight w:val="none"/>
              </w:rPr>
            </w:pPr>
            <w:r>
              <w:rPr>
                <w:rFonts w:hint="eastAsia"/>
                <w:color w:val="auto"/>
                <w:highlight w:val="none"/>
              </w:rPr>
              <w:t>序号</w:t>
            </w:r>
          </w:p>
        </w:tc>
        <w:tc>
          <w:tcPr>
            <w:tcW w:w="1395" w:type="pct"/>
            <w:vAlign w:val="center"/>
          </w:tcPr>
          <w:p w14:paraId="7CB83CD6">
            <w:pPr>
              <w:pStyle w:val="44"/>
              <w:shd w:val="clear"/>
              <w:jc w:val="center"/>
              <w:rPr>
                <w:color w:val="auto"/>
                <w:highlight w:val="none"/>
              </w:rPr>
            </w:pPr>
            <w:r>
              <w:rPr>
                <w:rFonts w:hint="eastAsia"/>
                <w:color w:val="auto"/>
                <w:highlight w:val="none"/>
                <w:lang w:val="en-US" w:eastAsia="zh-CN"/>
              </w:rPr>
              <w:t>竞争性谈判</w:t>
            </w:r>
            <w:r>
              <w:rPr>
                <w:rFonts w:hint="eastAsia"/>
                <w:color w:val="auto"/>
                <w:highlight w:val="none"/>
              </w:rPr>
              <w:t>文件的商务条款</w:t>
            </w:r>
          </w:p>
        </w:tc>
        <w:tc>
          <w:tcPr>
            <w:tcW w:w="1002" w:type="pct"/>
            <w:vAlign w:val="center"/>
          </w:tcPr>
          <w:p w14:paraId="55A47B57">
            <w:pPr>
              <w:pStyle w:val="44"/>
              <w:shd w:val="clear"/>
              <w:jc w:val="center"/>
              <w:rPr>
                <w:color w:val="auto"/>
                <w:highlight w:val="none"/>
              </w:rPr>
            </w:pPr>
            <w:r>
              <w:rPr>
                <w:rFonts w:hint="eastAsia"/>
                <w:color w:val="auto"/>
                <w:highlight w:val="none"/>
                <w:lang w:val="en-US" w:eastAsia="zh-CN"/>
              </w:rPr>
              <w:t>响应</w:t>
            </w:r>
            <w:r>
              <w:rPr>
                <w:rFonts w:hint="eastAsia"/>
                <w:color w:val="auto"/>
                <w:highlight w:val="none"/>
              </w:rPr>
              <w:t>文件的响应内容</w:t>
            </w:r>
          </w:p>
        </w:tc>
        <w:tc>
          <w:tcPr>
            <w:tcW w:w="1090" w:type="pct"/>
            <w:vAlign w:val="center"/>
          </w:tcPr>
          <w:p w14:paraId="2572E859">
            <w:pPr>
              <w:pStyle w:val="44"/>
              <w:shd w:val="clear"/>
              <w:jc w:val="center"/>
              <w:rPr>
                <w:color w:val="auto"/>
                <w:highlight w:val="none"/>
              </w:rPr>
            </w:pPr>
            <w:r>
              <w:rPr>
                <w:rFonts w:hint="eastAsia"/>
                <w:color w:val="auto"/>
                <w:highlight w:val="none"/>
              </w:rPr>
              <w:t>响应情况</w:t>
            </w:r>
          </w:p>
        </w:tc>
        <w:tc>
          <w:tcPr>
            <w:tcW w:w="1090" w:type="pct"/>
            <w:vAlign w:val="center"/>
          </w:tcPr>
          <w:p w14:paraId="7884F206">
            <w:pPr>
              <w:pStyle w:val="44"/>
              <w:shd w:val="clear"/>
              <w:jc w:val="center"/>
              <w:rPr>
                <w:color w:val="auto"/>
                <w:highlight w:val="none"/>
              </w:rPr>
            </w:pPr>
            <w:r>
              <w:rPr>
                <w:rFonts w:hint="eastAsia"/>
                <w:color w:val="auto"/>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44"/>
              <w:shd w:val="clear"/>
              <w:jc w:val="center"/>
              <w:rPr>
                <w:color w:val="auto"/>
                <w:highlight w:val="none"/>
              </w:rPr>
            </w:pPr>
            <w:r>
              <w:rPr>
                <w:rFonts w:hint="eastAsia"/>
                <w:color w:val="auto"/>
                <w:highlight w:val="none"/>
              </w:rPr>
              <w:t>1</w:t>
            </w:r>
          </w:p>
        </w:tc>
        <w:tc>
          <w:tcPr>
            <w:tcW w:w="1395" w:type="pct"/>
            <w:vAlign w:val="center"/>
          </w:tcPr>
          <w:p w14:paraId="34566CA0">
            <w:pPr>
              <w:pStyle w:val="44"/>
              <w:shd w:val="clear"/>
              <w:jc w:val="center"/>
              <w:rPr>
                <w:color w:val="auto"/>
                <w:highlight w:val="none"/>
              </w:rPr>
            </w:pPr>
            <w:r>
              <w:rPr>
                <w:rFonts w:hint="eastAsia"/>
                <w:color w:val="auto"/>
                <w:highlight w:val="none"/>
              </w:rPr>
              <w:t>*</w:t>
            </w:r>
            <w:r>
              <w:rPr>
                <w:color w:val="auto"/>
                <w:highlight w:val="none"/>
              </w:rPr>
              <w:t>******</w:t>
            </w:r>
          </w:p>
        </w:tc>
        <w:tc>
          <w:tcPr>
            <w:tcW w:w="1002" w:type="pct"/>
            <w:vAlign w:val="center"/>
          </w:tcPr>
          <w:p w14:paraId="1C6482B4">
            <w:pPr>
              <w:pStyle w:val="44"/>
              <w:shd w:val="clear"/>
              <w:jc w:val="center"/>
              <w:rPr>
                <w:color w:val="auto"/>
                <w:highlight w:val="none"/>
              </w:rPr>
            </w:pPr>
            <w:r>
              <w:rPr>
                <w:rFonts w:hint="eastAsia"/>
                <w:color w:val="auto"/>
                <w:highlight w:val="none"/>
              </w:rPr>
              <w:t>*</w:t>
            </w:r>
            <w:r>
              <w:rPr>
                <w:color w:val="auto"/>
                <w:highlight w:val="none"/>
              </w:rPr>
              <w:t>******</w:t>
            </w:r>
          </w:p>
        </w:tc>
        <w:tc>
          <w:tcPr>
            <w:tcW w:w="1090" w:type="pct"/>
            <w:vAlign w:val="center"/>
          </w:tcPr>
          <w:p w14:paraId="1BBD0417">
            <w:pPr>
              <w:pStyle w:val="44"/>
              <w:shd w:val="clear"/>
              <w:jc w:val="center"/>
              <w:rPr>
                <w:color w:val="auto"/>
                <w:highlight w:val="none"/>
              </w:rPr>
            </w:pPr>
            <w:r>
              <w:rPr>
                <w:rFonts w:hint="eastAsia"/>
                <w:color w:val="auto"/>
                <w:highlight w:val="none"/>
              </w:rPr>
              <w:t>响应</w:t>
            </w:r>
            <w:r>
              <w:rPr>
                <w:color w:val="auto"/>
                <w:highlight w:val="none"/>
              </w:rPr>
              <w:t>/偏离</w:t>
            </w:r>
          </w:p>
        </w:tc>
        <w:tc>
          <w:tcPr>
            <w:tcW w:w="1090" w:type="pct"/>
            <w:vAlign w:val="center"/>
          </w:tcPr>
          <w:p w14:paraId="1A90E39C">
            <w:pPr>
              <w:pStyle w:val="44"/>
              <w:shd w:val="clear"/>
              <w:jc w:val="center"/>
              <w:rPr>
                <w:color w:val="auto"/>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44"/>
              <w:shd w:val="clear"/>
              <w:jc w:val="center"/>
              <w:rPr>
                <w:color w:val="auto"/>
                <w:highlight w:val="none"/>
              </w:rPr>
            </w:pPr>
            <w:r>
              <w:rPr>
                <w:rFonts w:hint="eastAsia"/>
                <w:color w:val="auto"/>
                <w:highlight w:val="none"/>
              </w:rPr>
              <w:t>2</w:t>
            </w:r>
          </w:p>
        </w:tc>
        <w:tc>
          <w:tcPr>
            <w:tcW w:w="1395" w:type="pct"/>
            <w:vAlign w:val="center"/>
          </w:tcPr>
          <w:p w14:paraId="2A717A55">
            <w:pPr>
              <w:pStyle w:val="44"/>
              <w:shd w:val="clear"/>
              <w:jc w:val="center"/>
              <w:rPr>
                <w:color w:val="auto"/>
                <w:highlight w:val="none"/>
              </w:rPr>
            </w:pPr>
            <w:r>
              <w:rPr>
                <w:rFonts w:hint="eastAsia"/>
                <w:color w:val="auto"/>
                <w:highlight w:val="none"/>
              </w:rPr>
              <w:t>*</w:t>
            </w:r>
            <w:r>
              <w:rPr>
                <w:color w:val="auto"/>
                <w:highlight w:val="none"/>
              </w:rPr>
              <w:t>******</w:t>
            </w:r>
          </w:p>
        </w:tc>
        <w:tc>
          <w:tcPr>
            <w:tcW w:w="1002" w:type="pct"/>
            <w:vAlign w:val="center"/>
          </w:tcPr>
          <w:p w14:paraId="20EC7575">
            <w:pPr>
              <w:pStyle w:val="44"/>
              <w:shd w:val="clear"/>
              <w:jc w:val="center"/>
              <w:rPr>
                <w:color w:val="auto"/>
                <w:highlight w:val="none"/>
              </w:rPr>
            </w:pPr>
            <w:r>
              <w:rPr>
                <w:rFonts w:hint="eastAsia"/>
                <w:color w:val="auto"/>
                <w:highlight w:val="none"/>
              </w:rPr>
              <w:t>*</w:t>
            </w:r>
            <w:r>
              <w:rPr>
                <w:color w:val="auto"/>
                <w:highlight w:val="none"/>
              </w:rPr>
              <w:t>******</w:t>
            </w:r>
          </w:p>
        </w:tc>
        <w:tc>
          <w:tcPr>
            <w:tcW w:w="1090" w:type="pct"/>
            <w:vAlign w:val="center"/>
          </w:tcPr>
          <w:p w14:paraId="5923E58D">
            <w:pPr>
              <w:pStyle w:val="44"/>
              <w:shd w:val="clear"/>
              <w:jc w:val="center"/>
              <w:rPr>
                <w:color w:val="auto"/>
                <w:highlight w:val="none"/>
              </w:rPr>
            </w:pPr>
          </w:p>
        </w:tc>
        <w:tc>
          <w:tcPr>
            <w:tcW w:w="1090" w:type="pct"/>
            <w:vAlign w:val="center"/>
          </w:tcPr>
          <w:p w14:paraId="59C2C317">
            <w:pPr>
              <w:pStyle w:val="44"/>
              <w:shd w:val="clear"/>
              <w:jc w:val="center"/>
              <w:rPr>
                <w:color w:val="auto"/>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44"/>
              <w:shd w:val="clear"/>
              <w:jc w:val="center"/>
              <w:rPr>
                <w:color w:val="auto"/>
                <w:highlight w:val="none"/>
              </w:rPr>
            </w:pPr>
            <w:r>
              <w:rPr>
                <w:rFonts w:hint="eastAsia"/>
                <w:color w:val="auto"/>
                <w:highlight w:val="none"/>
              </w:rPr>
              <w:t>3</w:t>
            </w:r>
          </w:p>
        </w:tc>
        <w:tc>
          <w:tcPr>
            <w:tcW w:w="1395" w:type="pct"/>
            <w:vAlign w:val="center"/>
          </w:tcPr>
          <w:p w14:paraId="595245DB">
            <w:pPr>
              <w:pStyle w:val="44"/>
              <w:shd w:val="clear"/>
              <w:jc w:val="center"/>
              <w:rPr>
                <w:color w:val="auto"/>
                <w:highlight w:val="none"/>
              </w:rPr>
            </w:pPr>
            <w:r>
              <w:rPr>
                <w:rFonts w:hint="eastAsia"/>
                <w:color w:val="auto"/>
                <w:highlight w:val="none"/>
              </w:rPr>
              <w:t>*</w:t>
            </w:r>
            <w:r>
              <w:rPr>
                <w:color w:val="auto"/>
                <w:highlight w:val="none"/>
              </w:rPr>
              <w:t>******</w:t>
            </w:r>
          </w:p>
        </w:tc>
        <w:tc>
          <w:tcPr>
            <w:tcW w:w="1002" w:type="pct"/>
            <w:vAlign w:val="center"/>
          </w:tcPr>
          <w:p w14:paraId="0A16B4B6">
            <w:pPr>
              <w:pStyle w:val="44"/>
              <w:shd w:val="clear"/>
              <w:jc w:val="center"/>
              <w:rPr>
                <w:color w:val="auto"/>
                <w:highlight w:val="none"/>
              </w:rPr>
            </w:pPr>
            <w:r>
              <w:rPr>
                <w:rFonts w:hint="eastAsia"/>
                <w:color w:val="auto"/>
                <w:highlight w:val="none"/>
              </w:rPr>
              <w:t>*</w:t>
            </w:r>
            <w:r>
              <w:rPr>
                <w:color w:val="auto"/>
                <w:highlight w:val="none"/>
              </w:rPr>
              <w:t>******</w:t>
            </w:r>
          </w:p>
        </w:tc>
        <w:tc>
          <w:tcPr>
            <w:tcW w:w="1090" w:type="pct"/>
            <w:vAlign w:val="center"/>
          </w:tcPr>
          <w:p w14:paraId="58535F72">
            <w:pPr>
              <w:pStyle w:val="44"/>
              <w:shd w:val="clear"/>
              <w:jc w:val="center"/>
              <w:rPr>
                <w:color w:val="auto"/>
                <w:highlight w:val="none"/>
              </w:rPr>
            </w:pPr>
          </w:p>
        </w:tc>
        <w:tc>
          <w:tcPr>
            <w:tcW w:w="1090" w:type="pct"/>
            <w:vAlign w:val="center"/>
          </w:tcPr>
          <w:p w14:paraId="50AB520B">
            <w:pPr>
              <w:pStyle w:val="44"/>
              <w:shd w:val="clear"/>
              <w:jc w:val="center"/>
              <w:rPr>
                <w:color w:val="auto"/>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44"/>
              <w:shd w:val="clear"/>
              <w:jc w:val="center"/>
              <w:rPr>
                <w:color w:val="auto"/>
                <w:highlight w:val="none"/>
              </w:rPr>
            </w:pPr>
          </w:p>
        </w:tc>
        <w:tc>
          <w:tcPr>
            <w:tcW w:w="1395" w:type="pct"/>
            <w:vAlign w:val="center"/>
          </w:tcPr>
          <w:p w14:paraId="14968038">
            <w:pPr>
              <w:pStyle w:val="44"/>
              <w:shd w:val="clear"/>
              <w:jc w:val="center"/>
              <w:rPr>
                <w:color w:val="auto"/>
                <w:highlight w:val="none"/>
              </w:rPr>
            </w:pPr>
          </w:p>
        </w:tc>
        <w:tc>
          <w:tcPr>
            <w:tcW w:w="1002" w:type="pct"/>
            <w:vAlign w:val="center"/>
          </w:tcPr>
          <w:p w14:paraId="10A6B59E">
            <w:pPr>
              <w:pStyle w:val="44"/>
              <w:shd w:val="clear"/>
              <w:jc w:val="center"/>
              <w:rPr>
                <w:color w:val="auto"/>
                <w:highlight w:val="none"/>
              </w:rPr>
            </w:pPr>
          </w:p>
        </w:tc>
        <w:tc>
          <w:tcPr>
            <w:tcW w:w="1090" w:type="pct"/>
            <w:vAlign w:val="center"/>
          </w:tcPr>
          <w:p w14:paraId="61702DF6">
            <w:pPr>
              <w:pStyle w:val="44"/>
              <w:shd w:val="clear"/>
              <w:jc w:val="center"/>
              <w:rPr>
                <w:color w:val="auto"/>
                <w:highlight w:val="none"/>
              </w:rPr>
            </w:pPr>
          </w:p>
        </w:tc>
        <w:tc>
          <w:tcPr>
            <w:tcW w:w="1090" w:type="pct"/>
            <w:vAlign w:val="center"/>
          </w:tcPr>
          <w:p w14:paraId="0CC18FC2">
            <w:pPr>
              <w:pStyle w:val="44"/>
              <w:shd w:val="clear"/>
              <w:jc w:val="center"/>
              <w:rPr>
                <w:color w:val="auto"/>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44"/>
              <w:shd w:val="clear"/>
              <w:jc w:val="center"/>
              <w:rPr>
                <w:color w:val="auto"/>
                <w:highlight w:val="none"/>
              </w:rPr>
            </w:pPr>
          </w:p>
        </w:tc>
        <w:tc>
          <w:tcPr>
            <w:tcW w:w="1395" w:type="pct"/>
            <w:vAlign w:val="center"/>
          </w:tcPr>
          <w:p w14:paraId="5DDD9937">
            <w:pPr>
              <w:pStyle w:val="44"/>
              <w:shd w:val="clear"/>
              <w:jc w:val="center"/>
              <w:rPr>
                <w:color w:val="auto"/>
                <w:highlight w:val="none"/>
              </w:rPr>
            </w:pPr>
          </w:p>
        </w:tc>
        <w:tc>
          <w:tcPr>
            <w:tcW w:w="1002" w:type="pct"/>
            <w:vAlign w:val="center"/>
          </w:tcPr>
          <w:p w14:paraId="0B29A018">
            <w:pPr>
              <w:pStyle w:val="44"/>
              <w:shd w:val="clear"/>
              <w:jc w:val="center"/>
              <w:rPr>
                <w:color w:val="auto"/>
                <w:highlight w:val="none"/>
              </w:rPr>
            </w:pPr>
          </w:p>
        </w:tc>
        <w:tc>
          <w:tcPr>
            <w:tcW w:w="1090" w:type="pct"/>
            <w:vAlign w:val="center"/>
          </w:tcPr>
          <w:p w14:paraId="1FA693DE">
            <w:pPr>
              <w:pStyle w:val="44"/>
              <w:shd w:val="clear"/>
              <w:jc w:val="center"/>
              <w:rPr>
                <w:color w:val="auto"/>
                <w:highlight w:val="none"/>
              </w:rPr>
            </w:pPr>
          </w:p>
        </w:tc>
        <w:tc>
          <w:tcPr>
            <w:tcW w:w="1090" w:type="pct"/>
            <w:vAlign w:val="center"/>
          </w:tcPr>
          <w:p w14:paraId="3D633AB6">
            <w:pPr>
              <w:pStyle w:val="44"/>
              <w:shd w:val="clear"/>
              <w:jc w:val="center"/>
              <w:rPr>
                <w:color w:val="auto"/>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44"/>
              <w:shd w:val="clear"/>
              <w:jc w:val="center"/>
              <w:rPr>
                <w:color w:val="auto"/>
                <w:highlight w:val="none"/>
              </w:rPr>
            </w:pPr>
          </w:p>
        </w:tc>
        <w:tc>
          <w:tcPr>
            <w:tcW w:w="1395" w:type="pct"/>
            <w:vAlign w:val="center"/>
          </w:tcPr>
          <w:p w14:paraId="014A297F">
            <w:pPr>
              <w:pStyle w:val="44"/>
              <w:shd w:val="clear"/>
              <w:jc w:val="center"/>
              <w:rPr>
                <w:color w:val="auto"/>
                <w:highlight w:val="none"/>
              </w:rPr>
            </w:pPr>
          </w:p>
        </w:tc>
        <w:tc>
          <w:tcPr>
            <w:tcW w:w="1002" w:type="pct"/>
            <w:vAlign w:val="center"/>
          </w:tcPr>
          <w:p w14:paraId="51467013">
            <w:pPr>
              <w:pStyle w:val="44"/>
              <w:shd w:val="clear"/>
              <w:jc w:val="center"/>
              <w:rPr>
                <w:color w:val="auto"/>
                <w:highlight w:val="none"/>
              </w:rPr>
            </w:pPr>
          </w:p>
        </w:tc>
        <w:tc>
          <w:tcPr>
            <w:tcW w:w="1090" w:type="pct"/>
            <w:vAlign w:val="center"/>
          </w:tcPr>
          <w:p w14:paraId="011E40CA">
            <w:pPr>
              <w:pStyle w:val="44"/>
              <w:shd w:val="clear"/>
              <w:jc w:val="center"/>
              <w:rPr>
                <w:color w:val="auto"/>
                <w:highlight w:val="none"/>
              </w:rPr>
            </w:pPr>
          </w:p>
        </w:tc>
        <w:tc>
          <w:tcPr>
            <w:tcW w:w="1090" w:type="pct"/>
            <w:vAlign w:val="center"/>
          </w:tcPr>
          <w:p w14:paraId="7062C313">
            <w:pPr>
              <w:pStyle w:val="44"/>
              <w:shd w:val="clear"/>
              <w:jc w:val="center"/>
              <w:rPr>
                <w:color w:val="auto"/>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44"/>
              <w:shd w:val="clear"/>
              <w:jc w:val="center"/>
              <w:rPr>
                <w:color w:val="auto"/>
                <w:highlight w:val="none"/>
              </w:rPr>
            </w:pPr>
          </w:p>
        </w:tc>
        <w:tc>
          <w:tcPr>
            <w:tcW w:w="1395" w:type="pct"/>
            <w:vAlign w:val="center"/>
          </w:tcPr>
          <w:p w14:paraId="010A1BB0">
            <w:pPr>
              <w:pStyle w:val="44"/>
              <w:shd w:val="clear"/>
              <w:jc w:val="center"/>
              <w:rPr>
                <w:color w:val="auto"/>
                <w:highlight w:val="none"/>
              </w:rPr>
            </w:pPr>
          </w:p>
        </w:tc>
        <w:tc>
          <w:tcPr>
            <w:tcW w:w="1002" w:type="pct"/>
            <w:vAlign w:val="center"/>
          </w:tcPr>
          <w:p w14:paraId="1EE22C75">
            <w:pPr>
              <w:pStyle w:val="44"/>
              <w:shd w:val="clear"/>
              <w:jc w:val="center"/>
              <w:rPr>
                <w:color w:val="auto"/>
                <w:highlight w:val="none"/>
              </w:rPr>
            </w:pPr>
          </w:p>
        </w:tc>
        <w:tc>
          <w:tcPr>
            <w:tcW w:w="1090" w:type="pct"/>
            <w:vAlign w:val="center"/>
          </w:tcPr>
          <w:p w14:paraId="3C86F2CC">
            <w:pPr>
              <w:pStyle w:val="44"/>
              <w:shd w:val="clear"/>
              <w:jc w:val="center"/>
              <w:rPr>
                <w:color w:val="auto"/>
                <w:highlight w:val="none"/>
              </w:rPr>
            </w:pPr>
          </w:p>
        </w:tc>
        <w:tc>
          <w:tcPr>
            <w:tcW w:w="1090" w:type="pct"/>
            <w:vAlign w:val="center"/>
          </w:tcPr>
          <w:p w14:paraId="515EA04E">
            <w:pPr>
              <w:pStyle w:val="44"/>
              <w:shd w:val="clear"/>
              <w:jc w:val="center"/>
              <w:rPr>
                <w:color w:val="auto"/>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44"/>
              <w:shd w:val="clear"/>
              <w:jc w:val="center"/>
              <w:rPr>
                <w:color w:val="auto"/>
                <w:highlight w:val="none"/>
              </w:rPr>
            </w:pPr>
          </w:p>
        </w:tc>
        <w:tc>
          <w:tcPr>
            <w:tcW w:w="1395" w:type="pct"/>
            <w:vAlign w:val="center"/>
          </w:tcPr>
          <w:p w14:paraId="1C7A6406">
            <w:pPr>
              <w:pStyle w:val="44"/>
              <w:shd w:val="clear"/>
              <w:jc w:val="center"/>
              <w:rPr>
                <w:color w:val="auto"/>
                <w:highlight w:val="none"/>
              </w:rPr>
            </w:pPr>
          </w:p>
        </w:tc>
        <w:tc>
          <w:tcPr>
            <w:tcW w:w="1002" w:type="pct"/>
            <w:vAlign w:val="center"/>
          </w:tcPr>
          <w:p w14:paraId="7F774DAF">
            <w:pPr>
              <w:pStyle w:val="44"/>
              <w:shd w:val="clear"/>
              <w:jc w:val="center"/>
              <w:rPr>
                <w:color w:val="auto"/>
                <w:highlight w:val="none"/>
              </w:rPr>
            </w:pPr>
          </w:p>
        </w:tc>
        <w:tc>
          <w:tcPr>
            <w:tcW w:w="1090" w:type="pct"/>
            <w:vAlign w:val="center"/>
          </w:tcPr>
          <w:p w14:paraId="66A55C54">
            <w:pPr>
              <w:pStyle w:val="44"/>
              <w:shd w:val="clear"/>
              <w:jc w:val="center"/>
              <w:rPr>
                <w:color w:val="auto"/>
                <w:highlight w:val="none"/>
              </w:rPr>
            </w:pPr>
          </w:p>
        </w:tc>
        <w:tc>
          <w:tcPr>
            <w:tcW w:w="1090" w:type="pct"/>
            <w:vAlign w:val="center"/>
          </w:tcPr>
          <w:p w14:paraId="6FC3A7DB">
            <w:pPr>
              <w:pStyle w:val="44"/>
              <w:shd w:val="clear"/>
              <w:jc w:val="center"/>
              <w:rPr>
                <w:color w:val="auto"/>
                <w:highlight w:val="none"/>
              </w:rPr>
            </w:pPr>
          </w:p>
        </w:tc>
      </w:tr>
      <w:tr w14:paraId="2B93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84A230">
            <w:pPr>
              <w:pStyle w:val="44"/>
              <w:shd w:val="clear"/>
              <w:jc w:val="center"/>
              <w:rPr>
                <w:color w:val="auto"/>
                <w:highlight w:val="none"/>
              </w:rPr>
            </w:pPr>
          </w:p>
        </w:tc>
        <w:tc>
          <w:tcPr>
            <w:tcW w:w="1395" w:type="pct"/>
            <w:vAlign w:val="center"/>
          </w:tcPr>
          <w:p w14:paraId="5A1690B5">
            <w:pPr>
              <w:pStyle w:val="44"/>
              <w:shd w:val="clear"/>
              <w:jc w:val="center"/>
              <w:rPr>
                <w:color w:val="auto"/>
                <w:highlight w:val="none"/>
              </w:rPr>
            </w:pPr>
          </w:p>
        </w:tc>
        <w:tc>
          <w:tcPr>
            <w:tcW w:w="1002" w:type="pct"/>
            <w:vAlign w:val="center"/>
          </w:tcPr>
          <w:p w14:paraId="735418C2">
            <w:pPr>
              <w:pStyle w:val="44"/>
              <w:shd w:val="clear"/>
              <w:jc w:val="center"/>
              <w:rPr>
                <w:color w:val="auto"/>
                <w:highlight w:val="none"/>
              </w:rPr>
            </w:pPr>
          </w:p>
        </w:tc>
        <w:tc>
          <w:tcPr>
            <w:tcW w:w="1090" w:type="pct"/>
            <w:vAlign w:val="center"/>
          </w:tcPr>
          <w:p w14:paraId="13F6671D">
            <w:pPr>
              <w:pStyle w:val="44"/>
              <w:shd w:val="clear"/>
              <w:jc w:val="center"/>
              <w:rPr>
                <w:color w:val="auto"/>
                <w:highlight w:val="none"/>
              </w:rPr>
            </w:pPr>
          </w:p>
        </w:tc>
        <w:tc>
          <w:tcPr>
            <w:tcW w:w="1090" w:type="pct"/>
            <w:vAlign w:val="center"/>
          </w:tcPr>
          <w:p w14:paraId="3DC0B3BB">
            <w:pPr>
              <w:pStyle w:val="44"/>
              <w:shd w:val="clear"/>
              <w:jc w:val="center"/>
              <w:rPr>
                <w:color w:val="auto"/>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44"/>
              <w:shd w:val="clear"/>
              <w:jc w:val="center"/>
              <w:rPr>
                <w:color w:val="auto"/>
                <w:highlight w:val="none"/>
              </w:rPr>
            </w:pPr>
            <w:r>
              <w:rPr>
                <w:rFonts w:hint="eastAsia"/>
                <w:color w:val="auto"/>
                <w:highlight w:val="none"/>
              </w:rPr>
              <w:t>……</w:t>
            </w:r>
          </w:p>
        </w:tc>
        <w:tc>
          <w:tcPr>
            <w:tcW w:w="1395" w:type="pct"/>
            <w:vAlign w:val="center"/>
          </w:tcPr>
          <w:p w14:paraId="6324A49D">
            <w:pPr>
              <w:pStyle w:val="44"/>
              <w:shd w:val="clear"/>
              <w:jc w:val="center"/>
              <w:rPr>
                <w:color w:val="auto"/>
                <w:highlight w:val="none"/>
              </w:rPr>
            </w:pPr>
            <w:r>
              <w:rPr>
                <w:rFonts w:hint="eastAsia"/>
                <w:color w:val="auto"/>
                <w:highlight w:val="none"/>
              </w:rPr>
              <w:t>…………</w:t>
            </w:r>
          </w:p>
        </w:tc>
        <w:tc>
          <w:tcPr>
            <w:tcW w:w="1002" w:type="pct"/>
            <w:vAlign w:val="center"/>
          </w:tcPr>
          <w:p w14:paraId="0EE83785">
            <w:pPr>
              <w:pStyle w:val="44"/>
              <w:shd w:val="clear"/>
              <w:jc w:val="center"/>
              <w:rPr>
                <w:color w:val="auto"/>
                <w:highlight w:val="none"/>
              </w:rPr>
            </w:pPr>
            <w:r>
              <w:rPr>
                <w:rFonts w:hint="eastAsia"/>
                <w:color w:val="auto"/>
                <w:highlight w:val="none"/>
              </w:rPr>
              <w:t>…………</w:t>
            </w:r>
          </w:p>
        </w:tc>
        <w:tc>
          <w:tcPr>
            <w:tcW w:w="1090" w:type="pct"/>
            <w:vAlign w:val="center"/>
          </w:tcPr>
          <w:p w14:paraId="7A24BB2D">
            <w:pPr>
              <w:pStyle w:val="44"/>
              <w:shd w:val="clear"/>
              <w:jc w:val="center"/>
              <w:rPr>
                <w:color w:val="auto"/>
                <w:highlight w:val="none"/>
              </w:rPr>
            </w:pPr>
            <w:r>
              <w:rPr>
                <w:rFonts w:hint="eastAsia"/>
                <w:color w:val="auto"/>
                <w:highlight w:val="none"/>
              </w:rPr>
              <w:t>……</w:t>
            </w:r>
          </w:p>
        </w:tc>
        <w:tc>
          <w:tcPr>
            <w:tcW w:w="1090" w:type="pct"/>
            <w:vAlign w:val="center"/>
          </w:tcPr>
          <w:p w14:paraId="7CC08218">
            <w:pPr>
              <w:pStyle w:val="44"/>
              <w:shd w:val="clear"/>
              <w:jc w:val="center"/>
              <w:rPr>
                <w:color w:val="auto"/>
                <w:highlight w:val="none"/>
              </w:rPr>
            </w:pPr>
          </w:p>
        </w:tc>
      </w:tr>
    </w:tbl>
    <w:p w14:paraId="5CB06622">
      <w:pPr>
        <w:shd w:val="clear"/>
        <w:ind w:firstLine="480" w:firstLineChars="200"/>
        <w:rPr>
          <w:rFonts w:cs="仿宋_GB2312"/>
          <w:color w:val="auto"/>
          <w:szCs w:val="24"/>
          <w:highlight w:val="none"/>
        </w:rPr>
      </w:pPr>
    </w:p>
    <w:p w14:paraId="72A459D6">
      <w:pPr>
        <w:shd w:val="clear"/>
        <w:ind w:firstLine="480" w:firstLineChars="200"/>
        <w:rPr>
          <w:rFonts w:cs="仿宋_GB2312"/>
          <w:color w:val="auto"/>
          <w:szCs w:val="24"/>
          <w:highlight w:val="none"/>
        </w:rPr>
      </w:pPr>
    </w:p>
    <w:p w14:paraId="01107FC6">
      <w:pPr>
        <w:shd w:val="clea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cs="宋体"/>
          <w:color w:val="auto"/>
          <w:kern w:val="0"/>
          <w:sz w:val="24"/>
          <w:szCs w:val="24"/>
          <w:highlight w:val="none"/>
          <w:lang w:val="en-US" w:eastAsia="zh-CN"/>
        </w:rPr>
        <w:t>供应商</w:t>
      </w:r>
      <w:r>
        <w:rPr>
          <w:rFonts w:hint="eastAsia" w:ascii="宋体" w:hAnsi="宋体" w:cs="宋体"/>
          <w:color w:val="auto"/>
          <w:kern w:val="0"/>
          <w:sz w:val="24"/>
          <w:szCs w:val="24"/>
          <w:highlight w:val="none"/>
          <w:lang w:val="zh-CN"/>
        </w:rPr>
        <w:t>名称（</w:t>
      </w:r>
      <w:r>
        <w:rPr>
          <w:rFonts w:hint="eastAsia" w:cs="宋体"/>
          <w:color w:val="auto"/>
          <w:sz w:val="24"/>
          <w:szCs w:val="24"/>
          <w:highlight w:val="none"/>
          <w:lang w:eastAsia="zh-CN"/>
        </w:rPr>
        <w:t>公章</w:t>
      </w:r>
      <w:r>
        <w:rPr>
          <w:rFonts w:hint="eastAsia" w:ascii="宋体" w:hAnsi="宋体" w:cs="宋体"/>
          <w:color w:val="auto"/>
          <w:kern w:val="0"/>
          <w:sz w:val="24"/>
          <w:szCs w:val="24"/>
          <w:highlight w:val="none"/>
          <w:lang w:val="zh-CN"/>
        </w:rPr>
        <w:t xml:space="preserve">）：                                                                                                                                                                                                               </w:t>
      </w:r>
    </w:p>
    <w:p w14:paraId="14E042A5">
      <w:pPr>
        <w:shd w:val="clea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61F9C707">
      <w:pPr>
        <w:shd w:val="clear"/>
        <w:ind w:firstLine="420" w:firstLineChars="200"/>
        <w:rPr>
          <w:rFonts w:hint="eastAsia" w:cs="仿宋_GB2312"/>
          <w:color w:val="auto"/>
          <w:sz w:val="21"/>
          <w:szCs w:val="21"/>
          <w:highlight w:val="none"/>
        </w:rPr>
      </w:pPr>
    </w:p>
    <w:p w14:paraId="3F428C59">
      <w:pPr>
        <w:shd w:val="clear"/>
        <w:ind w:firstLine="420" w:firstLineChars="200"/>
        <w:rPr>
          <w:rFonts w:cs="仿宋_GB2312"/>
          <w:color w:val="auto"/>
          <w:szCs w:val="24"/>
          <w:highlight w:val="none"/>
        </w:rPr>
      </w:pPr>
      <w:r>
        <w:rPr>
          <w:rFonts w:hint="eastAsia" w:cs="仿宋_GB2312"/>
          <w:color w:val="auto"/>
          <w:sz w:val="21"/>
          <w:szCs w:val="21"/>
          <w:highlight w:val="none"/>
        </w:rPr>
        <w:t>注：</w:t>
      </w:r>
      <w:r>
        <w:rPr>
          <w:rFonts w:hint="eastAsia" w:cs="仿宋_GB2312"/>
          <w:color w:val="auto"/>
          <w:sz w:val="21"/>
          <w:szCs w:val="21"/>
          <w:highlight w:val="none"/>
          <w:lang w:val="en-US" w:eastAsia="zh-CN"/>
        </w:rPr>
        <w:t>供应商</w:t>
      </w:r>
      <w:r>
        <w:rPr>
          <w:rFonts w:hint="eastAsia" w:cs="仿宋_GB2312"/>
          <w:color w:val="auto"/>
          <w:sz w:val="21"/>
          <w:szCs w:val="21"/>
          <w:highlight w:val="none"/>
        </w:rPr>
        <w:t>应按照</w:t>
      </w:r>
      <w:r>
        <w:rPr>
          <w:rFonts w:hint="eastAsia" w:cs="仿宋_GB2312"/>
          <w:color w:val="auto"/>
          <w:sz w:val="21"/>
          <w:szCs w:val="21"/>
          <w:highlight w:val="none"/>
          <w:lang w:val="en-US" w:eastAsia="zh-CN"/>
        </w:rPr>
        <w:t>竞争性谈判</w:t>
      </w:r>
      <w:r>
        <w:rPr>
          <w:rFonts w:hint="eastAsia" w:cs="仿宋_GB2312"/>
          <w:color w:val="auto"/>
          <w:sz w:val="21"/>
          <w:szCs w:val="21"/>
          <w:highlight w:val="none"/>
        </w:rPr>
        <w:t>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16749689">
      <w:pPr>
        <w:shd w:val="clea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1.“竞争性谈判文件的商务条款”栏应详细列明竞争性谈判文件中的商务要求。 </w:t>
      </w:r>
    </w:p>
    <w:p w14:paraId="5CB91061">
      <w:pPr>
        <w:shd w:val="clea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2.“响应文件的响应内容”栏填写供应商对竞争性谈判文件提出的商务条款作出的明确响应，并列明具体响应数值或内容，只注明符合、满足等无具体内容表述的，将视为未实质性满足竞争性谈判文件要求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0F350247">
      <w:pPr>
        <w:shd w:val="clea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B002B53">
      <w:pPr>
        <w:shd w:val="clea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4.“说明及索引”栏可填写偏离情况的具体说明及索引。</w:t>
      </w:r>
    </w:p>
    <w:p w14:paraId="598C43A6">
      <w:pPr>
        <w:shd w:val="clear"/>
        <w:ind w:firstLine="420"/>
        <w:rPr>
          <w:rFonts w:cs="仿宋_GB2312"/>
          <w:color w:val="auto"/>
          <w:szCs w:val="24"/>
          <w:highlight w:val="none"/>
        </w:rPr>
      </w:pPr>
      <w:r>
        <w:rPr>
          <w:rFonts w:hint="eastAsia" w:cs="仿宋_GB2312"/>
          <w:color w:val="auto"/>
          <w:sz w:val="21"/>
          <w:szCs w:val="21"/>
          <w:highlight w:val="none"/>
          <w:lang w:val="en-US" w:eastAsia="zh-CN"/>
        </w:rPr>
        <w:t>5.对竞争性谈判文件中的所有商务要求，除本表所列明的所有偏离外，均视作供应商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default" w:cs="仿宋_GB2312"/>
          <w:color w:val="auto"/>
          <w:sz w:val="21"/>
          <w:szCs w:val="21"/>
          <w:highlight w:val="none"/>
          <w:lang w:val="en-US" w:eastAsia="zh-CN"/>
        </w:rPr>
        <w:t>。</w:t>
      </w:r>
      <w:r>
        <w:rPr>
          <w:rFonts w:cs="仿宋_GB2312"/>
          <w:color w:val="auto"/>
          <w:szCs w:val="24"/>
          <w:highlight w:val="none"/>
        </w:rPr>
        <w:br w:type="page"/>
      </w:r>
    </w:p>
    <w:p w14:paraId="3BEF2EC6">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lang w:val="en-US" w:eastAsia="zh-CN" w:bidi="ar-SA"/>
        </w:rPr>
      </w:pPr>
    </w:p>
    <w:p w14:paraId="287724FC">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599" w:name="_Toc21407"/>
      <w:bookmarkStart w:id="600" w:name="_Toc1770"/>
      <w:r>
        <w:rPr>
          <w:rFonts w:hint="eastAsia" w:cstheme="majorBidi"/>
          <w:b/>
          <w:bCs/>
          <w:color w:val="auto"/>
          <w:kern w:val="2"/>
          <w:sz w:val="32"/>
          <w:szCs w:val="32"/>
          <w:highlight w:val="none"/>
          <w:lang w:val="en-US" w:eastAsia="zh-CN" w:bidi="ar-SA"/>
        </w:rPr>
        <w:t>七、</w:t>
      </w:r>
      <w:r>
        <w:rPr>
          <w:rFonts w:hint="eastAsia" w:eastAsia="宋体" w:asciiTheme="majorHAnsi" w:hAnsiTheme="majorHAnsi" w:cstheme="majorBidi"/>
          <w:b/>
          <w:bCs/>
          <w:color w:val="auto"/>
          <w:kern w:val="2"/>
          <w:sz w:val="32"/>
          <w:szCs w:val="32"/>
          <w:highlight w:val="none"/>
          <w:lang w:val="en-US" w:eastAsia="zh-CN" w:bidi="ar-SA"/>
        </w:rPr>
        <w:t>业绩证明文件</w:t>
      </w:r>
      <w:bookmarkEnd w:id="599"/>
      <w:bookmarkEnd w:id="600"/>
    </w:p>
    <w:p w14:paraId="4541380C">
      <w:pPr>
        <w:shd w:val="clea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159B24BA">
      <w:pPr>
        <w:shd w:val="clear"/>
        <w:rPr>
          <w:rFonts w:cs="Arial"/>
          <w:bCs/>
          <w:color w:val="auto"/>
          <w:szCs w:val="21"/>
          <w:highlight w:val="none"/>
        </w:rPr>
      </w:pPr>
      <w:r>
        <w:rPr>
          <w:rFonts w:hint="eastAsia" w:cs="仿宋_GB2312"/>
          <w:color w:val="auto"/>
          <w:szCs w:val="24"/>
          <w:highlight w:val="none"/>
        </w:rPr>
        <w:t>项目编号</w:t>
      </w:r>
      <w:r>
        <w:rPr>
          <w:rFonts w:hint="eastAsia" w:cs="仿宋_GB2312"/>
          <w:color w:val="auto"/>
          <w:szCs w:val="24"/>
          <w:highlight w:val="none"/>
          <w:lang w:val="en-US" w:eastAsia="zh-CN"/>
        </w:rPr>
        <w:t>/</w:t>
      </w:r>
      <w:r>
        <w:rPr>
          <w:rFonts w:hint="eastAsia" w:cs="仿宋_GB2312"/>
          <w:color w:val="auto"/>
          <w:szCs w:val="24"/>
          <w:highlight w:val="none"/>
          <w:lang w:val="zh-CN"/>
        </w:rPr>
        <w:t>包号</w:t>
      </w:r>
      <w:r>
        <w:rPr>
          <w:rFonts w:hint="eastAsia" w:cs="仿宋_GB2312"/>
          <w:color w:val="auto"/>
          <w:szCs w:val="24"/>
          <w:highlight w:val="none"/>
        </w:rPr>
        <w:t xml:space="preserve">：      </w:t>
      </w:r>
      <w:r>
        <w:rPr>
          <w:rFonts w:cs="Arial"/>
          <w:bCs/>
          <w:color w:val="auto"/>
          <w:szCs w:val="21"/>
          <w:highlight w:val="none"/>
        </w:rPr>
        <w:fldChar w:fldCharType="end"/>
      </w:r>
    </w:p>
    <w:tbl>
      <w:tblPr>
        <w:tblStyle w:val="27"/>
        <w:tblW w:w="9237" w:type="dxa"/>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381"/>
        <w:gridCol w:w="1381"/>
        <w:gridCol w:w="1381"/>
        <w:gridCol w:w="1522"/>
        <w:gridCol w:w="1568"/>
        <w:gridCol w:w="1169"/>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35" w:type="dxa"/>
            <w:vAlign w:val="center"/>
          </w:tcPr>
          <w:p w14:paraId="4E9572F9">
            <w:pPr>
              <w:shd w:val="clear"/>
              <w:jc w:val="center"/>
              <w:rPr>
                <w:rFonts w:cs="仿宋_GB2312"/>
                <w:color w:val="auto"/>
                <w:sz w:val="24"/>
                <w:szCs w:val="24"/>
                <w:highlight w:val="none"/>
              </w:rPr>
            </w:pPr>
            <w:bookmarkStart w:id="601" w:name="_Hlk46779239"/>
            <w:r>
              <w:rPr>
                <w:rFonts w:hint="eastAsia" w:cs="仿宋_GB2312"/>
                <w:color w:val="auto"/>
                <w:sz w:val="24"/>
                <w:szCs w:val="24"/>
                <w:highlight w:val="none"/>
              </w:rPr>
              <w:t>序号</w:t>
            </w:r>
          </w:p>
        </w:tc>
        <w:tc>
          <w:tcPr>
            <w:tcW w:w="1381" w:type="dxa"/>
            <w:shd w:val="clear" w:color="auto" w:fill="auto"/>
            <w:vAlign w:val="center"/>
          </w:tcPr>
          <w:p w14:paraId="51F55A40">
            <w:pPr>
              <w:shd w:val="clea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项目名称</w:t>
            </w:r>
          </w:p>
        </w:tc>
        <w:tc>
          <w:tcPr>
            <w:tcW w:w="1381" w:type="dxa"/>
            <w:shd w:val="clear" w:color="auto" w:fill="auto"/>
            <w:vAlign w:val="center"/>
          </w:tcPr>
          <w:p w14:paraId="4D5C38D5">
            <w:pPr>
              <w:shd w:val="clea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381" w:type="dxa"/>
            <w:shd w:val="clear" w:color="auto" w:fill="auto"/>
            <w:vAlign w:val="center"/>
          </w:tcPr>
          <w:p w14:paraId="69717F2A">
            <w:pPr>
              <w:shd w:val="clea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522" w:type="dxa"/>
            <w:shd w:val="clear" w:color="auto" w:fill="auto"/>
            <w:vAlign w:val="center"/>
          </w:tcPr>
          <w:p w14:paraId="57C35070">
            <w:pPr>
              <w:shd w:val="clea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中标（成交）金额</w:t>
            </w:r>
          </w:p>
        </w:tc>
        <w:tc>
          <w:tcPr>
            <w:tcW w:w="1568" w:type="dxa"/>
            <w:shd w:val="clear" w:color="auto" w:fill="auto"/>
            <w:vAlign w:val="center"/>
          </w:tcPr>
          <w:p w14:paraId="63FA3FA5">
            <w:pPr>
              <w:shd w:val="clea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采购合同签订时间</w:t>
            </w:r>
          </w:p>
        </w:tc>
        <w:tc>
          <w:tcPr>
            <w:tcW w:w="1169" w:type="dxa"/>
            <w:shd w:val="clear" w:color="auto" w:fill="auto"/>
            <w:vAlign w:val="center"/>
          </w:tcPr>
          <w:p w14:paraId="01352CB9">
            <w:pPr>
              <w:shd w:val="clear"/>
              <w:jc w:val="center"/>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备注</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35" w:type="dxa"/>
            <w:vAlign w:val="center"/>
          </w:tcPr>
          <w:p w14:paraId="27508E81">
            <w:pPr>
              <w:shd w:val="clear"/>
              <w:jc w:val="center"/>
              <w:rPr>
                <w:rFonts w:cs="仿宋_GB2312"/>
                <w:color w:val="auto"/>
                <w:sz w:val="24"/>
                <w:szCs w:val="24"/>
                <w:highlight w:val="none"/>
              </w:rPr>
            </w:pPr>
            <w:r>
              <w:rPr>
                <w:rFonts w:hint="eastAsia" w:cs="仿宋_GB2312"/>
                <w:color w:val="auto"/>
                <w:sz w:val="24"/>
                <w:szCs w:val="24"/>
                <w:highlight w:val="none"/>
              </w:rPr>
              <w:t>1</w:t>
            </w:r>
          </w:p>
        </w:tc>
        <w:tc>
          <w:tcPr>
            <w:tcW w:w="1381" w:type="dxa"/>
            <w:vAlign w:val="center"/>
          </w:tcPr>
          <w:p w14:paraId="27562AF7">
            <w:pPr>
              <w:shd w:val="clear"/>
              <w:rPr>
                <w:rFonts w:cs="仿宋_GB2312"/>
                <w:color w:val="auto"/>
                <w:sz w:val="24"/>
                <w:szCs w:val="24"/>
                <w:highlight w:val="none"/>
              </w:rPr>
            </w:pPr>
          </w:p>
        </w:tc>
        <w:tc>
          <w:tcPr>
            <w:tcW w:w="1381" w:type="dxa"/>
            <w:vAlign w:val="center"/>
          </w:tcPr>
          <w:p w14:paraId="02799269">
            <w:pPr>
              <w:shd w:val="clear"/>
              <w:rPr>
                <w:rFonts w:cs="仿宋_GB2312"/>
                <w:color w:val="auto"/>
                <w:sz w:val="24"/>
                <w:szCs w:val="24"/>
                <w:highlight w:val="none"/>
              </w:rPr>
            </w:pPr>
          </w:p>
        </w:tc>
        <w:tc>
          <w:tcPr>
            <w:tcW w:w="1381" w:type="dxa"/>
            <w:vAlign w:val="center"/>
          </w:tcPr>
          <w:p w14:paraId="6449ADDF">
            <w:pPr>
              <w:shd w:val="clear"/>
              <w:rPr>
                <w:rFonts w:cs="仿宋_GB2312"/>
                <w:color w:val="auto"/>
                <w:sz w:val="24"/>
                <w:szCs w:val="24"/>
                <w:highlight w:val="none"/>
              </w:rPr>
            </w:pPr>
          </w:p>
        </w:tc>
        <w:tc>
          <w:tcPr>
            <w:tcW w:w="1522" w:type="dxa"/>
            <w:vAlign w:val="center"/>
          </w:tcPr>
          <w:p w14:paraId="183C0714">
            <w:pPr>
              <w:shd w:val="clear"/>
              <w:rPr>
                <w:rFonts w:cs="仿宋_GB2312"/>
                <w:color w:val="auto"/>
                <w:sz w:val="24"/>
                <w:szCs w:val="24"/>
                <w:highlight w:val="none"/>
              </w:rPr>
            </w:pPr>
          </w:p>
        </w:tc>
        <w:tc>
          <w:tcPr>
            <w:tcW w:w="1568" w:type="dxa"/>
            <w:vAlign w:val="center"/>
          </w:tcPr>
          <w:p w14:paraId="4F169081">
            <w:pPr>
              <w:shd w:val="clear"/>
              <w:rPr>
                <w:rFonts w:cs="仿宋_GB2312"/>
                <w:color w:val="auto"/>
                <w:sz w:val="24"/>
                <w:szCs w:val="24"/>
                <w:highlight w:val="none"/>
              </w:rPr>
            </w:pPr>
          </w:p>
        </w:tc>
        <w:tc>
          <w:tcPr>
            <w:tcW w:w="1169" w:type="dxa"/>
            <w:vAlign w:val="center"/>
          </w:tcPr>
          <w:p w14:paraId="64A9DF2C">
            <w:pPr>
              <w:shd w:val="clear"/>
              <w:rPr>
                <w:rFonts w:cs="仿宋_GB2312"/>
                <w:color w:val="auto"/>
                <w:sz w:val="24"/>
                <w:szCs w:val="24"/>
                <w:highlight w:val="none"/>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35" w:type="dxa"/>
            <w:vAlign w:val="center"/>
          </w:tcPr>
          <w:p w14:paraId="4A21BB39">
            <w:pPr>
              <w:shd w:val="clear"/>
              <w:jc w:val="center"/>
              <w:rPr>
                <w:rFonts w:cs="仿宋_GB2312"/>
                <w:color w:val="auto"/>
                <w:sz w:val="24"/>
                <w:szCs w:val="24"/>
                <w:highlight w:val="none"/>
              </w:rPr>
            </w:pPr>
            <w:r>
              <w:rPr>
                <w:rFonts w:hint="eastAsia" w:cs="仿宋_GB2312"/>
                <w:color w:val="auto"/>
                <w:sz w:val="24"/>
                <w:szCs w:val="24"/>
                <w:highlight w:val="none"/>
              </w:rPr>
              <w:t>2</w:t>
            </w:r>
          </w:p>
        </w:tc>
        <w:tc>
          <w:tcPr>
            <w:tcW w:w="1381" w:type="dxa"/>
            <w:vAlign w:val="center"/>
          </w:tcPr>
          <w:p w14:paraId="7CA4B3F3">
            <w:pPr>
              <w:shd w:val="clear"/>
              <w:rPr>
                <w:rFonts w:cs="仿宋_GB2312"/>
                <w:color w:val="auto"/>
                <w:sz w:val="24"/>
                <w:szCs w:val="24"/>
                <w:highlight w:val="none"/>
              </w:rPr>
            </w:pPr>
          </w:p>
        </w:tc>
        <w:tc>
          <w:tcPr>
            <w:tcW w:w="1381" w:type="dxa"/>
            <w:vAlign w:val="center"/>
          </w:tcPr>
          <w:p w14:paraId="59CCECB1">
            <w:pPr>
              <w:shd w:val="clear"/>
              <w:rPr>
                <w:rFonts w:cs="仿宋_GB2312"/>
                <w:color w:val="auto"/>
                <w:sz w:val="24"/>
                <w:szCs w:val="24"/>
                <w:highlight w:val="none"/>
              </w:rPr>
            </w:pPr>
          </w:p>
        </w:tc>
        <w:tc>
          <w:tcPr>
            <w:tcW w:w="1381" w:type="dxa"/>
            <w:vAlign w:val="center"/>
          </w:tcPr>
          <w:p w14:paraId="4E8043C4">
            <w:pPr>
              <w:shd w:val="clear"/>
              <w:rPr>
                <w:rFonts w:cs="仿宋_GB2312"/>
                <w:color w:val="auto"/>
                <w:sz w:val="24"/>
                <w:szCs w:val="24"/>
                <w:highlight w:val="none"/>
              </w:rPr>
            </w:pPr>
          </w:p>
        </w:tc>
        <w:tc>
          <w:tcPr>
            <w:tcW w:w="1522" w:type="dxa"/>
            <w:vAlign w:val="center"/>
          </w:tcPr>
          <w:p w14:paraId="2E195778">
            <w:pPr>
              <w:shd w:val="clear"/>
              <w:rPr>
                <w:rFonts w:cs="仿宋_GB2312"/>
                <w:color w:val="auto"/>
                <w:sz w:val="24"/>
                <w:szCs w:val="24"/>
                <w:highlight w:val="none"/>
              </w:rPr>
            </w:pPr>
          </w:p>
        </w:tc>
        <w:tc>
          <w:tcPr>
            <w:tcW w:w="1568" w:type="dxa"/>
            <w:vAlign w:val="center"/>
          </w:tcPr>
          <w:p w14:paraId="49A8CC13">
            <w:pPr>
              <w:shd w:val="clear"/>
              <w:rPr>
                <w:rFonts w:cs="仿宋_GB2312"/>
                <w:color w:val="auto"/>
                <w:sz w:val="24"/>
                <w:szCs w:val="24"/>
                <w:highlight w:val="none"/>
              </w:rPr>
            </w:pPr>
          </w:p>
        </w:tc>
        <w:tc>
          <w:tcPr>
            <w:tcW w:w="1169" w:type="dxa"/>
            <w:vAlign w:val="center"/>
          </w:tcPr>
          <w:p w14:paraId="60A21668">
            <w:pPr>
              <w:shd w:val="clear"/>
              <w:rPr>
                <w:rFonts w:cs="仿宋_GB2312"/>
                <w:color w:val="auto"/>
                <w:sz w:val="24"/>
                <w:szCs w:val="24"/>
                <w:highlight w:val="none"/>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35" w:type="dxa"/>
            <w:vAlign w:val="center"/>
          </w:tcPr>
          <w:p w14:paraId="4428D324">
            <w:pPr>
              <w:shd w:val="clear"/>
              <w:jc w:val="center"/>
              <w:rPr>
                <w:rFonts w:cs="仿宋_GB2312"/>
                <w:color w:val="auto"/>
                <w:sz w:val="24"/>
                <w:szCs w:val="24"/>
                <w:highlight w:val="none"/>
              </w:rPr>
            </w:pPr>
            <w:r>
              <w:rPr>
                <w:rFonts w:hint="eastAsia" w:cs="仿宋_GB2312"/>
                <w:color w:val="auto"/>
                <w:sz w:val="24"/>
                <w:szCs w:val="24"/>
                <w:highlight w:val="none"/>
              </w:rPr>
              <w:t>3</w:t>
            </w:r>
          </w:p>
        </w:tc>
        <w:tc>
          <w:tcPr>
            <w:tcW w:w="1381" w:type="dxa"/>
            <w:vAlign w:val="center"/>
          </w:tcPr>
          <w:p w14:paraId="46AEF6AC">
            <w:pPr>
              <w:shd w:val="clear"/>
              <w:rPr>
                <w:rFonts w:cs="仿宋_GB2312"/>
                <w:color w:val="auto"/>
                <w:sz w:val="24"/>
                <w:szCs w:val="24"/>
                <w:highlight w:val="none"/>
              </w:rPr>
            </w:pPr>
          </w:p>
        </w:tc>
        <w:tc>
          <w:tcPr>
            <w:tcW w:w="1381" w:type="dxa"/>
            <w:vAlign w:val="center"/>
          </w:tcPr>
          <w:p w14:paraId="601B0208">
            <w:pPr>
              <w:shd w:val="clear"/>
              <w:rPr>
                <w:rFonts w:cs="仿宋_GB2312"/>
                <w:color w:val="auto"/>
                <w:sz w:val="24"/>
                <w:szCs w:val="24"/>
                <w:highlight w:val="none"/>
              </w:rPr>
            </w:pPr>
          </w:p>
        </w:tc>
        <w:tc>
          <w:tcPr>
            <w:tcW w:w="1381" w:type="dxa"/>
            <w:vAlign w:val="center"/>
          </w:tcPr>
          <w:p w14:paraId="56885EE6">
            <w:pPr>
              <w:shd w:val="clear"/>
              <w:rPr>
                <w:rFonts w:cs="仿宋_GB2312"/>
                <w:color w:val="auto"/>
                <w:sz w:val="24"/>
                <w:szCs w:val="24"/>
                <w:highlight w:val="none"/>
              </w:rPr>
            </w:pPr>
          </w:p>
        </w:tc>
        <w:tc>
          <w:tcPr>
            <w:tcW w:w="1522" w:type="dxa"/>
            <w:vAlign w:val="center"/>
          </w:tcPr>
          <w:p w14:paraId="00552B19">
            <w:pPr>
              <w:shd w:val="clear"/>
              <w:rPr>
                <w:rFonts w:cs="仿宋_GB2312"/>
                <w:color w:val="auto"/>
                <w:sz w:val="24"/>
                <w:szCs w:val="24"/>
                <w:highlight w:val="none"/>
              </w:rPr>
            </w:pPr>
          </w:p>
        </w:tc>
        <w:tc>
          <w:tcPr>
            <w:tcW w:w="1568" w:type="dxa"/>
            <w:vAlign w:val="center"/>
          </w:tcPr>
          <w:p w14:paraId="77BC6128">
            <w:pPr>
              <w:shd w:val="clear"/>
              <w:rPr>
                <w:rFonts w:cs="仿宋_GB2312"/>
                <w:color w:val="auto"/>
                <w:sz w:val="24"/>
                <w:szCs w:val="24"/>
                <w:highlight w:val="none"/>
              </w:rPr>
            </w:pPr>
          </w:p>
        </w:tc>
        <w:tc>
          <w:tcPr>
            <w:tcW w:w="1169" w:type="dxa"/>
            <w:vAlign w:val="center"/>
          </w:tcPr>
          <w:p w14:paraId="26162792">
            <w:pPr>
              <w:shd w:val="clear"/>
              <w:rPr>
                <w:rFonts w:cs="仿宋_GB2312"/>
                <w:color w:val="auto"/>
                <w:sz w:val="24"/>
                <w:szCs w:val="24"/>
                <w:highlight w:val="none"/>
              </w:rPr>
            </w:pPr>
          </w:p>
        </w:tc>
      </w:tr>
      <w:tr w14:paraId="30484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35" w:type="dxa"/>
            <w:vAlign w:val="center"/>
          </w:tcPr>
          <w:p w14:paraId="514F8ED6">
            <w:pPr>
              <w:shd w:val="clear"/>
              <w:jc w:val="center"/>
              <w:rPr>
                <w:rFonts w:hint="eastAsia" w:eastAsia="宋体" w:cs="仿宋_GB2312"/>
                <w:color w:val="auto"/>
                <w:sz w:val="24"/>
                <w:szCs w:val="24"/>
                <w:highlight w:val="none"/>
                <w:lang w:val="en-US" w:eastAsia="zh-CN"/>
              </w:rPr>
            </w:pPr>
            <w:r>
              <w:rPr>
                <w:rFonts w:hint="eastAsia" w:cs="仿宋_GB2312"/>
                <w:color w:val="auto"/>
                <w:sz w:val="24"/>
                <w:szCs w:val="24"/>
                <w:highlight w:val="none"/>
                <w:lang w:val="en-US" w:eastAsia="zh-CN"/>
              </w:rPr>
              <w:t>4</w:t>
            </w:r>
          </w:p>
        </w:tc>
        <w:tc>
          <w:tcPr>
            <w:tcW w:w="1381" w:type="dxa"/>
            <w:vAlign w:val="center"/>
          </w:tcPr>
          <w:p w14:paraId="467454B8">
            <w:pPr>
              <w:shd w:val="clear"/>
              <w:rPr>
                <w:rFonts w:cs="仿宋_GB2312"/>
                <w:color w:val="auto"/>
                <w:sz w:val="24"/>
                <w:szCs w:val="24"/>
                <w:highlight w:val="none"/>
              </w:rPr>
            </w:pPr>
          </w:p>
        </w:tc>
        <w:tc>
          <w:tcPr>
            <w:tcW w:w="1381" w:type="dxa"/>
            <w:vAlign w:val="center"/>
          </w:tcPr>
          <w:p w14:paraId="7679D2E2">
            <w:pPr>
              <w:shd w:val="clear"/>
              <w:rPr>
                <w:rFonts w:cs="仿宋_GB2312"/>
                <w:color w:val="auto"/>
                <w:sz w:val="24"/>
                <w:szCs w:val="24"/>
                <w:highlight w:val="none"/>
              </w:rPr>
            </w:pPr>
          </w:p>
        </w:tc>
        <w:tc>
          <w:tcPr>
            <w:tcW w:w="1381" w:type="dxa"/>
            <w:vAlign w:val="center"/>
          </w:tcPr>
          <w:p w14:paraId="3BDF674D">
            <w:pPr>
              <w:shd w:val="clear"/>
              <w:rPr>
                <w:rFonts w:cs="仿宋_GB2312"/>
                <w:color w:val="auto"/>
                <w:sz w:val="24"/>
                <w:szCs w:val="24"/>
                <w:highlight w:val="none"/>
              </w:rPr>
            </w:pPr>
          </w:p>
        </w:tc>
        <w:tc>
          <w:tcPr>
            <w:tcW w:w="1522" w:type="dxa"/>
            <w:vAlign w:val="center"/>
          </w:tcPr>
          <w:p w14:paraId="4065B09A">
            <w:pPr>
              <w:shd w:val="clear"/>
              <w:rPr>
                <w:rFonts w:cs="仿宋_GB2312"/>
                <w:color w:val="auto"/>
                <w:sz w:val="24"/>
                <w:szCs w:val="24"/>
                <w:highlight w:val="none"/>
              </w:rPr>
            </w:pPr>
          </w:p>
        </w:tc>
        <w:tc>
          <w:tcPr>
            <w:tcW w:w="1568" w:type="dxa"/>
            <w:vAlign w:val="center"/>
          </w:tcPr>
          <w:p w14:paraId="62D4892D">
            <w:pPr>
              <w:shd w:val="clear"/>
              <w:rPr>
                <w:rFonts w:cs="仿宋_GB2312"/>
                <w:color w:val="auto"/>
                <w:sz w:val="24"/>
                <w:szCs w:val="24"/>
                <w:highlight w:val="none"/>
              </w:rPr>
            </w:pPr>
          </w:p>
        </w:tc>
        <w:tc>
          <w:tcPr>
            <w:tcW w:w="1169" w:type="dxa"/>
            <w:vAlign w:val="center"/>
          </w:tcPr>
          <w:p w14:paraId="1DBBFBF7">
            <w:pPr>
              <w:shd w:val="clear"/>
              <w:rPr>
                <w:rFonts w:cs="仿宋_GB2312"/>
                <w:color w:val="auto"/>
                <w:sz w:val="24"/>
                <w:szCs w:val="24"/>
                <w:highlight w:val="none"/>
              </w:rPr>
            </w:pPr>
          </w:p>
        </w:tc>
      </w:tr>
      <w:tr w14:paraId="74CC4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835" w:type="dxa"/>
            <w:vAlign w:val="center"/>
          </w:tcPr>
          <w:p w14:paraId="64C5CB72">
            <w:pPr>
              <w:shd w:val="clear"/>
              <w:jc w:val="center"/>
              <w:rPr>
                <w:rFonts w:hint="default" w:cs="仿宋_GB2312"/>
                <w:color w:val="auto"/>
                <w:sz w:val="24"/>
                <w:szCs w:val="24"/>
                <w:highlight w:val="none"/>
                <w:lang w:val="en-US" w:eastAsia="zh-CN"/>
              </w:rPr>
            </w:pPr>
            <w:r>
              <w:rPr>
                <w:rFonts w:hint="eastAsia" w:cs="仿宋_GB2312"/>
                <w:color w:val="auto"/>
                <w:sz w:val="24"/>
                <w:szCs w:val="24"/>
                <w:highlight w:val="none"/>
                <w:lang w:val="en-US" w:eastAsia="zh-CN"/>
              </w:rPr>
              <w:t>5</w:t>
            </w:r>
          </w:p>
        </w:tc>
        <w:tc>
          <w:tcPr>
            <w:tcW w:w="1381" w:type="dxa"/>
            <w:vAlign w:val="center"/>
          </w:tcPr>
          <w:p w14:paraId="50735F91">
            <w:pPr>
              <w:shd w:val="clear"/>
              <w:rPr>
                <w:rFonts w:cs="仿宋_GB2312"/>
                <w:color w:val="auto"/>
                <w:sz w:val="24"/>
                <w:szCs w:val="24"/>
                <w:highlight w:val="none"/>
              </w:rPr>
            </w:pPr>
          </w:p>
        </w:tc>
        <w:tc>
          <w:tcPr>
            <w:tcW w:w="1381" w:type="dxa"/>
            <w:vAlign w:val="center"/>
          </w:tcPr>
          <w:p w14:paraId="35131693">
            <w:pPr>
              <w:shd w:val="clear"/>
              <w:rPr>
                <w:rFonts w:cs="仿宋_GB2312"/>
                <w:color w:val="auto"/>
                <w:sz w:val="24"/>
                <w:szCs w:val="24"/>
                <w:highlight w:val="none"/>
              </w:rPr>
            </w:pPr>
          </w:p>
        </w:tc>
        <w:tc>
          <w:tcPr>
            <w:tcW w:w="1381" w:type="dxa"/>
            <w:vAlign w:val="center"/>
          </w:tcPr>
          <w:p w14:paraId="3EE07B6C">
            <w:pPr>
              <w:shd w:val="clear"/>
              <w:rPr>
                <w:rFonts w:cs="仿宋_GB2312"/>
                <w:color w:val="auto"/>
                <w:sz w:val="24"/>
                <w:szCs w:val="24"/>
                <w:highlight w:val="none"/>
              </w:rPr>
            </w:pPr>
          </w:p>
        </w:tc>
        <w:tc>
          <w:tcPr>
            <w:tcW w:w="1522" w:type="dxa"/>
            <w:vAlign w:val="center"/>
          </w:tcPr>
          <w:p w14:paraId="315D7F2C">
            <w:pPr>
              <w:shd w:val="clear"/>
              <w:rPr>
                <w:rFonts w:cs="仿宋_GB2312"/>
                <w:color w:val="auto"/>
                <w:sz w:val="24"/>
                <w:szCs w:val="24"/>
                <w:highlight w:val="none"/>
              </w:rPr>
            </w:pPr>
          </w:p>
        </w:tc>
        <w:tc>
          <w:tcPr>
            <w:tcW w:w="1568" w:type="dxa"/>
            <w:vAlign w:val="center"/>
          </w:tcPr>
          <w:p w14:paraId="7172B17C">
            <w:pPr>
              <w:shd w:val="clear"/>
              <w:rPr>
                <w:rFonts w:cs="仿宋_GB2312"/>
                <w:color w:val="auto"/>
                <w:sz w:val="24"/>
                <w:szCs w:val="24"/>
                <w:highlight w:val="none"/>
              </w:rPr>
            </w:pPr>
          </w:p>
        </w:tc>
        <w:tc>
          <w:tcPr>
            <w:tcW w:w="1169" w:type="dxa"/>
            <w:vAlign w:val="center"/>
          </w:tcPr>
          <w:p w14:paraId="6B39C336">
            <w:pPr>
              <w:shd w:val="clear"/>
              <w:rPr>
                <w:rFonts w:cs="仿宋_GB2312"/>
                <w:color w:val="auto"/>
                <w:sz w:val="24"/>
                <w:szCs w:val="24"/>
                <w:highlight w:val="none"/>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835" w:type="dxa"/>
            <w:vAlign w:val="center"/>
          </w:tcPr>
          <w:p w14:paraId="433A34E7">
            <w:pPr>
              <w:shd w:val="clear"/>
              <w:jc w:val="center"/>
              <w:rPr>
                <w:rFonts w:cs="仿宋_GB2312"/>
                <w:color w:val="auto"/>
                <w:sz w:val="24"/>
                <w:szCs w:val="24"/>
                <w:highlight w:val="none"/>
              </w:rPr>
            </w:pPr>
            <w:r>
              <w:rPr>
                <w:rFonts w:hint="eastAsia" w:cs="仿宋_GB2312"/>
                <w:color w:val="auto"/>
                <w:sz w:val="24"/>
                <w:szCs w:val="24"/>
                <w:highlight w:val="none"/>
              </w:rPr>
              <w:t>…</w:t>
            </w:r>
          </w:p>
        </w:tc>
        <w:tc>
          <w:tcPr>
            <w:tcW w:w="1381" w:type="dxa"/>
            <w:vAlign w:val="center"/>
          </w:tcPr>
          <w:p w14:paraId="5D94CAA1">
            <w:pPr>
              <w:shd w:val="clear"/>
              <w:rPr>
                <w:rFonts w:cs="仿宋_GB2312"/>
                <w:color w:val="auto"/>
                <w:sz w:val="24"/>
                <w:szCs w:val="24"/>
                <w:highlight w:val="none"/>
              </w:rPr>
            </w:pPr>
          </w:p>
        </w:tc>
        <w:tc>
          <w:tcPr>
            <w:tcW w:w="1381" w:type="dxa"/>
            <w:vAlign w:val="center"/>
          </w:tcPr>
          <w:p w14:paraId="48AC7386">
            <w:pPr>
              <w:shd w:val="clear"/>
              <w:rPr>
                <w:rFonts w:cs="仿宋_GB2312"/>
                <w:color w:val="auto"/>
                <w:sz w:val="24"/>
                <w:szCs w:val="24"/>
                <w:highlight w:val="none"/>
              </w:rPr>
            </w:pPr>
          </w:p>
        </w:tc>
        <w:tc>
          <w:tcPr>
            <w:tcW w:w="1381" w:type="dxa"/>
            <w:vAlign w:val="center"/>
          </w:tcPr>
          <w:p w14:paraId="20172F35">
            <w:pPr>
              <w:shd w:val="clear"/>
              <w:rPr>
                <w:rFonts w:cs="仿宋_GB2312"/>
                <w:color w:val="auto"/>
                <w:sz w:val="24"/>
                <w:szCs w:val="24"/>
                <w:highlight w:val="none"/>
              </w:rPr>
            </w:pPr>
          </w:p>
        </w:tc>
        <w:tc>
          <w:tcPr>
            <w:tcW w:w="1522" w:type="dxa"/>
            <w:vAlign w:val="center"/>
          </w:tcPr>
          <w:p w14:paraId="75CF74D1">
            <w:pPr>
              <w:shd w:val="clear"/>
              <w:rPr>
                <w:rFonts w:cs="仿宋_GB2312"/>
                <w:color w:val="auto"/>
                <w:sz w:val="24"/>
                <w:szCs w:val="24"/>
                <w:highlight w:val="none"/>
              </w:rPr>
            </w:pPr>
          </w:p>
        </w:tc>
        <w:tc>
          <w:tcPr>
            <w:tcW w:w="1568" w:type="dxa"/>
            <w:vAlign w:val="center"/>
          </w:tcPr>
          <w:p w14:paraId="52CF4BF0">
            <w:pPr>
              <w:shd w:val="clear"/>
              <w:rPr>
                <w:rFonts w:cs="仿宋_GB2312"/>
                <w:color w:val="auto"/>
                <w:sz w:val="24"/>
                <w:szCs w:val="24"/>
                <w:highlight w:val="none"/>
              </w:rPr>
            </w:pPr>
          </w:p>
        </w:tc>
        <w:tc>
          <w:tcPr>
            <w:tcW w:w="1169" w:type="dxa"/>
            <w:vAlign w:val="center"/>
          </w:tcPr>
          <w:p w14:paraId="77C9A88B">
            <w:pPr>
              <w:shd w:val="clear"/>
              <w:rPr>
                <w:rFonts w:cs="仿宋_GB2312"/>
                <w:color w:val="auto"/>
                <w:sz w:val="24"/>
                <w:szCs w:val="24"/>
                <w:highlight w:val="none"/>
              </w:rPr>
            </w:pPr>
          </w:p>
        </w:tc>
      </w:tr>
      <w:bookmarkEnd w:id="601"/>
    </w:tbl>
    <w:p w14:paraId="40AB8FFA">
      <w:pPr>
        <w:shd w:val="clear"/>
        <w:rPr>
          <w:rFonts w:hint="eastAsia" w:cs="仿宋_GB2312"/>
          <w:color w:val="auto"/>
          <w:szCs w:val="24"/>
          <w:highlight w:val="none"/>
        </w:rPr>
      </w:pPr>
    </w:p>
    <w:p w14:paraId="58FF379C">
      <w:pPr>
        <w:shd w:val="clear"/>
        <w:rPr>
          <w:rFonts w:cs="仿宋_GB2312"/>
          <w:color w:val="auto"/>
          <w:sz w:val="21"/>
          <w:szCs w:val="21"/>
          <w:highlight w:val="none"/>
        </w:rPr>
      </w:pPr>
      <w:r>
        <w:rPr>
          <w:rFonts w:hint="eastAsia" w:cs="仿宋_GB2312"/>
          <w:color w:val="auto"/>
          <w:sz w:val="21"/>
          <w:szCs w:val="21"/>
          <w:highlight w:val="none"/>
        </w:rPr>
        <w:t>注：</w:t>
      </w:r>
      <w:r>
        <w:rPr>
          <w:rFonts w:hint="eastAsia" w:cs="仿宋_GB2312"/>
          <w:color w:val="auto"/>
          <w:sz w:val="21"/>
          <w:szCs w:val="21"/>
          <w:highlight w:val="none"/>
          <w:lang w:val="en-US" w:eastAsia="zh-CN"/>
        </w:rPr>
        <w:t>供应商</w:t>
      </w:r>
      <w:r>
        <w:rPr>
          <w:rFonts w:hint="eastAsia" w:cs="仿宋_GB2312"/>
          <w:color w:val="auto"/>
          <w:sz w:val="21"/>
          <w:szCs w:val="21"/>
          <w:highlight w:val="none"/>
        </w:rPr>
        <w:t>须按上表提供相应的</w:t>
      </w:r>
      <w:r>
        <w:rPr>
          <w:rFonts w:hint="eastAsia" w:cs="仿宋_GB2312"/>
          <w:color w:val="auto"/>
          <w:sz w:val="21"/>
          <w:szCs w:val="21"/>
          <w:highlight w:val="none"/>
          <w:lang w:val="en-US" w:eastAsia="zh-CN"/>
        </w:rPr>
        <w:t>中标（成交）通知书、采购合同等</w:t>
      </w:r>
      <w:r>
        <w:rPr>
          <w:rFonts w:hint="eastAsia" w:cs="仿宋_GB2312"/>
          <w:color w:val="auto"/>
          <w:sz w:val="21"/>
          <w:szCs w:val="21"/>
          <w:highlight w:val="none"/>
        </w:rPr>
        <w:t>业绩证明资料。</w:t>
      </w:r>
    </w:p>
    <w:p w14:paraId="5DB99613">
      <w:pPr>
        <w:widowControl/>
        <w:shd w:val="clear"/>
        <w:spacing w:before="100" w:beforeAutospacing="1" w:after="100" w:afterAutospacing="1"/>
        <w:rPr>
          <w:rFonts w:cs="Arial"/>
          <w:color w:val="auto"/>
          <w:szCs w:val="21"/>
          <w:highlight w:val="none"/>
        </w:rPr>
      </w:pPr>
    </w:p>
    <w:p w14:paraId="24086818">
      <w:pPr>
        <w:shd w:val="clea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cs="宋体"/>
          <w:color w:val="auto"/>
          <w:kern w:val="0"/>
          <w:sz w:val="24"/>
          <w:szCs w:val="24"/>
          <w:highlight w:val="none"/>
          <w:lang w:val="en-US" w:eastAsia="zh-CN"/>
        </w:rPr>
        <w:t>供应商</w:t>
      </w:r>
      <w:r>
        <w:rPr>
          <w:rFonts w:hint="eastAsia" w:ascii="宋体" w:hAnsi="宋体" w:cs="宋体"/>
          <w:color w:val="auto"/>
          <w:kern w:val="0"/>
          <w:sz w:val="24"/>
          <w:szCs w:val="24"/>
          <w:highlight w:val="none"/>
          <w:lang w:val="zh-CN"/>
        </w:rPr>
        <w:t>名称（</w:t>
      </w:r>
      <w:r>
        <w:rPr>
          <w:rFonts w:hint="eastAsia" w:cs="宋体"/>
          <w:color w:val="auto"/>
          <w:sz w:val="24"/>
          <w:szCs w:val="24"/>
          <w:highlight w:val="none"/>
          <w:lang w:eastAsia="zh-CN"/>
        </w:rPr>
        <w:t>公章</w:t>
      </w:r>
      <w:r>
        <w:rPr>
          <w:rFonts w:hint="eastAsia" w:ascii="宋体" w:hAnsi="宋体" w:cs="宋体"/>
          <w:color w:val="auto"/>
          <w:kern w:val="0"/>
          <w:sz w:val="24"/>
          <w:szCs w:val="24"/>
          <w:highlight w:val="none"/>
          <w:lang w:val="zh-CN"/>
        </w:rPr>
        <w:t xml:space="preserve">）：                                                                                                                                                                                                               </w:t>
      </w:r>
    </w:p>
    <w:p w14:paraId="142B0179">
      <w:pPr>
        <w:shd w:val="clea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095105C8">
      <w:pPr>
        <w:shd w:val="clear"/>
        <w:ind w:firstLine="420"/>
        <w:rPr>
          <w:rFonts w:cs="仿宋_GB2312"/>
          <w:color w:val="auto"/>
          <w:szCs w:val="24"/>
          <w:highlight w:val="none"/>
        </w:rPr>
      </w:pPr>
      <w:r>
        <w:rPr>
          <w:rFonts w:cs="仿宋_GB2312"/>
          <w:color w:val="auto"/>
          <w:szCs w:val="24"/>
          <w:highlight w:val="none"/>
        </w:rPr>
        <w:br w:type="page"/>
      </w:r>
    </w:p>
    <w:p w14:paraId="4E924C81">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602" w:name="_Toc10454"/>
      <w:bookmarkStart w:id="603" w:name="_Toc13711"/>
      <w:r>
        <w:rPr>
          <w:rFonts w:hint="eastAsia" w:cstheme="majorBidi"/>
          <w:b/>
          <w:bCs/>
          <w:color w:val="auto"/>
          <w:kern w:val="2"/>
          <w:sz w:val="32"/>
          <w:szCs w:val="32"/>
          <w:highlight w:val="none"/>
          <w:lang w:val="en-US" w:eastAsia="zh-CN" w:bidi="ar-SA"/>
        </w:rPr>
        <w:t>八、</w:t>
      </w:r>
      <w:r>
        <w:rPr>
          <w:rFonts w:hint="eastAsia" w:eastAsia="宋体" w:asciiTheme="majorHAnsi" w:hAnsiTheme="majorHAnsi" w:cstheme="majorBidi"/>
          <w:b/>
          <w:bCs/>
          <w:color w:val="auto"/>
          <w:kern w:val="2"/>
          <w:sz w:val="32"/>
          <w:szCs w:val="32"/>
          <w:highlight w:val="none"/>
          <w:lang w:val="en-US" w:eastAsia="zh-CN" w:bidi="ar-SA"/>
        </w:rPr>
        <w:t>拟派项目团队</w:t>
      </w:r>
      <w:bookmarkEnd w:id="602"/>
      <w:bookmarkEnd w:id="603"/>
    </w:p>
    <w:tbl>
      <w:tblPr>
        <w:tblStyle w:val="27"/>
        <w:tblW w:w="9162" w:type="dxa"/>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143"/>
        <w:gridCol w:w="1203"/>
        <w:gridCol w:w="1224"/>
        <w:gridCol w:w="876"/>
        <w:gridCol w:w="1850"/>
        <w:gridCol w:w="1277"/>
        <w:gridCol w:w="816"/>
      </w:tblGrid>
      <w:tr w14:paraId="044EA1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27A52654">
            <w:pPr>
              <w:pStyle w:val="44"/>
              <w:shd w:val="clear"/>
              <w:jc w:val="center"/>
              <w:rPr>
                <w:color w:val="auto"/>
                <w:highlight w:val="none"/>
              </w:rPr>
            </w:pPr>
            <w:r>
              <w:rPr>
                <w:rFonts w:hint="eastAsia"/>
                <w:color w:val="auto"/>
                <w:highlight w:val="none"/>
              </w:rPr>
              <w:t>序号</w:t>
            </w:r>
          </w:p>
        </w:tc>
        <w:tc>
          <w:tcPr>
            <w:tcW w:w="1143" w:type="dxa"/>
            <w:vAlign w:val="center"/>
          </w:tcPr>
          <w:p w14:paraId="06896F70">
            <w:pPr>
              <w:pStyle w:val="44"/>
              <w:shd w:val="clear"/>
              <w:jc w:val="center"/>
              <w:rPr>
                <w:color w:val="auto"/>
                <w:highlight w:val="none"/>
              </w:rPr>
            </w:pPr>
            <w:r>
              <w:rPr>
                <w:rFonts w:hint="eastAsia"/>
                <w:color w:val="auto"/>
                <w:highlight w:val="none"/>
                <w:lang w:val="en-US" w:eastAsia="zh-CN"/>
              </w:rPr>
              <w:t>团队成员</w:t>
            </w:r>
          </w:p>
          <w:p w14:paraId="4131E775">
            <w:pPr>
              <w:pStyle w:val="44"/>
              <w:shd w:val="clear"/>
              <w:jc w:val="center"/>
              <w:rPr>
                <w:color w:val="auto"/>
                <w:highlight w:val="none"/>
              </w:rPr>
            </w:pPr>
            <w:r>
              <w:rPr>
                <w:rFonts w:hint="eastAsia"/>
                <w:color w:val="auto"/>
                <w:highlight w:val="none"/>
              </w:rPr>
              <w:t>姓名</w:t>
            </w:r>
          </w:p>
        </w:tc>
        <w:tc>
          <w:tcPr>
            <w:tcW w:w="1203" w:type="dxa"/>
            <w:tcBorders>
              <w:right w:val="single" w:color="auto" w:sz="4" w:space="0"/>
            </w:tcBorders>
            <w:vAlign w:val="center"/>
          </w:tcPr>
          <w:p w14:paraId="5B1E627A">
            <w:pPr>
              <w:pStyle w:val="44"/>
              <w:shd w:val="clear"/>
              <w:jc w:val="center"/>
              <w:rPr>
                <w:color w:val="auto"/>
                <w:highlight w:val="none"/>
              </w:rPr>
            </w:pPr>
            <w:r>
              <w:rPr>
                <w:rFonts w:hint="eastAsia"/>
                <w:color w:val="auto"/>
                <w:highlight w:val="none"/>
              </w:rPr>
              <w:t>工作单位</w:t>
            </w:r>
          </w:p>
        </w:tc>
        <w:tc>
          <w:tcPr>
            <w:tcW w:w="1224" w:type="dxa"/>
            <w:tcBorders>
              <w:left w:val="single" w:color="auto" w:sz="4" w:space="0"/>
            </w:tcBorders>
            <w:vAlign w:val="center"/>
          </w:tcPr>
          <w:p w14:paraId="566C9824">
            <w:pPr>
              <w:pStyle w:val="44"/>
              <w:shd w:val="clear"/>
              <w:jc w:val="center"/>
              <w:rPr>
                <w:color w:val="auto"/>
                <w:highlight w:val="none"/>
              </w:rPr>
            </w:pPr>
            <w:r>
              <w:rPr>
                <w:rFonts w:hint="eastAsia"/>
                <w:color w:val="auto"/>
                <w:highlight w:val="none"/>
              </w:rPr>
              <w:t>身份证号</w:t>
            </w:r>
          </w:p>
        </w:tc>
        <w:tc>
          <w:tcPr>
            <w:tcW w:w="876" w:type="dxa"/>
            <w:tcBorders>
              <w:left w:val="single" w:color="auto" w:sz="4" w:space="0"/>
            </w:tcBorders>
            <w:vAlign w:val="center"/>
          </w:tcPr>
          <w:p w14:paraId="3241822A">
            <w:pPr>
              <w:pStyle w:val="44"/>
              <w:shd w:val="clear"/>
              <w:jc w:val="center"/>
              <w:rPr>
                <w:color w:val="auto"/>
                <w:highlight w:val="none"/>
              </w:rPr>
            </w:pPr>
            <w:r>
              <w:rPr>
                <w:rFonts w:hint="eastAsia"/>
                <w:color w:val="auto"/>
                <w:highlight w:val="none"/>
              </w:rPr>
              <w:t>职称</w:t>
            </w:r>
          </w:p>
        </w:tc>
        <w:tc>
          <w:tcPr>
            <w:tcW w:w="1850" w:type="dxa"/>
            <w:vAlign w:val="center"/>
          </w:tcPr>
          <w:p w14:paraId="57503923">
            <w:pPr>
              <w:pStyle w:val="44"/>
              <w:shd w:val="clear"/>
              <w:jc w:val="center"/>
              <w:rPr>
                <w:rFonts w:hint="default" w:eastAsia="宋体"/>
                <w:color w:val="auto"/>
                <w:highlight w:val="none"/>
                <w:lang w:val="en-US" w:eastAsia="zh-CN"/>
              </w:rPr>
            </w:pPr>
            <w:r>
              <w:rPr>
                <w:rFonts w:hint="eastAsia"/>
                <w:color w:val="auto"/>
                <w:highlight w:val="none"/>
                <w:lang w:val="en-US" w:eastAsia="zh-CN"/>
              </w:rPr>
              <w:t>注册证书（岗位证书）名称及编号</w:t>
            </w:r>
          </w:p>
        </w:tc>
        <w:tc>
          <w:tcPr>
            <w:tcW w:w="1277" w:type="dxa"/>
            <w:vAlign w:val="center"/>
          </w:tcPr>
          <w:p w14:paraId="726B2B6A">
            <w:pPr>
              <w:pStyle w:val="44"/>
              <w:shd w:val="clear"/>
              <w:jc w:val="center"/>
              <w:rPr>
                <w:color w:val="auto"/>
                <w:highlight w:val="none"/>
              </w:rPr>
            </w:pPr>
            <w:r>
              <w:rPr>
                <w:rFonts w:hint="eastAsia" w:eastAsia="宋体"/>
                <w:color w:val="auto"/>
                <w:highlight w:val="none"/>
                <w:lang w:val="en-US" w:eastAsia="zh-CN"/>
              </w:rPr>
              <w:t>在团队中职务（岗位）</w:t>
            </w:r>
          </w:p>
        </w:tc>
        <w:tc>
          <w:tcPr>
            <w:tcW w:w="816" w:type="dxa"/>
            <w:vAlign w:val="center"/>
          </w:tcPr>
          <w:p w14:paraId="3D92204D">
            <w:pPr>
              <w:pStyle w:val="44"/>
              <w:shd w:val="clear"/>
              <w:jc w:val="center"/>
              <w:rPr>
                <w:color w:val="auto"/>
                <w:highlight w:val="none"/>
              </w:rPr>
            </w:pPr>
            <w:r>
              <w:rPr>
                <w:rFonts w:hint="eastAsia"/>
                <w:color w:val="auto"/>
                <w:highlight w:val="none"/>
              </w:rPr>
              <w:t>自有</w:t>
            </w:r>
            <w:r>
              <w:rPr>
                <w:color w:val="auto"/>
                <w:highlight w:val="none"/>
              </w:rPr>
              <w:t>/外聘</w:t>
            </w:r>
          </w:p>
        </w:tc>
      </w:tr>
      <w:tr w14:paraId="317197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96F11C3">
            <w:pPr>
              <w:pStyle w:val="44"/>
              <w:shd w:val="clear"/>
              <w:jc w:val="center"/>
              <w:rPr>
                <w:color w:val="auto"/>
                <w:highlight w:val="none"/>
              </w:rPr>
            </w:pPr>
            <w:bookmarkStart w:id="604" w:name="_Toc99533292"/>
            <w:bookmarkStart w:id="605" w:name="_Toc100090784"/>
            <w:r>
              <w:rPr>
                <w:rFonts w:hint="eastAsia"/>
                <w:color w:val="auto"/>
                <w:highlight w:val="none"/>
              </w:rPr>
              <w:t>1</w:t>
            </w:r>
            <w:bookmarkEnd w:id="604"/>
            <w:bookmarkEnd w:id="605"/>
          </w:p>
        </w:tc>
        <w:tc>
          <w:tcPr>
            <w:tcW w:w="1143" w:type="dxa"/>
            <w:vAlign w:val="center"/>
          </w:tcPr>
          <w:p w14:paraId="17E08D36">
            <w:pPr>
              <w:pStyle w:val="44"/>
              <w:shd w:val="clear"/>
              <w:jc w:val="center"/>
              <w:rPr>
                <w:color w:val="auto"/>
                <w:highlight w:val="none"/>
              </w:rPr>
            </w:pPr>
          </w:p>
        </w:tc>
        <w:tc>
          <w:tcPr>
            <w:tcW w:w="1203" w:type="dxa"/>
            <w:tcBorders>
              <w:right w:val="single" w:color="auto" w:sz="4" w:space="0"/>
            </w:tcBorders>
            <w:vAlign w:val="center"/>
          </w:tcPr>
          <w:p w14:paraId="210B6FB1">
            <w:pPr>
              <w:pStyle w:val="44"/>
              <w:shd w:val="clear"/>
              <w:jc w:val="center"/>
              <w:rPr>
                <w:color w:val="auto"/>
                <w:highlight w:val="none"/>
              </w:rPr>
            </w:pPr>
          </w:p>
        </w:tc>
        <w:tc>
          <w:tcPr>
            <w:tcW w:w="1224" w:type="dxa"/>
            <w:tcBorders>
              <w:left w:val="single" w:color="auto" w:sz="4" w:space="0"/>
            </w:tcBorders>
            <w:vAlign w:val="center"/>
          </w:tcPr>
          <w:p w14:paraId="3462C04F">
            <w:pPr>
              <w:pStyle w:val="44"/>
              <w:shd w:val="clear"/>
              <w:jc w:val="center"/>
              <w:rPr>
                <w:color w:val="auto"/>
                <w:highlight w:val="none"/>
              </w:rPr>
            </w:pPr>
          </w:p>
        </w:tc>
        <w:tc>
          <w:tcPr>
            <w:tcW w:w="876" w:type="dxa"/>
            <w:tcBorders>
              <w:left w:val="single" w:color="auto" w:sz="4" w:space="0"/>
            </w:tcBorders>
            <w:vAlign w:val="center"/>
          </w:tcPr>
          <w:p w14:paraId="1BA89E69">
            <w:pPr>
              <w:pStyle w:val="44"/>
              <w:shd w:val="clear"/>
              <w:jc w:val="center"/>
              <w:rPr>
                <w:color w:val="auto"/>
                <w:highlight w:val="none"/>
              </w:rPr>
            </w:pPr>
          </w:p>
        </w:tc>
        <w:tc>
          <w:tcPr>
            <w:tcW w:w="1850" w:type="dxa"/>
            <w:vAlign w:val="center"/>
          </w:tcPr>
          <w:p w14:paraId="033DBB1F">
            <w:pPr>
              <w:pStyle w:val="44"/>
              <w:shd w:val="clear"/>
              <w:jc w:val="center"/>
              <w:rPr>
                <w:color w:val="auto"/>
                <w:highlight w:val="none"/>
              </w:rPr>
            </w:pPr>
          </w:p>
        </w:tc>
        <w:tc>
          <w:tcPr>
            <w:tcW w:w="1277" w:type="dxa"/>
            <w:vAlign w:val="center"/>
          </w:tcPr>
          <w:p w14:paraId="2148FD62">
            <w:pPr>
              <w:pStyle w:val="44"/>
              <w:shd w:val="clear"/>
              <w:jc w:val="center"/>
              <w:rPr>
                <w:color w:val="auto"/>
                <w:highlight w:val="none"/>
              </w:rPr>
            </w:pPr>
          </w:p>
        </w:tc>
        <w:tc>
          <w:tcPr>
            <w:tcW w:w="816" w:type="dxa"/>
            <w:vAlign w:val="center"/>
          </w:tcPr>
          <w:p w14:paraId="73D8F053">
            <w:pPr>
              <w:pStyle w:val="44"/>
              <w:shd w:val="clear"/>
              <w:jc w:val="center"/>
              <w:rPr>
                <w:color w:val="auto"/>
                <w:highlight w:val="none"/>
              </w:rPr>
            </w:pPr>
          </w:p>
        </w:tc>
      </w:tr>
      <w:tr w14:paraId="43844C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46A6AD6">
            <w:pPr>
              <w:pStyle w:val="44"/>
              <w:shd w:val="clear"/>
              <w:jc w:val="center"/>
              <w:rPr>
                <w:color w:val="auto"/>
                <w:highlight w:val="none"/>
              </w:rPr>
            </w:pPr>
            <w:bookmarkStart w:id="606" w:name="_Toc100090785"/>
            <w:bookmarkStart w:id="607" w:name="_Toc99533293"/>
            <w:r>
              <w:rPr>
                <w:rFonts w:hint="eastAsia"/>
                <w:color w:val="auto"/>
                <w:highlight w:val="none"/>
              </w:rPr>
              <w:t>2</w:t>
            </w:r>
            <w:bookmarkEnd w:id="606"/>
            <w:bookmarkEnd w:id="607"/>
          </w:p>
        </w:tc>
        <w:tc>
          <w:tcPr>
            <w:tcW w:w="1143" w:type="dxa"/>
            <w:vAlign w:val="center"/>
          </w:tcPr>
          <w:p w14:paraId="3D8D2A32">
            <w:pPr>
              <w:pStyle w:val="44"/>
              <w:shd w:val="clear"/>
              <w:jc w:val="center"/>
              <w:rPr>
                <w:color w:val="auto"/>
                <w:highlight w:val="none"/>
              </w:rPr>
            </w:pPr>
          </w:p>
        </w:tc>
        <w:tc>
          <w:tcPr>
            <w:tcW w:w="1203" w:type="dxa"/>
            <w:tcBorders>
              <w:right w:val="single" w:color="auto" w:sz="4" w:space="0"/>
            </w:tcBorders>
            <w:vAlign w:val="center"/>
          </w:tcPr>
          <w:p w14:paraId="2762151A">
            <w:pPr>
              <w:pStyle w:val="44"/>
              <w:shd w:val="clear"/>
              <w:jc w:val="center"/>
              <w:rPr>
                <w:color w:val="auto"/>
                <w:highlight w:val="none"/>
              </w:rPr>
            </w:pPr>
          </w:p>
        </w:tc>
        <w:tc>
          <w:tcPr>
            <w:tcW w:w="1224" w:type="dxa"/>
            <w:tcBorders>
              <w:left w:val="single" w:color="auto" w:sz="4" w:space="0"/>
            </w:tcBorders>
            <w:vAlign w:val="center"/>
          </w:tcPr>
          <w:p w14:paraId="372D6CF0">
            <w:pPr>
              <w:pStyle w:val="44"/>
              <w:shd w:val="clear"/>
              <w:jc w:val="center"/>
              <w:rPr>
                <w:color w:val="auto"/>
                <w:highlight w:val="none"/>
              </w:rPr>
            </w:pPr>
          </w:p>
        </w:tc>
        <w:tc>
          <w:tcPr>
            <w:tcW w:w="876" w:type="dxa"/>
            <w:tcBorders>
              <w:left w:val="single" w:color="auto" w:sz="4" w:space="0"/>
            </w:tcBorders>
            <w:vAlign w:val="center"/>
          </w:tcPr>
          <w:p w14:paraId="2BCE8297">
            <w:pPr>
              <w:pStyle w:val="44"/>
              <w:shd w:val="clear"/>
              <w:jc w:val="center"/>
              <w:rPr>
                <w:color w:val="auto"/>
                <w:highlight w:val="none"/>
              </w:rPr>
            </w:pPr>
          </w:p>
        </w:tc>
        <w:tc>
          <w:tcPr>
            <w:tcW w:w="1850" w:type="dxa"/>
            <w:vAlign w:val="center"/>
          </w:tcPr>
          <w:p w14:paraId="0DB83334">
            <w:pPr>
              <w:pStyle w:val="44"/>
              <w:shd w:val="clear"/>
              <w:jc w:val="center"/>
              <w:rPr>
                <w:color w:val="auto"/>
                <w:highlight w:val="none"/>
              </w:rPr>
            </w:pPr>
          </w:p>
        </w:tc>
        <w:tc>
          <w:tcPr>
            <w:tcW w:w="1277" w:type="dxa"/>
            <w:vAlign w:val="center"/>
          </w:tcPr>
          <w:p w14:paraId="77E48E09">
            <w:pPr>
              <w:pStyle w:val="44"/>
              <w:shd w:val="clear"/>
              <w:jc w:val="center"/>
              <w:rPr>
                <w:color w:val="auto"/>
                <w:highlight w:val="none"/>
              </w:rPr>
            </w:pPr>
          </w:p>
        </w:tc>
        <w:tc>
          <w:tcPr>
            <w:tcW w:w="816" w:type="dxa"/>
            <w:vAlign w:val="center"/>
          </w:tcPr>
          <w:p w14:paraId="32CE3B63">
            <w:pPr>
              <w:pStyle w:val="44"/>
              <w:shd w:val="clear"/>
              <w:jc w:val="center"/>
              <w:rPr>
                <w:color w:val="auto"/>
                <w:highlight w:val="none"/>
              </w:rPr>
            </w:pPr>
          </w:p>
        </w:tc>
      </w:tr>
      <w:tr w14:paraId="5E7FA7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E23E322">
            <w:pPr>
              <w:pStyle w:val="44"/>
              <w:shd w:val="clear"/>
              <w:jc w:val="center"/>
              <w:rPr>
                <w:color w:val="auto"/>
                <w:highlight w:val="none"/>
              </w:rPr>
            </w:pPr>
            <w:bookmarkStart w:id="608" w:name="_Toc99533294"/>
            <w:bookmarkStart w:id="609" w:name="_Toc100090786"/>
            <w:r>
              <w:rPr>
                <w:rFonts w:hint="eastAsia"/>
                <w:color w:val="auto"/>
                <w:highlight w:val="none"/>
              </w:rPr>
              <w:t>3</w:t>
            </w:r>
            <w:bookmarkEnd w:id="608"/>
            <w:bookmarkEnd w:id="609"/>
          </w:p>
        </w:tc>
        <w:tc>
          <w:tcPr>
            <w:tcW w:w="1143" w:type="dxa"/>
            <w:vAlign w:val="center"/>
          </w:tcPr>
          <w:p w14:paraId="5622553E">
            <w:pPr>
              <w:pStyle w:val="44"/>
              <w:shd w:val="clear"/>
              <w:jc w:val="center"/>
              <w:rPr>
                <w:color w:val="auto"/>
                <w:highlight w:val="none"/>
              </w:rPr>
            </w:pPr>
          </w:p>
        </w:tc>
        <w:tc>
          <w:tcPr>
            <w:tcW w:w="1203" w:type="dxa"/>
            <w:tcBorders>
              <w:right w:val="single" w:color="auto" w:sz="4" w:space="0"/>
            </w:tcBorders>
            <w:vAlign w:val="center"/>
          </w:tcPr>
          <w:p w14:paraId="145347C3">
            <w:pPr>
              <w:pStyle w:val="44"/>
              <w:shd w:val="clear"/>
              <w:jc w:val="center"/>
              <w:rPr>
                <w:color w:val="auto"/>
                <w:highlight w:val="none"/>
              </w:rPr>
            </w:pPr>
          </w:p>
        </w:tc>
        <w:tc>
          <w:tcPr>
            <w:tcW w:w="1224" w:type="dxa"/>
            <w:tcBorders>
              <w:left w:val="single" w:color="auto" w:sz="4" w:space="0"/>
            </w:tcBorders>
            <w:vAlign w:val="center"/>
          </w:tcPr>
          <w:p w14:paraId="78C911C0">
            <w:pPr>
              <w:pStyle w:val="44"/>
              <w:shd w:val="clear"/>
              <w:jc w:val="center"/>
              <w:rPr>
                <w:color w:val="auto"/>
                <w:highlight w:val="none"/>
              </w:rPr>
            </w:pPr>
          </w:p>
        </w:tc>
        <w:tc>
          <w:tcPr>
            <w:tcW w:w="876" w:type="dxa"/>
            <w:tcBorders>
              <w:left w:val="single" w:color="auto" w:sz="4" w:space="0"/>
            </w:tcBorders>
            <w:vAlign w:val="center"/>
          </w:tcPr>
          <w:p w14:paraId="1632F2FA">
            <w:pPr>
              <w:pStyle w:val="44"/>
              <w:shd w:val="clear"/>
              <w:jc w:val="center"/>
              <w:rPr>
                <w:color w:val="auto"/>
                <w:highlight w:val="none"/>
              </w:rPr>
            </w:pPr>
          </w:p>
        </w:tc>
        <w:tc>
          <w:tcPr>
            <w:tcW w:w="1850" w:type="dxa"/>
            <w:vAlign w:val="center"/>
          </w:tcPr>
          <w:p w14:paraId="4AE50BE4">
            <w:pPr>
              <w:pStyle w:val="44"/>
              <w:shd w:val="clear"/>
              <w:jc w:val="center"/>
              <w:rPr>
                <w:color w:val="auto"/>
                <w:highlight w:val="none"/>
              </w:rPr>
            </w:pPr>
          </w:p>
        </w:tc>
        <w:tc>
          <w:tcPr>
            <w:tcW w:w="1277" w:type="dxa"/>
            <w:vAlign w:val="center"/>
          </w:tcPr>
          <w:p w14:paraId="107FDE9E">
            <w:pPr>
              <w:pStyle w:val="44"/>
              <w:shd w:val="clear"/>
              <w:jc w:val="center"/>
              <w:rPr>
                <w:color w:val="auto"/>
                <w:highlight w:val="none"/>
              </w:rPr>
            </w:pPr>
          </w:p>
        </w:tc>
        <w:tc>
          <w:tcPr>
            <w:tcW w:w="816" w:type="dxa"/>
            <w:vAlign w:val="center"/>
          </w:tcPr>
          <w:p w14:paraId="0FCF0246">
            <w:pPr>
              <w:pStyle w:val="44"/>
              <w:shd w:val="clear"/>
              <w:jc w:val="center"/>
              <w:rPr>
                <w:color w:val="auto"/>
                <w:highlight w:val="none"/>
              </w:rPr>
            </w:pPr>
          </w:p>
        </w:tc>
      </w:tr>
      <w:tr w14:paraId="076A76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85BF670">
            <w:pPr>
              <w:pStyle w:val="44"/>
              <w:shd w:val="clear"/>
              <w:jc w:val="center"/>
              <w:rPr>
                <w:color w:val="auto"/>
                <w:highlight w:val="none"/>
              </w:rPr>
            </w:pPr>
            <w:bookmarkStart w:id="610" w:name="_Toc99533295"/>
            <w:bookmarkStart w:id="611" w:name="_Toc100090787"/>
            <w:r>
              <w:rPr>
                <w:rFonts w:hint="eastAsia"/>
                <w:color w:val="auto"/>
                <w:highlight w:val="none"/>
              </w:rPr>
              <w:t>4</w:t>
            </w:r>
            <w:bookmarkEnd w:id="610"/>
            <w:bookmarkEnd w:id="611"/>
          </w:p>
        </w:tc>
        <w:tc>
          <w:tcPr>
            <w:tcW w:w="1143" w:type="dxa"/>
            <w:vAlign w:val="center"/>
          </w:tcPr>
          <w:p w14:paraId="06A33E5B">
            <w:pPr>
              <w:pStyle w:val="44"/>
              <w:shd w:val="clear"/>
              <w:jc w:val="center"/>
              <w:rPr>
                <w:color w:val="auto"/>
                <w:highlight w:val="none"/>
              </w:rPr>
            </w:pPr>
          </w:p>
        </w:tc>
        <w:tc>
          <w:tcPr>
            <w:tcW w:w="1203" w:type="dxa"/>
            <w:tcBorders>
              <w:right w:val="single" w:color="auto" w:sz="4" w:space="0"/>
            </w:tcBorders>
            <w:vAlign w:val="center"/>
          </w:tcPr>
          <w:p w14:paraId="7BBB4E02">
            <w:pPr>
              <w:pStyle w:val="44"/>
              <w:shd w:val="clear"/>
              <w:jc w:val="center"/>
              <w:rPr>
                <w:color w:val="auto"/>
                <w:highlight w:val="none"/>
              </w:rPr>
            </w:pPr>
          </w:p>
        </w:tc>
        <w:tc>
          <w:tcPr>
            <w:tcW w:w="1224" w:type="dxa"/>
            <w:tcBorders>
              <w:left w:val="single" w:color="auto" w:sz="4" w:space="0"/>
            </w:tcBorders>
            <w:vAlign w:val="center"/>
          </w:tcPr>
          <w:p w14:paraId="260605CA">
            <w:pPr>
              <w:pStyle w:val="44"/>
              <w:shd w:val="clear"/>
              <w:jc w:val="center"/>
              <w:rPr>
                <w:color w:val="auto"/>
                <w:highlight w:val="none"/>
              </w:rPr>
            </w:pPr>
          </w:p>
        </w:tc>
        <w:tc>
          <w:tcPr>
            <w:tcW w:w="876" w:type="dxa"/>
            <w:tcBorders>
              <w:left w:val="single" w:color="auto" w:sz="4" w:space="0"/>
            </w:tcBorders>
            <w:vAlign w:val="center"/>
          </w:tcPr>
          <w:p w14:paraId="55F61FA3">
            <w:pPr>
              <w:pStyle w:val="44"/>
              <w:shd w:val="clear"/>
              <w:jc w:val="center"/>
              <w:rPr>
                <w:color w:val="auto"/>
                <w:highlight w:val="none"/>
              </w:rPr>
            </w:pPr>
          </w:p>
        </w:tc>
        <w:tc>
          <w:tcPr>
            <w:tcW w:w="1850" w:type="dxa"/>
            <w:vAlign w:val="center"/>
          </w:tcPr>
          <w:p w14:paraId="05E14483">
            <w:pPr>
              <w:pStyle w:val="44"/>
              <w:shd w:val="clear"/>
              <w:jc w:val="center"/>
              <w:rPr>
                <w:color w:val="auto"/>
                <w:highlight w:val="none"/>
              </w:rPr>
            </w:pPr>
          </w:p>
        </w:tc>
        <w:tc>
          <w:tcPr>
            <w:tcW w:w="1277" w:type="dxa"/>
            <w:vAlign w:val="center"/>
          </w:tcPr>
          <w:p w14:paraId="7A6D63FA">
            <w:pPr>
              <w:pStyle w:val="44"/>
              <w:shd w:val="clear"/>
              <w:jc w:val="center"/>
              <w:rPr>
                <w:color w:val="auto"/>
                <w:highlight w:val="none"/>
              </w:rPr>
            </w:pPr>
          </w:p>
        </w:tc>
        <w:tc>
          <w:tcPr>
            <w:tcW w:w="816" w:type="dxa"/>
            <w:vAlign w:val="center"/>
          </w:tcPr>
          <w:p w14:paraId="20DFABE1">
            <w:pPr>
              <w:pStyle w:val="44"/>
              <w:shd w:val="clear"/>
              <w:jc w:val="center"/>
              <w:rPr>
                <w:color w:val="auto"/>
                <w:highlight w:val="none"/>
              </w:rPr>
            </w:pPr>
          </w:p>
        </w:tc>
      </w:tr>
      <w:tr w14:paraId="5F3FD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043CD23">
            <w:pPr>
              <w:pStyle w:val="44"/>
              <w:shd w:val="clear"/>
              <w:jc w:val="center"/>
              <w:rPr>
                <w:color w:val="auto"/>
                <w:highlight w:val="none"/>
              </w:rPr>
            </w:pPr>
            <w:bookmarkStart w:id="612" w:name="_Toc99533296"/>
            <w:bookmarkStart w:id="613" w:name="_Toc100090788"/>
            <w:r>
              <w:rPr>
                <w:rFonts w:hint="eastAsia"/>
                <w:color w:val="auto"/>
                <w:highlight w:val="none"/>
              </w:rPr>
              <w:t>5</w:t>
            </w:r>
            <w:bookmarkEnd w:id="612"/>
            <w:bookmarkEnd w:id="613"/>
          </w:p>
        </w:tc>
        <w:tc>
          <w:tcPr>
            <w:tcW w:w="1143" w:type="dxa"/>
            <w:vAlign w:val="center"/>
          </w:tcPr>
          <w:p w14:paraId="1A0773CB">
            <w:pPr>
              <w:pStyle w:val="44"/>
              <w:shd w:val="clear"/>
              <w:jc w:val="center"/>
              <w:rPr>
                <w:color w:val="auto"/>
                <w:highlight w:val="none"/>
              </w:rPr>
            </w:pPr>
          </w:p>
        </w:tc>
        <w:tc>
          <w:tcPr>
            <w:tcW w:w="1203" w:type="dxa"/>
            <w:tcBorders>
              <w:right w:val="single" w:color="auto" w:sz="4" w:space="0"/>
            </w:tcBorders>
            <w:vAlign w:val="center"/>
          </w:tcPr>
          <w:p w14:paraId="61787A67">
            <w:pPr>
              <w:pStyle w:val="44"/>
              <w:shd w:val="clear"/>
              <w:jc w:val="center"/>
              <w:rPr>
                <w:color w:val="auto"/>
                <w:highlight w:val="none"/>
              </w:rPr>
            </w:pPr>
          </w:p>
        </w:tc>
        <w:tc>
          <w:tcPr>
            <w:tcW w:w="1224" w:type="dxa"/>
            <w:tcBorders>
              <w:left w:val="single" w:color="auto" w:sz="4" w:space="0"/>
            </w:tcBorders>
            <w:vAlign w:val="center"/>
          </w:tcPr>
          <w:p w14:paraId="15BBA932">
            <w:pPr>
              <w:pStyle w:val="44"/>
              <w:shd w:val="clear"/>
              <w:jc w:val="center"/>
              <w:rPr>
                <w:color w:val="auto"/>
                <w:highlight w:val="none"/>
              </w:rPr>
            </w:pPr>
          </w:p>
        </w:tc>
        <w:tc>
          <w:tcPr>
            <w:tcW w:w="876" w:type="dxa"/>
            <w:tcBorders>
              <w:left w:val="single" w:color="auto" w:sz="4" w:space="0"/>
            </w:tcBorders>
            <w:vAlign w:val="center"/>
          </w:tcPr>
          <w:p w14:paraId="48AABD5E">
            <w:pPr>
              <w:pStyle w:val="44"/>
              <w:shd w:val="clear"/>
              <w:jc w:val="center"/>
              <w:rPr>
                <w:color w:val="auto"/>
                <w:highlight w:val="none"/>
              </w:rPr>
            </w:pPr>
          </w:p>
        </w:tc>
        <w:tc>
          <w:tcPr>
            <w:tcW w:w="1850" w:type="dxa"/>
            <w:vAlign w:val="center"/>
          </w:tcPr>
          <w:p w14:paraId="2BC300D7">
            <w:pPr>
              <w:pStyle w:val="44"/>
              <w:shd w:val="clear"/>
              <w:jc w:val="center"/>
              <w:rPr>
                <w:color w:val="auto"/>
                <w:highlight w:val="none"/>
              </w:rPr>
            </w:pPr>
          </w:p>
        </w:tc>
        <w:tc>
          <w:tcPr>
            <w:tcW w:w="1277" w:type="dxa"/>
            <w:vAlign w:val="center"/>
          </w:tcPr>
          <w:p w14:paraId="3943C72A">
            <w:pPr>
              <w:pStyle w:val="44"/>
              <w:shd w:val="clear"/>
              <w:jc w:val="center"/>
              <w:rPr>
                <w:color w:val="auto"/>
                <w:highlight w:val="none"/>
              </w:rPr>
            </w:pPr>
          </w:p>
        </w:tc>
        <w:tc>
          <w:tcPr>
            <w:tcW w:w="816" w:type="dxa"/>
            <w:vAlign w:val="center"/>
          </w:tcPr>
          <w:p w14:paraId="04141556">
            <w:pPr>
              <w:pStyle w:val="44"/>
              <w:shd w:val="clear"/>
              <w:jc w:val="center"/>
              <w:rPr>
                <w:color w:val="auto"/>
                <w:highlight w:val="none"/>
              </w:rPr>
            </w:pPr>
          </w:p>
        </w:tc>
      </w:tr>
      <w:tr w14:paraId="0EDD64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E74CE0E">
            <w:pPr>
              <w:pStyle w:val="44"/>
              <w:shd w:val="clear"/>
              <w:jc w:val="center"/>
              <w:rPr>
                <w:color w:val="auto"/>
                <w:highlight w:val="none"/>
              </w:rPr>
            </w:pPr>
            <w:bookmarkStart w:id="614" w:name="_Toc100090789"/>
            <w:bookmarkStart w:id="615" w:name="_Toc99533297"/>
            <w:r>
              <w:rPr>
                <w:rFonts w:hint="eastAsia"/>
                <w:color w:val="auto"/>
                <w:highlight w:val="none"/>
              </w:rPr>
              <w:t>6</w:t>
            </w:r>
            <w:bookmarkEnd w:id="614"/>
            <w:bookmarkEnd w:id="615"/>
          </w:p>
        </w:tc>
        <w:tc>
          <w:tcPr>
            <w:tcW w:w="1143" w:type="dxa"/>
            <w:vAlign w:val="center"/>
          </w:tcPr>
          <w:p w14:paraId="629198B4">
            <w:pPr>
              <w:pStyle w:val="44"/>
              <w:shd w:val="clear"/>
              <w:jc w:val="center"/>
              <w:rPr>
                <w:color w:val="auto"/>
                <w:highlight w:val="none"/>
              </w:rPr>
            </w:pPr>
          </w:p>
        </w:tc>
        <w:tc>
          <w:tcPr>
            <w:tcW w:w="1203" w:type="dxa"/>
            <w:tcBorders>
              <w:right w:val="single" w:color="auto" w:sz="4" w:space="0"/>
            </w:tcBorders>
            <w:vAlign w:val="center"/>
          </w:tcPr>
          <w:p w14:paraId="612B4791">
            <w:pPr>
              <w:pStyle w:val="44"/>
              <w:shd w:val="clear"/>
              <w:jc w:val="center"/>
              <w:rPr>
                <w:color w:val="auto"/>
                <w:highlight w:val="none"/>
              </w:rPr>
            </w:pPr>
          </w:p>
        </w:tc>
        <w:tc>
          <w:tcPr>
            <w:tcW w:w="1224" w:type="dxa"/>
            <w:tcBorders>
              <w:left w:val="single" w:color="auto" w:sz="4" w:space="0"/>
            </w:tcBorders>
            <w:vAlign w:val="center"/>
          </w:tcPr>
          <w:p w14:paraId="13596CFC">
            <w:pPr>
              <w:pStyle w:val="44"/>
              <w:shd w:val="clear"/>
              <w:jc w:val="center"/>
              <w:rPr>
                <w:color w:val="auto"/>
                <w:highlight w:val="none"/>
              </w:rPr>
            </w:pPr>
          </w:p>
        </w:tc>
        <w:tc>
          <w:tcPr>
            <w:tcW w:w="876" w:type="dxa"/>
            <w:tcBorders>
              <w:left w:val="single" w:color="auto" w:sz="4" w:space="0"/>
            </w:tcBorders>
            <w:vAlign w:val="center"/>
          </w:tcPr>
          <w:p w14:paraId="26E67AC9">
            <w:pPr>
              <w:pStyle w:val="44"/>
              <w:shd w:val="clear"/>
              <w:jc w:val="center"/>
              <w:rPr>
                <w:color w:val="auto"/>
                <w:highlight w:val="none"/>
              </w:rPr>
            </w:pPr>
          </w:p>
        </w:tc>
        <w:tc>
          <w:tcPr>
            <w:tcW w:w="1850" w:type="dxa"/>
            <w:vAlign w:val="center"/>
          </w:tcPr>
          <w:p w14:paraId="0134580B">
            <w:pPr>
              <w:pStyle w:val="44"/>
              <w:shd w:val="clear"/>
              <w:jc w:val="center"/>
              <w:rPr>
                <w:color w:val="auto"/>
                <w:highlight w:val="none"/>
              </w:rPr>
            </w:pPr>
          </w:p>
        </w:tc>
        <w:tc>
          <w:tcPr>
            <w:tcW w:w="1277" w:type="dxa"/>
            <w:vAlign w:val="center"/>
          </w:tcPr>
          <w:p w14:paraId="6FF03D95">
            <w:pPr>
              <w:pStyle w:val="44"/>
              <w:shd w:val="clear"/>
              <w:jc w:val="center"/>
              <w:rPr>
                <w:color w:val="auto"/>
                <w:highlight w:val="none"/>
              </w:rPr>
            </w:pPr>
          </w:p>
        </w:tc>
        <w:tc>
          <w:tcPr>
            <w:tcW w:w="816" w:type="dxa"/>
            <w:vAlign w:val="center"/>
          </w:tcPr>
          <w:p w14:paraId="01F1AED7">
            <w:pPr>
              <w:pStyle w:val="44"/>
              <w:shd w:val="clear"/>
              <w:jc w:val="center"/>
              <w:rPr>
                <w:color w:val="auto"/>
                <w:highlight w:val="none"/>
              </w:rPr>
            </w:pPr>
          </w:p>
        </w:tc>
      </w:tr>
      <w:tr w14:paraId="4DB1BA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F34A3A2">
            <w:pPr>
              <w:pStyle w:val="44"/>
              <w:shd w:val="clear"/>
              <w:jc w:val="center"/>
              <w:rPr>
                <w:color w:val="auto"/>
                <w:highlight w:val="none"/>
              </w:rPr>
            </w:pPr>
            <w:bookmarkStart w:id="616" w:name="_Toc99533298"/>
            <w:bookmarkStart w:id="617" w:name="_Toc100090790"/>
            <w:r>
              <w:rPr>
                <w:rFonts w:hint="eastAsia"/>
                <w:color w:val="auto"/>
                <w:highlight w:val="none"/>
              </w:rPr>
              <w:t>7</w:t>
            </w:r>
            <w:bookmarkEnd w:id="616"/>
            <w:bookmarkEnd w:id="617"/>
          </w:p>
        </w:tc>
        <w:tc>
          <w:tcPr>
            <w:tcW w:w="1143" w:type="dxa"/>
            <w:vAlign w:val="center"/>
          </w:tcPr>
          <w:p w14:paraId="652A7D64">
            <w:pPr>
              <w:pStyle w:val="44"/>
              <w:shd w:val="clear"/>
              <w:jc w:val="center"/>
              <w:rPr>
                <w:color w:val="auto"/>
                <w:highlight w:val="none"/>
              </w:rPr>
            </w:pPr>
          </w:p>
        </w:tc>
        <w:tc>
          <w:tcPr>
            <w:tcW w:w="1203" w:type="dxa"/>
            <w:tcBorders>
              <w:right w:val="single" w:color="auto" w:sz="4" w:space="0"/>
            </w:tcBorders>
            <w:vAlign w:val="center"/>
          </w:tcPr>
          <w:p w14:paraId="05008CFD">
            <w:pPr>
              <w:pStyle w:val="44"/>
              <w:shd w:val="clear"/>
              <w:jc w:val="center"/>
              <w:rPr>
                <w:color w:val="auto"/>
                <w:highlight w:val="none"/>
              </w:rPr>
            </w:pPr>
          </w:p>
        </w:tc>
        <w:tc>
          <w:tcPr>
            <w:tcW w:w="1224" w:type="dxa"/>
            <w:tcBorders>
              <w:left w:val="single" w:color="auto" w:sz="4" w:space="0"/>
            </w:tcBorders>
            <w:vAlign w:val="center"/>
          </w:tcPr>
          <w:p w14:paraId="3050402F">
            <w:pPr>
              <w:pStyle w:val="44"/>
              <w:shd w:val="clear"/>
              <w:jc w:val="center"/>
              <w:rPr>
                <w:color w:val="auto"/>
                <w:highlight w:val="none"/>
              </w:rPr>
            </w:pPr>
          </w:p>
        </w:tc>
        <w:tc>
          <w:tcPr>
            <w:tcW w:w="876" w:type="dxa"/>
            <w:tcBorders>
              <w:left w:val="single" w:color="auto" w:sz="4" w:space="0"/>
            </w:tcBorders>
            <w:vAlign w:val="center"/>
          </w:tcPr>
          <w:p w14:paraId="358C0B3B">
            <w:pPr>
              <w:pStyle w:val="44"/>
              <w:shd w:val="clear"/>
              <w:jc w:val="center"/>
              <w:rPr>
                <w:color w:val="auto"/>
                <w:highlight w:val="none"/>
              </w:rPr>
            </w:pPr>
          </w:p>
        </w:tc>
        <w:tc>
          <w:tcPr>
            <w:tcW w:w="1850" w:type="dxa"/>
            <w:vAlign w:val="center"/>
          </w:tcPr>
          <w:p w14:paraId="706D8915">
            <w:pPr>
              <w:pStyle w:val="44"/>
              <w:shd w:val="clear"/>
              <w:jc w:val="center"/>
              <w:rPr>
                <w:color w:val="auto"/>
                <w:highlight w:val="none"/>
              </w:rPr>
            </w:pPr>
          </w:p>
        </w:tc>
        <w:tc>
          <w:tcPr>
            <w:tcW w:w="1277" w:type="dxa"/>
            <w:vAlign w:val="center"/>
          </w:tcPr>
          <w:p w14:paraId="5FBF328E">
            <w:pPr>
              <w:pStyle w:val="44"/>
              <w:shd w:val="clear"/>
              <w:jc w:val="center"/>
              <w:rPr>
                <w:color w:val="auto"/>
                <w:highlight w:val="none"/>
              </w:rPr>
            </w:pPr>
          </w:p>
        </w:tc>
        <w:tc>
          <w:tcPr>
            <w:tcW w:w="816" w:type="dxa"/>
            <w:vAlign w:val="center"/>
          </w:tcPr>
          <w:p w14:paraId="1DADAFB4">
            <w:pPr>
              <w:pStyle w:val="44"/>
              <w:shd w:val="clear"/>
              <w:jc w:val="center"/>
              <w:rPr>
                <w:color w:val="auto"/>
                <w:highlight w:val="none"/>
              </w:rPr>
            </w:pPr>
          </w:p>
        </w:tc>
      </w:tr>
      <w:tr w14:paraId="736D4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0C2EDAD">
            <w:pPr>
              <w:pStyle w:val="44"/>
              <w:shd w:val="clear"/>
              <w:jc w:val="center"/>
              <w:rPr>
                <w:color w:val="auto"/>
                <w:highlight w:val="none"/>
              </w:rPr>
            </w:pPr>
            <w:bookmarkStart w:id="618" w:name="_Toc99533299"/>
            <w:bookmarkStart w:id="619" w:name="_Toc100090791"/>
            <w:r>
              <w:rPr>
                <w:rFonts w:hint="eastAsia"/>
                <w:color w:val="auto"/>
                <w:highlight w:val="none"/>
              </w:rPr>
              <w:t>8</w:t>
            </w:r>
            <w:bookmarkEnd w:id="618"/>
            <w:bookmarkEnd w:id="619"/>
          </w:p>
        </w:tc>
        <w:tc>
          <w:tcPr>
            <w:tcW w:w="1143" w:type="dxa"/>
            <w:vAlign w:val="center"/>
          </w:tcPr>
          <w:p w14:paraId="4937ABBF">
            <w:pPr>
              <w:pStyle w:val="44"/>
              <w:shd w:val="clear"/>
              <w:jc w:val="center"/>
              <w:rPr>
                <w:color w:val="auto"/>
                <w:highlight w:val="none"/>
              </w:rPr>
            </w:pPr>
          </w:p>
        </w:tc>
        <w:tc>
          <w:tcPr>
            <w:tcW w:w="1203" w:type="dxa"/>
            <w:tcBorders>
              <w:right w:val="single" w:color="auto" w:sz="4" w:space="0"/>
            </w:tcBorders>
            <w:vAlign w:val="center"/>
          </w:tcPr>
          <w:p w14:paraId="5907D5C6">
            <w:pPr>
              <w:pStyle w:val="44"/>
              <w:shd w:val="clear"/>
              <w:jc w:val="center"/>
              <w:rPr>
                <w:color w:val="auto"/>
                <w:highlight w:val="none"/>
              </w:rPr>
            </w:pPr>
          </w:p>
        </w:tc>
        <w:tc>
          <w:tcPr>
            <w:tcW w:w="1224" w:type="dxa"/>
            <w:tcBorders>
              <w:left w:val="single" w:color="auto" w:sz="4" w:space="0"/>
            </w:tcBorders>
            <w:vAlign w:val="center"/>
          </w:tcPr>
          <w:p w14:paraId="397DE284">
            <w:pPr>
              <w:pStyle w:val="44"/>
              <w:shd w:val="clear"/>
              <w:jc w:val="center"/>
              <w:rPr>
                <w:color w:val="auto"/>
                <w:highlight w:val="none"/>
              </w:rPr>
            </w:pPr>
          </w:p>
        </w:tc>
        <w:tc>
          <w:tcPr>
            <w:tcW w:w="876" w:type="dxa"/>
            <w:tcBorders>
              <w:left w:val="single" w:color="auto" w:sz="4" w:space="0"/>
            </w:tcBorders>
            <w:vAlign w:val="center"/>
          </w:tcPr>
          <w:p w14:paraId="2E8853F7">
            <w:pPr>
              <w:pStyle w:val="44"/>
              <w:shd w:val="clear"/>
              <w:jc w:val="center"/>
              <w:rPr>
                <w:color w:val="auto"/>
                <w:highlight w:val="none"/>
              </w:rPr>
            </w:pPr>
          </w:p>
        </w:tc>
        <w:tc>
          <w:tcPr>
            <w:tcW w:w="1850" w:type="dxa"/>
            <w:vAlign w:val="center"/>
          </w:tcPr>
          <w:p w14:paraId="32E60044">
            <w:pPr>
              <w:pStyle w:val="44"/>
              <w:shd w:val="clear"/>
              <w:jc w:val="center"/>
              <w:rPr>
                <w:color w:val="auto"/>
                <w:highlight w:val="none"/>
              </w:rPr>
            </w:pPr>
          </w:p>
        </w:tc>
        <w:tc>
          <w:tcPr>
            <w:tcW w:w="1277" w:type="dxa"/>
            <w:vAlign w:val="center"/>
          </w:tcPr>
          <w:p w14:paraId="7107F6B0">
            <w:pPr>
              <w:pStyle w:val="44"/>
              <w:shd w:val="clear"/>
              <w:jc w:val="center"/>
              <w:rPr>
                <w:color w:val="auto"/>
                <w:highlight w:val="none"/>
              </w:rPr>
            </w:pPr>
          </w:p>
        </w:tc>
        <w:tc>
          <w:tcPr>
            <w:tcW w:w="816" w:type="dxa"/>
            <w:vAlign w:val="center"/>
          </w:tcPr>
          <w:p w14:paraId="5E455759">
            <w:pPr>
              <w:pStyle w:val="44"/>
              <w:shd w:val="clear"/>
              <w:jc w:val="center"/>
              <w:rPr>
                <w:color w:val="auto"/>
                <w:highlight w:val="none"/>
              </w:rPr>
            </w:pPr>
          </w:p>
        </w:tc>
      </w:tr>
      <w:tr w14:paraId="71A5BD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C0658B4">
            <w:pPr>
              <w:pStyle w:val="44"/>
              <w:shd w:val="clear"/>
              <w:jc w:val="center"/>
              <w:rPr>
                <w:color w:val="auto"/>
                <w:highlight w:val="none"/>
              </w:rPr>
            </w:pPr>
            <w:bookmarkStart w:id="620" w:name="_Toc99533300"/>
            <w:bookmarkStart w:id="621" w:name="_Toc100090792"/>
            <w:r>
              <w:rPr>
                <w:rFonts w:hint="eastAsia"/>
                <w:color w:val="auto"/>
                <w:highlight w:val="none"/>
              </w:rPr>
              <w:t>9</w:t>
            </w:r>
            <w:bookmarkEnd w:id="620"/>
            <w:bookmarkEnd w:id="621"/>
          </w:p>
        </w:tc>
        <w:tc>
          <w:tcPr>
            <w:tcW w:w="1143" w:type="dxa"/>
            <w:vAlign w:val="center"/>
          </w:tcPr>
          <w:p w14:paraId="6A62F423">
            <w:pPr>
              <w:pStyle w:val="44"/>
              <w:shd w:val="clear"/>
              <w:jc w:val="center"/>
              <w:rPr>
                <w:color w:val="auto"/>
                <w:highlight w:val="none"/>
              </w:rPr>
            </w:pPr>
          </w:p>
        </w:tc>
        <w:tc>
          <w:tcPr>
            <w:tcW w:w="1203" w:type="dxa"/>
            <w:tcBorders>
              <w:right w:val="single" w:color="auto" w:sz="4" w:space="0"/>
            </w:tcBorders>
            <w:vAlign w:val="center"/>
          </w:tcPr>
          <w:p w14:paraId="651A0213">
            <w:pPr>
              <w:pStyle w:val="44"/>
              <w:shd w:val="clear"/>
              <w:jc w:val="center"/>
              <w:rPr>
                <w:color w:val="auto"/>
                <w:highlight w:val="none"/>
              </w:rPr>
            </w:pPr>
          </w:p>
        </w:tc>
        <w:tc>
          <w:tcPr>
            <w:tcW w:w="1224" w:type="dxa"/>
            <w:tcBorders>
              <w:left w:val="single" w:color="auto" w:sz="4" w:space="0"/>
            </w:tcBorders>
            <w:vAlign w:val="center"/>
          </w:tcPr>
          <w:p w14:paraId="4A278517">
            <w:pPr>
              <w:pStyle w:val="44"/>
              <w:shd w:val="clear"/>
              <w:jc w:val="center"/>
              <w:rPr>
                <w:color w:val="auto"/>
                <w:highlight w:val="none"/>
              </w:rPr>
            </w:pPr>
          </w:p>
        </w:tc>
        <w:tc>
          <w:tcPr>
            <w:tcW w:w="876" w:type="dxa"/>
            <w:tcBorders>
              <w:left w:val="single" w:color="auto" w:sz="4" w:space="0"/>
            </w:tcBorders>
            <w:vAlign w:val="center"/>
          </w:tcPr>
          <w:p w14:paraId="3F670292">
            <w:pPr>
              <w:pStyle w:val="44"/>
              <w:shd w:val="clear"/>
              <w:jc w:val="center"/>
              <w:rPr>
                <w:color w:val="auto"/>
                <w:highlight w:val="none"/>
              </w:rPr>
            </w:pPr>
          </w:p>
        </w:tc>
        <w:tc>
          <w:tcPr>
            <w:tcW w:w="1850" w:type="dxa"/>
            <w:vAlign w:val="center"/>
          </w:tcPr>
          <w:p w14:paraId="00A3D20D">
            <w:pPr>
              <w:pStyle w:val="44"/>
              <w:shd w:val="clear"/>
              <w:jc w:val="center"/>
              <w:rPr>
                <w:color w:val="auto"/>
                <w:highlight w:val="none"/>
              </w:rPr>
            </w:pPr>
          </w:p>
        </w:tc>
        <w:tc>
          <w:tcPr>
            <w:tcW w:w="1277" w:type="dxa"/>
            <w:vAlign w:val="center"/>
          </w:tcPr>
          <w:p w14:paraId="6968EA5F">
            <w:pPr>
              <w:pStyle w:val="44"/>
              <w:shd w:val="clear"/>
              <w:jc w:val="center"/>
              <w:rPr>
                <w:color w:val="auto"/>
                <w:highlight w:val="none"/>
              </w:rPr>
            </w:pPr>
          </w:p>
        </w:tc>
        <w:tc>
          <w:tcPr>
            <w:tcW w:w="816" w:type="dxa"/>
            <w:vAlign w:val="center"/>
          </w:tcPr>
          <w:p w14:paraId="6E89C893">
            <w:pPr>
              <w:pStyle w:val="44"/>
              <w:shd w:val="clear"/>
              <w:jc w:val="center"/>
              <w:rPr>
                <w:color w:val="auto"/>
                <w:highlight w:val="none"/>
              </w:rPr>
            </w:pPr>
          </w:p>
        </w:tc>
      </w:tr>
      <w:tr w14:paraId="06369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07A94533">
            <w:pPr>
              <w:pStyle w:val="44"/>
              <w:shd w:val="clear"/>
              <w:jc w:val="center"/>
              <w:rPr>
                <w:color w:val="auto"/>
                <w:highlight w:val="none"/>
              </w:rPr>
            </w:pPr>
            <w:bookmarkStart w:id="622" w:name="_Toc100090793"/>
            <w:bookmarkStart w:id="623" w:name="_Toc99533301"/>
            <w:r>
              <w:rPr>
                <w:rFonts w:hint="eastAsia"/>
                <w:color w:val="auto"/>
                <w:highlight w:val="none"/>
              </w:rPr>
              <w:t>10</w:t>
            </w:r>
            <w:bookmarkEnd w:id="622"/>
            <w:bookmarkEnd w:id="623"/>
          </w:p>
        </w:tc>
        <w:tc>
          <w:tcPr>
            <w:tcW w:w="1143" w:type="dxa"/>
            <w:vAlign w:val="center"/>
          </w:tcPr>
          <w:p w14:paraId="3DA04C3D">
            <w:pPr>
              <w:pStyle w:val="44"/>
              <w:shd w:val="clear"/>
              <w:jc w:val="center"/>
              <w:rPr>
                <w:color w:val="auto"/>
                <w:highlight w:val="none"/>
              </w:rPr>
            </w:pPr>
          </w:p>
        </w:tc>
        <w:tc>
          <w:tcPr>
            <w:tcW w:w="1203" w:type="dxa"/>
            <w:tcBorders>
              <w:right w:val="single" w:color="auto" w:sz="4" w:space="0"/>
            </w:tcBorders>
            <w:vAlign w:val="center"/>
          </w:tcPr>
          <w:p w14:paraId="4BA13044">
            <w:pPr>
              <w:pStyle w:val="44"/>
              <w:shd w:val="clear"/>
              <w:jc w:val="center"/>
              <w:rPr>
                <w:color w:val="auto"/>
                <w:highlight w:val="none"/>
              </w:rPr>
            </w:pPr>
          </w:p>
        </w:tc>
        <w:tc>
          <w:tcPr>
            <w:tcW w:w="1224" w:type="dxa"/>
            <w:tcBorders>
              <w:left w:val="single" w:color="auto" w:sz="4" w:space="0"/>
            </w:tcBorders>
            <w:vAlign w:val="center"/>
          </w:tcPr>
          <w:p w14:paraId="16B84266">
            <w:pPr>
              <w:pStyle w:val="44"/>
              <w:shd w:val="clear"/>
              <w:jc w:val="center"/>
              <w:rPr>
                <w:color w:val="auto"/>
                <w:highlight w:val="none"/>
              </w:rPr>
            </w:pPr>
          </w:p>
        </w:tc>
        <w:tc>
          <w:tcPr>
            <w:tcW w:w="876" w:type="dxa"/>
            <w:tcBorders>
              <w:left w:val="single" w:color="auto" w:sz="4" w:space="0"/>
            </w:tcBorders>
            <w:vAlign w:val="center"/>
          </w:tcPr>
          <w:p w14:paraId="71FC8978">
            <w:pPr>
              <w:pStyle w:val="44"/>
              <w:shd w:val="clear"/>
              <w:jc w:val="center"/>
              <w:rPr>
                <w:color w:val="auto"/>
                <w:highlight w:val="none"/>
              </w:rPr>
            </w:pPr>
          </w:p>
        </w:tc>
        <w:tc>
          <w:tcPr>
            <w:tcW w:w="1850" w:type="dxa"/>
            <w:vAlign w:val="center"/>
          </w:tcPr>
          <w:p w14:paraId="737A59E9">
            <w:pPr>
              <w:pStyle w:val="44"/>
              <w:shd w:val="clear"/>
              <w:jc w:val="center"/>
              <w:rPr>
                <w:color w:val="auto"/>
                <w:highlight w:val="none"/>
              </w:rPr>
            </w:pPr>
          </w:p>
        </w:tc>
        <w:tc>
          <w:tcPr>
            <w:tcW w:w="1277" w:type="dxa"/>
            <w:vAlign w:val="center"/>
          </w:tcPr>
          <w:p w14:paraId="292E64B7">
            <w:pPr>
              <w:pStyle w:val="44"/>
              <w:shd w:val="clear"/>
              <w:jc w:val="center"/>
              <w:rPr>
                <w:color w:val="auto"/>
                <w:highlight w:val="none"/>
              </w:rPr>
            </w:pPr>
          </w:p>
        </w:tc>
        <w:tc>
          <w:tcPr>
            <w:tcW w:w="816" w:type="dxa"/>
            <w:vAlign w:val="center"/>
          </w:tcPr>
          <w:p w14:paraId="44A42518">
            <w:pPr>
              <w:pStyle w:val="44"/>
              <w:shd w:val="clear"/>
              <w:jc w:val="center"/>
              <w:rPr>
                <w:color w:val="auto"/>
                <w:highlight w:val="none"/>
              </w:rPr>
            </w:pPr>
          </w:p>
        </w:tc>
      </w:tr>
    </w:tbl>
    <w:p w14:paraId="3CBF9299">
      <w:pPr>
        <w:shd w:val="clear"/>
        <w:rPr>
          <w:rFonts w:hint="eastAsia" w:cs="仿宋_GB2312"/>
          <w:color w:val="auto"/>
          <w:sz w:val="21"/>
          <w:szCs w:val="21"/>
          <w:highlight w:val="none"/>
          <w:lang w:val="en-US" w:eastAsia="zh-CN"/>
        </w:rPr>
      </w:pPr>
    </w:p>
    <w:p w14:paraId="1EAF0062">
      <w:pPr>
        <w:shd w:val="clear"/>
        <w:rPr>
          <w:rFonts w:hint="default" w:cs="仿宋_GB2312"/>
          <w:color w:val="auto"/>
          <w:sz w:val="21"/>
          <w:szCs w:val="21"/>
          <w:highlight w:val="none"/>
          <w:lang w:val="en-US"/>
        </w:rPr>
      </w:pPr>
      <w:r>
        <w:rPr>
          <w:rFonts w:hint="eastAsia" w:cs="仿宋_GB2312"/>
          <w:color w:val="auto"/>
          <w:sz w:val="21"/>
          <w:szCs w:val="21"/>
          <w:highlight w:val="none"/>
          <w:lang w:val="en-US" w:eastAsia="zh-CN"/>
        </w:rPr>
        <w:t>注：按竞争性谈判文件要求在本表后附相关人员证书。</w:t>
      </w:r>
    </w:p>
    <w:p w14:paraId="3B621572">
      <w:pPr>
        <w:shd w:val="clear"/>
        <w:ind w:firstLine="420" w:firstLineChars="200"/>
        <w:rPr>
          <w:rFonts w:hint="eastAsia" w:cs="仿宋_GB2312"/>
          <w:color w:val="auto"/>
          <w:sz w:val="21"/>
          <w:szCs w:val="21"/>
          <w:highlight w:val="none"/>
          <w:lang w:val="en-US" w:eastAsia="zh-CN"/>
        </w:rPr>
      </w:pPr>
    </w:p>
    <w:p w14:paraId="178B25F9">
      <w:pPr>
        <w:shd w:val="clea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 xml:space="preserve">说明： </w:t>
      </w:r>
    </w:p>
    <w:p w14:paraId="442D33DF">
      <w:pPr>
        <w:shd w:val="clea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1.“在团队中职务（岗位）”栏应包括但不限于：项目负责人、项目联系人、项目服务人员或技术人员等。 </w:t>
      </w:r>
    </w:p>
    <w:p w14:paraId="51ED7B0D">
      <w:pPr>
        <w:shd w:val="clear"/>
        <w:ind w:firstLine="420" w:firstLineChars="200"/>
        <w:rPr>
          <w:color w:val="auto"/>
          <w:highlight w:val="none"/>
        </w:rPr>
      </w:pPr>
      <w:r>
        <w:rPr>
          <w:rFonts w:hint="eastAsia" w:cs="仿宋_GB2312"/>
          <w:color w:val="auto"/>
          <w:sz w:val="21"/>
          <w:szCs w:val="21"/>
          <w:highlight w:val="none"/>
          <w:lang w:val="en-US" w:eastAsia="zh-CN"/>
        </w:rPr>
        <w:t>2.如供应商成交，须按本表项目组成人员操作，不得随意更换。</w:t>
      </w:r>
      <w:r>
        <w:rPr>
          <w:color w:val="auto"/>
          <w:highlight w:val="none"/>
        </w:rPr>
        <w:br w:type="page"/>
      </w:r>
    </w:p>
    <w:p w14:paraId="1358285E">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624" w:name="_Toc4226"/>
      <w:bookmarkStart w:id="625" w:name="_Toc22364"/>
      <w:r>
        <w:rPr>
          <w:rFonts w:hint="eastAsia" w:cstheme="majorBidi"/>
          <w:b/>
          <w:bCs/>
          <w:color w:val="auto"/>
          <w:kern w:val="2"/>
          <w:sz w:val="32"/>
          <w:szCs w:val="32"/>
          <w:highlight w:val="none"/>
          <w:lang w:val="en-US" w:eastAsia="zh-CN" w:bidi="ar-SA"/>
        </w:rPr>
        <w:t>九、</w:t>
      </w:r>
      <w:r>
        <w:rPr>
          <w:rFonts w:hint="eastAsia" w:eastAsia="宋体" w:asciiTheme="majorHAnsi" w:hAnsiTheme="majorHAnsi" w:cstheme="majorBidi"/>
          <w:b/>
          <w:bCs/>
          <w:color w:val="auto"/>
          <w:kern w:val="2"/>
          <w:sz w:val="32"/>
          <w:szCs w:val="32"/>
          <w:highlight w:val="none"/>
          <w:lang w:val="en-US" w:eastAsia="zh-CN" w:bidi="ar-SA"/>
        </w:rPr>
        <w:t>技术响应偏离表</w:t>
      </w:r>
      <w:bookmarkEnd w:id="624"/>
      <w:bookmarkEnd w:id="625"/>
    </w:p>
    <w:p w14:paraId="7EE50E6A">
      <w:pPr>
        <w:shd w:val="clear"/>
        <w:rPr>
          <w:rFonts w:cs="仿宋_GB2312"/>
          <w:color w:val="auto"/>
          <w:szCs w:val="24"/>
          <w:highlight w:val="none"/>
        </w:rPr>
      </w:pPr>
      <w:r>
        <w:rPr>
          <w:rFonts w:hint="eastAsia" w:cs="仿宋_GB2312"/>
          <w:color w:val="auto"/>
          <w:szCs w:val="24"/>
          <w:highlight w:val="none"/>
        </w:rPr>
        <w:t xml:space="preserve">项目名称：                                         </w:t>
      </w:r>
    </w:p>
    <w:p w14:paraId="10CF1BE4">
      <w:pPr>
        <w:shd w:val="clear"/>
        <w:rPr>
          <w:rFonts w:cs="仿宋_GB2312"/>
          <w:color w:val="auto"/>
          <w:szCs w:val="24"/>
          <w:highlight w:val="none"/>
        </w:rPr>
      </w:pPr>
      <w:r>
        <w:rPr>
          <w:rFonts w:hint="eastAsia" w:cs="仿宋_GB2312"/>
          <w:color w:val="auto"/>
          <w:szCs w:val="24"/>
          <w:highlight w:val="none"/>
        </w:rPr>
        <w:t>项目编号</w:t>
      </w:r>
      <w:r>
        <w:rPr>
          <w:rFonts w:hint="eastAsia" w:cs="仿宋_GB2312"/>
          <w:color w:val="auto"/>
          <w:szCs w:val="24"/>
          <w:highlight w:val="none"/>
          <w:lang w:val="en-US" w:eastAsia="zh-CN"/>
        </w:rPr>
        <w:t>/</w:t>
      </w:r>
      <w:r>
        <w:rPr>
          <w:rFonts w:hint="eastAsia" w:cs="仿宋_GB2312"/>
          <w:color w:val="auto"/>
          <w:szCs w:val="24"/>
          <w:highlight w:val="none"/>
          <w:lang w:val="zh-CN"/>
        </w:rPr>
        <w:t>包号</w:t>
      </w:r>
      <w:r>
        <w:rPr>
          <w:rFonts w:hint="eastAsia" w:cs="仿宋_GB2312"/>
          <w:color w:val="auto"/>
          <w:szCs w:val="24"/>
          <w:highlight w:val="none"/>
        </w:rPr>
        <w:t xml:space="preserve">：         </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177"/>
        <w:gridCol w:w="1556"/>
        <w:gridCol w:w="2190"/>
        <w:gridCol w:w="1902"/>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5F892E53">
            <w:pPr>
              <w:pStyle w:val="44"/>
              <w:shd w:val="clear"/>
              <w:jc w:val="center"/>
              <w:rPr>
                <w:color w:val="auto"/>
                <w:highlight w:val="none"/>
              </w:rPr>
            </w:pPr>
            <w:r>
              <w:rPr>
                <w:rFonts w:hint="eastAsia"/>
                <w:color w:val="auto"/>
                <w:highlight w:val="none"/>
              </w:rPr>
              <w:t>序号</w:t>
            </w:r>
          </w:p>
        </w:tc>
        <w:tc>
          <w:tcPr>
            <w:tcW w:w="1277" w:type="pct"/>
            <w:vAlign w:val="center"/>
          </w:tcPr>
          <w:p w14:paraId="0C5608DB">
            <w:pPr>
              <w:pStyle w:val="44"/>
              <w:shd w:val="clear"/>
              <w:jc w:val="center"/>
              <w:rPr>
                <w:color w:val="auto"/>
                <w:highlight w:val="none"/>
              </w:rPr>
            </w:pPr>
            <w:r>
              <w:rPr>
                <w:rFonts w:hint="eastAsia"/>
                <w:color w:val="auto"/>
                <w:highlight w:val="none"/>
                <w:lang w:val="en-US" w:eastAsia="zh-CN"/>
              </w:rPr>
              <w:t>竞争性谈判</w:t>
            </w:r>
            <w:r>
              <w:rPr>
                <w:rFonts w:hint="eastAsia"/>
                <w:color w:val="auto"/>
                <w:highlight w:val="none"/>
              </w:rPr>
              <w:t>文件技术要求条款</w:t>
            </w:r>
          </w:p>
        </w:tc>
        <w:tc>
          <w:tcPr>
            <w:tcW w:w="913" w:type="pct"/>
            <w:vAlign w:val="center"/>
          </w:tcPr>
          <w:p w14:paraId="0B845CF1">
            <w:pPr>
              <w:pStyle w:val="44"/>
              <w:shd w:val="clear"/>
              <w:jc w:val="center"/>
              <w:rPr>
                <w:color w:val="auto"/>
                <w:highlight w:val="none"/>
              </w:rPr>
            </w:pPr>
            <w:r>
              <w:rPr>
                <w:rFonts w:hint="eastAsia"/>
                <w:color w:val="auto"/>
                <w:highlight w:val="none"/>
                <w:lang w:val="en-US" w:eastAsia="zh-CN"/>
              </w:rPr>
              <w:t>响应</w:t>
            </w:r>
            <w:r>
              <w:rPr>
                <w:rFonts w:hint="eastAsia"/>
                <w:color w:val="auto"/>
                <w:highlight w:val="none"/>
              </w:rPr>
              <w:t>文件内容</w:t>
            </w:r>
          </w:p>
          <w:p w14:paraId="4F79E073">
            <w:pPr>
              <w:pStyle w:val="44"/>
              <w:shd w:val="clear"/>
              <w:jc w:val="center"/>
              <w:rPr>
                <w:color w:val="auto"/>
                <w:highlight w:val="none"/>
              </w:rPr>
            </w:pPr>
            <w:r>
              <w:rPr>
                <w:rFonts w:hint="eastAsia"/>
                <w:color w:val="auto"/>
                <w:highlight w:val="none"/>
              </w:rPr>
              <w:t>对应简述</w:t>
            </w:r>
          </w:p>
        </w:tc>
        <w:tc>
          <w:tcPr>
            <w:tcW w:w="1285" w:type="pct"/>
            <w:vAlign w:val="center"/>
          </w:tcPr>
          <w:p w14:paraId="4AB4E9C3">
            <w:pPr>
              <w:pStyle w:val="44"/>
              <w:shd w:val="clear"/>
              <w:jc w:val="center"/>
              <w:rPr>
                <w:color w:val="auto"/>
                <w:highlight w:val="none"/>
              </w:rPr>
            </w:pPr>
            <w:r>
              <w:rPr>
                <w:rFonts w:hint="eastAsia"/>
                <w:color w:val="auto"/>
                <w:highlight w:val="none"/>
              </w:rPr>
              <w:t>响应情况</w:t>
            </w:r>
          </w:p>
        </w:tc>
        <w:tc>
          <w:tcPr>
            <w:tcW w:w="1116" w:type="pct"/>
            <w:vAlign w:val="center"/>
          </w:tcPr>
          <w:p w14:paraId="09D725B9">
            <w:pPr>
              <w:pStyle w:val="44"/>
              <w:shd w:val="clear"/>
              <w:jc w:val="center"/>
              <w:rPr>
                <w:color w:val="auto"/>
                <w:highlight w:val="none"/>
              </w:rPr>
            </w:pPr>
            <w:r>
              <w:rPr>
                <w:rFonts w:hint="eastAsia"/>
                <w:color w:val="auto"/>
                <w:highlight w:val="none"/>
                <w:lang w:val="en-US" w:eastAsia="zh-CN"/>
              </w:rPr>
              <w:t>证明资料</w:t>
            </w:r>
            <w:r>
              <w:rPr>
                <w:rFonts w:hint="eastAsia"/>
                <w:color w:val="auto"/>
                <w:highlight w:val="none"/>
              </w:rPr>
              <w:t>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29950C57">
            <w:pPr>
              <w:pStyle w:val="44"/>
              <w:shd w:val="clear"/>
              <w:jc w:val="center"/>
              <w:rPr>
                <w:color w:val="auto"/>
                <w:highlight w:val="none"/>
              </w:rPr>
            </w:pPr>
            <w:r>
              <w:rPr>
                <w:rFonts w:hint="eastAsia"/>
                <w:color w:val="auto"/>
                <w:highlight w:val="none"/>
              </w:rPr>
              <w:t>1</w:t>
            </w:r>
          </w:p>
        </w:tc>
        <w:tc>
          <w:tcPr>
            <w:tcW w:w="1277" w:type="pct"/>
            <w:vAlign w:val="center"/>
          </w:tcPr>
          <w:p w14:paraId="69B288A0">
            <w:pPr>
              <w:pStyle w:val="44"/>
              <w:shd w:val="clear"/>
              <w:jc w:val="center"/>
              <w:rPr>
                <w:color w:val="auto"/>
                <w:highlight w:val="none"/>
              </w:rPr>
            </w:pPr>
            <w:r>
              <w:rPr>
                <w:rFonts w:hint="eastAsia"/>
                <w:color w:val="auto"/>
                <w:highlight w:val="none"/>
              </w:rPr>
              <w:t>*</w:t>
            </w:r>
            <w:r>
              <w:rPr>
                <w:color w:val="auto"/>
                <w:highlight w:val="none"/>
              </w:rPr>
              <w:t>*******</w:t>
            </w:r>
          </w:p>
        </w:tc>
        <w:tc>
          <w:tcPr>
            <w:tcW w:w="913" w:type="pct"/>
            <w:vAlign w:val="center"/>
          </w:tcPr>
          <w:p w14:paraId="0E04AD72">
            <w:pPr>
              <w:pStyle w:val="44"/>
              <w:shd w:val="clear"/>
              <w:jc w:val="center"/>
              <w:rPr>
                <w:color w:val="auto"/>
                <w:highlight w:val="none"/>
              </w:rPr>
            </w:pPr>
            <w:r>
              <w:rPr>
                <w:rFonts w:hint="eastAsia"/>
                <w:color w:val="auto"/>
                <w:highlight w:val="none"/>
              </w:rPr>
              <w:t>*</w:t>
            </w:r>
            <w:r>
              <w:rPr>
                <w:color w:val="auto"/>
                <w:highlight w:val="none"/>
              </w:rPr>
              <w:t>*****</w:t>
            </w:r>
          </w:p>
        </w:tc>
        <w:tc>
          <w:tcPr>
            <w:tcW w:w="1285" w:type="pct"/>
            <w:vAlign w:val="center"/>
          </w:tcPr>
          <w:p w14:paraId="585AEA1C">
            <w:pPr>
              <w:pStyle w:val="44"/>
              <w:shd w:val="clear"/>
              <w:jc w:val="center"/>
              <w:rPr>
                <w:color w:val="auto"/>
                <w:highlight w:val="none"/>
              </w:rPr>
            </w:pPr>
            <w:r>
              <w:rPr>
                <w:rFonts w:hint="eastAsia"/>
                <w:color w:val="auto"/>
                <w:highlight w:val="none"/>
              </w:rPr>
              <w:t>响应/正偏离/负偏离</w:t>
            </w:r>
          </w:p>
        </w:tc>
        <w:tc>
          <w:tcPr>
            <w:tcW w:w="1116" w:type="pct"/>
            <w:vAlign w:val="center"/>
          </w:tcPr>
          <w:p w14:paraId="02D97874">
            <w:pPr>
              <w:pStyle w:val="44"/>
              <w:shd w:val="clear"/>
              <w:jc w:val="center"/>
              <w:rPr>
                <w:color w:val="auto"/>
                <w:highlight w:val="none"/>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195B6778">
            <w:pPr>
              <w:pStyle w:val="44"/>
              <w:shd w:val="clear"/>
              <w:jc w:val="center"/>
              <w:rPr>
                <w:color w:val="auto"/>
                <w:highlight w:val="none"/>
              </w:rPr>
            </w:pPr>
            <w:r>
              <w:rPr>
                <w:rFonts w:hint="eastAsia"/>
                <w:color w:val="auto"/>
                <w:highlight w:val="none"/>
              </w:rPr>
              <w:t>2</w:t>
            </w:r>
          </w:p>
        </w:tc>
        <w:tc>
          <w:tcPr>
            <w:tcW w:w="1277" w:type="pct"/>
            <w:vAlign w:val="center"/>
          </w:tcPr>
          <w:p w14:paraId="30E52A7F">
            <w:pPr>
              <w:pStyle w:val="44"/>
              <w:shd w:val="clear"/>
              <w:jc w:val="center"/>
              <w:rPr>
                <w:color w:val="auto"/>
                <w:highlight w:val="none"/>
              </w:rPr>
            </w:pPr>
            <w:r>
              <w:rPr>
                <w:rFonts w:hint="eastAsia"/>
                <w:color w:val="auto"/>
                <w:highlight w:val="none"/>
              </w:rPr>
              <w:t>*</w:t>
            </w:r>
            <w:r>
              <w:rPr>
                <w:color w:val="auto"/>
                <w:highlight w:val="none"/>
              </w:rPr>
              <w:t>*******</w:t>
            </w:r>
          </w:p>
        </w:tc>
        <w:tc>
          <w:tcPr>
            <w:tcW w:w="913" w:type="pct"/>
            <w:vAlign w:val="center"/>
          </w:tcPr>
          <w:p w14:paraId="29A6C1E1">
            <w:pPr>
              <w:pStyle w:val="44"/>
              <w:shd w:val="clear"/>
              <w:jc w:val="center"/>
              <w:rPr>
                <w:color w:val="auto"/>
                <w:highlight w:val="none"/>
              </w:rPr>
            </w:pPr>
            <w:r>
              <w:rPr>
                <w:rFonts w:hint="eastAsia"/>
                <w:color w:val="auto"/>
                <w:highlight w:val="none"/>
              </w:rPr>
              <w:t>*</w:t>
            </w:r>
            <w:r>
              <w:rPr>
                <w:color w:val="auto"/>
                <w:highlight w:val="none"/>
              </w:rPr>
              <w:t>*****</w:t>
            </w:r>
          </w:p>
        </w:tc>
        <w:tc>
          <w:tcPr>
            <w:tcW w:w="1285" w:type="pct"/>
            <w:vAlign w:val="center"/>
          </w:tcPr>
          <w:p w14:paraId="5D92E460">
            <w:pPr>
              <w:pStyle w:val="44"/>
              <w:shd w:val="clear"/>
              <w:jc w:val="center"/>
              <w:rPr>
                <w:color w:val="auto"/>
                <w:highlight w:val="none"/>
              </w:rPr>
            </w:pPr>
            <w:r>
              <w:rPr>
                <w:rFonts w:hint="eastAsia"/>
                <w:color w:val="auto"/>
                <w:highlight w:val="none"/>
              </w:rPr>
              <w:t>响应/正偏离/负偏离</w:t>
            </w:r>
          </w:p>
        </w:tc>
        <w:tc>
          <w:tcPr>
            <w:tcW w:w="1116" w:type="pct"/>
            <w:vAlign w:val="center"/>
          </w:tcPr>
          <w:p w14:paraId="63E16449">
            <w:pPr>
              <w:pStyle w:val="44"/>
              <w:shd w:val="clear"/>
              <w:jc w:val="center"/>
              <w:rPr>
                <w:color w:val="auto"/>
                <w:highlight w:val="none"/>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shd w:val="clear" w:color="auto" w:fill="auto"/>
            <w:vAlign w:val="center"/>
          </w:tcPr>
          <w:p w14:paraId="4C45FE18">
            <w:pPr>
              <w:pStyle w:val="44"/>
              <w:shd w:val="clear"/>
              <w:jc w:val="center"/>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3</w:t>
            </w:r>
          </w:p>
        </w:tc>
        <w:tc>
          <w:tcPr>
            <w:tcW w:w="1277" w:type="pct"/>
            <w:shd w:val="clear" w:color="auto" w:fill="auto"/>
            <w:vAlign w:val="center"/>
          </w:tcPr>
          <w:p w14:paraId="6D1DD644">
            <w:pPr>
              <w:pStyle w:val="44"/>
              <w:shd w:val="clea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913" w:type="pct"/>
            <w:shd w:val="clear" w:color="auto" w:fill="auto"/>
            <w:vAlign w:val="center"/>
          </w:tcPr>
          <w:p w14:paraId="2982168B">
            <w:pPr>
              <w:pStyle w:val="44"/>
              <w:shd w:val="clea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w:t>
            </w:r>
          </w:p>
        </w:tc>
        <w:tc>
          <w:tcPr>
            <w:tcW w:w="1285" w:type="pct"/>
            <w:shd w:val="clear" w:color="auto" w:fill="auto"/>
            <w:vAlign w:val="center"/>
          </w:tcPr>
          <w:p w14:paraId="78EC7D09">
            <w:pPr>
              <w:pStyle w:val="44"/>
              <w:shd w:val="clea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响应/正偏离/负偏离</w:t>
            </w:r>
          </w:p>
        </w:tc>
        <w:tc>
          <w:tcPr>
            <w:tcW w:w="1116" w:type="pct"/>
            <w:vAlign w:val="center"/>
          </w:tcPr>
          <w:p w14:paraId="46369488">
            <w:pPr>
              <w:pStyle w:val="44"/>
              <w:shd w:val="clear"/>
              <w:jc w:val="center"/>
              <w:rPr>
                <w:color w:val="auto"/>
                <w:highlight w:val="none"/>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3874C19">
            <w:pPr>
              <w:pStyle w:val="44"/>
              <w:shd w:val="clear"/>
              <w:jc w:val="center"/>
              <w:rPr>
                <w:color w:val="auto"/>
                <w:highlight w:val="none"/>
              </w:rPr>
            </w:pPr>
          </w:p>
        </w:tc>
        <w:tc>
          <w:tcPr>
            <w:tcW w:w="1277" w:type="pct"/>
            <w:vAlign w:val="center"/>
          </w:tcPr>
          <w:p w14:paraId="529041E2">
            <w:pPr>
              <w:pStyle w:val="44"/>
              <w:shd w:val="clear"/>
              <w:jc w:val="center"/>
              <w:rPr>
                <w:color w:val="auto"/>
                <w:highlight w:val="none"/>
              </w:rPr>
            </w:pPr>
          </w:p>
        </w:tc>
        <w:tc>
          <w:tcPr>
            <w:tcW w:w="913" w:type="pct"/>
            <w:vAlign w:val="center"/>
          </w:tcPr>
          <w:p w14:paraId="301E476D">
            <w:pPr>
              <w:pStyle w:val="44"/>
              <w:shd w:val="clear"/>
              <w:jc w:val="center"/>
              <w:rPr>
                <w:color w:val="auto"/>
                <w:highlight w:val="none"/>
              </w:rPr>
            </w:pPr>
          </w:p>
        </w:tc>
        <w:tc>
          <w:tcPr>
            <w:tcW w:w="1285" w:type="pct"/>
            <w:vAlign w:val="center"/>
          </w:tcPr>
          <w:p w14:paraId="06F8AED7">
            <w:pPr>
              <w:pStyle w:val="44"/>
              <w:shd w:val="clear"/>
              <w:jc w:val="center"/>
              <w:rPr>
                <w:color w:val="auto"/>
                <w:highlight w:val="none"/>
              </w:rPr>
            </w:pPr>
          </w:p>
        </w:tc>
        <w:tc>
          <w:tcPr>
            <w:tcW w:w="1116" w:type="pct"/>
            <w:vAlign w:val="center"/>
          </w:tcPr>
          <w:p w14:paraId="0CE9DF45">
            <w:pPr>
              <w:pStyle w:val="44"/>
              <w:shd w:val="clear"/>
              <w:jc w:val="center"/>
              <w:rPr>
                <w:color w:val="auto"/>
                <w:highlight w:val="none"/>
              </w:rPr>
            </w:pPr>
          </w:p>
        </w:tc>
      </w:tr>
      <w:tr w14:paraId="6C863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ECFDF6B">
            <w:pPr>
              <w:pStyle w:val="44"/>
              <w:shd w:val="clear"/>
              <w:jc w:val="center"/>
              <w:rPr>
                <w:color w:val="auto"/>
                <w:highlight w:val="none"/>
              </w:rPr>
            </w:pPr>
          </w:p>
        </w:tc>
        <w:tc>
          <w:tcPr>
            <w:tcW w:w="1277" w:type="pct"/>
            <w:vAlign w:val="center"/>
          </w:tcPr>
          <w:p w14:paraId="2BFBC98E">
            <w:pPr>
              <w:pStyle w:val="44"/>
              <w:shd w:val="clear"/>
              <w:jc w:val="center"/>
              <w:rPr>
                <w:color w:val="auto"/>
                <w:highlight w:val="none"/>
              </w:rPr>
            </w:pPr>
          </w:p>
        </w:tc>
        <w:tc>
          <w:tcPr>
            <w:tcW w:w="913" w:type="pct"/>
            <w:vAlign w:val="center"/>
          </w:tcPr>
          <w:p w14:paraId="7B8E769B">
            <w:pPr>
              <w:pStyle w:val="44"/>
              <w:shd w:val="clear"/>
              <w:jc w:val="center"/>
              <w:rPr>
                <w:color w:val="auto"/>
                <w:highlight w:val="none"/>
              </w:rPr>
            </w:pPr>
          </w:p>
        </w:tc>
        <w:tc>
          <w:tcPr>
            <w:tcW w:w="1285" w:type="pct"/>
            <w:vAlign w:val="center"/>
          </w:tcPr>
          <w:p w14:paraId="3EBF2A71">
            <w:pPr>
              <w:pStyle w:val="44"/>
              <w:shd w:val="clear"/>
              <w:jc w:val="center"/>
              <w:rPr>
                <w:color w:val="auto"/>
                <w:highlight w:val="none"/>
              </w:rPr>
            </w:pPr>
          </w:p>
        </w:tc>
        <w:tc>
          <w:tcPr>
            <w:tcW w:w="1116" w:type="pct"/>
            <w:vAlign w:val="center"/>
          </w:tcPr>
          <w:p w14:paraId="070B01FC">
            <w:pPr>
              <w:pStyle w:val="44"/>
              <w:shd w:val="clear"/>
              <w:jc w:val="center"/>
              <w:rPr>
                <w:color w:val="auto"/>
                <w:highlight w:val="none"/>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E75B4E6">
            <w:pPr>
              <w:pStyle w:val="44"/>
              <w:shd w:val="clear"/>
              <w:jc w:val="center"/>
              <w:rPr>
                <w:color w:val="auto"/>
                <w:highlight w:val="none"/>
              </w:rPr>
            </w:pPr>
          </w:p>
        </w:tc>
        <w:tc>
          <w:tcPr>
            <w:tcW w:w="1277" w:type="pct"/>
            <w:vAlign w:val="center"/>
          </w:tcPr>
          <w:p w14:paraId="77107295">
            <w:pPr>
              <w:pStyle w:val="44"/>
              <w:shd w:val="clear"/>
              <w:jc w:val="center"/>
              <w:rPr>
                <w:color w:val="auto"/>
                <w:highlight w:val="none"/>
              </w:rPr>
            </w:pPr>
          </w:p>
        </w:tc>
        <w:tc>
          <w:tcPr>
            <w:tcW w:w="913" w:type="pct"/>
            <w:vAlign w:val="center"/>
          </w:tcPr>
          <w:p w14:paraId="4D01D78E">
            <w:pPr>
              <w:pStyle w:val="44"/>
              <w:shd w:val="clear"/>
              <w:jc w:val="center"/>
              <w:rPr>
                <w:color w:val="auto"/>
                <w:highlight w:val="none"/>
              </w:rPr>
            </w:pPr>
          </w:p>
        </w:tc>
        <w:tc>
          <w:tcPr>
            <w:tcW w:w="1285" w:type="pct"/>
            <w:vAlign w:val="center"/>
          </w:tcPr>
          <w:p w14:paraId="6D546857">
            <w:pPr>
              <w:pStyle w:val="44"/>
              <w:shd w:val="clear"/>
              <w:jc w:val="center"/>
              <w:rPr>
                <w:color w:val="auto"/>
                <w:highlight w:val="none"/>
              </w:rPr>
            </w:pPr>
          </w:p>
        </w:tc>
        <w:tc>
          <w:tcPr>
            <w:tcW w:w="1116" w:type="pct"/>
            <w:vAlign w:val="center"/>
          </w:tcPr>
          <w:p w14:paraId="2E1B7D0B">
            <w:pPr>
              <w:pStyle w:val="44"/>
              <w:shd w:val="clear"/>
              <w:jc w:val="center"/>
              <w:rPr>
                <w:color w:val="auto"/>
                <w:highlight w:val="none"/>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6AF16AFE">
            <w:pPr>
              <w:pStyle w:val="44"/>
              <w:shd w:val="clear"/>
              <w:jc w:val="center"/>
              <w:rPr>
                <w:color w:val="auto"/>
                <w:highlight w:val="none"/>
              </w:rPr>
            </w:pPr>
          </w:p>
        </w:tc>
        <w:tc>
          <w:tcPr>
            <w:tcW w:w="1277" w:type="pct"/>
            <w:vAlign w:val="center"/>
          </w:tcPr>
          <w:p w14:paraId="5C7E043B">
            <w:pPr>
              <w:pStyle w:val="44"/>
              <w:shd w:val="clear"/>
              <w:jc w:val="center"/>
              <w:rPr>
                <w:color w:val="auto"/>
                <w:highlight w:val="none"/>
              </w:rPr>
            </w:pPr>
          </w:p>
        </w:tc>
        <w:tc>
          <w:tcPr>
            <w:tcW w:w="913" w:type="pct"/>
            <w:vAlign w:val="center"/>
          </w:tcPr>
          <w:p w14:paraId="64166C7A">
            <w:pPr>
              <w:pStyle w:val="44"/>
              <w:shd w:val="clear"/>
              <w:jc w:val="center"/>
              <w:rPr>
                <w:color w:val="auto"/>
                <w:highlight w:val="none"/>
              </w:rPr>
            </w:pPr>
          </w:p>
        </w:tc>
        <w:tc>
          <w:tcPr>
            <w:tcW w:w="1285" w:type="pct"/>
            <w:vAlign w:val="center"/>
          </w:tcPr>
          <w:p w14:paraId="2817CCE5">
            <w:pPr>
              <w:pStyle w:val="44"/>
              <w:shd w:val="clear"/>
              <w:jc w:val="center"/>
              <w:rPr>
                <w:color w:val="auto"/>
                <w:highlight w:val="none"/>
              </w:rPr>
            </w:pPr>
          </w:p>
        </w:tc>
        <w:tc>
          <w:tcPr>
            <w:tcW w:w="1116" w:type="pct"/>
            <w:vAlign w:val="center"/>
          </w:tcPr>
          <w:p w14:paraId="184E3F96">
            <w:pPr>
              <w:pStyle w:val="44"/>
              <w:shd w:val="clear"/>
              <w:jc w:val="center"/>
              <w:rPr>
                <w:color w:val="auto"/>
                <w:highlight w:val="none"/>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7" w:type="pct"/>
            <w:vAlign w:val="center"/>
          </w:tcPr>
          <w:p w14:paraId="0D811F11">
            <w:pPr>
              <w:pStyle w:val="44"/>
              <w:shd w:val="clear"/>
              <w:jc w:val="center"/>
              <w:rPr>
                <w:color w:val="auto"/>
                <w:highlight w:val="none"/>
              </w:rPr>
            </w:pPr>
            <w:r>
              <w:rPr>
                <w:rFonts w:hint="eastAsia"/>
                <w:color w:val="auto"/>
                <w:highlight w:val="none"/>
              </w:rPr>
              <w:t>……</w:t>
            </w:r>
          </w:p>
        </w:tc>
        <w:tc>
          <w:tcPr>
            <w:tcW w:w="1277" w:type="pct"/>
            <w:vAlign w:val="center"/>
          </w:tcPr>
          <w:p w14:paraId="7D0AF02A">
            <w:pPr>
              <w:pStyle w:val="44"/>
              <w:shd w:val="clear"/>
              <w:jc w:val="center"/>
              <w:rPr>
                <w:color w:val="auto"/>
                <w:highlight w:val="none"/>
              </w:rPr>
            </w:pPr>
            <w:r>
              <w:rPr>
                <w:rFonts w:hint="eastAsia"/>
                <w:color w:val="auto"/>
                <w:highlight w:val="none"/>
              </w:rPr>
              <w:t>…………</w:t>
            </w:r>
          </w:p>
        </w:tc>
        <w:tc>
          <w:tcPr>
            <w:tcW w:w="913" w:type="pct"/>
            <w:vAlign w:val="center"/>
          </w:tcPr>
          <w:p w14:paraId="6EC8C4F3">
            <w:pPr>
              <w:pStyle w:val="44"/>
              <w:shd w:val="clear"/>
              <w:jc w:val="center"/>
              <w:rPr>
                <w:color w:val="auto"/>
                <w:highlight w:val="none"/>
              </w:rPr>
            </w:pPr>
            <w:r>
              <w:rPr>
                <w:rFonts w:hint="eastAsia"/>
                <w:color w:val="auto"/>
                <w:highlight w:val="none"/>
              </w:rPr>
              <w:t>………………</w:t>
            </w:r>
          </w:p>
        </w:tc>
        <w:tc>
          <w:tcPr>
            <w:tcW w:w="1285" w:type="pct"/>
            <w:vAlign w:val="center"/>
          </w:tcPr>
          <w:p w14:paraId="59EB3DF9">
            <w:pPr>
              <w:pStyle w:val="44"/>
              <w:shd w:val="clear"/>
              <w:jc w:val="center"/>
              <w:rPr>
                <w:color w:val="auto"/>
                <w:highlight w:val="none"/>
              </w:rPr>
            </w:pPr>
            <w:r>
              <w:rPr>
                <w:rFonts w:hint="eastAsia"/>
                <w:color w:val="auto"/>
                <w:highlight w:val="none"/>
              </w:rPr>
              <w:t>…………</w:t>
            </w:r>
          </w:p>
        </w:tc>
        <w:tc>
          <w:tcPr>
            <w:tcW w:w="1116" w:type="pct"/>
            <w:vAlign w:val="center"/>
          </w:tcPr>
          <w:p w14:paraId="1BF96619">
            <w:pPr>
              <w:pStyle w:val="44"/>
              <w:shd w:val="clear"/>
              <w:jc w:val="center"/>
              <w:rPr>
                <w:color w:val="auto"/>
                <w:highlight w:val="none"/>
              </w:rPr>
            </w:pPr>
          </w:p>
        </w:tc>
      </w:tr>
    </w:tbl>
    <w:p w14:paraId="12AEBD40">
      <w:pPr>
        <w:shd w:val="clear"/>
        <w:ind w:firstLine="480" w:firstLineChars="200"/>
        <w:rPr>
          <w:rFonts w:cs="仿宋_GB2312"/>
          <w:color w:val="auto"/>
          <w:szCs w:val="24"/>
          <w:highlight w:val="none"/>
        </w:rPr>
      </w:pPr>
    </w:p>
    <w:p w14:paraId="71C6318B">
      <w:pPr>
        <w:shd w:val="clea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cs="宋体"/>
          <w:color w:val="auto"/>
          <w:kern w:val="0"/>
          <w:sz w:val="24"/>
          <w:szCs w:val="24"/>
          <w:highlight w:val="none"/>
          <w:lang w:val="en-US" w:eastAsia="zh-CN"/>
        </w:rPr>
        <w:t>供应商</w:t>
      </w:r>
      <w:r>
        <w:rPr>
          <w:rFonts w:hint="eastAsia" w:ascii="宋体" w:hAnsi="宋体" w:cs="宋体"/>
          <w:color w:val="auto"/>
          <w:kern w:val="0"/>
          <w:sz w:val="24"/>
          <w:szCs w:val="24"/>
          <w:highlight w:val="none"/>
          <w:lang w:val="zh-CN"/>
        </w:rPr>
        <w:t>名称（</w:t>
      </w:r>
      <w:r>
        <w:rPr>
          <w:rFonts w:hint="eastAsia" w:cs="宋体"/>
          <w:color w:val="auto"/>
          <w:sz w:val="24"/>
          <w:szCs w:val="24"/>
          <w:highlight w:val="none"/>
          <w:lang w:eastAsia="zh-CN"/>
        </w:rPr>
        <w:t>公章</w:t>
      </w:r>
      <w:r>
        <w:rPr>
          <w:rFonts w:hint="eastAsia" w:ascii="宋体" w:hAnsi="宋体" w:cs="宋体"/>
          <w:color w:val="auto"/>
          <w:kern w:val="0"/>
          <w:sz w:val="24"/>
          <w:szCs w:val="24"/>
          <w:highlight w:val="none"/>
          <w:lang w:val="zh-CN"/>
        </w:rPr>
        <w:t xml:space="preserve">）：                                                                                                                                                                                                               </w:t>
      </w:r>
    </w:p>
    <w:p w14:paraId="66182CD9">
      <w:pPr>
        <w:shd w:val="clea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414C3B01">
      <w:pPr>
        <w:shd w:val="clear"/>
        <w:ind w:firstLine="420"/>
        <w:rPr>
          <w:rFonts w:cs="仿宋_GB2312"/>
          <w:color w:val="auto"/>
          <w:szCs w:val="24"/>
          <w:highlight w:val="none"/>
        </w:rPr>
      </w:pPr>
    </w:p>
    <w:p w14:paraId="306D75A1">
      <w:pPr>
        <w:shd w:val="clear"/>
        <w:ind w:firstLine="420" w:firstLineChars="200"/>
        <w:rPr>
          <w:rFonts w:cs="仿宋_GB2312"/>
          <w:color w:val="auto"/>
          <w:szCs w:val="24"/>
          <w:highlight w:val="none"/>
        </w:rPr>
      </w:pPr>
      <w:r>
        <w:rPr>
          <w:rFonts w:hint="eastAsia" w:cs="仿宋_GB2312"/>
          <w:color w:val="auto"/>
          <w:sz w:val="21"/>
          <w:szCs w:val="21"/>
          <w:highlight w:val="none"/>
        </w:rPr>
        <w:t>注：</w:t>
      </w:r>
      <w:r>
        <w:rPr>
          <w:rFonts w:hint="eastAsia" w:cs="仿宋_GB2312"/>
          <w:color w:val="auto"/>
          <w:sz w:val="21"/>
          <w:szCs w:val="21"/>
          <w:highlight w:val="none"/>
          <w:lang w:val="en-US" w:eastAsia="zh-CN"/>
        </w:rPr>
        <w:t>供应商</w:t>
      </w:r>
      <w:r>
        <w:rPr>
          <w:rFonts w:hint="eastAsia" w:cs="仿宋_GB2312"/>
          <w:color w:val="auto"/>
          <w:sz w:val="21"/>
          <w:szCs w:val="21"/>
          <w:highlight w:val="none"/>
        </w:rPr>
        <w:t>应按照</w:t>
      </w:r>
      <w:r>
        <w:rPr>
          <w:rFonts w:hint="eastAsia" w:cs="仿宋_GB2312"/>
          <w:color w:val="auto"/>
          <w:sz w:val="21"/>
          <w:szCs w:val="21"/>
          <w:highlight w:val="none"/>
          <w:lang w:val="en-US" w:eastAsia="zh-CN"/>
        </w:rPr>
        <w:t>竞争性谈判</w:t>
      </w:r>
      <w:r>
        <w:rPr>
          <w:rFonts w:hint="eastAsia" w:cs="仿宋_GB2312"/>
          <w:color w:val="auto"/>
          <w:sz w:val="21"/>
          <w:szCs w:val="21"/>
          <w:highlight w:val="none"/>
        </w:rPr>
        <w:t>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32E4AC37">
      <w:pPr>
        <w:shd w:val="clea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1.“竞争性谈判文件技术要求条款”栏应详细列明竞争性谈判文件中的技术要求。 </w:t>
      </w:r>
    </w:p>
    <w:p w14:paraId="0BA8C5C5">
      <w:pPr>
        <w:shd w:val="clea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2.“响应文件内容对应简述”栏填写供应商对竞争性谈判文件提出的技术条款作出的明确响应，并列明具体响应数值或内容，只注明符合、满足等无具体内容表述的，将视为未实质性满足竞争性谈判文件要求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10BDFC16">
      <w:pPr>
        <w:shd w:val="clea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3DD5C495">
      <w:pPr>
        <w:shd w:val="clea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4.“证明资料及索引”栏可填写证明资料的具体内容及索引。</w:t>
      </w:r>
    </w:p>
    <w:p w14:paraId="49A1A5E5">
      <w:pPr>
        <w:shd w:val="clear"/>
        <w:ind w:firstLine="420"/>
        <w:rPr>
          <w:rFonts w:cs="仿宋_GB2312"/>
          <w:color w:val="auto"/>
          <w:sz w:val="21"/>
          <w:szCs w:val="21"/>
          <w:highlight w:val="none"/>
        </w:rPr>
      </w:pPr>
      <w:r>
        <w:rPr>
          <w:rFonts w:hint="eastAsia" w:cs="仿宋_GB2312"/>
          <w:color w:val="auto"/>
          <w:sz w:val="21"/>
          <w:szCs w:val="21"/>
          <w:highlight w:val="none"/>
          <w:lang w:val="en-US" w:eastAsia="zh-CN"/>
        </w:rPr>
        <w:t>5.对竞争性谈判文件中的所有技术要求，除本表所列明的所有偏离外，均视作供应商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default" w:cs="仿宋_GB2312"/>
          <w:color w:val="auto"/>
          <w:sz w:val="21"/>
          <w:szCs w:val="21"/>
          <w:highlight w:val="none"/>
          <w:lang w:val="en-US" w:eastAsia="zh-CN"/>
        </w:rPr>
        <w:t>。</w:t>
      </w:r>
      <w:r>
        <w:rPr>
          <w:rFonts w:cs="仿宋_GB2312"/>
          <w:color w:val="auto"/>
          <w:sz w:val="21"/>
          <w:szCs w:val="21"/>
          <w:highlight w:val="none"/>
        </w:rPr>
        <w:br w:type="page"/>
      </w:r>
    </w:p>
    <w:p w14:paraId="600EA7EE">
      <w:pPr>
        <w:pStyle w:val="16"/>
        <w:shd w:val="clear"/>
        <w:spacing w:line="360" w:lineRule="auto"/>
        <w:jc w:val="center"/>
        <w:rPr>
          <w:rFonts w:hint="eastAsia" w:ascii="方正小标宋_GBK" w:hAnsi="方正小标宋_GBK" w:eastAsia="方正小标宋_GBK" w:cs="方正小标宋_GBK"/>
          <w:bCs/>
          <w:color w:val="auto"/>
          <w:sz w:val="36"/>
          <w:szCs w:val="36"/>
          <w:highlight w:val="none"/>
          <w:lang w:val="en-US" w:eastAsia="zh-CN"/>
        </w:rPr>
      </w:pPr>
    </w:p>
    <w:p w14:paraId="06C98EB9">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626" w:name="_Toc29627"/>
      <w:bookmarkStart w:id="627" w:name="_Toc12534"/>
      <w:r>
        <w:rPr>
          <w:rFonts w:hint="eastAsia" w:cstheme="majorBidi"/>
          <w:b/>
          <w:bCs/>
          <w:color w:val="auto"/>
          <w:kern w:val="2"/>
          <w:sz w:val="32"/>
          <w:szCs w:val="32"/>
          <w:highlight w:val="none"/>
          <w:lang w:val="en-US" w:eastAsia="zh-CN" w:bidi="ar-SA"/>
        </w:rPr>
        <w:t>十、</w:t>
      </w:r>
      <w:r>
        <w:rPr>
          <w:rFonts w:hint="eastAsia" w:eastAsia="宋体" w:asciiTheme="majorHAnsi" w:hAnsiTheme="majorHAnsi" w:cstheme="majorBidi"/>
          <w:b/>
          <w:bCs/>
          <w:color w:val="auto"/>
          <w:kern w:val="2"/>
          <w:sz w:val="32"/>
          <w:szCs w:val="32"/>
          <w:highlight w:val="none"/>
          <w:lang w:val="en-US" w:eastAsia="zh-CN" w:bidi="ar-SA"/>
        </w:rPr>
        <w:t>技术方案</w:t>
      </w:r>
      <w:bookmarkEnd w:id="626"/>
      <w:bookmarkEnd w:id="627"/>
    </w:p>
    <w:p w14:paraId="3878D3F5">
      <w:pPr>
        <w:pStyle w:val="33"/>
        <w:shd w:val="clear"/>
        <w:rPr>
          <w:color w:val="auto"/>
          <w:highlight w:val="none"/>
        </w:rPr>
      </w:pPr>
      <w:r>
        <w:rPr>
          <w:rFonts w:hint="eastAsia"/>
          <w:color w:val="auto"/>
          <w:highlight w:val="none"/>
          <w:lang w:val="en-US" w:eastAsia="zh-CN"/>
        </w:rPr>
        <w:t>供应商</w:t>
      </w:r>
      <w:r>
        <w:rPr>
          <w:rFonts w:hint="eastAsia"/>
          <w:color w:val="auto"/>
          <w:highlight w:val="none"/>
        </w:rPr>
        <w:t>应按照</w:t>
      </w:r>
      <w:r>
        <w:rPr>
          <w:rFonts w:hint="eastAsia"/>
          <w:color w:val="auto"/>
          <w:highlight w:val="none"/>
          <w:lang w:val="en-US" w:eastAsia="zh-CN"/>
        </w:rPr>
        <w:t>竞争性谈判</w:t>
      </w:r>
      <w:r>
        <w:rPr>
          <w:rFonts w:hint="eastAsia"/>
          <w:color w:val="auto"/>
          <w:highlight w:val="none"/>
        </w:rPr>
        <w:t>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7EE77353">
      <w:pPr>
        <w:pStyle w:val="33"/>
        <w:shd w:val="clear"/>
        <w:rPr>
          <w:color w:val="auto"/>
          <w:highlight w:val="none"/>
        </w:rPr>
      </w:pPr>
      <w:r>
        <w:rPr>
          <w:color w:val="auto"/>
          <w:highlight w:val="none"/>
        </w:rPr>
        <w:br w:type="page"/>
      </w:r>
    </w:p>
    <w:p w14:paraId="7AD86D6F">
      <w:pPr>
        <w:pStyle w:val="16"/>
        <w:shd w:val="clear"/>
        <w:spacing w:line="360" w:lineRule="auto"/>
        <w:jc w:val="center"/>
        <w:rPr>
          <w:rFonts w:hint="eastAsia" w:cstheme="minorBidi"/>
          <w:b/>
          <w:bCs/>
          <w:color w:val="auto"/>
          <w:kern w:val="2"/>
          <w:sz w:val="44"/>
          <w:szCs w:val="44"/>
          <w:highlight w:val="none"/>
          <w:lang w:val="en-US" w:eastAsia="zh-CN" w:bidi="ar-SA"/>
        </w:rPr>
      </w:pPr>
    </w:p>
    <w:p w14:paraId="68D392B1">
      <w:pPr>
        <w:pStyle w:val="4"/>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628" w:name="_Toc18914"/>
      <w:bookmarkStart w:id="629" w:name="_Toc20344"/>
      <w:r>
        <w:rPr>
          <w:rFonts w:hint="eastAsia" w:cstheme="majorBidi"/>
          <w:b/>
          <w:bCs/>
          <w:color w:val="auto"/>
          <w:kern w:val="2"/>
          <w:sz w:val="32"/>
          <w:szCs w:val="32"/>
          <w:highlight w:val="none"/>
          <w:lang w:val="en-US" w:eastAsia="zh-CN" w:bidi="ar-SA"/>
        </w:rPr>
        <w:t>十一、</w:t>
      </w:r>
      <w:r>
        <w:rPr>
          <w:rFonts w:hint="eastAsia" w:eastAsia="宋体" w:asciiTheme="majorHAnsi" w:hAnsiTheme="majorHAnsi" w:cstheme="majorBidi"/>
          <w:b/>
          <w:bCs/>
          <w:color w:val="auto"/>
          <w:kern w:val="2"/>
          <w:sz w:val="32"/>
          <w:szCs w:val="32"/>
          <w:highlight w:val="none"/>
          <w:lang w:val="en-US" w:eastAsia="zh-CN" w:bidi="ar-SA"/>
        </w:rPr>
        <w:t>其他文件</w:t>
      </w:r>
      <w:bookmarkEnd w:id="628"/>
      <w:bookmarkEnd w:id="629"/>
    </w:p>
    <w:p w14:paraId="6EF40482">
      <w:pPr>
        <w:pStyle w:val="33"/>
        <w:shd w:val="clear"/>
        <w:ind w:left="0" w:leftChars="0" w:firstLine="0" w:firstLineChars="0"/>
        <w:rPr>
          <w:rFonts w:hint="eastAsia"/>
          <w:b/>
          <w:bCs/>
          <w:iCs/>
          <w:color w:val="auto"/>
          <w:sz w:val="24"/>
          <w:szCs w:val="24"/>
          <w:highlight w:val="none"/>
          <w:shd w:val="clear" w:color="auto" w:fill="FFFFFF" w:themeFill="background1"/>
          <w:lang w:val="zh-CN" w:eastAsia="zh-CN"/>
        </w:rPr>
      </w:pPr>
      <w:r>
        <w:rPr>
          <w:rFonts w:hint="eastAsia"/>
          <w:b/>
          <w:bCs/>
          <w:iCs/>
          <w:color w:val="auto"/>
          <w:sz w:val="24"/>
          <w:szCs w:val="24"/>
          <w:highlight w:val="none"/>
          <w:shd w:val="clear" w:color="auto" w:fill="FFFFFF" w:themeFill="background1"/>
          <w:lang w:val="en-US" w:eastAsia="zh-CN"/>
        </w:rPr>
        <w:t>（一）竞争性谈判</w:t>
      </w:r>
      <w:r>
        <w:rPr>
          <w:rFonts w:hint="eastAsia"/>
          <w:b/>
          <w:bCs/>
          <w:iCs/>
          <w:color w:val="auto"/>
          <w:sz w:val="24"/>
          <w:szCs w:val="24"/>
          <w:highlight w:val="none"/>
          <w:shd w:val="clear" w:color="auto" w:fill="FFFFFF" w:themeFill="background1"/>
          <w:lang w:val="zh-CN" w:eastAsia="zh-CN"/>
        </w:rPr>
        <w:t>文件要求提供的其它商务、技术资料和证明材料；</w:t>
      </w:r>
    </w:p>
    <w:p w14:paraId="1AB0431C">
      <w:pPr>
        <w:pStyle w:val="33"/>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1.1供应商信息采集表</w:t>
      </w:r>
    </w:p>
    <w:tbl>
      <w:tblPr>
        <w:tblStyle w:val="28"/>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321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508E63E">
            <w:pPr>
              <w:keepNext w:val="0"/>
              <w:keepLines w:val="0"/>
              <w:widowControl/>
              <w:suppressLineNumbers w:val="0"/>
              <w:shd w:val="clea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525F160D">
            <w:pPr>
              <w:keepNext w:val="0"/>
              <w:keepLines w:val="0"/>
              <w:widowControl/>
              <w:suppressLineNumbers w:val="0"/>
              <w:shd w:val="clea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6288AB90">
            <w:pPr>
              <w:keepNext w:val="0"/>
              <w:keepLines w:val="0"/>
              <w:widowControl/>
              <w:suppressLineNumbers w:val="0"/>
              <w:shd w:val="clear"/>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0694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BC16E3C">
            <w:pPr>
              <w:pStyle w:val="33"/>
              <w:shd w:val="clear"/>
              <w:rPr>
                <w:rFonts w:hint="eastAsia" w:ascii="宋体" w:hAnsi="宋体" w:eastAsia="宋体" w:cs="宋体"/>
                <w:color w:val="auto"/>
                <w:sz w:val="24"/>
                <w:szCs w:val="24"/>
                <w:highlight w:val="none"/>
                <w:vertAlign w:val="baseline"/>
                <w:lang w:val="en-US" w:eastAsia="zh-CN"/>
              </w:rPr>
            </w:pPr>
          </w:p>
        </w:tc>
        <w:tc>
          <w:tcPr>
            <w:tcW w:w="2841" w:type="dxa"/>
          </w:tcPr>
          <w:p w14:paraId="471F983C">
            <w:pPr>
              <w:pStyle w:val="33"/>
              <w:shd w:val="clear"/>
              <w:rPr>
                <w:rFonts w:hint="eastAsia" w:ascii="宋体" w:hAnsi="宋体" w:eastAsia="宋体" w:cs="宋体"/>
                <w:color w:val="auto"/>
                <w:sz w:val="24"/>
                <w:szCs w:val="24"/>
                <w:highlight w:val="none"/>
                <w:vertAlign w:val="baseline"/>
                <w:lang w:val="en-US" w:eastAsia="zh-CN"/>
              </w:rPr>
            </w:pPr>
          </w:p>
        </w:tc>
        <w:tc>
          <w:tcPr>
            <w:tcW w:w="2743" w:type="dxa"/>
          </w:tcPr>
          <w:p w14:paraId="59E9D0CB">
            <w:pPr>
              <w:pStyle w:val="33"/>
              <w:shd w:val="clear"/>
              <w:rPr>
                <w:rFonts w:hint="eastAsia" w:ascii="宋体" w:hAnsi="宋体" w:eastAsia="宋体" w:cs="宋体"/>
                <w:color w:val="auto"/>
                <w:sz w:val="24"/>
                <w:szCs w:val="24"/>
                <w:highlight w:val="none"/>
                <w:vertAlign w:val="baseline"/>
                <w:lang w:val="en-US" w:eastAsia="zh-CN"/>
              </w:rPr>
            </w:pPr>
          </w:p>
        </w:tc>
      </w:tr>
      <w:tr w14:paraId="6D8F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BE5BC20">
            <w:pPr>
              <w:pStyle w:val="33"/>
              <w:shd w:val="clear"/>
              <w:rPr>
                <w:rFonts w:hint="eastAsia" w:ascii="宋体" w:hAnsi="宋体" w:eastAsia="宋体" w:cs="宋体"/>
                <w:color w:val="auto"/>
                <w:sz w:val="24"/>
                <w:szCs w:val="24"/>
                <w:highlight w:val="none"/>
                <w:vertAlign w:val="baseline"/>
                <w:lang w:val="en-US" w:eastAsia="zh-CN"/>
              </w:rPr>
            </w:pPr>
          </w:p>
        </w:tc>
        <w:tc>
          <w:tcPr>
            <w:tcW w:w="2841" w:type="dxa"/>
          </w:tcPr>
          <w:p w14:paraId="65335BA2">
            <w:pPr>
              <w:pStyle w:val="33"/>
              <w:shd w:val="clear"/>
              <w:rPr>
                <w:rFonts w:hint="eastAsia" w:ascii="宋体" w:hAnsi="宋体" w:eastAsia="宋体" w:cs="宋体"/>
                <w:color w:val="auto"/>
                <w:sz w:val="24"/>
                <w:szCs w:val="24"/>
                <w:highlight w:val="none"/>
                <w:vertAlign w:val="baseline"/>
                <w:lang w:val="en-US" w:eastAsia="zh-CN"/>
              </w:rPr>
            </w:pPr>
          </w:p>
        </w:tc>
        <w:tc>
          <w:tcPr>
            <w:tcW w:w="2743" w:type="dxa"/>
          </w:tcPr>
          <w:p w14:paraId="331FBFA7">
            <w:pPr>
              <w:pStyle w:val="33"/>
              <w:shd w:val="clear"/>
              <w:rPr>
                <w:rFonts w:hint="eastAsia" w:ascii="宋体" w:hAnsi="宋体" w:eastAsia="宋体" w:cs="宋体"/>
                <w:color w:val="auto"/>
                <w:sz w:val="24"/>
                <w:szCs w:val="24"/>
                <w:highlight w:val="none"/>
                <w:vertAlign w:val="baseline"/>
                <w:lang w:val="en-US" w:eastAsia="zh-CN"/>
              </w:rPr>
            </w:pPr>
          </w:p>
        </w:tc>
      </w:tr>
      <w:tr w14:paraId="1A91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99AB141">
            <w:pPr>
              <w:pStyle w:val="33"/>
              <w:shd w:val="clear"/>
              <w:rPr>
                <w:rFonts w:hint="eastAsia" w:ascii="宋体" w:hAnsi="宋体" w:eastAsia="宋体" w:cs="宋体"/>
                <w:color w:val="auto"/>
                <w:sz w:val="24"/>
                <w:szCs w:val="24"/>
                <w:highlight w:val="none"/>
                <w:vertAlign w:val="baseline"/>
                <w:lang w:val="en-US" w:eastAsia="zh-CN"/>
              </w:rPr>
            </w:pPr>
          </w:p>
        </w:tc>
        <w:tc>
          <w:tcPr>
            <w:tcW w:w="2841" w:type="dxa"/>
          </w:tcPr>
          <w:p w14:paraId="00E4C5E8">
            <w:pPr>
              <w:pStyle w:val="33"/>
              <w:shd w:val="clear"/>
              <w:rPr>
                <w:rFonts w:hint="eastAsia" w:ascii="宋体" w:hAnsi="宋体" w:eastAsia="宋体" w:cs="宋体"/>
                <w:color w:val="auto"/>
                <w:sz w:val="24"/>
                <w:szCs w:val="24"/>
                <w:highlight w:val="none"/>
                <w:vertAlign w:val="baseline"/>
                <w:lang w:val="en-US" w:eastAsia="zh-CN"/>
              </w:rPr>
            </w:pPr>
          </w:p>
        </w:tc>
        <w:tc>
          <w:tcPr>
            <w:tcW w:w="2743" w:type="dxa"/>
          </w:tcPr>
          <w:p w14:paraId="42125693">
            <w:pPr>
              <w:pStyle w:val="33"/>
              <w:shd w:val="clear"/>
              <w:rPr>
                <w:rFonts w:hint="eastAsia" w:ascii="宋体" w:hAnsi="宋体" w:eastAsia="宋体" w:cs="宋体"/>
                <w:color w:val="auto"/>
                <w:sz w:val="24"/>
                <w:szCs w:val="24"/>
                <w:highlight w:val="none"/>
                <w:vertAlign w:val="baseline"/>
                <w:lang w:val="en-US" w:eastAsia="zh-CN"/>
              </w:rPr>
            </w:pPr>
          </w:p>
        </w:tc>
      </w:tr>
      <w:tr w14:paraId="24B4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995954E">
            <w:pPr>
              <w:pStyle w:val="33"/>
              <w:shd w:val="clear"/>
              <w:rPr>
                <w:rFonts w:hint="eastAsia" w:ascii="宋体" w:hAnsi="宋体" w:eastAsia="宋体" w:cs="宋体"/>
                <w:color w:val="auto"/>
                <w:sz w:val="24"/>
                <w:szCs w:val="24"/>
                <w:highlight w:val="none"/>
                <w:vertAlign w:val="baseline"/>
                <w:lang w:val="en-US" w:eastAsia="zh-CN"/>
              </w:rPr>
            </w:pPr>
          </w:p>
        </w:tc>
        <w:tc>
          <w:tcPr>
            <w:tcW w:w="2841" w:type="dxa"/>
          </w:tcPr>
          <w:p w14:paraId="75889361">
            <w:pPr>
              <w:pStyle w:val="33"/>
              <w:shd w:val="clear"/>
              <w:rPr>
                <w:rFonts w:hint="eastAsia" w:ascii="宋体" w:hAnsi="宋体" w:eastAsia="宋体" w:cs="宋体"/>
                <w:color w:val="auto"/>
                <w:sz w:val="24"/>
                <w:szCs w:val="24"/>
                <w:highlight w:val="none"/>
                <w:vertAlign w:val="baseline"/>
                <w:lang w:val="en-US" w:eastAsia="zh-CN"/>
              </w:rPr>
            </w:pPr>
          </w:p>
        </w:tc>
        <w:tc>
          <w:tcPr>
            <w:tcW w:w="2743" w:type="dxa"/>
          </w:tcPr>
          <w:p w14:paraId="760C7D5C">
            <w:pPr>
              <w:pStyle w:val="33"/>
              <w:shd w:val="clear"/>
              <w:rPr>
                <w:rFonts w:hint="eastAsia" w:ascii="宋体" w:hAnsi="宋体" w:eastAsia="宋体" w:cs="宋体"/>
                <w:color w:val="auto"/>
                <w:sz w:val="24"/>
                <w:szCs w:val="24"/>
                <w:highlight w:val="none"/>
                <w:vertAlign w:val="baseline"/>
                <w:lang w:val="en-US" w:eastAsia="zh-CN"/>
              </w:rPr>
            </w:pPr>
          </w:p>
        </w:tc>
      </w:tr>
    </w:tbl>
    <w:p w14:paraId="799D1172">
      <w:pPr>
        <w:keepNext w:val="0"/>
        <w:keepLines w:val="0"/>
        <w:widowControl/>
        <w:suppressLineNumbers w:val="0"/>
        <w:shd w:val="clear"/>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429C5533">
      <w:pPr>
        <w:keepNext w:val="0"/>
        <w:keepLines w:val="0"/>
        <w:widowControl/>
        <w:suppressLineNumbers w:val="0"/>
        <w:shd w:val="clear"/>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2.“供应商实际控制人性别”按供应商实际控制人性别划分请填写“男”或“女”，指拥有供应商 51%以上绝对所有权的性</w:t>
      </w:r>
      <w:r>
        <w:rPr>
          <w:rFonts w:hint="eastAsia" w:cs="宋体"/>
          <w:color w:val="auto"/>
          <w:kern w:val="0"/>
          <w:sz w:val="21"/>
          <w:szCs w:val="21"/>
          <w:highlight w:val="none"/>
          <w:lang w:val="en-US" w:eastAsia="zh-CN" w:bidi="ar"/>
        </w:rPr>
        <w:t>别</w:t>
      </w:r>
      <w:r>
        <w:rPr>
          <w:rFonts w:hint="eastAsia" w:ascii="宋体" w:hAnsi="宋体" w:eastAsia="宋体" w:cs="宋体"/>
          <w:color w:val="auto"/>
          <w:kern w:val="0"/>
          <w:sz w:val="21"/>
          <w:szCs w:val="21"/>
          <w:highlight w:val="none"/>
          <w:lang w:val="en-US" w:eastAsia="zh-CN" w:bidi="ar"/>
        </w:rPr>
        <w:t>；绝对所有权拥有者可以是一个人，也可以是多人合计计算。</w:t>
      </w:r>
    </w:p>
    <w:p w14:paraId="6C85D95C">
      <w:pPr>
        <w:pStyle w:val="33"/>
        <w:shd w:val="clear"/>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3.“外商投资类型”请填写“外商单独投资”、“外商部分投资”或“内资”。</w:t>
      </w:r>
    </w:p>
    <w:p w14:paraId="55FB009A">
      <w:pPr>
        <w:pStyle w:val="33"/>
        <w:shd w:val="clear"/>
        <w:rPr>
          <w:rFonts w:hint="eastAsia" w:ascii="宋体" w:hAnsi="宋体" w:eastAsia="宋体" w:cs="宋体"/>
          <w:color w:val="auto"/>
          <w:sz w:val="24"/>
          <w:szCs w:val="24"/>
          <w:highlight w:val="none"/>
          <w:lang w:val="en-US" w:eastAsia="zh-CN"/>
        </w:rPr>
      </w:pPr>
    </w:p>
    <w:p w14:paraId="7953C59C">
      <w:pPr>
        <w:pStyle w:val="33"/>
        <w:shd w:val="clea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1.2其它商务、技术资料和证明材料</w:t>
      </w:r>
    </w:p>
    <w:p w14:paraId="3A11A162">
      <w:pPr>
        <w:pStyle w:val="33"/>
        <w:shd w:val="clear"/>
        <w:rPr>
          <w:rFonts w:hint="default"/>
          <w:color w:val="auto"/>
          <w:sz w:val="28"/>
          <w:szCs w:val="28"/>
          <w:highlight w:val="none"/>
          <w:lang w:val="en-US" w:eastAsia="zh-CN"/>
        </w:rPr>
      </w:pPr>
    </w:p>
    <w:p w14:paraId="7DF13FE9">
      <w:pPr>
        <w:pStyle w:val="33"/>
        <w:shd w:val="clear"/>
        <w:ind w:left="0" w:leftChars="0" w:firstLine="0" w:firstLineChars="0"/>
        <w:rPr>
          <w:rFonts w:hint="eastAsia"/>
          <w:b/>
          <w:bCs/>
          <w:iCs/>
          <w:color w:val="auto"/>
          <w:sz w:val="24"/>
          <w:szCs w:val="24"/>
          <w:highlight w:val="none"/>
          <w:shd w:val="clear" w:color="auto" w:fill="FFFFFF" w:themeFill="background1"/>
          <w:lang w:val="en-US" w:eastAsia="zh-CN"/>
        </w:rPr>
      </w:pPr>
      <w:r>
        <w:rPr>
          <w:rFonts w:hint="eastAsia"/>
          <w:b/>
          <w:bCs/>
          <w:iCs/>
          <w:color w:val="auto"/>
          <w:sz w:val="24"/>
          <w:szCs w:val="24"/>
          <w:highlight w:val="none"/>
          <w:shd w:val="clear" w:color="auto" w:fill="FFFFFF" w:themeFill="background1"/>
          <w:lang w:val="en-US" w:eastAsia="zh-CN"/>
        </w:rPr>
        <w:t>（二）供应商认为需要提供的其它商务、技术资料和说明。</w:t>
      </w:r>
    </w:p>
    <w:p w14:paraId="1B27B21C">
      <w:pPr>
        <w:pStyle w:val="33"/>
        <w:shd w:val="clear"/>
        <w:rPr>
          <w:rFonts w:hint="eastAsia"/>
          <w:color w:val="auto"/>
          <w:highlight w:val="none"/>
        </w:rPr>
      </w:pPr>
    </w:p>
    <w:p w14:paraId="3352B805">
      <w:pPr>
        <w:pStyle w:val="33"/>
        <w:shd w:val="clear"/>
        <w:rPr>
          <w:rFonts w:hint="eastAsia"/>
          <w:color w:val="auto"/>
          <w:highlight w:val="none"/>
        </w:rPr>
      </w:pPr>
    </w:p>
    <w:p w14:paraId="19B7C1E0">
      <w:pPr>
        <w:pStyle w:val="33"/>
        <w:shd w:val="clear"/>
        <w:rPr>
          <w:rFonts w:hint="eastAsia"/>
          <w:color w:val="auto"/>
          <w:highlight w:val="none"/>
        </w:rPr>
      </w:pPr>
    </w:p>
    <w:bookmarkEnd w:id="520"/>
    <w:p w14:paraId="3BA3F889">
      <w:pPr>
        <w:shd w:val="clear"/>
        <w:rPr>
          <w:color w:val="auto"/>
          <w:highlight w:val="none"/>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3F8D3C2-1DE7-43DA-BA63-1D4A05CB8A0B}"/>
  </w:font>
  <w:font w:name="Arial">
    <w:panose1 w:val="020B0604020202020204"/>
    <w:charset w:val="01"/>
    <w:family w:val="swiss"/>
    <w:pitch w:val="default"/>
    <w:sig w:usb0="E0002EFF" w:usb1="C000785B" w:usb2="00000009" w:usb3="00000000" w:csb0="400001FF" w:csb1="FFFF0000"/>
    <w:embedRegular r:id="rId2" w:fontKey="{B87ACE73-4A25-405E-A848-7371CA877703}"/>
  </w:font>
  <w:font w:name="黑体">
    <w:panose1 w:val="02010609060101010101"/>
    <w:charset w:val="86"/>
    <w:family w:val="auto"/>
    <w:pitch w:val="default"/>
    <w:sig w:usb0="800002BF" w:usb1="38CF7CFA" w:usb2="00000016" w:usb3="00000000" w:csb0="00040001" w:csb1="00000000"/>
    <w:embedRegular r:id="rId3" w:fontKey="{4D61730D-2814-4AF7-AB4C-7382576BCBB8}"/>
  </w:font>
  <w:font w:name="Courier New">
    <w:panose1 w:val="02070309020205020404"/>
    <w:charset w:val="01"/>
    <w:family w:val="modern"/>
    <w:pitch w:val="default"/>
    <w:sig w:usb0="E0002EFF" w:usb1="C0007843" w:usb2="00000009" w:usb3="00000000" w:csb0="400001FF" w:csb1="FFFF0000"/>
    <w:embedRegular r:id="rId4" w:fontKey="{F3EB9130-568D-42AC-889D-5F0C381B996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embedRegular r:id="rId5" w:fontKey="{67F62E5E-5D2C-41B3-AFF4-D566548C2C99}"/>
  </w:font>
  <w:font w:name="等线 Light">
    <w:panose1 w:val="02010600030101010101"/>
    <w:charset w:val="86"/>
    <w:family w:val="auto"/>
    <w:pitch w:val="default"/>
    <w:sig w:usb0="A00002BF" w:usb1="38CF7CFA" w:usb2="00000016" w:usb3="00000000" w:csb0="0004000F" w:csb1="00000000"/>
    <w:embedRegular r:id="rId6" w:fontKey="{A1243044-6CDE-472E-A729-E13419BB2AA7}"/>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7" w:fontKey="{5650AD17-E874-4B4F-9E21-EBAB930ACCDF}"/>
  </w:font>
  <w:font w:name="..">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A00002BF" w:usb1="78CF7CFB" w:usb2="00000016" w:usb3="00000000" w:csb0="6006009F" w:csb1="DFD70000"/>
  </w:font>
  <w:font w:name="微软雅黑">
    <w:panose1 w:val="020B0503020204020204"/>
    <w:charset w:val="86"/>
    <w:family w:val="auto"/>
    <w:pitch w:val="default"/>
    <w:sig w:usb0="80000287" w:usb1="2ACF3C50" w:usb2="00000016" w:usb3="00000000" w:csb0="0004001F" w:csb1="00000000"/>
    <w:embedRegular r:id="rId8" w:fontKey="{35E5943D-6E00-48D1-A58D-778DFE6F7DE9}"/>
  </w:font>
  <w:font w:name="仿宋">
    <w:panose1 w:val="02010609060101010101"/>
    <w:charset w:val="86"/>
    <w:family w:val="auto"/>
    <w:pitch w:val="default"/>
    <w:sig w:usb0="800002BF" w:usb1="38CF7CFA" w:usb2="00000016" w:usb3="00000000" w:csb0="00040001" w:csb1="00000000"/>
    <w:embedRegular r:id="rId9" w:fontKey="{29BE9484-097C-4CA9-BE30-D1226FA7190E}"/>
  </w:font>
  <w:font w:name="方正仿宋_GB2312">
    <w:panose1 w:val="02000000000000000000"/>
    <w:charset w:val="86"/>
    <w:family w:val="auto"/>
    <w:pitch w:val="default"/>
    <w:sig w:usb0="A00002BF" w:usb1="184F6CFA" w:usb2="00000012" w:usb3="00000000" w:csb0="00040001" w:csb1="00000000"/>
    <w:embedRegular r:id="rId10" w:fontKey="{C6C2349F-5466-4BF8-901C-8A74506F5413}"/>
  </w:font>
  <w:font w:name="Helvetica">
    <w:altName w:val="Arial"/>
    <w:panose1 w:val="020B0504020202020204"/>
    <w:charset w:val="00"/>
    <w:family w:val="swiss"/>
    <w:pitch w:val="default"/>
    <w:sig w:usb0="00000000" w:usb1="00000000" w:usb2="00000000" w:usb3="00000000" w:csb0="00000001" w:csb1="00000000"/>
    <w:embedRegular r:id="rId11" w:fontKey="{3EE5DF2C-C989-4D8E-84F6-3BE99BD0D2DF}"/>
  </w:font>
  <w:font w:name="Tahoma">
    <w:panose1 w:val="020B0604030504040204"/>
    <w:charset w:val="00"/>
    <w:family w:val="swiss"/>
    <w:pitch w:val="default"/>
    <w:sig w:usb0="E1002EFF" w:usb1="C000605B" w:usb2="00000029" w:usb3="00000000" w:csb0="200101FF" w:csb1="20280000"/>
    <w:embedRegular r:id="rId12" w:fontKey="{07EC5098-EB83-4742-BDB1-0AE070E05A33}"/>
  </w:font>
  <w:font w:name="方正小标宋_GBK">
    <w:panose1 w:val="02000000000000000000"/>
    <w:charset w:val="86"/>
    <w:family w:val="auto"/>
    <w:pitch w:val="default"/>
    <w:sig w:usb0="A00002BF" w:usb1="38CF7CFA" w:usb2="00082016" w:usb3="00000000" w:csb0="00040001" w:csb1="00000000"/>
    <w:embedRegular r:id="rId13" w:fontKey="{5953D6B0-1E9D-49CF-8312-B2B926ACB999}"/>
  </w:font>
  <w:font w:name="DejaVuSans">
    <w:altName w:val="Segoe Print"/>
    <w:panose1 w:val="00000000000000000000"/>
    <w:charset w:val="00"/>
    <w:family w:val="auto"/>
    <w:pitch w:val="default"/>
    <w:sig w:usb0="00000000" w:usb1="00000000" w:usb2="00000000" w:usb3="00000000" w:csb0="00000000" w:csb1="00000000"/>
    <w:embedRegular r:id="rId14" w:fontKey="{83A8D18C-E64D-446E-948E-F89C618096A2}"/>
  </w:font>
  <w:font w:name="Segoe Print">
    <w:panose1 w:val="02000600000000000000"/>
    <w:charset w:val="00"/>
    <w:family w:val="auto"/>
    <w:pitch w:val="default"/>
    <w:sig w:usb0="0000028F" w:usb1="00000000" w:usb2="00000000" w:usb3="00000000" w:csb0="2000009F" w:csb1="47010000"/>
  </w:font>
  <w:font w:name="WPSEMBED6">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75237">
    <w:pPr>
      <w:pStyle w:val="2"/>
      <w:spacing w:line="240" w:lineRule="auto"/>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4690A2">
                          <w:pPr>
                            <w:pStyle w:val="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7F4690A2">
                    <w:pPr>
                      <w:pStyle w:val="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BB8F2">
    <w:pPr>
      <w:spacing w:line="169" w:lineRule="auto"/>
      <w:ind w:left="4084"/>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DAC681">
                          <w:pPr>
                            <w:pStyle w:val="2"/>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FDAC681">
                    <w:pPr>
                      <w:pStyle w:val="2"/>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AF9A2">
    <w:pPr>
      <w:spacing w:line="169" w:lineRule="auto"/>
      <w:ind w:left="4121"/>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5574BA">
                          <w:pPr>
                            <w:pStyle w:val="2"/>
                          </w:pPr>
                          <w:r>
                            <w:fldChar w:fldCharType="begin"/>
                          </w:r>
                          <w:r>
                            <w:instrText xml:space="preserve"> PAGE  \* MERGEFORMAT </w:instrText>
                          </w:r>
                          <w:r>
                            <w:fldChar w:fldCharType="separate"/>
                          </w:r>
                          <w:r>
                            <w:t>- 69 -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D5574BA">
                    <w:pPr>
                      <w:pStyle w:val="2"/>
                    </w:pPr>
                    <w:r>
                      <w:fldChar w:fldCharType="begin"/>
                    </w:r>
                    <w:r>
                      <w:instrText xml:space="preserve"> PAGE  \* MERGEFORMAT </w:instrText>
                    </w:r>
                    <w:r>
                      <w:fldChar w:fldCharType="separate"/>
                    </w:r>
                    <w:r>
                      <w:t>- 69 -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052AC">
    <w:pPr>
      <w:spacing w:line="169" w:lineRule="auto"/>
      <w:ind w:left="4083"/>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B2D25">
                          <w:pPr>
                            <w:pStyle w:val="2"/>
                          </w:pPr>
                          <w:r>
                            <w:fldChar w:fldCharType="begin"/>
                          </w:r>
                          <w:r>
                            <w:instrText xml:space="preserve"> PAGE  \* MERGEFORMAT </w:instrText>
                          </w:r>
                          <w:r>
                            <w:fldChar w:fldCharType="separate"/>
                          </w:r>
                          <w:r>
                            <w:t>- 70 -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FEB2D25">
                    <w:pPr>
                      <w:pStyle w:val="2"/>
                    </w:pPr>
                    <w:r>
                      <w:fldChar w:fldCharType="begin"/>
                    </w:r>
                    <w:r>
                      <w:instrText xml:space="preserve"> PAGE  \* MERGEFORMAT </w:instrText>
                    </w:r>
                    <w:r>
                      <w:fldChar w:fldCharType="separate"/>
                    </w:r>
                    <w:r>
                      <w:t>- 70 -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284876">
    <w:pPr>
      <w:spacing w:line="169" w:lineRule="auto"/>
      <w:ind w:left="4493"/>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D2032">
                          <w:pPr>
                            <w:pStyle w:val="2"/>
                          </w:pPr>
                          <w:r>
                            <w:fldChar w:fldCharType="begin"/>
                          </w:r>
                          <w:r>
                            <w:instrText xml:space="preserve"> PAGE  \* MERGEFORMAT </w:instrText>
                          </w:r>
                          <w:r>
                            <w:fldChar w:fldCharType="separate"/>
                          </w:r>
                          <w:r>
                            <w:t>- 78 -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bfDwky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t8PCTICAABjBAAADgAAAAAAAAABACAAAAAfAQAAZHJzL2Uyb0RvYy54bWxQSwUG&#10;AAAAAAYABgBZAQAAwwUAAAAA&#10;">
              <v:fill on="f" focussize="0,0"/>
              <v:stroke on="f" weight="0.5pt"/>
              <v:imagedata o:title=""/>
              <o:lock v:ext="edit" aspectratio="f"/>
              <v:textbox inset="0mm,0mm,0mm,0mm" style="mso-fit-shape-to-text:t;">
                <w:txbxContent>
                  <w:p w14:paraId="16FD2032">
                    <w:pPr>
                      <w:pStyle w:val="2"/>
                    </w:pPr>
                    <w:r>
                      <w:fldChar w:fldCharType="begin"/>
                    </w:r>
                    <w:r>
                      <w:instrText xml:space="preserve"> PAGE  \* MERGEFORMAT </w:instrText>
                    </w:r>
                    <w:r>
                      <w:fldChar w:fldCharType="separate"/>
                    </w:r>
                    <w:r>
                      <w:t>- 78 -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DDC5B">
    <w:pPr>
      <w:spacing w:line="169" w:lineRule="auto"/>
      <w:ind w:left="4493"/>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D3B0D5">
                          <w:pPr>
                            <w:pStyle w:val="2"/>
                          </w:pPr>
                          <w:r>
                            <w:fldChar w:fldCharType="begin"/>
                          </w:r>
                          <w:r>
                            <w:instrText xml:space="preserve"> PAGE  \* MERGEFORMAT </w:instrText>
                          </w:r>
                          <w:r>
                            <w:fldChar w:fldCharType="separate"/>
                          </w:r>
                          <w:r>
                            <w:t>- 79 -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03D3B0D5">
                    <w:pPr>
                      <w:pStyle w:val="2"/>
                    </w:pPr>
                    <w:r>
                      <w:fldChar w:fldCharType="begin"/>
                    </w:r>
                    <w:r>
                      <w:instrText xml:space="preserve"> PAGE  \* MERGEFORMAT </w:instrText>
                    </w:r>
                    <w:r>
                      <w:fldChar w:fldCharType="separate"/>
                    </w:r>
                    <w:r>
                      <w:t>- 79 -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2"/>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EF23AC">
                          <w:pPr>
                            <w:pStyle w:val="2"/>
                          </w:pPr>
                          <w:r>
                            <w:fldChar w:fldCharType="begin"/>
                          </w:r>
                          <w:r>
                            <w:instrText xml:space="preserve"> PAGE  \* MERGEFORMAT </w:instrText>
                          </w:r>
                          <w:r>
                            <w:fldChar w:fldCharType="separate"/>
                          </w:r>
                          <w:r>
                            <w:t>- 80 -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14:paraId="3AEF23AC">
                    <w:pPr>
                      <w:pStyle w:val="2"/>
                    </w:pPr>
                    <w:r>
                      <w:fldChar w:fldCharType="begin"/>
                    </w:r>
                    <w:r>
                      <w:instrText xml:space="preserve"> PAGE  \* MERGEFORMAT </w:instrText>
                    </w:r>
                    <w:r>
                      <w:fldChar w:fldCharType="separate"/>
                    </w:r>
                    <w:r>
                      <w:t>- 80 -</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8C037">
    <w:pPr>
      <w:pStyle w:val="18"/>
      <w:tabs>
        <w:tab w:val="left" w:pos="3120"/>
      </w:tabs>
      <w:spacing w:line="240" w:lineRule="auto"/>
      <w:jc w:val="right"/>
      <w:rPr>
        <w:sz w:val="18"/>
        <w:szCs w:val="18"/>
      </w:rPr>
    </w:pPr>
    <w:r>
      <w:rPr>
        <w:rFonts w:hint="eastAsia"/>
        <w:sz w:val="18"/>
        <w:szCs w:val="18"/>
        <w:lang w:val="en-US" w:eastAsia="zh-CN"/>
      </w:rPr>
      <w:t>兵团政府采购项目</w:t>
    </w:r>
    <w:r>
      <w:rPr>
        <w:rFonts w:hint="eastAsia"/>
        <w:sz w:val="18"/>
        <w:szCs w:val="18"/>
      </w:rPr>
      <w:t>竞争性</w:t>
    </w:r>
    <w:r>
      <w:rPr>
        <w:rFonts w:hint="eastAsia"/>
        <w:sz w:val="18"/>
        <w:szCs w:val="18"/>
        <w:lang w:val="en-US" w:eastAsia="zh-CN"/>
      </w:rPr>
      <w:t>谈判</w:t>
    </w:r>
    <w:r>
      <w:rPr>
        <w:rFonts w:hint="eastAsia"/>
        <w:sz w:val="18"/>
        <w:szCs w:val="18"/>
      </w:rPr>
      <w:t>文件</w:t>
    </w:r>
    <w:r>
      <w:rPr>
        <w:rFonts w:hint="eastAsia"/>
        <w:sz w:val="18"/>
        <w:szCs w:val="18"/>
        <w:lang w:val="en-US" w:eastAsia="zh-CN"/>
      </w:rPr>
      <w:t>示范文本（货物）</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F3D0">
    <w:pPr>
      <w:pStyle w:val="18"/>
      <w:spacing w:line="240" w:lineRule="auto"/>
    </w:pPr>
    <w:r>
      <w:rPr>
        <w:rFonts w:hint="eastAsia"/>
        <w:sz w:val="24"/>
        <w:szCs w:val="24"/>
        <w:lang w:val="en-US" w:eastAsia="zh-CN"/>
      </w:rPr>
      <w:t xml:space="preserve">                                 </w:t>
    </w:r>
    <w:r>
      <w:rPr>
        <w:rFonts w:hint="eastAsia" w:ascii="宋体" w:hAnsi="宋体" w:eastAsia="宋体" w:cs="宋体"/>
        <w:sz w:val="18"/>
        <w:szCs w:val="18"/>
        <w:lang w:val="en-US" w:eastAsia="zh-CN"/>
      </w:rPr>
      <w:t xml:space="preserve"> 兵团政府采购项目竞争性</w:t>
    </w:r>
    <w:r>
      <w:rPr>
        <w:rFonts w:hint="eastAsia" w:cs="宋体"/>
        <w:sz w:val="18"/>
        <w:szCs w:val="18"/>
        <w:lang w:val="en-US" w:eastAsia="zh-CN"/>
      </w:rPr>
      <w:t>谈判</w:t>
    </w:r>
    <w:r>
      <w:rPr>
        <w:rFonts w:hint="eastAsia" w:ascii="宋体" w:hAnsi="宋体" w:eastAsia="宋体" w:cs="宋体"/>
        <w:sz w:val="18"/>
        <w:szCs w:val="18"/>
      </w:rPr>
      <w:t>文件</w:t>
    </w:r>
    <w:r>
      <w:rPr>
        <w:rFonts w:hint="eastAsia" w:ascii="宋体" w:hAnsi="宋体" w:eastAsia="宋体" w:cs="宋体"/>
        <w:sz w:val="18"/>
        <w:szCs w:val="18"/>
        <w:lang w:val="en-US" w:eastAsia="zh-CN"/>
      </w:rPr>
      <w:t>示范文本（货物）</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CB4C5CA"/>
    <w:multiLevelType w:val="singleLevel"/>
    <w:tmpl w:val="CCB4C5CA"/>
    <w:lvl w:ilvl="0" w:tentative="0">
      <w:start w:val="3"/>
      <w:numFmt w:val="decimal"/>
      <w:suff w:val="nothing"/>
      <w:lvlText w:val="（%1）"/>
      <w:lvlJc w:val="left"/>
    </w:lvl>
  </w:abstractNum>
  <w:abstractNum w:abstractNumId="1">
    <w:nsid w:val="1C761375"/>
    <w:multiLevelType w:val="multilevel"/>
    <w:tmpl w:val="1C761375"/>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5504026"/>
    <w:multiLevelType w:val="multilevel"/>
    <w:tmpl w:val="75504026"/>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DA2E46"/>
    <w:rsid w:val="00010DF5"/>
    <w:rsid w:val="0002050C"/>
    <w:rsid w:val="00031D74"/>
    <w:rsid w:val="00031EDA"/>
    <w:rsid w:val="00035FD6"/>
    <w:rsid w:val="00041275"/>
    <w:rsid w:val="00041E23"/>
    <w:rsid w:val="00057979"/>
    <w:rsid w:val="00062839"/>
    <w:rsid w:val="000640B1"/>
    <w:rsid w:val="0006527E"/>
    <w:rsid w:val="000716F8"/>
    <w:rsid w:val="000725C9"/>
    <w:rsid w:val="000751D5"/>
    <w:rsid w:val="00077F3F"/>
    <w:rsid w:val="00080BBF"/>
    <w:rsid w:val="00094137"/>
    <w:rsid w:val="000A301B"/>
    <w:rsid w:val="000A519B"/>
    <w:rsid w:val="000A7A3F"/>
    <w:rsid w:val="000B0E52"/>
    <w:rsid w:val="000B7490"/>
    <w:rsid w:val="000D18E4"/>
    <w:rsid w:val="000D1DA9"/>
    <w:rsid w:val="000D2926"/>
    <w:rsid w:val="000D48B5"/>
    <w:rsid w:val="0011305B"/>
    <w:rsid w:val="00115707"/>
    <w:rsid w:val="0012011D"/>
    <w:rsid w:val="0012733E"/>
    <w:rsid w:val="00127F58"/>
    <w:rsid w:val="00131A1C"/>
    <w:rsid w:val="001361D8"/>
    <w:rsid w:val="00140C6C"/>
    <w:rsid w:val="00144643"/>
    <w:rsid w:val="00160D0D"/>
    <w:rsid w:val="0016196A"/>
    <w:rsid w:val="00161FD2"/>
    <w:rsid w:val="00167161"/>
    <w:rsid w:val="0019372B"/>
    <w:rsid w:val="00197CB9"/>
    <w:rsid w:val="001D1DC9"/>
    <w:rsid w:val="001E2156"/>
    <w:rsid w:val="001F00D7"/>
    <w:rsid w:val="001F0B83"/>
    <w:rsid w:val="002232D4"/>
    <w:rsid w:val="00230459"/>
    <w:rsid w:val="002416CF"/>
    <w:rsid w:val="00247842"/>
    <w:rsid w:val="002554AB"/>
    <w:rsid w:val="002629DD"/>
    <w:rsid w:val="00262A33"/>
    <w:rsid w:val="00264A6E"/>
    <w:rsid w:val="00266970"/>
    <w:rsid w:val="002746A9"/>
    <w:rsid w:val="00285085"/>
    <w:rsid w:val="00290F66"/>
    <w:rsid w:val="0029432F"/>
    <w:rsid w:val="002A1AEC"/>
    <w:rsid w:val="002A1FBA"/>
    <w:rsid w:val="002A5F16"/>
    <w:rsid w:val="002A6FAF"/>
    <w:rsid w:val="002B0E82"/>
    <w:rsid w:val="002C4B74"/>
    <w:rsid w:val="002C7C83"/>
    <w:rsid w:val="002D34F4"/>
    <w:rsid w:val="002D3A54"/>
    <w:rsid w:val="002D518A"/>
    <w:rsid w:val="002E0B52"/>
    <w:rsid w:val="002E34F0"/>
    <w:rsid w:val="002E6413"/>
    <w:rsid w:val="002E7870"/>
    <w:rsid w:val="002F0DD6"/>
    <w:rsid w:val="002F3C1F"/>
    <w:rsid w:val="003025BA"/>
    <w:rsid w:val="0030326B"/>
    <w:rsid w:val="00303828"/>
    <w:rsid w:val="00321CAC"/>
    <w:rsid w:val="00325002"/>
    <w:rsid w:val="003259BD"/>
    <w:rsid w:val="003327F2"/>
    <w:rsid w:val="00333AF9"/>
    <w:rsid w:val="0033438F"/>
    <w:rsid w:val="00343177"/>
    <w:rsid w:val="00343F73"/>
    <w:rsid w:val="00345C72"/>
    <w:rsid w:val="00345DEA"/>
    <w:rsid w:val="00346801"/>
    <w:rsid w:val="00346FB8"/>
    <w:rsid w:val="0034739D"/>
    <w:rsid w:val="00350BD8"/>
    <w:rsid w:val="00365E80"/>
    <w:rsid w:val="00381A77"/>
    <w:rsid w:val="00384C92"/>
    <w:rsid w:val="0038618F"/>
    <w:rsid w:val="003A07A4"/>
    <w:rsid w:val="003A4878"/>
    <w:rsid w:val="003B1785"/>
    <w:rsid w:val="003C4B9C"/>
    <w:rsid w:val="003C68DF"/>
    <w:rsid w:val="003D21B2"/>
    <w:rsid w:val="003E0B9F"/>
    <w:rsid w:val="003E2527"/>
    <w:rsid w:val="004017D6"/>
    <w:rsid w:val="0040190B"/>
    <w:rsid w:val="00411AB3"/>
    <w:rsid w:val="00411C17"/>
    <w:rsid w:val="00420DD8"/>
    <w:rsid w:val="00423A88"/>
    <w:rsid w:val="00425B35"/>
    <w:rsid w:val="0042756D"/>
    <w:rsid w:val="00427D0A"/>
    <w:rsid w:val="00437213"/>
    <w:rsid w:val="00443B3B"/>
    <w:rsid w:val="0044711D"/>
    <w:rsid w:val="00462EBD"/>
    <w:rsid w:val="0047182E"/>
    <w:rsid w:val="0048656E"/>
    <w:rsid w:val="00490932"/>
    <w:rsid w:val="00490B57"/>
    <w:rsid w:val="00492077"/>
    <w:rsid w:val="00492402"/>
    <w:rsid w:val="004A5602"/>
    <w:rsid w:val="004B29A0"/>
    <w:rsid w:val="004C31F0"/>
    <w:rsid w:val="004D65D4"/>
    <w:rsid w:val="004E09FC"/>
    <w:rsid w:val="004E0CE0"/>
    <w:rsid w:val="004E5531"/>
    <w:rsid w:val="004E5E3E"/>
    <w:rsid w:val="005001D8"/>
    <w:rsid w:val="00512CBB"/>
    <w:rsid w:val="00523D61"/>
    <w:rsid w:val="00535A35"/>
    <w:rsid w:val="00543B0C"/>
    <w:rsid w:val="00552FD8"/>
    <w:rsid w:val="00555F96"/>
    <w:rsid w:val="0055725A"/>
    <w:rsid w:val="00557310"/>
    <w:rsid w:val="00561A07"/>
    <w:rsid w:val="00562895"/>
    <w:rsid w:val="00574A51"/>
    <w:rsid w:val="00582A20"/>
    <w:rsid w:val="00590283"/>
    <w:rsid w:val="00594A14"/>
    <w:rsid w:val="005A3570"/>
    <w:rsid w:val="005A7750"/>
    <w:rsid w:val="005B55AC"/>
    <w:rsid w:val="005C18C8"/>
    <w:rsid w:val="005C30DA"/>
    <w:rsid w:val="005C3DD9"/>
    <w:rsid w:val="005C7693"/>
    <w:rsid w:val="005C77AF"/>
    <w:rsid w:val="005D689D"/>
    <w:rsid w:val="005E12E8"/>
    <w:rsid w:val="005E483B"/>
    <w:rsid w:val="005E4988"/>
    <w:rsid w:val="005E77BD"/>
    <w:rsid w:val="005F5FDD"/>
    <w:rsid w:val="00601022"/>
    <w:rsid w:val="0060162F"/>
    <w:rsid w:val="00602CF4"/>
    <w:rsid w:val="0060487D"/>
    <w:rsid w:val="00615D07"/>
    <w:rsid w:val="00623DA8"/>
    <w:rsid w:val="00626D3F"/>
    <w:rsid w:val="00630151"/>
    <w:rsid w:val="0064251F"/>
    <w:rsid w:val="00643F74"/>
    <w:rsid w:val="00662692"/>
    <w:rsid w:val="006664E4"/>
    <w:rsid w:val="00666E2F"/>
    <w:rsid w:val="00675096"/>
    <w:rsid w:val="006849F1"/>
    <w:rsid w:val="00687D2D"/>
    <w:rsid w:val="00691A5B"/>
    <w:rsid w:val="006926FF"/>
    <w:rsid w:val="006A28D1"/>
    <w:rsid w:val="006C0E57"/>
    <w:rsid w:val="006C30ED"/>
    <w:rsid w:val="006D2DE3"/>
    <w:rsid w:val="006D333D"/>
    <w:rsid w:val="006D6279"/>
    <w:rsid w:val="006E05F6"/>
    <w:rsid w:val="006E6126"/>
    <w:rsid w:val="006E7A70"/>
    <w:rsid w:val="006E7AAC"/>
    <w:rsid w:val="006F0A97"/>
    <w:rsid w:val="006F1007"/>
    <w:rsid w:val="006F1D7F"/>
    <w:rsid w:val="006F37E1"/>
    <w:rsid w:val="006F5BD9"/>
    <w:rsid w:val="00710747"/>
    <w:rsid w:val="00711E45"/>
    <w:rsid w:val="00712591"/>
    <w:rsid w:val="00714959"/>
    <w:rsid w:val="00720085"/>
    <w:rsid w:val="0072447B"/>
    <w:rsid w:val="007308A0"/>
    <w:rsid w:val="00733184"/>
    <w:rsid w:val="00735F23"/>
    <w:rsid w:val="00742B38"/>
    <w:rsid w:val="007439AE"/>
    <w:rsid w:val="00744ABD"/>
    <w:rsid w:val="00752609"/>
    <w:rsid w:val="0075271A"/>
    <w:rsid w:val="007625D0"/>
    <w:rsid w:val="0078326D"/>
    <w:rsid w:val="007840EB"/>
    <w:rsid w:val="007953A3"/>
    <w:rsid w:val="007953FA"/>
    <w:rsid w:val="007A3868"/>
    <w:rsid w:val="007B0927"/>
    <w:rsid w:val="007B31D2"/>
    <w:rsid w:val="007C1714"/>
    <w:rsid w:val="007C25B6"/>
    <w:rsid w:val="007C69D0"/>
    <w:rsid w:val="007C7E56"/>
    <w:rsid w:val="007D2501"/>
    <w:rsid w:val="007D3FAB"/>
    <w:rsid w:val="007E1B6D"/>
    <w:rsid w:val="007E1F79"/>
    <w:rsid w:val="007E27BF"/>
    <w:rsid w:val="007F2F74"/>
    <w:rsid w:val="007F7C6A"/>
    <w:rsid w:val="00805604"/>
    <w:rsid w:val="00814B4D"/>
    <w:rsid w:val="008155C5"/>
    <w:rsid w:val="00816516"/>
    <w:rsid w:val="00816A64"/>
    <w:rsid w:val="0083010B"/>
    <w:rsid w:val="0083496F"/>
    <w:rsid w:val="00836A98"/>
    <w:rsid w:val="00836FF3"/>
    <w:rsid w:val="00837654"/>
    <w:rsid w:val="0083775E"/>
    <w:rsid w:val="00837818"/>
    <w:rsid w:val="00861791"/>
    <w:rsid w:val="00866CA2"/>
    <w:rsid w:val="0086739C"/>
    <w:rsid w:val="0087004C"/>
    <w:rsid w:val="008700B2"/>
    <w:rsid w:val="00870A31"/>
    <w:rsid w:val="008744F5"/>
    <w:rsid w:val="00875ABA"/>
    <w:rsid w:val="00875E7B"/>
    <w:rsid w:val="008849F0"/>
    <w:rsid w:val="00884D19"/>
    <w:rsid w:val="0088780F"/>
    <w:rsid w:val="00893784"/>
    <w:rsid w:val="00896666"/>
    <w:rsid w:val="008A0CEF"/>
    <w:rsid w:val="008B0233"/>
    <w:rsid w:val="008B0B41"/>
    <w:rsid w:val="008B31A7"/>
    <w:rsid w:val="008D0B3B"/>
    <w:rsid w:val="008D33D3"/>
    <w:rsid w:val="008D5158"/>
    <w:rsid w:val="008D5F39"/>
    <w:rsid w:val="008D7F29"/>
    <w:rsid w:val="008E1419"/>
    <w:rsid w:val="008F3D10"/>
    <w:rsid w:val="008F4F88"/>
    <w:rsid w:val="009166DF"/>
    <w:rsid w:val="009312E6"/>
    <w:rsid w:val="0093260C"/>
    <w:rsid w:val="00937503"/>
    <w:rsid w:val="00942B9F"/>
    <w:rsid w:val="00943319"/>
    <w:rsid w:val="0094346F"/>
    <w:rsid w:val="00944BC7"/>
    <w:rsid w:val="00947447"/>
    <w:rsid w:val="009613A1"/>
    <w:rsid w:val="0097494E"/>
    <w:rsid w:val="00976A8C"/>
    <w:rsid w:val="00977FF3"/>
    <w:rsid w:val="0098091D"/>
    <w:rsid w:val="00980D3C"/>
    <w:rsid w:val="00984CC9"/>
    <w:rsid w:val="009941A6"/>
    <w:rsid w:val="0099510C"/>
    <w:rsid w:val="009A27AF"/>
    <w:rsid w:val="009A4A48"/>
    <w:rsid w:val="009A6DC0"/>
    <w:rsid w:val="009B74C7"/>
    <w:rsid w:val="009C06EE"/>
    <w:rsid w:val="009C4C40"/>
    <w:rsid w:val="009C5078"/>
    <w:rsid w:val="009F0E95"/>
    <w:rsid w:val="009F620C"/>
    <w:rsid w:val="00A00250"/>
    <w:rsid w:val="00A009BC"/>
    <w:rsid w:val="00A03C8F"/>
    <w:rsid w:val="00A208D0"/>
    <w:rsid w:val="00A2153A"/>
    <w:rsid w:val="00A3620F"/>
    <w:rsid w:val="00A36D87"/>
    <w:rsid w:val="00A42BA3"/>
    <w:rsid w:val="00A5026C"/>
    <w:rsid w:val="00A61ADA"/>
    <w:rsid w:val="00A67B9F"/>
    <w:rsid w:val="00A80437"/>
    <w:rsid w:val="00AA0034"/>
    <w:rsid w:val="00AA4E14"/>
    <w:rsid w:val="00AC1AE7"/>
    <w:rsid w:val="00AC7E4E"/>
    <w:rsid w:val="00B03E70"/>
    <w:rsid w:val="00B0667D"/>
    <w:rsid w:val="00B075F8"/>
    <w:rsid w:val="00B10CBD"/>
    <w:rsid w:val="00B15249"/>
    <w:rsid w:val="00B22126"/>
    <w:rsid w:val="00B23B20"/>
    <w:rsid w:val="00B24932"/>
    <w:rsid w:val="00B30024"/>
    <w:rsid w:val="00B35E10"/>
    <w:rsid w:val="00B67AB7"/>
    <w:rsid w:val="00B76EBE"/>
    <w:rsid w:val="00B807B2"/>
    <w:rsid w:val="00B81261"/>
    <w:rsid w:val="00B831FD"/>
    <w:rsid w:val="00B93E93"/>
    <w:rsid w:val="00BA0002"/>
    <w:rsid w:val="00BA7887"/>
    <w:rsid w:val="00BB0695"/>
    <w:rsid w:val="00BB0AA9"/>
    <w:rsid w:val="00BB389C"/>
    <w:rsid w:val="00BB5E22"/>
    <w:rsid w:val="00BC1538"/>
    <w:rsid w:val="00BC1927"/>
    <w:rsid w:val="00BC3D6E"/>
    <w:rsid w:val="00BC43BB"/>
    <w:rsid w:val="00BD0190"/>
    <w:rsid w:val="00BD36BD"/>
    <w:rsid w:val="00BD49FC"/>
    <w:rsid w:val="00BE027C"/>
    <w:rsid w:val="00BE229C"/>
    <w:rsid w:val="00BE2BE6"/>
    <w:rsid w:val="00BE359F"/>
    <w:rsid w:val="00BE6FC4"/>
    <w:rsid w:val="00BF2390"/>
    <w:rsid w:val="00BF2E8C"/>
    <w:rsid w:val="00BF513D"/>
    <w:rsid w:val="00BF52B9"/>
    <w:rsid w:val="00C2211B"/>
    <w:rsid w:val="00C24E2A"/>
    <w:rsid w:val="00C32FB4"/>
    <w:rsid w:val="00C34601"/>
    <w:rsid w:val="00C415A9"/>
    <w:rsid w:val="00C45CBF"/>
    <w:rsid w:val="00C47234"/>
    <w:rsid w:val="00C5578E"/>
    <w:rsid w:val="00C56F38"/>
    <w:rsid w:val="00C57229"/>
    <w:rsid w:val="00C57A04"/>
    <w:rsid w:val="00C74942"/>
    <w:rsid w:val="00C808EB"/>
    <w:rsid w:val="00C8512E"/>
    <w:rsid w:val="00C87E32"/>
    <w:rsid w:val="00C9657E"/>
    <w:rsid w:val="00CA074A"/>
    <w:rsid w:val="00CA1AB8"/>
    <w:rsid w:val="00CA3606"/>
    <w:rsid w:val="00CA5E59"/>
    <w:rsid w:val="00CB4EE6"/>
    <w:rsid w:val="00CB6539"/>
    <w:rsid w:val="00CC25B9"/>
    <w:rsid w:val="00CD5867"/>
    <w:rsid w:val="00CD6536"/>
    <w:rsid w:val="00CD674A"/>
    <w:rsid w:val="00CD73E5"/>
    <w:rsid w:val="00CE2D16"/>
    <w:rsid w:val="00CE2E34"/>
    <w:rsid w:val="00CE3408"/>
    <w:rsid w:val="00CE6C2F"/>
    <w:rsid w:val="00CE6E51"/>
    <w:rsid w:val="00CF3BE6"/>
    <w:rsid w:val="00D0326E"/>
    <w:rsid w:val="00D039E3"/>
    <w:rsid w:val="00D04025"/>
    <w:rsid w:val="00D11BF3"/>
    <w:rsid w:val="00D15C83"/>
    <w:rsid w:val="00D22E42"/>
    <w:rsid w:val="00D32675"/>
    <w:rsid w:val="00D337FF"/>
    <w:rsid w:val="00D36F93"/>
    <w:rsid w:val="00D43106"/>
    <w:rsid w:val="00D43B65"/>
    <w:rsid w:val="00D4715E"/>
    <w:rsid w:val="00D50483"/>
    <w:rsid w:val="00D50FA2"/>
    <w:rsid w:val="00D51CA5"/>
    <w:rsid w:val="00D605D6"/>
    <w:rsid w:val="00D91B19"/>
    <w:rsid w:val="00D93134"/>
    <w:rsid w:val="00D95972"/>
    <w:rsid w:val="00DA19EF"/>
    <w:rsid w:val="00DA2E46"/>
    <w:rsid w:val="00DA3EA5"/>
    <w:rsid w:val="00DA4062"/>
    <w:rsid w:val="00DB07DE"/>
    <w:rsid w:val="00DB6470"/>
    <w:rsid w:val="00DB648D"/>
    <w:rsid w:val="00DD2AE9"/>
    <w:rsid w:val="00DE21E8"/>
    <w:rsid w:val="00DE279C"/>
    <w:rsid w:val="00E131D1"/>
    <w:rsid w:val="00E22CBF"/>
    <w:rsid w:val="00E24A49"/>
    <w:rsid w:val="00E3190C"/>
    <w:rsid w:val="00E33B4C"/>
    <w:rsid w:val="00E346C5"/>
    <w:rsid w:val="00E40218"/>
    <w:rsid w:val="00E44C93"/>
    <w:rsid w:val="00E6060C"/>
    <w:rsid w:val="00E637A9"/>
    <w:rsid w:val="00E67DF9"/>
    <w:rsid w:val="00E71A4E"/>
    <w:rsid w:val="00E92BA7"/>
    <w:rsid w:val="00E957E7"/>
    <w:rsid w:val="00EB4AEC"/>
    <w:rsid w:val="00ED4D5F"/>
    <w:rsid w:val="00ED6D28"/>
    <w:rsid w:val="00ED72DC"/>
    <w:rsid w:val="00EE1389"/>
    <w:rsid w:val="00EE3D1C"/>
    <w:rsid w:val="00EE3FF1"/>
    <w:rsid w:val="00EE6A89"/>
    <w:rsid w:val="00EF2CF1"/>
    <w:rsid w:val="00F02A03"/>
    <w:rsid w:val="00F16856"/>
    <w:rsid w:val="00F23C03"/>
    <w:rsid w:val="00F43B46"/>
    <w:rsid w:val="00F46C50"/>
    <w:rsid w:val="00F50CDF"/>
    <w:rsid w:val="00F50DD6"/>
    <w:rsid w:val="00F517BA"/>
    <w:rsid w:val="00F538E2"/>
    <w:rsid w:val="00F76A89"/>
    <w:rsid w:val="00F8151A"/>
    <w:rsid w:val="00F822CF"/>
    <w:rsid w:val="00F93C6F"/>
    <w:rsid w:val="00F9418D"/>
    <w:rsid w:val="00F94BDC"/>
    <w:rsid w:val="00FA29A1"/>
    <w:rsid w:val="00FA7B4A"/>
    <w:rsid w:val="00FB50E5"/>
    <w:rsid w:val="00FB6912"/>
    <w:rsid w:val="00FC12AF"/>
    <w:rsid w:val="00FC1536"/>
    <w:rsid w:val="00FC2785"/>
    <w:rsid w:val="00FC4922"/>
    <w:rsid w:val="00FD19D9"/>
    <w:rsid w:val="00FD51C3"/>
    <w:rsid w:val="00FE4777"/>
    <w:rsid w:val="00FE4FF0"/>
    <w:rsid w:val="00FE551A"/>
    <w:rsid w:val="00FE60DA"/>
    <w:rsid w:val="00FE6DDE"/>
    <w:rsid w:val="00FF415F"/>
    <w:rsid w:val="00FF74A7"/>
    <w:rsid w:val="00FF75EA"/>
    <w:rsid w:val="01011432"/>
    <w:rsid w:val="01172A03"/>
    <w:rsid w:val="01176EA7"/>
    <w:rsid w:val="011A5E25"/>
    <w:rsid w:val="01212D0E"/>
    <w:rsid w:val="012A118F"/>
    <w:rsid w:val="014F42C4"/>
    <w:rsid w:val="014F6641"/>
    <w:rsid w:val="01521C8D"/>
    <w:rsid w:val="0168325F"/>
    <w:rsid w:val="016D6AC7"/>
    <w:rsid w:val="01A544B3"/>
    <w:rsid w:val="01AE3368"/>
    <w:rsid w:val="01C506B1"/>
    <w:rsid w:val="01CC7C92"/>
    <w:rsid w:val="01D17056"/>
    <w:rsid w:val="021D673F"/>
    <w:rsid w:val="023B0973"/>
    <w:rsid w:val="025263E9"/>
    <w:rsid w:val="02A468E7"/>
    <w:rsid w:val="02AA4F6F"/>
    <w:rsid w:val="02AE4AFE"/>
    <w:rsid w:val="02C72207"/>
    <w:rsid w:val="0317318F"/>
    <w:rsid w:val="031B2C7F"/>
    <w:rsid w:val="031D69B6"/>
    <w:rsid w:val="03265180"/>
    <w:rsid w:val="034F46D6"/>
    <w:rsid w:val="035937A7"/>
    <w:rsid w:val="03597303"/>
    <w:rsid w:val="035E2B6B"/>
    <w:rsid w:val="0387014A"/>
    <w:rsid w:val="03EF1A15"/>
    <w:rsid w:val="044004C3"/>
    <w:rsid w:val="04561A95"/>
    <w:rsid w:val="047C599F"/>
    <w:rsid w:val="04842AA6"/>
    <w:rsid w:val="049802FF"/>
    <w:rsid w:val="04AB5878"/>
    <w:rsid w:val="04B0389B"/>
    <w:rsid w:val="04DA4474"/>
    <w:rsid w:val="04EC6C63"/>
    <w:rsid w:val="04FF037E"/>
    <w:rsid w:val="05047743"/>
    <w:rsid w:val="05214D81"/>
    <w:rsid w:val="053B7608"/>
    <w:rsid w:val="05465FAD"/>
    <w:rsid w:val="056F2E0E"/>
    <w:rsid w:val="05832D5D"/>
    <w:rsid w:val="05B20F4D"/>
    <w:rsid w:val="05B44CC5"/>
    <w:rsid w:val="05B66C8F"/>
    <w:rsid w:val="05DB04A3"/>
    <w:rsid w:val="05E530D0"/>
    <w:rsid w:val="05EF624C"/>
    <w:rsid w:val="05F25272"/>
    <w:rsid w:val="0644429B"/>
    <w:rsid w:val="0659586C"/>
    <w:rsid w:val="067D77AC"/>
    <w:rsid w:val="068C79F0"/>
    <w:rsid w:val="069C40D7"/>
    <w:rsid w:val="06A0349B"/>
    <w:rsid w:val="06A411DD"/>
    <w:rsid w:val="06C07699"/>
    <w:rsid w:val="06C62167"/>
    <w:rsid w:val="06D80BD5"/>
    <w:rsid w:val="06F537E7"/>
    <w:rsid w:val="070752C8"/>
    <w:rsid w:val="070E75E1"/>
    <w:rsid w:val="07222102"/>
    <w:rsid w:val="073100B5"/>
    <w:rsid w:val="07542E7B"/>
    <w:rsid w:val="07577FFE"/>
    <w:rsid w:val="07684137"/>
    <w:rsid w:val="076B1CFB"/>
    <w:rsid w:val="079C3C62"/>
    <w:rsid w:val="07B0770E"/>
    <w:rsid w:val="07BE62CF"/>
    <w:rsid w:val="07C531B9"/>
    <w:rsid w:val="07CA07CF"/>
    <w:rsid w:val="07F27D26"/>
    <w:rsid w:val="07FA3E48"/>
    <w:rsid w:val="08002443"/>
    <w:rsid w:val="08027530"/>
    <w:rsid w:val="086230FE"/>
    <w:rsid w:val="08766BA9"/>
    <w:rsid w:val="088272FC"/>
    <w:rsid w:val="088C3CD7"/>
    <w:rsid w:val="08BA08C0"/>
    <w:rsid w:val="08E81CF0"/>
    <w:rsid w:val="092403B3"/>
    <w:rsid w:val="094C3466"/>
    <w:rsid w:val="094F0D3C"/>
    <w:rsid w:val="09694018"/>
    <w:rsid w:val="097924AD"/>
    <w:rsid w:val="097F0C21"/>
    <w:rsid w:val="09931095"/>
    <w:rsid w:val="09B07E99"/>
    <w:rsid w:val="09C86F91"/>
    <w:rsid w:val="09FC4E8C"/>
    <w:rsid w:val="0A3C34DB"/>
    <w:rsid w:val="0A430BD6"/>
    <w:rsid w:val="0A540824"/>
    <w:rsid w:val="0A73514E"/>
    <w:rsid w:val="0A7F7F97"/>
    <w:rsid w:val="0A9E5F43"/>
    <w:rsid w:val="0AA479FE"/>
    <w:rsid w:val="0ACC485F"/>
    <w:rsid w:val="0ADA3F4C"/>
    <w:rsid w:val="0AF049F1"/>
    <w:rsid w:val="0B0E131B"/>
    <w:rsid w:val="0B116715"/>
    <w:rsid w:val="0B161163"/>
    <w:rsid w:val="0B291CB1"/>
    <w:rsid w:val="0B440899"/>
    <w:rsid w:val="0B48482D"/>
    <w:rsid w:val="0B5A00BC"/>
    <w:rsid w:val="0B6727D9"/>
    <w:rsid w:val="0B680A2B"/>
    <w:rsid w:val="0B7844F0"/>
    <w:rsid w:val="0B7F5D75"/>
    <w:rsid w:val="0B9C06D5"/>
    <w:rsid w:val="0B9C6927"/>
    <w:rsid w:val="0B9D61FB"/>
    <w:rsid w:val="0BB27EF8"/>
    <w:rsid w:val="0BBF2208"/>
    <w:rsid w:val="0BBF61BC"/>
    <w:rsid w:val="0BC47C2C"/>
    <w:rsid w:val="0BCB5C52"/>
    <w:rsid w:val="0BE300B2"/>
    <w:rsid w:val="0C01678A"/>
    <w:rsid w:val="0C060E10"/>
    <w:rsid w:val="0C085D6A"/>
    <w:rsid w:val="0C0A7D34"/>
    <w:rsid w:val="0C124F52"/>
    <w:rsid w:val="0C193AD3"/>
    <w:rsid w:val="0C2661F0"/>
    <w:rsid w:val="0C696B65"/>
    <w:rsid w:val="0C7B29E0"/>
    <w:rsid w:val="0C7D22B4"/>
    <w:rsid w:val="0CA47F91"/>
    <w:rsid w:val="0CD935FB"/>
    <w:rsid w:val="0CE00A95"/>
    <w:rsid w:val="0D156C3F"/>
    <w:rsid w:val="0D3870E2"/>
    <w:rsid w:val="0D3951D6"/>
    <w:rsid w:val="0D416F52"/>
    <w:rsid w:val="0D8C18C1"/>
    <w:rsid w:val="0E0013EF"/>
    <w:rsid w:val="0E2B3F92"/>
    <w:rsid w:val="0E2B5D40"/>
    <w:rsid w:val="0E772D33"/>
    <w:rsid w:val="0E7B7815"/>
    <w:rsid w:val="0E88562B"/>
    <w:rsid w:val="0E8B67DF"/>
    <w:rsid w:val="0E925DBF"/>
    <w:rsid w:val="0EC37B54"/>
    <w:rsid w:val="0EDB7766"/>
    <w:rsid w:val="0EEF3211"/>
    <w:rsid w:val="0EF3685E"/>
    <w:rsid w:val="0EFB1BB6"/>
    <w:rsid w:val="0EFE3455"/>
    <w:rsid w:val="0F29227F"/>
    <w:rsid w:val="0F3375A2"/>
    <w:rsid w:val="0F3F7CF5"/>
    <w:rsid w:val="0F4F5A5E"/>
    <w:rsid w:val="0F6634D4"/>
    <w:rsid w:val="0F7200CA"/>
    <w:rsid w:val="0F7F4595"/>
    <w:rsid w:val="0F8C280E"/>
    <w:rsid w:val="0F9067A2"/>
    <w:rsid w:val="0FB35FED"/>
    <w:rsid w:val="0FD97D81"/>
    <w:rsid w:val="0FDC6611"/>
    <w:rsid w:val="10637A13"/>
    <w:rsid w:val="108856CC"/>
    <w:rsid w:val="108D2CE2"/>
    <w:rsid w:val="10944070"/>
    <w:rsid w:val="10A36062"/>
    <w:rsid w:val="10A5627E"/>
    <w:rsid w:val="10A83678"/>
    <w:rsid w:val="10BC7123"/>
    <w:rsid w:val="10BD35C7"/>
    <w:rsid w:val="10C9171B"/>
    <w:rsid w:val="10D461A4"/>
    <w:rsid w:val="10D95F27"/>
    <w:rsid w:val="10EF574B"/>
    <w:rsid w:val="10F87681"/>
    <w:rsid w:val="1104261B"/>
    <w:rsid w:val="11254CC9"/>
    <w:rsid w:val="11801B30"/>
    <w:rsid w:val="11BD4513"/>
    <w:rsid w:val="11D5049D"/>
    <w:rsid w:val="11E626AA"/>
    <w:rsid w:val="11F50B3F"/>
    <w:rsid w:val="11FC3C7B"/>
    <w:rsid w:val="12096398"/>
    <w:rsid w:val="1218364A"/>
    <w:rsid w:val="12241424"/>
    <w:rsid w:val="122F22A3"/>
    <w:rsid w:val="12505D75"/>
    <w:rsid w:val="125725B2"/>
    <w:rsid w:val="12745F08"/>
    <w:rsid w:val="12863E8D"/>
    <w:rsid w:val="12A8795F"/>
    <w:rsid w:val="12AA36D7"/>
    <w:rsid w:val="12B83BBB"/>
    <w:rsid w:val="12BB58E4"/>
    <w:rsid w:val="12C0739F"/>
    <w:rsid w:val="12CC676F"/>
    <w:rsid w:val="12D6271E"/>
    <w:rsid w:val="12DD62D4"/>
    <w:rsid w:val="12E9012D"/>
    <w:rsid w:val="12F209B1"/>
    <w:rsid w:val="12F9465F"/>
    <w:rsid w:val="12FC7CAB"/>
    <w:rsid w:val="13117BFA"/>
    <w:rsid w:val="13685340"/>
    <w:rsid w:val="136D604A"/>
    <w:rsid w:val="136F6DBA"/>
    <w:rsid w:val="137B1518"/>
    <w:rsid w:val="138008DC"/>
    <w:rsid w:val="138E2FF9"/>
    <w:rsid w:val="13931986"/>
    <w:rsid w:val="13A73607"/>
    <w:rsid w:val="13F54E26"/>
    <w:rsid w:val="13FB7F63"/>
    <w:rsid w:val="140432BB"/>
    <w:rsid w:val="140908D1"/>
    <w:rsid w:val="140E413A"/>
    <w:rsid w:val="1422618B"/>
    <w:rsid w:val="142E20E6"/>
    <w:rsid w:val="144162BD"/>
    <w:rsid w:val="14733F9D"/>
    <w:rsid w:val="14742577"/>
    <w:rsid w:val="147C10A3"/>
    <w:rsid w:val="14C447F8"/>
    <w:rsid w:val="14F275B8"/>
    <w:rsid w:val="15115C90"/>
    <w:rsid w:val="15175270"/>
    <w:rsid w:val="151B4D60"/>
    <w:rsid w:val="152C2AC9"/>
    <w:rsid w:val="15AF7257"/>
    <w:rsid w:val="15E52C78"/>
    <w:rsid w:val="160752E5"/>
    <w:rsid w:val="16104199"/>
    <w:rsid w:val="16140F28"/>
    <w:rsid w:val="162A0A1F"/>
    <w:rsid w:val="163D4862"/>
    <w:rsid w:val="164E4CC1"/>
    <w:rsid w:val="165247B2"/>
    <w:rsid w:val="1654042C"/>
    <w:rsid w:val="16556050"/>
    <w:rsid w:val="16726D77"/>
    <w:rsid w:val="16820AD6"/>
    <w:rsid w:val="169923E1"/>
    <w:rsid w:val="16994D22"/>
    <w:rsid w:val="169D3553"/>
    <w:rsid w:val="16AC04CA"/>
    <w:rsid w:val="16B84207"/>
    <w:rsid w:val="16BC7E7D"/>
    <w:rsid w:val="16BE59A3"/>
    <w:rsid w:val="16CB6312"/>
    <w:rsid w:val="16DC4224"/>
    <w:rsid w:val="16EB2510"/>
    <w:rsid w:val="16F55828"/>
    <w:rsid w:val="17081314"/>
    <w:rsid w:val="17163A31"/>
    <w:rsid w:val="17326391"/>
    <w:rsid w:val="173739A8"/>
    <w:rsid w:val="1743234C"/>
    <w:rsid w:val="175277E6"/>
    <w:rsid w:val="175C6F6A"/>
    <w:rsid w:val="176C0FBA"/>
    <w:rsid w:val="177B1AE6"/>
    <w:rsid w:val="17AF1790"/>
    <w:rsid w:val="17B153E5"/>
    <w:rsid w:val="17BF38DF"/>
    <w:rsid w:val="17F83137"/>
    <w:rsid w:val="1804388A"/>
    <w:rsid w:val="18226406"/>
    <w:rsid w:val="183A374F"/>
    <w:rsid w:val="183D6D9C"/>
    <w:rsid w:val="183F0D66"/>
    <w:rsid w:val="186407CC"/>
    <w:rsid w:val="186C142F"/>
    <w:rsid w:val="18823AC5"/>
    <w:rsid w:val="18934C0E"/>
    <w:rsid w:val="189A5F9C"/>
    <w:rsid w:val="189B3AC2"/>
    <w:rsid w:val="18D70F9E"/>
    <w:rsid w:val="18F41B50"/>
    <w:rsid w:val="18FE2FBD"/>
    <w:rsid w:val="19006747"/>
    <w:rsid w:val="190B1333"/>
    <w:rsid w:val="191775ED"/>
    <w:rsid w:val="19334F15"/>
    <w:rsid w:val="194523AC"/>
    <w:rsid w:val="196934AD"/>
    <w:rsid w:val="197030A6"/>
    <w:rsid w:val="197E58BE"/>
    <w:rsid w:val="199D21E8"/>
    <w:rsid w:val="19A277FE"/>
    <w:rsid w:val="19C72DC1"/>
    <w:rsid w:val="19E45129"/>
    <w:rsid w:val="1A240213"/>
    <w:rsid w:val="1A271AB1"/>
    <w:rsid w:val="1A304579"/>
    <w:rsid w:val="1A5B175B"/>
    <w:rsid w:val="1A705206"/>
    <w:rsid w:val="1A7D3BE9"/>
    <w:rsid w:val="1A7D7923"/>
    <w:rsid w:val="1A8D2B13"/>
    <w:rsid w:val="1AC437A4"/>
    <w:rsid w:val="1AC92B69"/>
    <w:rsid w:val="1ADF238C"/>
    <w:rsid w:val="1AF92BB3"/>
    <w:rsid w:val="1B0A2B9D"/>
    <w:rsid w:val="1B0E451B"/>
    <w:rsid w:val="1B2B2D19"/>
    <w:rsid w:val="1B3C158C"/>
    <w:rsid w:val="1B4E2991"/>
    <w:rsid w:val="1B684130"/>
    <w:rsid w:val="1B697EA8"/>
    <w:rsid w:val="1B6A60FA"/>
    <w:rsid w:val="1B7F6F38"/>
    <w:rsid w:val="1B83540D"/>
    <w:rsid w:val="1BC7354C"/>
    <w:rsid w:val="1BCA303C"/>
    <w:rsid w:val="1C033E58"/>
    <w:rsid w:val="1C071B9A"/>
    <w:rsid w:val="1C0C0F5F"/>
    <w:rsid w:val="1C0F6CA1"/>
    <w:rsid w:val="1C3D380E"/>
    <w:rsid w:val="1C4C3A51"/>
    <w:rsid w:val="1C542906"/>
    <w:rsid w:val="1C6A6B78"/>
    <w:rsid w:val="1C766D20"/>
    <w:rsid w:val="1CB17D58"/>
    <w:rsid w:val="1CB52A2F"/>
    <w:rsid w:val="1CE379B0"/>
    <w:rsid w:val="1CEE68B6"/>
    <w:rsid w:val="1CF0262F"/>
    <w:rsid w:val="1CF37EB8"/>
    <w:rsid w:val="1D110EBE"/>
    <w:rsid w:val="1D2A4350"/>
    <w:rsid w:val="1D320E99"/>
    <w:rsid w:val="1D9531D6"/>
    <w:rsid w:val="1DAB47A7"/>
    <w:rsid w:val="1DBE44DB"/>
    <w:rsid w:val="1DDC5D1E"/>
    <w:rsid w:val="1DEA1774"/>
    <w:rsid w:val="1E0C793C"/>
    <w:rsid w:val="1E236A34"/>
    <w:rsid w:val="1E252D30"/>
    <w:rsid w:val="1E293FBC"/>
    <w:rsid w:val="1E2A6014"/>
    <w:rsid w:val="1E3D3153"/>
    <w:rsid w:val="1E42510C"/>
    <w:rsid w:val="1E5E7A6C"/>
    <w:rsid w:val="1E6037E4"/>
    <w:rsid w:val="1E9516DF"/>
    <w:rsid w:val="1EDD6BE3"/>
    <w:rsid w:val="1EE77A61"/>
    <w:rsid w:val="1EEE7042"/>
    <w:rsid w:val="1EF74148"/>
    <w:rsid w:val="1F0625DD"/>
    <w:rsid w:val="1F4C5B16"/>
    <w:rsid w:val="1F933745"/>
    <w:rsid w:val="1FA63478"/>
    <w:rsid w:val="1FBF278C"/>
    <w:rsid w:val="1FE741BD"/>
    <w:rsid w:val="1FEA5A5B"/>
    <w:rsid w:val="20126D60"/>
    <w:rsid w:val="205E01F7"/>
    <w:rsid w:val="20665E37"/>
    <w:rsid w:val="207215AC"/>
    <w:rsid w:val="208F6602"/>
    <w:rsid w:val="20967991"/>
    <w:rsid w:val="20A43E5C"/>
    <w:rsid w:val="20A51982"/>
    <w:rsid w:val="20D02EA3"/>
    <w:rsid w:val="20EF0E4F"/>
    <w:rsid w:val="20F85F56"/>
    <w:rsid w:val="211014F1"/>
    <w:rsid w:val="211663DC"/>
    <w:rsid w:val="21254871"/>
    <w:rsid w:val="212C5BFF"/>
    <w:rsid w:val="215A09BE"/>
    <w:rsid w:val="216B497A"/>
    <w:rsid w:val="2184195C"/>
    <w:rsid w:val="218C0AD3"/>
    <w:rsid w:val="21937A2C"/>
    <w:rsid w:val="21A8155E"/>
    <w:rsid w:val="21C85928"/>
    <w:rsid w:val="21C916A0"/>
    <w:rsid w:val="220426D8"/>
    <w:rsid w:val="22124DF5"/>
    <w:rsid w:val="224F1BA5"/>
    <w:rsid w:val="22642828"/>
    <w:rsid w:val="228D6B72"/>
    <w:rsid w:val="22A2261D"/>
    <w:rsid w:val="22AB6CF5"/>
    <w:rsid w:val="22BD2FB3"/>
    <w:rsid w:val="22CE1AC1"/>
    <w:rsid w:val="22FD3CF7"/>
    <w:rsid w:val="230E1A60"/>
    <w:rsid w:val="23377209"/>
    <w:rsid w:val="2342795C"/>
    <w:rsid w:val="235D44ED"/>
    <w:rsid w:val="23636185"/>
    <w:rsid w:val="23832494"/>
    <w:rsid w:val="239F090A"/>
    <w:rsid w:val="23B56380"/>
    <w:rsid w:val="23C72304"/>
    <w:rsid w:val="23F46EA8"/>
    <w:rsid w:val="241F37F9"/>
    <w:rsid w:val="24561911"/>
    <w:rsid w:val="245E07C6"/>
    <w:rsid w:val="24653902"/>
    <w:rsid w:val="246D27B7"/>
    <w:rsid w:val="248024EA"/>
    <w:rsid w:val="24885842"/>
    <w:rsid w:val="248949DC"/>
    <w:rsid w:val="24AF254A"/>
    <w:rsid w:val="24AF7273"/>
    <w:rsid w:val="24B108F5"/>
    <w:rsid w:val="24B30B11"/>
    <w:rsid w:val="24C32F15"/>
    <w:rsid w:val="24C525F3"/>
    <w:rsid w:val="24CA19B7"/>
    <w:rsid w:val="24E24F53"/>
    <w:rsid w:val="25096983"/>
    <w:rsid w:val="25270BB7"/>
    <w:rsid w:val="253F23A5"/>
    <w:rsid w:val="254259F1"/>
    <w:rsid w:val="256B7396"/>
    <w:rsid w:val="25853B30"/>
    <w:rsid w:val="25950217"/>
    <w:rsid w:val="25A20B86"/>
    <w:rsid w:val="25BD32CA"/>
    <w:rsid w:val="25C40AFC"/>
    <w:rsid w:val="25CE197B"/>
    <w:rsid w:val="25D0124F"/>
    <w:rsid w:val="25EE7927"/>
    <w:rsid w:val="2628108B"/>
    <w:rsid w:val="26667E05"/>
    <w:rsid w:val="26771661"/>
    <w:rsid w:val="26976211"/>
    <w:rsid w:val="271B0BF0"/>
    <w:rsid w:val="271C2272"/>
    <w:rsid w:val="27230BFF"/>
    <w:rsid w:val="27254D96"/>
    <w:rsid w:val="272F1FA5"/>
    <w:rsid w:val="27392ACF"/>
    <w:rsid w:val="27433CA3"/>
    <w:rsid w:val="274C0C22"/>
    <w:rsid w:val="2751016E"/>
    <w:rsid w:val="2767173F"/>
    <w:rsid w:val="27673D60"/>
    <w:rsid w:val="277327DA"/>
    <w:rsid w:val="2787443F"/>
    <w:rsid w:val="27AE55C0"/>
    <w:rsid w:val="27B5694E"/>
    <w:rsid w:val="27C13D12"/>
    <w:rsid w:val="27C76682"/>
    <w:rsid w:val="27D8263D"/>
    <w:rsid w:val="27E72880"/>
    <w:rsid w:val="27EB6814"/>
    <w:rsid w:val="27FE7638"/>
    <w:rsid w:val="280B5E71"/>
    <w:rsid w:val="28177609"/>
    <w:rsid w:val="281C077C"/>
    <w:rsid w:val="281C2BC6"/>
    <w:rsid w:val="281C4C20"/>
    <w:rsid w:val="28235FAE"/>
    <w:rsid w:val="28327F9F"/>
    <w:rsid w:val="283E0E0A"/>
    <w:rsid w:val="285C0DA0"/>
    <w:rsid w:val="285F4B0C"/>
    <w:rsid w:val="28757E8C"/>
    <w:rsid w:val="288B3B53"/>
    <w:rsid w:val="28956780"/>
    <w:rsid w:val="28AD1D1C"/>
    <w:rsid w:val="28AD3ACA"/>
    <w:rsid w:val="28B22E8E"/>
    <w:rsid w:val="28BA1D43"/>
    <w:rsid w:val="28BA67C3"/>
    <w:rsid w:val="28BD003F"/>
    <w:rsid w:val="28C037FD"/>
    <w:rsid w:val="28D41056"/>
    <w:rsid w:val="28DC5807"/>
    <w:rsid w:val="28DC7F0B"/>
    <w:rsid w:val="28F416F8"/>
    <w:rsid w:val="28F811E9"/>
    <w:rsid w:val="29001E4B"/>
    <w:rsid w:val="290F0C0E"/>
    <w:rsid w:val="291F68C4"/>
    <w:rsid w:val="29210894"/>
    <w:rsid w:val="292F6A67"/>
    <w:rsid w:val="2976210D"/>
    <w:rsid w:val="298F1421"/>
    <w:rsid w:val="29AE7AF9"/>
    <w:rsid w:val="29C91AA7"/>
    <w:rsid w:val="29D62BAC"/>
    <w:rsid w:val="29DD3F3B"/>
    <w:rsid w:val="29EC0622"/>
    <w:rsid w:val="2A225DF1"/>
    <w:rsid w:val="2A32072A"/>
    <w:rsid w:val="2A391AB9"/>
    <w:rsid w:val="2A4B359A"/>
    <w:rsid w:val="2A635B27"/>
    <w:rsid w:val="2A8329A5"/>
    <w:rsid w:val="2A950CB9"/>
    <w:rsid w:val="2A9D2605"/>
    <w:rsid w:val="2ADE440E"/>
    <w:rsid w:val="2AE80DE9"/>
    <w:rsid w:val="2AE8703B"/>
    <w:rsid w:val="2B147E30"/>
    <w:rsid w:val="2B1B4930"/>
    <w:rsid w:val="2B3202B6"/>
    <w:rsid w:val="2B512E32"/>
    <w:rsid w:val="2B683CD8"/>
    <w:rsid w:val="2B76279E"/>
    <w:rsid w:val="2B786611"/>
    <w:rsid w:val="2B797C93"/>
    <w:rsid w:val="2B7D59D5"/>
    <w:rsid w:val="2BB46F1D"/>
    <w:rsid w:val="2BB539D4"/>
    <w:rsid w:val="2BD25682"/>
    <w:rsid w:val="2BD55811"/>
    <w:rsid w:val="2BE27F2E"/>
    <w:rsid w:val="2BE5357A"/>
    <w:rsid w:val="2C1125C1"/>
    <w:rsid w:val="2C153E60"/>
    <w:rsid w:val="2C210A56"/>
    <w:rsid w:val="2C3D33B6"/>
    <w:rsid w:val="2C414C55"/>
    <w:rsid w:val="2C475FE3"/>
    <w:rsid w:val="2C4907B9"/>
    <w:rsid w:val="2C81364F"/>
    <w:rsid w:val="2C9A4365"/>
    <w:rsid w:val="2CC633AC"/>
    <w:rsid w:val="2CD05FD9"/>
    <w:rsid w:val="2CDE6947"/>
    <w:rsid w:val="2CEF7A50"/>
    <w:rsid w:val="2CF75313"/>
    <w:rsid w:val="2D3227EF"/>
    <w:rsid w:val="2D32459D"/>
    <w:rsid w:val="2D3565B5"/>
    <w:rsid w:val="2D39592C"/>
    <w:rsid w:val="2D3E2F42"/>
    <w:rsid w:val="2D850CA0"/>
    <w:rsid w:val="2D8868B3"/>
    <w:rsid w:val="2D9B2143"/>
    <w:rsid w:val="2DA03BFD"/>
    <w:rsid w:val="2DA336ED"/>
    <w:rsid w:val="2DC01BA9"/>
    <w:rsid w:val="2DE81100"/>
    <w:rsid w:val="2DEA4E78"/>
    <w:rsid w:val="2E2A1718"/>
    <w:rsid w:val="2E310CF9"/>
    <w:rsid w:val="2E3F6F72"/>
    <w:rsid w:val="2E7330BF"/>
    <w:rsid w:val="2E756E38"/>
    <w:rsid w:val="2E933762"/>
    <w:rsid w:val="2EB536D8"/>
    <w:rsid w:val="2EC851B9"/>
    <w:rsid w:val="2ECD0A22"/>
    <w:rsid w:val="2ECD316E"/>
    <w:rsid w:val="2EDA313F"/>
    <w:rsid w:val="2F1C6FCF"/>
    <w:rsid w:val="2F5C7FF7"/>
    <w:rsid w:val="2F5E167A"/>
    <w:rsid w:val="2F650C5A"/>
    <w:rsid w:val="2F880DEC"/>
    <w:rsid w:val="2F917CA1"/>
    <w:rsid w:val="3034062C"/>
    <w:rsid w:val="30396AEC"/>
    <w:rsid w:val="304C544B"/>
    <w:rsid w:val="30536D05"/>
    <w:rsid w:val="305F1B4D"/>
    <w:rsid w:val="30705B08"/>
    <w:rsid w:val="30A63CC6"/>
    <w:rsid w:val="30C00BAB"/>
    <w:rsid w:val="30C0743E"/>
    <w:rsid w:val="30E56588"/>
    <w:rsid w:val="30E91417"/>
    <w:rsid w:val="31271F3F"/>
    <w:rsid w:val="31293F09"/>
    <w:rsid w:val="31433A7F"/>
    <w:rsid w:val="3159659D"/>
    <w:rsid w:val="31684A32"/>
    <w:rsid w:val="31727D49"/>
    <w:rsid w:val="31771119"/>
    <w:rsid w:val="317E24A7"/>
    <w:rsid w:val="319A0E2B"/>
    <w:rsid w:val="319C292D"/>
    <w:rsid w:val="319E0EF8"/>
    <w:rsid w:val="31AA504A"/>
    <w:rsid w:val="31B41A25"/>
    <w:rsid w:val="320504D2"/>
    <w:rsid w:val="32144BB9"/>
    <w:rsid w:val="324803BF"/>
    <w:rsid w:val="32513718"/>
    <w:rsid w:val="326A47D9"/>
    <w:rsid w:val="32840F7B"/>
    <w:rsid w:val="32B1065A"/>
    <w:rsid w:val="32E4458C"/>
    <w:rsid w:val="33024A12"/>
    <w:rsid w:val="33150BE9"/>
    <w:rsid w:val="332D26D2"/>
    <w:rsid w:val="33443C83"/>
    <w:rsid w:val="335D1C8B"/>
    <w:rsid w:val="337136E8"/>
    <w:rsid w:val="339715FE"/>
    <w:rsid w:val="33997124"/>
    <w:rsid w:val="33B43F5E"/>
    <w:rsid w:val="33EA3E24"/>
    <w:rsid w:val="3402116D"/>
    <w:rsid w:val="34256C0A"/>
    <w:rsid w:val="343230D5"/>
    <w:rsid w:val="34B65664"/>
    <w:rsid w:val="34E16FD5"/>
    <w:rsid w:val="34EB1C02"/>
    <w:rsid w:val="34FD1935"/>
    <w:rsid w:val="35571045"/>
    <w:rsid w:val="355754E9"/>
    <w:rsid w:val="355D23D3"/>
    <w:rsid w:val="3566572C"/>
    <w:rsid w:val="3571636E"/>
    <w:rsid w:val="358362DE"/>
    <w:rsid w:val="358F4AB7"/>
    <w:rsid w:val="35973F37"/>
    <w:rsid w:val="35C506A4"/>
    <w:rsid w:val="35C8047F"/>
    <w:rsid w:val="35CB558F"/>
    <w:rsid w:val="36021D61"/>
    <w:rsid w:val="36213401"/>
    <w:rsid w:val="36392E40"/>
    <w:rsid w:val="365D5425"/>
    <w:rsid w:val="36794FEB"/>
    <w:rsid w:val="3687595A"/>
    <w:rsid w:val="368816D2"/>
    <w:rsid w:val="368C11C2"/>
    <w:rsid w:val="36AC716F"/>
    <w:rsid w:val="36D6243D"/>
    <w:rsid w:val="36D87F64"/>
    <w:rsid w:val="36F32FEF"/>
    <w:rsid w:val="36F40B16"/>
    <w:rsid w:val="371A057C"/>
    <w:rsid w:val="373553B6"/>
    <w:rsid w:val="373B6744"/>
    <w:rsid w:val="37490E61"/>
    <w:rsid w:val="37692862"/>
    <w:rsid w:val="37695060"/>
    <w:rsid w:val="376D6381"/>
    <w:rsid w:val="377D0B0B"/>
    <w:rsid w:val="37A662B4"/>
    <w:rsid w:val="37AA2584"/>
    <w:rsid w:val="37B56400"/>
    <w:rsid w:val="37BE35FD"/>
    <w:rsid w:val="37BF7375"/>
    <w:rsid w:val="37D72911"/>
    <w:rsid w:val="37DF17C6"/>
    <w:rsid w:val="381A45AC"/>
    <w:rsid w:val="383B4C4E"/>
    <w:rsid w:val="386555A5"/>
    <w:rsid w:val="38795776"/>
    <w:rsid w:val="38AA1DD4"/>
    <w:rsid w:val="38C5276A"/>
    <w:rsid w:val="38CE5AC2"/>
    <w:rsid w:val="38D34E86"/>
    <w:rsid w:val="38D97FC3"/>
    <w:rsid w:val="38DE382B"/>
    <w:rsid w:val="38F31B98"/>
    <w:rsid w:val="38FC0C25"/>
    <w:rsid w:val="391A2AB5"/>
    <w:rsid w:val="391C5EDB"/>
    <w:rsid w:val="392C27E9"/>
    <w:rsid w:val="393B3584"/>
    <w:rsid w:val="39610CA2"/>
    <w:rsid w:val="39BC1DBE"/>
    <w:rsid w:val="39C742BF"/>
    <w:rsid w:val="3A1C0AAF"/>
    <w:rsid w:val="3A500759"/>
    <w:rsid w:val="3A557B1D"/>
    <w:rsid w:val="3A8408A1"/>
    <w:rsid w:val="3A905C8A"/>
    <w:rsid w:val="3A916DA7"/>
    <w:rsid w:val="3A961B24"/>
    <w:rsid w:val="3AA36ADA"/>
    <w:rsid w:val="3AEE274E"/>
    <w:rsid w:val="3B091033"/>
    <w:rsid w:val="3B0F23C2"/>
    <w:rsid w:val="3B111A40"/>
    <w:rsid w:val="3B3360B0"/>
    <w:rsid w:val="3B4B53E2"/>
    <w:rsid w:val="3B60677A"/>
    <w:rsid w:val="3B636954"/>
    <w:rsid w:val="3B862684"/>
    <w:rsid w:val="3B967B1B"/>
    <w:rsid w:val="3B9E60AB"/>
    <w:rsid w:val="3BB15227"/>
    <w:rsid w:val="3BD11425"/>
    <w:rsid w:val="3BDD7DCA"/>
    <w:rsid w:val="3BEB698B"/>
    <w:rsid w:val="3BF515B8"/>
    <w:rsid w:val="3C2A0F73"/>
    <w:rsid w:val="3C552056"/>
    <w:rsid w:val="3C574020"/>
    <w:rsid w:val="3CA8662A"/>
    <w:rsid w:val="3CAA23A2"/>
    <w:rsid w:val="3CB7243C"/>
    <w:rsid w:val="3CB72D11"/>
    <w:rsid w:val="3CBA010B"/>
    <w:rsid w:val="3CC33464"/>
    <w:rsid w:val="3CF33D49"/>
    <w:rsid w:val="3D0870C9"/>
    <w:rsid w:val="3D1160FD"/>
    <w:rsid w:val="3D4A5E08"/>
    <w:rsid w:val="3D5B019B"/>
    <w:rsid w:val="3D6372EC"/>
    <w:rsid w:val="3D69400B"/>
    <w:rsid w:val="3D7724B9"/>
    <w:rsid w:val="3D8C7CFA"/>
    <w:rsid w:val="3DAC5CA6"/>
    <w:rsid w:val="3DC56D68"/>
    <w:rsid w:val="3DDF03A6"/>
    <w:rsid w:val="3E016501"/>
    <w:rsid w:val="3E10092B"/>
    <w:rsid w:val="3E18333B"/>
    <w:rsid w:val="3E29379B"/>
    <w:rsid w:val="3E3E7246"/>
    <w:rsid w:val="3E4B1963"/>
    <w:rsid w:val="3E75253C"/>
    <w:rsid w:val="3E774506"/>
    <w:rsid w:val="3E7C7D6E"/>
    <w:rsid w:val="3E8135D7"/>
    <w:rsid w:val="3E8978EB"/>
    <w:rsid w:val="3E9A3641"/>
    <w:rsid w:val="3E9E1A93"/>
    <w:rsid w:val="3EB94B1E"/>
    <w:rsid w:val="3ECB6600"/>
    <w:rsid w:val="3ED74FA5"/>
    <w:rsid w:val="3ED75595"/>
    <w:rsid w:val="3EDB4A95"/>
    <w:rsid w:val="3EE218BB"/>
    <w:rsid w:val="3F150636"/>
    <w:rsid w:val="3F204B9E"/>
    <w:rsid w:val="3F367F1D"/>
    <w:rsid w:val="3F6525B0"/>
    <w:rsid w:val="3F6A7BC7"/>
    <w:rsid w:val="3F9133A5"/>
    <w:rsid w:val="3F980BD8"/>
    <w:rsid w:val="3FA806EF"/>
    <w:rsid w:val="3FB11C9A"/>
    <w:rsid w:val="3FCE0156"/>
    <w:rsid w:val="3FD31124"/>
    <w:rsid w:val="3FEE07F8"/>
    <w:rsid w:val="401B1A9A"/>
    <w:rsid w:val="401C35B7"/>
    <w:rsid w:val="40354679"/>
    <w:rsid w:val="404C3770"/>
    <w:rsid w:val="404E573A"/>
    <w:rsid w:val="40580367"/>
    <w:rsid w:val="406B009A"/>
    <w:rsid w:val="40703903"/>
    <w:rsid w:val="40833636"/>
    <w:rsid w:val="408D0011"/>
    <w:rsid w:val="40AF442B"/>
    <w:rsid w:val="40D43E92"/>
    <w:rsid w:val="40E0482E"/>
    <w:rsid w:val="40E109B7"/>
    <w:rsid w:val="40E67721"/>
    <w:rsid w:val="4101455B"/>
    <w:rsid w:val="410C362B"/>
    <w:rsid w:val="41456B3D"/>
    <w:rsid w:val="415914C1"/>
    <w:rsid w:val="41662610"/>
    <w:rsid w:val="418F600A"/>
    <w:rsid w:val="41911D83"/>
    <w:rsid w:val="41AA69A0"/>
    <w:rsid w:val="41B25855"/>
    <w:rsid w:val="41C21F3C"/>
    <w:rsid w:val="41CA2B9F"/>
    <w:rsid w:val="41EA1493"/>
    <w:rsid w:val="41FF6CEC"/>
    <w:rsid w:val="421D7172"/>
    <w:rsid w:val="422B7AE1"/>
    <w:rsid w:val="425F3C2F"/>
    <w:rsid w:val="42786A9F"/>
    <w:rsid w:val="427C033D"/>
    <w:rsid w:val="42A87384"/>
    <w:rsid w:val="42B850ED"/>
    <w:rsid w:val="42E63A08"/>
    <w:rsid w:val="431762B8"/>
    <w:rsid w:val="43210EE4"/>
    <w:rsid w:val="432A0910"/>
    <w:rsid w:val="432A5FEB"/>
    <w:rsid w:val="43421586"/>
    <w:rsid w:val="43544E16"/>
    <w:rsid w:val="4374738E"/>
    <w:rsid w:val="43831019"/>
    <w:rsid w:val="43866F99"/>
    <w:rsid w:val="43B27D8E"/>
    <w:rsid w:val="43DD4E0B"/>
    <w:rsid w:val="43E738FD"/>
    <w:rsid w:val="43E77A38"/>
    <w:rsid w:val="43E93761"/>
    <w:rsid w:val="43E97C54"/>
    <w:rsid w:val="43EC32A0"/>
    <w:rsid w:val="43F62371"/>
    <w:rsid w:val="43FF1225"/>
    <w:rsid w:val="444C01E3"/>
    <w:rsid w:val="447137A5"/>
    <w:rsid w:val="44727838"/>
    <w:rsid w:val="448C6831"/>
    <w:rsid w:val="449000D0"/>
    <w:rsid w:val="44BD69EB"/>
    <w:rsid w:val="44C24001"/>
    <w:rsid w:val="44DA57EF"/>
    <w:rsid w:val="44DC50C3"/>
    <w:rsid w:val="44EB79FC"/>
    <w:rsid w:val="45050ABD"/>
    <w:rsid w:val="4508235C"/>
    <w:rsid w:val="450D7972"/>
    <w:rsid w:val="45126D36"/>
    <w:rsid w:val="452623BD"/>
    <w:rsid w:val="452B4BB5"/>
    <w:rsid w:val="452B604A"/>
    <w:rsid w:val="45344C8A"/>
    <w:rsid w:val="454F3AE7"/>
    <w:rsid w:val="45504460"/>
    <w:rsid w:val="45572494"/>
    <w:rsid w:val="457B0D80"/>
    <w:rsid w:val="45A76173"/>
    <w:rsid w:val="45C06792"/>
    <w:rsid w:val="45D40490"/>
    <w:rsid w:val="45EF323D"/>
    <w:rsid w:val="45F14B9E"/>
    <w:rsid w:val="45F63CE4"/>
    <w:rsid w:val="45FD79E7"/>
    <w:rsid w:val="460D74FE"/>
    <w:rsid w:val="46144D30"/>
    <w:rsid w:val="46317690"/>
    <w:rsid w:val="46445615"/>
    <w:rsid w:val="46477F15"/>
    <w:rsid w:val="46511AE0"/>
    <w:rsid w:val="46755612"/>
    <w:rsid w:val="46A460B4"/>
    <w:rsid w:val="46B53E1D"/>
    <w:rsid w:val="46D5626E"/>
    <w:rsid w:val="47072D52"/>
    <w:rsid w:val="47134FE8"/>
    <w:rsid w:val="47460F19"/>
    <w:rsid w:val="475F3D89"/>
    <w:rsid w:val="47632D59"/>
    <w:rsid w:val="47857C94"/>
    <w:rsid w:val="478B4B7E"/>
    <w:rsid w:val="479223B1"/>
    <w:rsid w:val="47B02DD5"/>
    <w:rsid w:val="47B73BC5"/>
    <w:rsid w:val="47EB386F"/>
    <w:rsid w:val="47EC39BF"/>
    <w:rsid w:val="47FB1D04"/>
    <w:rsid w:val="47FE35A2"/>
    <w:rsid w:val="48396CD0"/>
    <w:rsid w:val="483D40CA"/>
    <w:rsid w:val="483E7E42"/>
    <w:rsid w:val="48660E58"/>
    <w:rsid w:val="48741AB6"/>
    <w:rsid w:val="488241D3"/>
    <w:rsid w:val="48961A2D"/>
    <w:rsid w:val="48B85E47"/>
    <w:rsid w:val="48D30B46"/>
    <w:rsid w:val="48EE2BC9"/>
    <w:rsid w:val="48F65F2A"/>
    <w:rsid w:val="49364C33"/>
    <w:rsid w:val="495C4A24"/>
    <w:rsid w:val="49830203"/>
    <w:rsid w:val="49A44BB2"/>
    <w:rsid w:val="49B06B1E"/>
    <w:rsid w:val="49B72A97"/>
    <w:rsid w:val="49C425C9"/>
    <w:rsid w:val="49E54A1A"/>
    <w:rsid w:val="49E8275C"/>
    <w:rsid w:val="4A0B36CD"/>
    <w:rsid w:val="4A477482"/>
    <w:rsid w:val="4A4F4589"/>
    <w:rsid w:val="4A600544"/>
    <w:rsid w:val="4A630034"/>
    <w:rsid w:val="4A69564B"/>
    <w:rsid w:val="4A913A8A"/>
    <w:rsid w:val="4AA30431"/>
    <w:rsid w:val="4ABB39CC"/>
    <w:rsid w:val="4ACA1E61"/>
    <w:rsid w:val="4ACE1952"/>
    <w:rsid w:val="4AD66A58"/>
    <w:rsid w:val="4ADD3943"/>
    <w:rsid w:val="4B3A7B4E"/>
    <w:rsid w:val="4B3D2633"/>
    <w:rsid w:val="4B490FD8"/>
    <w:rsid w:val="4B555BCF"/>
    <w:rsid w:val="4B614574"/>
    <w:rsid w:val="4B6776B0"/>
    <w:rsid w:val="4B6B71A0"/>
    <w:rsid w:val="4B771FE9"/>
    <w:rsid w:val="4B9A5CD8"/>
    <w:rsid w:val="4BB451DE"/>
    <w:rsid w:val="4BCE772F"/>
    <w:rsid w:val="4C511FFD"/>
    <w:rsid w:val="4C516396"/>
    <w:rsid w:val="4C6A56AA"/>
    <w:rsid w:val="4C8A5D4C"/>
    <w:rsid w:val="4C8F3363"/>
    <w:rsid w:val="4CAD5597"/>
    <w:rsid w:val="4CCC0113"/>
    <w:rsid w:val="4CCE3E8B"/>
    <w:rsid w:val="4CDD5E7C"/>
    <w:rsid w:val="4CFB4554"/>
    <w:rsid w:val="4D365E4F"/>
    <w:rsid w:val="4D3A5B11"/>
    <w:rsid w:val="4D3D691B"/>
    <w:rsid w:val="4D6148E2"/>
    <w:rsid w:val="4D6B792C"/>
    <w:rsid w:val="4D7A36CB"/>
    <w:rsid w:val="4D891114"/>
    <w:rsid w:val="4DC44E80"/>
    <w:rsid w:val="4DD252B5"/>
    <w:rsid w:val="4DD74FC1"/>
    <w:rsid w:val="4DFC0584"/>
    <w:rsid w:val="4E0631B0"/>
    <w:rsid w:val="4E0B07C7"/>
    <w:rsid w:val="4E2A50F1"/>
    <w:rsid w:val="4E342F84"/>
    <w:rsid w:val="4E4F6905"/>
    <w:rsid w:val="4E4F7A0A"/>
    <w:rsid w:val="4E65214E"/>
    <w:rsid w:val="4E656129"/>
    <w:rsid w:val="4E8A5B90"/>
    <w:rsid w:val="4E9B7735"/>
    <w:rsid w:val="4EA76741"/>
    <w:rsid w:val="4ED17C62"/>
    <w:rsid w:val="4ED80FF1"/>
    <w:rsid w:val="4ED92673"/>
    <w:rsid w:val="4EE74D90"/>
    <w:rsid w:val="4EEB576A"/>
    <w:rsid w:val="4EFB4CDF"/>
    <w:rsid w:val="4F3302E1"/>
    <w:rsid w:val="4F391364"/>
    <w:rsid w:val="4F42290E"/>
    <w:rsid w:val="4F4C1097"/>
    <w:rsid w:val="4F6C23FB"/>
    <w:rsid w:val="4F7F321A"/>
    <w:rsid w:val="4F895E47"/>
    <w:rsid w:val="4F90367A"/>
    <w:rsid w:val="4F9D5D96"/>
    <w:rsid w:val="4FB725A9"/>
    <w:rsid w:val="4FC60E49"/>
    <w:rsid w:val="4FF9121F"/>
    <w:rsid w:val="50033E4B"/>
    <w:rsid w:val="50062B38"/>
    <w:rsid w:val="500D4CCA"/>
    <w:rsid w:val="50236859"/>
    <w:rsid w:val="50666188"/>
    <w:rsid w:val="507146DC"/>
    <w:rsid w:val="50744D49"/>
    <w:rsid w:val="50964CC0"/>
    <w:rsid w:val="50B52C6C"/>
    <w:rsid w:val="50BB64D4"/>
    <w:rsid w:val="50BD049E"/>
    <w:rsid w:val="50CF3D2E"/>
    <w:rsid w:val="50EE68AA"/>
    <w:rsid w:val="512322CB"/>
    <w:rsid w:val="5134567A"/>
    <w:rsid w:val="5139564B"/>
    <w:rsid w:val="51415797"/>
    <w:rsid w:val="516C62F1"/>
    <w:rsid w:val="51894824"/>
    <w:rsid w:val="51937451"/>
    <w:rsid w:val="51986815"/>
    <w:rsid w:val="51CD2963"/>
    <w:rsid w:val="51EB4B97"/>
    <w:rsid w:val="520774F7"/>
    <w:rsid w:val="526B3F2A"/>
    <w:rsid w:val="52775DEE"/>
    <w:rsid w:val="527E3C5D"/>
    <w:rsid w:val="527F3531"/>
    <w:rsid w:val="5290573F"/>
    <w:rsid w:val="52AF3E17"/>
    <w:rsid w:val="52BA27BB"/>
    <w:rsid w:val="52D95337"/>
    <w:rsid w:val="52DD4E28"/>
    <w:rsid w:val="52E02860"/>
    <w:rsid w:val="52E166C3"/>
    <w:rsid w:val="52E864CC"/>
    <w:rsid w:val="53035F10"/>
    <w:rsid w:val="531620E8"/>
    <w:rsid w:val="53226CDE"/>
    <w:rsid w:val="53285977"/>
    <w:rsid w:val="532E5683"/>
    <w:rsid w:val="53394B05"/>
    <w:rsid w:val="534C3D5B"/>
    <w:rsid w:val="5382152B"/>
    <w:rsid w:val="5385101B"/>
    <w:rsid w:val="538C23AA"/>
    <w:rsid w:val="53B17155"/>
    <w:rsid w:val="53B61F77"/>
    <w:rsid w:val="53C5766A"/>
    <w:rsid w:val="53D210FD"/>
    <w:rsid w:val="53D77AC9"/>
    <w:rsid w:val="53E46B80"/>
    <w:rsid w:val="53E775E0"/>
    <w:rsid w:val="53EE2FD4"/>
    <w:rsid w:val="541A79B6"/>
    <w:rsid w:val="541B5774"/>
    <w:rsid w:val="543A6EAD"/>
    <w:rsid w:val="54422A68"/>
    <w:rsid w:val="544467E1"/>
    <w:rsid w:val="544E11C2"/>
    <w:rsid w:val="544E765F"/>
    <w:rsid w:val="54617548"/>
    <w:rsid w:val="5463310B"/>
    <w:rsid w:val="546E1AAF"/>
    <w:rsid w:val="54770964"/>
    <w:rsid w:val="54A51975"/>
    <w:rsid w:val="54BE3514"/>
    <w:rsid w:val="54E3249D"/>
    <w:rsid w:val="54F71AA5"/>
    <w:rsid w:val="551E7032"/>
    <w:rsid w:val="55432450"/>
    <w:rsid w:val="555E38D2"/>
    <w:rsid w:val="55747599"/>
    <w:rsid w:val="55985036"/>
    <w:rsid w:val="55AE2AAB"/>
    <w:rsid w:val="55CA0F67"/>
    <w:rsid w:val="55F304BE"/>
    <w:rsid w:val="563805C7"/>
    <w:rsid w:val="56694C24"/>
    <w:rsid w:val="566B1984"/>
    <w:rsid w:val="56950B3F"/>
    <w:rsid w:val="56A1160C"/>
    <w:rsid w:val="56B04601"/>
    <w:rsid w:val="56BD287A"/>
    <w:rsid w:val="56C43C09"/>
    <w:rsid w:val="56D57BC4"/>
    <w:rsid w:val="56DB78D0"/>
    <w:rsid w:val="56ED7603"/>
    <w:rsid w:val="56F3629C"/>
    <w:rsid w:val="56F72230"/>
    <w:rsid w:val="56FC7846"/>
    <w:rsid w:val="571444FF"/>
    <w:rsid w:val="571479EE"/>
    <w:rsid w:val="5721105B"/>
    <w:rsid w:val="57672F12"/>
    <w:rsid w:val="57741E27"/>
    <w:rsid w:val="57917F8F"/>
    <w:rsid w:val="579E776A"/>
    <w:rsid w:val="57AD737E"/>
    <w:rsid w:val="57B343A9"/>
    <w:rsid w:val="57C32112"/>
    <w:rsid w:val="57C57C38"/>
    <w:rsid w:val="57CC7219"/>
    <w:rsid w:val="57D1482F"/>
    <w:rsid w:val="57D63BF4"/>
    <w:rsid w:val="5803016F"/>
    <w:rsid w:val="5818420C"/>
    <w:rsid w:val="5822508B"/>
    <w:rsid w:val="582708F3"/>
    <w:rsid w:val="583C7C96"/>
    <w:rsid w:val="584E7C2E"/>
    <w:rsid w:val="58711B6E"/>
    <w:rsid w:val="5875340D"/>
    <w:rsid w:val="58856AF7"/>
    <w:rsid w:val="588C69A8"/>
    <w:rsid w:val="589A2E73"/>
    <w:rsid w:val="589C308F"/>
    <w:rsid w:val="58BA19B2"/>
    <w:rsid w:val="58BA7E6C"/>
    <w:rsid w:val="58CD149A"/>
    <w:rsid w:val="58F72073"/>
    <w:rsid w:val="58FA6008"/>
    <w:rsid w:val="58FC3B2E"/>
    <w:rsid w:val="590D1897"/>
    <w:rsid w:val="593432C8"/>
    <w:rsid w:val="593C217C"/>
    <w:rsid w:val="5943175D"/>
    <w:rsid w:val="594D25DB"/>
    <w:rsid w:val="594E4DC3"/>
    <w:rsid w:val="59561490"/>
    <w:rsid w:val="5959467B"/>
    <w:rsid w:val="595C45CC"/>
    <w:rsid w:val="59701E26"/>
    <w:rsid w:val="59705BA9"/>
    <w:rsid w:val="597E09E7"/>
    <w:rsid w:val="598D700C"/>
    <w:rsid w:val="598F04FE"/>
    <w:rsid w:val="59A0095D"/>
    <w:rsid w:val="59C77C98"/>
    <w:rsid w:val="59CC10D9"/>
    <w:rsid w:val="5A105AE3"/>
    <w:rsid w:val="5A2A0227"/>
    <w:rsid w:val="5A382944"/>
    <w:rsid w:val="5A3B4BCC"/>
    <w:rsid w:val="5A584D94"/>
    <w:rsid w:val="5A7B74D4"/>
    <w:rsid w:val="5A83592C"/>
    <w:rsid w:val="5A930F89"/>
    <w:rsid w:val="5AB9459A"/>
    <w:rsid w:val="5AD15BF9"/>
    <w:rsid w:val="5AEB20AC"/>
    <w:rsid w:val="5B1C66FD"/>
    <w:rsid w:val="5B2829B8"/>
    <w:rsid w:val="5B663971"/>
    <w:rsid w:val="5B96494F"/>
    <w:rsid w:val="5B9B5880"/>
    <w:rsid w:val="5BA67D81"/>
    <w:rsid w:val="5BC533DA"/>
    <w:rsid w:val="5BCD17B1"/>
    <w:rsid w:val="5BED775E"/>
    <w:rsid w:val="5BF907F8"/>
    <w:rsid w:val="5C162C69"/>
    <w:rsid w:val="5C403D4D"/>
    <w:rsid w:val="5C464A56"/>
    <w:rsid w:val="5C4E644E"/>
    <w:rsid w:val="5C502193"/>
    <w:rsid w:val="5C6A7000"/>
    <w:rsid w:val="5C725072"/>
    <w:rsid w:val="5C7B120D"/>
    <w:rsid w:val="5C920267"/>
    <w:rsid w:val="5CAC13C7"/>
    <w:rsid w:val="5CB14C2F"/>
    <w:rsid w:val="5CCC1A69"/>
    <w:rsid w:val="5D2E4FDA"/>
    <w:rsid w:val="5D5201C0"/>
    <w:rsid w:val="5D7B36EF"/>
    <w:rsid w:val="5D9E4E29"/>
    <w:rsid w:val="5DB744C7"/>
    <w:rsid w:val="5DB84221"/>
    <w:rsid w:val="5E135D11"/>
    <w:rsid w:val="5E6E2F22"/>
    <w:rsid w:val="5E84014A"/>
    <w:rsid w:val="5E9B59CB"/>
    <w:rsid w:val="5EB10F16"/>
    <w:rsid w:val="5EC46E9C"/>
    <w:rsid w:val="5ECE6AE2"/>
    <w:rsid w:val="5EF07C91"/>
    <w:rsid w:val="5EFA0B0F"/>
    <w:rsid w:val="5EFB03E4"/>
    <w:rsid w:val="5F0977E5"/>
    <w:rsid w:val="5F0B4ACB"/>
    <w:rsid w:val="5F0C439F"/>
    <w:rsid w:val="5F1B5C08"/>
    <w:rsid w:val="5F313E05"/>
    <w:rsid w:val="5F385194"/>
    <w:rsid w:val="5F645F89"/>
    <w:rsid w:val="5F6C2999"/>
    <w:rsid w:val="5F824661"/>
    <w:rsid w:val="5F8D1984"/>
    <w:rsid w:val="5F961333"/>
    <w:rsid w:val="5FB52C88"/>
    <w:rsid w:val="5FC058B5"/>
    <w:rsid w:val="5FC30F01"/>
    <w:rsid w:val="5FC52ECB"/>
    <w:rsid w:val="5FE07D05"/>
    <w:rsid w:val="600F3677"/>
    <w:rsid w:val="602B6AA7"/>
    <w:rsid w:val="60363DC9"/>
    <w:rsid w:val="60433DF0"/>
    <w:rsid w:val="604C539B"/>
    <w:rsid w:val="60636240"/>
    <w:rsid w:val="6065645C"/>
    <w:rsid w:val="60681AA9"/>
    <w:rsid w:val="609F196E"/>
    <w:rsid w:val="60A26D69"/>
    <w:rsid w:val="60B62814"/>
    <w:rsid w:val="60BD3BA3"/>
    <w:rsid w:val="60DD6049"/>
    <w:rsid w:val="610C4B2A"/>
    <w:rsid w:val="6131633F"/>
    <w:rsid w:val="6171498D"/>
    <w:rsid w:val="618B118B"/>
    <w:rsid w:val="619012B7"/>
    <w:rsid w:val="619E438F"/>
    <w:rsid w:val="61A86601"/>
    <w:rsid w:val="61AD3E67"/>
    <w:rsid w:val="61B64F19"/>
    <w:rsid w:val="61CD7F83"/>
    <w:rsid w:val="61D7354F"/>
    <w:rsid w:val="61ED495B"/>
    <w:rsid w:val="61EE5FDE"/>
    <w:rsid w:val="61EF4230"/>
    <w:rsid w:val="61FA0313"/>
    <w:rsid w:val="6200643D"/>
    <w:rsid w:val="620D2908"/>
    <w:rsid w:val="62377985"/>
    <w:rsid w:val="623E6F65"/>
    <w:rsid w:val="62516C98"/>
    <w:rsid w:val="62522A10"/>
    <w:rsid w:val="625D388F"/>
    <w:rsid w:val="626F5370"/>
    <w:rsid w:val="627B5AC3"/>
    <w:rsid w:val="62A74B0A"/>
    <w:rsid w:val="62B249B4"/>
    <w:rsid w:val="62EA49F7"/>
    <w:rsid w:val="630930CF"/>
    <w:rsid w:val="630A6E47"/>
    <w:rsid w:val="632A1297"/>
    <w:rsid w:val="63462575"/>
    <w:rsid w:val="6347768A"/>
    <w:rsid w:val="63513DAB"/>
    <w:rsid w:val="635E019B"/>
    <w:rsid w:val="63732C3E"/>
    <w:rsid w:val="637A221F"/>
    <w:rsid w:val="63804284"/>
    <w:rsid w:val="63A177AC"/>
    <w:rsid w:val="63C43E81"/>
    <w:rsid w:val="63CC234F"/>
    <w:rsid w:val="63E038EF"/>
    <w:rsid w:val="63F45F9A"/>
    <w:rsid w:val="640D6BEF"/>
    <w:rsid w:val="64356146"/>
    <w:rsid w:val="646D1D84"/>
    <w:rsid w:val="647A41FA"/>
    <w:rsid w:val="649E3CEB"/>
    <w:rsid w:val="64A62BA0"/>
    <w:rsid w:val="64BB1BF4"/>
    <w:rsid w:val="64F77491"/>
    <w:rsid w:val="65046244"/>
    <w:rsid w:val="651A39E8"/>
    <w:rsid w:val="652A5B5F"/>
    <w:rsid w:val="653D3504"/>
    <w:rsid w:val="654B6723"/>
    <w:rsid w:val="654E5711"/>
    <w:rsid w:val="6550347A"/>
    <w:rsid w:val="65554CF2"/>
    <w:rsid w:val="65741C3D"/>
    <w:rsid w:val="65907AD8"/>
    <w:rsid w:val="65982E30"/>
    <w:rsid w:val="65984BDE"/>
    <w:rsid w:val="65B23EF2"/>
    <w:rsid w:val="65E17F2C"/>
    <w:rsid w:val="65F6721C"/>
    <w:rsid w:val="66145EEA"/>
    <w:rsid w:val="6618187B"/>
    <w:rsid w:val="662B07CB"/>
    <w:rsid w:val="662D17CA"/>
    <w:rsid w:val="664B39FF"/>
    <w:rsid w:val="6659611C"/>
    <w:rsid w:val="66650F64"/>
    <w:rsid w:val="667E2026"/>
    <w:rsid w:val="66A15D14"/>
    <w:rsid w:val="66A219E9"/>
    <w:rsid w:val="66B25244"/>
    <w:rsid w:val="66BC2B4E"/>
    <w:rsid w:val="66C37A39"/>
    <w:rsid w:val="66CF2882"/>
    <w:rsid w:val="66E300DB"/>
    <w:rsid w:val="66FA497B"/>
    <w:rsid w:val="67226E55"/>
    <w:rsid w:val="672524A2"/>
    <w:rsid w:val="6759039D"/>
    <w:rsid w:val="67784CC7"/>
    <w:rsid w:val="67BF46A4"/>
    <w:rsid w:val="67D87514"/>
    <w:rsid w:val="67E60BCD"/>
    <w:rsid w:val="67FA1A5E"/>
    <w:rsid w:val="6804655B"/>
    <w:rsid w:val="68381AF2"/>
    <w:rsid w:val="68525518"/>
    <w:rsid w:val="68686AEA"/>
    <w:rsid w:val="688A2F04"/>
    <w:rsid w:val="68907DEF"/>
    <w:rsid w:val="690A5DF3"/>
    <w:rsid w:val="69112CDD"/>
    <w:rsid w:val="69194288"/>
    <w:rsid w:val="69354EFB"/>
    <w:rsid w:val="6937396B"/>
    <w:rsid w:val="693966D8"/>
    <w:rsid w:val="697119CE"/>
    <w:rsid w:val="69BD0841"/>
    <w:rsid w:val="69C75B99"/>
    <w:rsid w:val="6A211646"/>
    <w:rsid w:val="6A3550F2"/>
    <w:rsid w:val="6A570BC4"/>
    <w:rsid w:val="6A627569"/>
    <w:rsid w:val="6A841BD5"/>
    <w:rsid w:val="6AB53B3C"/>
    <w:rsid w:val="6AF24D91"/>
    <w:rsid w:val="6B036F9E"/>
    <w:rsid w:val="6B1B6095"/>
    <w:rsid w:val="6B321631"/>
    <w:rsid w:val="6B3C0C30"/>
    <w:rsid w:val="6B562347"/>
    <w:rsid w:val="6B947BF6"/>
    <w:rsid w:val="6B9B71D6"/>
    <w:rsid w:val="6BD6020E"/>
    <w:rsid w:val="6C3F4006"/>
    <w:rsid w:val="6C4E4249"/>
    <w:rsid w:val="6C841DBF"/>
    <w:rsid w:val="6C8C6B1F"/>
    <w:rsid w:val="6CA83959"/>
    <w:rsid w:val="6CAB51F7"/>
    <w:rsid w:val="6CC62031"/>
    <w:rsid w:val="6CCF5389"/>
    <w:rsid w:val="6D0668D1"/>
    <w:rsid w:val="6D081BFA"/>
    <w:rsid w:val="6D142D9C"/>
    <w:rsid w:val="6D156B14"/>
    <w:rsid w:val="6D1E3C1B"/>
    <w:rsid w:val="6D2C27DC"/>
    <w:rsid w:val="6D2F7BD6"/>
    <w:rsid w:val="6D4573FA"/>
    <w:rsid w:val="6D4A4A10"/>
    <w:rsid w:val="6D5B4E6F"/>
    <w:rsid w:val="6D604233"/>
    <w:rsid w:val="6D785A21"/>
    <w:rsid w:val="6DAF51BB"/>
    <w:rsid w:val="6DD8026E"/>
    <w:rsid w:val="6DDB7D5E"/>
    <w:rsid w:val="6DEE7A91"/>
    <w:rsid w:val="6DF8446C"/>
    <w:rsid w:val="6E0252EB"/>
    <w:rsid w:val="6E1F649C"/>
    <w:rsid w:val="6E3B6A4F"/>
    <w:rsid w:val="6E4C47B8"/>
    <w:rsid w:val="6E751F61"/>
    <w:rsid w:val="6E9D3265"/>
    <w:rsid w:val="6EA6036C"/>
    <w:rsid w:val="6EA939B8"/>
    <w:rsid w:val="6EAA49ED"/>
    <w:rsid w:val="6EC47C66"/>
    <w:rsid w:val="6ED8604B"/>
    <w:rsid w:val="6EE829FC"/>
    <w:rsid w:val="6EF015E7"/>
    <w:rsid w:val="6F047DDC"/>
    <w:rsid w:val="6F060E0B"/>
    <w:rsid w:val="6F0B4673"/>
    <w:rsid w:val="6F0F4163"/>
    <w:rsid w:val="6F1B2B08"/>
    <w:rsid w:val="6F2A4AF9"/>
    <w:rsid w:val="6F4162E7"/>
    <w:rsid w:val="6F4B2CC1"/>
    <w:rsid w:val="6F5C6C7D"/>
    <w:rsid w:val="6F795A80"/>
    <w:rsid w:val="6F863CF9"/>
    <w:rsid w:val="6F9208F0"/>
    <w:rsid w:val="6F944668"/>
    <w:rsid w:val="6F9B37DF"/>
    <w:rsid w:val="6FAF18CA"/>
    <w:rsid w:val="6FB940CF"/>
    <w:rsid w:val="6FDF4162"/>
    <w:rsid w:val="6FE07B7D"/>
    <w:rsid w:val="6FE54EC4"/>
    <w:rsid w:val="6FE56C72"/>
    <w:rsid w:val="6FE729EA"/>
    <w:rsid w:val="7012394F"/>
    <w:rsid w:val="7020414E"/>
    <w:rsid w:val="70473489"/>
    <w:rsid w:val="70775C47"/>
    <w:rsid w:val="70791FDC"/>
    <w:rsid w:val="70BB28C7"/>
    <w:rsid w:val="70C64CF5"/>
    <w:rsid w:val="70CB230C"/>
    <w:rsid w:val="70EE7DA8"/>
    <w:rsid w:val="710D6480"/>
    <w:rsid w:val="71290DE0"/>
    <w:rsid w:val="71306613"/>
    <w:rsid w:val="714F4CEB"/>
    <w:rsid w:val="71526589"/>
    <w:rsid w:val="715916C6"/>
    <w:rsid w:val="71630796"/>
    <w:rsid w:val="716342F2"/>
    <w:rsid w:val="71685DAD"/>
    <w:rsid w:val="717A163C"/>
    <w:rsid w:val="71B44B4E"/>
    <w:rsid w:val="71B763EC"/>
    <w:rsid w:val="71C254BD"/>
    <w:rsid w:val="71C50B09"/>
    <w:rsid w:val="71D90A58"/>
    <w:rsid w:val="72231CD3"/>
    <w:rsid w:val="723C3FAF"/>
    <w:rsid w:val="72582531"/>
    <w:rsid w:val="72C9533D"/>
    <w:rsid w:val="72D54D7C"/>
    <w:rsid w:val="72D57472"/>
    <w:rsid w:val="72E90D7F"/>
    <w:rsid w:val="72FD42D3"/>
    <w:rsid w:val="73261A7B"/>
    <w:rsid w:val="733107D8"/>
    <w:rsid w:val="733B15C3"/>
    <w:rsid w:val="735D2FC3"/>
    <w:rsid w:val="737C169B"/>
    <w:rsid w:val="73974727"/>
    <w:rsid w:val="73A62BBC"/>
    <w:rsid w:val="73BB6668"/>
    <w:rsid w:val="73E51C2F"/>
    <w:rsid w:val="73E80675"/>
    <w:rsid w:val="73EA0CFB"/>
    <w:rsid w:val="73FE47A6"/>
    <w:rsid w:val="74030593"/>
    <w:rsid w:val="740873D3"/>
    <w:rsid w:val="740B2A1F"/>
    <w:rsid w:val="744321B9"/>
    <w:rsid w:val="745D6531"/>
    <w:rsid w:val="74600FBD"/>
    <w:rsid w:val="74640AAD"/>
    <w:rsid w:val="748A603A"/>
    <w:rsid w:val="74AE3AD6"/>
    <w:rsid w:val="74DD362F"/>
    <w:rsid w:val="74EE06F3"/>
    <w:rsid w:val="74FA2AD6"/>
    <w:rsid w:val="750E6C6B"/>
    <w:rsid w:val="75183F91"/>
    <w:rsid w:val="751E11CC"/>
    <w:rsid w:val="758F1B5A"/>
    <w:rsid w:val="75BC66C7"/>
    <w:rsid w:val="75D82963"/>
    <w:rsid w:val="75D91027"/>
    <w:rsid w:val="760342F6"/>
    <w:rsid w:val="761553FC"/>
    <w:rsid w:val="761E2EDE"/>
    <w:rsid w:val="76437692"/>
    <w:rsid w:val="764A5A81"/>
    <w:rsid w:val="7671125F"/>
    <w:rsid w:val="7671300D"/>
    <w:rsid w:val="76DD06A3"/>
    <w:rsid w:val="76E539FB"/>
    <w:rsid w:val="76EB7264"/>
    <w:rsid w:val="76FB321F"/>
    <w:rsid w:val="772067E2"/>
    <w:rsid w:val="77342D4E"/>
    <w:rsid w:val="77364257"/>
    <w:rsid w:val="775E5A5C"/>
    <w:rsid w:val="776112D4"/>
    <w:rsid w:val="77664B3C"/>
    <w:rsid w:val="777C4360"/>
    <w:rsid w:val="777D1373"/>
    <w:rsid w:val="77882D05"/>
    <w:rsid w:val="77BF7A05"/>
    <w:rsid w:val="77D45F4A"/>
    <w:rsid w:val="77E141C3"/>
    <w:rsid w:val="77E37F3B"/>
    <w:rsid w:val="77E431A6"/>
    <w:rsid w:val="77FA7033"/>
    <w:rsid w:val="78082C12"/>
    <w:rsid w:val="7819395D"/>
    <w:rsid w:val="785C1A9B"/>
    <w:rsid w:val="78746DE5"/>
    <w:rsid w:val="78782D79"/>
    <w:rsid w:val="78A376CA"/>
    <w:rsid w:val="78EA5EF2"/>
    <w:rsid w:val="79183C14"/>
    <w:rsid w:val="791A5BDE"/>
    <w:rsid w:val="791B3704"/>
    <w:rsid w:val="7924080B"/>
    <w:rsid w:val="79256331"/>
    <w:rsid w:val="794964C4"/>
    <w:rsid w:val="795A422D"/>
    <w:rsid w:val="795F5CE7"/>
    <w:rsid w:val="79823784"/>
    <w:rsid w:val="799314ED"/>
    <w:rsid w:val="79BA191D"/>
    <w:rsid w:val="79BA4CCB"/>
    <w:rsid w:val="79C1605A"/>
    <w:rsid w:val="79D12015"/>
    <w:rsid w:val="79E306C6"/>
    <w:rsid w:val="79F3642F"/>
    <w:rsid w:val="79F857F4"/>
    <w:rsid w:val="7A275176"/>
    <w:rsid w:val="7A320D06"/>
    <w:rsid w:val="7A664E53"/>
    <w:rsid w:val="7A6A04A0"/>
    <w:rsid w:val="7A765096"/>
    <w:rsid w:val="7A7C01D3"/>
    <w:rsid w:val="7AB23BF5"/>
    <w:rsid w:val="7ACF29F8"/>
    <w:rsid w:val="7AD149C3"/>
    <w:rsid w:val="7B0A68E9"/>
    <w:rsid w:val="7B18439F"/>
    <w:rsid w:val="7B220D7A"/>
    <w:rsid w:val="7B227779"/>
    <w:rsid w:val="7B31720F"/>
    <w:rsid w:val="7B334D35"/>
    <w:rsid w:val="7B3B1E3C"/>
    <w:rsid w:val="7B666459"/>
    <w:rsid w:val="7BB33FCE"/>
    <w:rsid w:val="7C0C5586"/>
    <w:rsid w:val="7C240B22"/>
    <w:rsid w:val="7C43544C"/>
    <w:rsid w:val="7C4F2043"/>
    <w:rsid w:val="7C694787"/>
    <w:rsid w:val="7C6E6F3C"/>
    <w:rsid w:val="7C7E0232"/>
    <w:rsid w:val="7CAB4D9F"/>
    <w:rsid w:val="7CBE4AD3"/>
    <w:rsid w:val="7CC55E61"/>
    <w:rsid w:val="7CCD4D16"/>
    <w:rsid w:val="7CD460A4"/>
    <w:rsid w:val="7D056BA5"/>
    <w:rsid w:val="7D08288D"/>
    <w:rsid w:val="7D252DA4"/>
    <w:rsid w:val="7D397EFB"/>
    <w:rsid w:val="7D3D5EB1"/>
    <w:rsid w:val="7D4F0E01"/>
    <w:rsid w:val="7D5471E5"/>
    <w:rsid w:val="7D586CD5"/>
    <w:rsid w:val="7D6722A4"/>
    <w:rsid w:val="7D692C90"/>
    <w:rsid w:val="7D853842"/>
    <w:rsid w:val="7D8555F0"/>
    <w:rsid w:val="7DA4016C"/>
    <w:rsid w:val="7DA77C5D"/>
    <w:rsid w:val="7DB859C6"/>
    <w:rsid w:val="7DB879A9"/>
    <w:rsid w:val="7DC9372F"/>
    <w:rsid w:val="7DE40569"/>
    <w:rsid w:val="7DEC4B84"/>
    <w:rsid w:val="7DF12C86"/>
    <w:rsid w:val="7DF74740"/>
    <w:rsid w:val="7E114D79"/>
    <w:rsid w:val="7E1939E8"/>
    <w:rsid w:val="7E1C7D03"/>
    <w:rsid w:val="7E1F3C97"/>
    <w:rsid w:val="7E2B6198"/>
    <w:rsid w:val="7E350DC4"/>
    <w:rsid w:val="7E4F632A"/>
    <w:rsid w:val="7E682F48"/>
    <w:rsid w:val="7E747B3F"/>
    <w:rsid w:val="7E7A2C7B"/>
    <w:rsid w:val="7E801D18"/>
    <w:rsid w:val="7E90249F"/>
    <w:rsid w:val="7EBC14E6"/>
    <w:rsid w:val="7EC108AA"/>
    <w:rsid w:val="7ED93E46"/>
    <w:rsid w:val="7EED306E"/>
    <w:rsid w:val="7F032C71"/>
    <w:rsid w:val="7F0D7F93"/>
    <w:rsid w:val="7F21759B"/>
    <w:rsid w:val="7F280963"/>
    <w:rsid w:val="7F511C2E"/>
    <w:rsid w:val="7F8567C3"/>
    <w:rsid w:val="7F86582B"/>
    <w:rsid w:val="7F8C516B"/>
    <w:rsid w:val="7FA77AA0"/>
    <w:rsid w:val="7FB328E9"/>
    <w:rsid w:val="7FDB599C"/>
    <w:rsid w:val="7FE72592"/>
    <w:rsid w:val="7FF64583"/>
    <w:rsid w:val="7FFF16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3">
    <w:name w:val="heading 1"/>
    <w:basedOn w:val="1"/>
    <w:next w:val="1"/>
    <w:link w:val="36"/>
    <w:qFormat/>
    <w:uiPriority w:val="9"/>
    <w:pPr>
      <w:keepNext/>
      <w:keepLines/>
      <w:spacing w:before="340" w:after="330" w:line="578" w:lineRule="auto"/>
      <w:jc w:val="center"/>
      <w:outlineLvl w:val="0"/>
    </w:pPr>
    <w:rPr>
      <w:rFonts w:eastAsia="黑体"/>
      <w:b/>
      <w:bCs/>
      <w:kern w:val="44"/>
      <w:sz w:val="44"/>
      <w:szCs w:val="44"/>
    </w:rPr>
  </w:style>
  <w:style w:type="paragraph" w:styleId="4">
    <w:name w:val="heading 2"/>
    <w:basedOn w:val="1"/>
    <w:next w:val="1"/>
    <w:link w:val="38"/>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5">
    <w:name w:val="heading 3"/>
    <w:basedOn w:val="1"/>
    <w:next w:val="1"/>
    <w:link w:val="47"/>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48"/>
    <w:unhideWhenUsed/>
    <w:qFormat/>
    <w:uiPriority w:val="9"/>
    <w:pPr>
      <w:keepNext/>
      <w:keepLines/>
      <w:spacing w:before="280" w:after="290" w:line="376" w:lineRule="auto"/>
      <w:outlineLvl w:val="3"/>
    </w:pPr>
    <w:rPr>
      <w:rFonts w:asciiTheme="majorHAnsi" w:hAnsiTheme="majorHAnsi" w:cstheme="majorBidi"/>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35"/>
    <w:unhideWhenUsed/>
    <w:qFormat/>
    <w:uiPriority w:val="99"/>
    <w:pPr>
      <w:tabs>
        <w:tab w:val="center" w:pos="4153"/>
        <w:tab w:val="right" w:pos="8306"/>
      </w:tabs>
      <w:snapToGrid w:val="0"/>
    </w:pPr>
    <w:rPr>
      <w:sz w:val="18"/>
      <w:szCs w:val="18"/>
    </w:rPr>
  </w:style>
  <w:style w:type="paragraph" w:styleId="7">
    <w:name w:val="toc 7"/>
    <w:basedOn w:val="1"/>
    <w:next w:val="1"/>
    <w:autoRedefine/>
    <w:unhideWhenUsed/>
    <w:qFormat/>
    <w:uiPriority w:val="39"/>
    <w:pPr>
      <w:ind w:left="1440"/>
    </w:pPr>
    <w:rPr>
      <w:rFonts w:asciiTheme="minorHAnsi" w:eastAsiaTheme="minorHAnsi"/>
      <w:sz w:val="18"/>
      <w:szCs w:val="18"/>
    </w:rPr>
  </w:style>
  <w:style w:type="paragraph" w:styleId="8">
    <w:name w:val="Normal Indent"/>
    <w:basedOn w:val="1"/>
    <w:next w:val="1"/>
    <w:unhideWhenUsed/>
    <w:qFormat/>
    <w:uiPriority w:val="0"/>
    <w:pPr>
      <w:ind w:firstLine="420" w:firstLineChars="200"/>
    </w:pPr>
    <w:rPr>
      <w:rFonts w:ascii="Calibri" w:hAnsi="Calibri"/>
      <w:szCs w:val="22"/>
    </w:rPr>
  </w:style>
  <w:style w:type="paragraph" w:styleId="9">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0">
    <w:name w:val="annotation text"/>
    <w:basedOn w:val="1"/>
    <w:link w:val="45"/>
    <w:qFormat/>
    <w:uiPriority w:val="0"/>
    <w:pPr>
      <w:spacing w:line="240" w:lineRule="auto"/>
    </w:pPr>
    <w:rPr>
      <w:rFonts w:asciiTheme="minorHAnsi" w:hAnsiTheme="minorHAnsi" w:eastAsiaTheme="minorEastAsia"/>
      <w:sz w:val="21"/>
      <w:szCs w:val="24"/>
    </w:rPr>
  </w:style>
  <w:style w:type="paragraph" w:styleId="11">
    <w:name w:val="Body Text 3"/>
    <w:basedOn w:val="1"/>
    <w:link w:val="41"/>
    <w:semiHidden/>
    <w:unhideWhenUsed/>
    <w:qFormat/>
    <w:uiPriority w:val="99"/>
    <w:pPr>
      <w:spacing w:after="120"/>
    </w:pPr>
    <w:rPr>
      <w:sz w:val="16"/>
      <w:szCs w:val="16"/>
    </w:rPr>
  </w:style>
  <w:style w:type="paragraph" w:styleId="12">
    <w:name w:val="Body Text"/>
    <w:basedOn w:val="1"/>
    <w:link w:val="40"/>
    <w:unhideWhenUsed/>
    <w:qFormat/>
    <w:uiPriority w:val="99"/>
    <w:pPr>
      <w:spacing w:after="120" w:line="240" w:lineRule="auto"/>
      <w:jc w:val="both"/>
    </w:pPr>
    <w:rPr>
      <w:rFonts w:ascii="Times New Roman" w:hAnsi="Times New Roman" w:cs="Times New Roman"/>
      <w:kern w:val="0"/>
      <w:sz w:val="20"/>
      <w:szCs w:val="20"/>
    </w:rPr>
  </w:style>
  <w:style w:type="paragraph" w:styleId="13">
    <w:name w:val="Body Text Indent"/>
    <w:basedOn w:val="1"/>
    <w:unhideWhenUsed/>
    <w:qFormat/>
    <w:uiPriority w:val="0"/>
    <w:pPr>
      <w:ind w:firstLine="630"/>
    </w:pPr>
    <w:rPr>
      <w:rFonts w:eastAsia="仿宋_GB2312"/>
      <w:kern w:val="0"/>
      <w:sz w:val="32"/>
      <w:szCs w:val="20"/>
    </w:rPr>
  </w:style>
  <w:style w:type="paragraph" w:styleId="14">
    <w:name w:val="toc 5"/>
    <w:basedOn w:val="1"/>
    <w:next w:val="1"/>
    <w:autoRedefine/>
    <w:unhideWhenUsed/>
    <w:qFormat/>
    <w:uiPriority w:val="39"/>
    <w:pPr>
      <w:ind w:left="960"/>
    </w:pPr>
    <w:rPr>
      <w:rFonts w:asciiTheme="minorHAnsi" w:eastAsiaTheme="minorHAnsi"/>
      <w:sz w:val="18"/>
      <w:szCs w:val="18"/>
    </w:rPr>
  </w:style>
  <w:style w:type="paragraph" w:styleId="15">
    <w:name w:val="toc 3"/>
    <w:basedOn w:val="1"/>
    <w:next w:val="1"/>
    <w:autoRedefine/>
    <w:unhideWhenUsed/>
    <w:qFormat/>
    <w:uiPriority w:val="39"/>
    <w:pPr>
      <w:ind w:left="480"/>
    </w:pPr>
    <w:rPr>
      <w:rFonts w:asciiTheme="minorHAnsi" w:eastAsiaTheme="minorHAnsi"/>
      <w:i/>
      <w:iCs/>
      <w:sz w:val="20"/>
      <w:szCs w:val="20"/>
    </w:rPr>
  </w:style>
  <w:style w:type="paragraph" w:styleId="16">
    <w:name w:val="Plain Text"/>
    <w:basedOn w:val="1"/>
    <w:unhideWhenUsed/>
    <w:qFormat/>
    <w:uiPriority w:val="0"/>
    <w:rPr>
      <w:rFonts w:ascii="宋体" w:hAnsi="Courier New"/>
      <w:kern w:val="0"/>
      <w:sz w:val="20"/>
      <w:szCs w:val="20"/>
    </w:rPr>
  </w:style>
  <w:style w:type="paragraph" w:styleId="17">
    <w:name w:val="toc 8"/>
    <w:basedOn w:val="1"/>
    <w:next w:val="1"/>
    <w:autoRedefine/>
    <w:unhideWhenUsed/>
    <w:qFormat/>
    <w:uiPriority w:val="39"/>
    <w:pPr>
      <w:ind w:left="1680"/>
    </w:pPr>
    <w:rPr>
      <w:rFonts w:asciiTheme="minorHAnsi" w:eastAsiaTheme="minorHAnsi"/>
      <w:sz w:val="18"/>
      <w:szCs w:val="18"/>
    </w:rPr>
  </w:style>
  <w:style w:type="paragraph" w:styleId="18">
    <w:name w:val="header"/>
    <w:basedOn w:val="1"/>
    <w:link w:val="34"/>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0">
    <w:name w:val="toc 4"/>
    <w:basedOn w:val="1"/>
    <w:next w:val="1"/>
    <w:autoRedefine/>
    <w:unhideWhenUsed/>
    <w:qFormat/>
    <w:uiPriority w:val="39"/>
    <w:pPr>
      <w:ind w:left="720"/>
    </w:pPr>
    <w:rPr>
      <w:rFonts w:asciiTheme="minorHAnsi" w:eastAsiaTheme="minorHAnsi"/>
      <w:sz w:val="18"/>
      <w:szCs w:val="18"/>
    </w:rPr>
  </w:style>
  <w:style w:type="paragraph" w:styleId="21">
    <w:name w:val="footnote text"/>
    <w:basedOn w:val="1"/>
    <w:qFormat/>
    <w:uiPriority w:val="0"/>
    <w:pPr>
      <w:widowControl/>
      <w:jc w:val="left"/>
    </w:pPr>
    <w:rPr>
      <w:kern w:val="0"/>
      <w:sz w:val="20"/>
      <w:szCs w:val="20"/>
      <w:lang w:val="de-DE"/>
    </w:rPr>
  </w:style>
  <w:style w:type="paragraph" w:styleId="22">
    <w:name w:val="toc 6"/>
    <w:basedOn w:val="1"/>
    <w:next w:val="1"/>
    <w:autoRedefine/>
    <w:unhideWhenUsed/>
    <w:qFormat/>
    <w:uiPriority w:val="39"/>
    <w:pPr>
      <w:ind w:left="1200"/>
    </w:pPr>
    <w:rPr>
      <w:rFonts w:asciiTheme="minorHAnsi" w:eastAsiaTheme="minorHAnsi"/>
      <w:sz w:val="18"/>
      <w:szCs w:val="18"/>
    </w:rPr>
  </w:style>
  <w:style w:type="paragraph" w:styleId="23">
    <w:name w:val="toc 2"/>
    <w:basedOn w:val="1"/>
    <w:next w:val="1"/>
    <w:autoRedefine/>
    <w:unhideWhenUsed/>
    <w:qFormat/>
    <w:uiPriority w:val="39"/>
    <w:pPr>
      <w:ind w:left="240"/>
    </w:pPr>
    <w:rPr>
      <w:rFonts w:asciiTheme="minorHAnsi" w:eastAsiaTheme="minorHAnsi"/>
      <w:smallCaps/>
      <w:sz w:val="20"/>
      <w:szCs w:val="20"/>
    </w:rPr>
  </w:style>
  <w:style w:type="paragraph" w:styleId="24">
    <w:name w:val="toc 9"/>
    <w:basedOn w:val="1"/>
    <w:next w:val="1"/>
    <w:autoRedefine/>
    <w:unhideWhenUsed/>
    <w:qFormat/>
    <w:uiPriority w:val="39"/>
    <w:pPr>
      <w:ind w:left="1920"/>
    </w:pPr>
    <w:rPr>
      <w:rFonts w:asciiTheme="minorHAnsi" w:eastAsiaTheme="minorHAnsi"/>
      <w:sz w:val="18"/>
      <w:szCs w:val="18"/>
    </w:rPr>
  </w:style>
  <w:style w:type="paragraph" w:styleId="25">
    <w:name w:val="Normal (Web)"/>
    <w:basedOn w:val="1"/>
    <w:qFormat/>
    <w:uiPriority w:val="0"/>
    <w:pPr>
      <w:widowControl/>
      <w:spacing w:before="100" w:beforeAutospacing="1" w:after="100" w:afterAutospacing="1" w:line="240" w:lineRule="auto"/>
    </w:pPr>
    <w:rPr>
      <w:rFonts w:cs="宋体"/>
      <w:kern w:val="0"/>
      <w:szCs w:val="20"/>
    </w:rPr>
  </w:style>
  <w:style w:type="paragraph" w:styleId="26">
    <w:name w:val="annotation subject"/>
    <w:basedOn w:val="10"/>
    <w:next w:val="10"/>
    <w:link w:val="50"/>
    <w:semiHidden/>
    <w:unhideWhenUsed/>
    <w:qFormat/>
    <w:uiPriority w:val="99"/>
    <w:pPr>
      <w:spacing w:line="360" w:lineRule="auto"/>
    </w:pPr>
    <w:rPr>
      <w:rFonts w:ascii="宋体" w:hAnsi="宋体" w:eastAsia="宋体"/>
      <w:b/>
      <w:bCs/>
      <w:sz w:val="24"/>
      <w:szCs w:val="22"/>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bCs/>
    </w:rPr>
  </w:style>
  <w:style w:type="character" w:styleId="31">
    <w:name w:val="Hyperlink"/>
    <w:basedOn w:val="29"/>
    <w:unhideWhenUsed/>
    <w:qFormat/>
    <w:uiPriority w:val="99"/>
    <w:rPr>
      <w:color w:val="0563C1" w:themeColor="hyperlink"/>
      <w:u w:val="single"/>
      <w14:textFill>
        <w14:solidFill>
          <w14:schemeClr w14:val="hlink"/>
        </w14:solidFill>
      </w14:textFill>
    </w:rPr>
  </w:style>
  <w:style w:type="character" w:styleId="32">
    <w:name w:val="annotation reference"/>
    <w:basedOn w:val="29"/>
    <w:semiHidden/>
    <w:unhideWhenUsed/>
    <w:qFormat/>
    <w:uiPriority w:val="99"/>
    <w:rPr>
      <w:sz w:val="21"/>
      <w:szCs w:val="21"/>
    </w:rPr>
  </w:style>
  <w:style w:type="paragraph" w:customStyle="1" w:styleId="33">
    <w:name w:val="正文缩进2"/>
    <w:basedOn w:val="1"/>
    <w:qFormat/>
    <w:uiPriority w:val="0"/>
    <w:pPr>
      <w:wordWrap w:val="0"/>
      <w:ind w:firstLine="200" w:firstLineChars="200"/>
    </w:pPr>
  </w:style>
  <w:style w:type="character" w:customStyle="1" w:styleId="34">
    <w:name w:val="页眉 字符"/>
    <w:basedOn w:val="29"/>
    <w:link w:val="18"/>
    <w:qFormat/>
    <w:uiPriority w:val="99"/>
    <w:rPr>
      <w:rFonts w:eastAsia="宋体"/>
      <w:sz w:val="18"/>
      <w:szCs w:val="18"/>
    </w:rPr>
  </w:style>
  <w:style w:type="character" w:customStyle="1" w:styleId="35">
    <w:name w:val="页脚 字符"/>
    <w:basedOn w:val="29"/>
    <w:link w:val="2"/>
    <w:qFormat/>
    <w:uiPriority w:val="99"/>
    <w:rPr>
      <w:rFonts w:eastAsia="宋体"/>
      <w:sz w:val="18"/>
      <w:szCs w:val="18"/>
    </w:rPr>
  </w:style>
  <w:style w:type="character" w:customStyle="1" w:styleId="36">
    <w:name w:val="标题 1 字符"/>
    <w:basedOn w:val="29"/>
    <w:link w:val="3"/>
    <w:qFormat/>
    <w:uiPriority w:val="9"/>
    <w:rPr>
      <w:rFonts w:ascii="宋体" w:hAnsi="宋体" w:eastAsia="黑体"/>
      <w:b/>
      <w:bCs/>
      <w:kern w:val="44"/>
      <w:sz w:val="44"/>
      <w:szCs w:val="44"/>
    </w:rPr>
  </w:style>
  <w:style w:type="paragraph" w:styleId="37">
    <w:name w:val="List Paragraph"/>
    <w:basedOn w:val="1"/>
    <w:link w:val="46"/>
    <w:qFormat/>
    <w:uiPriority w:val="34"/>
    <w:pPr>
      <w:ind w:firstLine="420" w:firstLineChars="200"/>
    </w:pPr>
  </w:style>
  <w:style w:type="character" w:customStyle="1" w:styleId="38">
    <w:name w:val="标题 2 字符"/>
    <w:basedOn w:val="29"/>
    <w:link w:val="4"/>
    <w:qFormat/>
    <w:uiPriority w:val="9"/>
    <w:rPr>
      <w:rFonts w:eastAsia="宋体" w:asciiTheme="majorHAnsi" w:hAnsiTheme="majorHAnsi" w:cstheme="majorBidi"/>
      <w:b/>
      <w:bCs/>
      <w:sz w:val="32"/>
      <w:szCs w:val="32"/>
    </w:rPr>
  </w:style>
  <w:style w:type="character" w:customStyle="1" w:styleId="39">
    <w:name w:val="未处理的提及1"/>
    <w:basedOn w:val="29"/>
    <w:semiHidden/>
    <w:unhideWhenUsed/>
    <w:qFormat/>
    <w:uiPriority w:val="99"/>
    <w:rPr>
      <w:color w:val="605E5C"/>
      <w:shd w:val="clear" w:color="auto" w:fill="E1DFDD"/>
    </w:rPr>
  </w:style>
  <w:style w:type="character" w:customStyle="1" w:styleId="40">
    <w:name w:val="正文文本 字符"/>
    <w:basedOn w:val="29"/>
    <w:link w:val="12"/>
    <w:qFormat/>
    <w:uiPriority w:val="99"/>
    <w:rPr>
      <w:rFonts w:ascii="Times New Roman" w:hAnsi="Times New Roman" w:eastAsia="宋体" w:cs="Times New Roman"/>
      <w:kern w:val="0"/>
      <w:sz w:val="20"/>
      <w:szCs w:val="20"/>
    </w:rPr>
  </w:style>
  <w:style w:type="character" w:customStyle="1" w:styleId="41">
    <w:name w:val="正文文本 3 字符"/>
    <w:basedOn w:val="29"/>
    <w:link w:val="11"/>
    <w:semiHidden/>
    <w:qFormat/>
    <w:uiPriority w:val="99"/>
    <w:rPr>
      <w:rFonts w:ascii="宋体" w:hAnsi="宋体" w:eastAsia="宋体"/>
      <w:sz w:val="16"/>
      <w:szCs w:val="16"/>
    </w:rPr>
  </w:style>
  <w:style w:type="paragraph" w:customStyle="1" w:styleId="42">
    <w:name w:val="Default"/>
    <w:link w:val="43"/>
    <w:qFormat/>
    <w:uiPriority w:val="0"/>
    <w:pPr>
      <w:widowControl w:val="0"/>
      <w:autoSpaceDE w:val="0"/>
      <w:autoSpaceDN w:val="0"/>
      <w:adjustRightInd w:val="0"/>
    </w:pPr>
    <w:rPr>
      <w:rFonts w:ascii=".." w:hAnsi="Times New Roman" w:eastAsia=".." w:cs="Times New Roman"/>
      <w:color w:val="000000"/>
      <w:sz w:val="24"/>
      <w:szCs w:val="24"/>
      <w:lang w:val="en-US" w:eastAsia="zh-CN" w:bidi="ar-SA"/>
    </w:rPr>
  </w:style>
  <w:style w:type="character" w:customStyle="1" w:styleId="43">
    <w:name w:val="Default Char Char"/>
    <w:link w:val="42"/>
    <w:qFormat/>
    <w:uiPriority w:val="0"/>
    <w:rPr>
      <w:rFonts w:ascii=".." w:hAnsi="Times New Roman" w:eastAsia=".." w:cs="Times New Roman"/>
      <w:color w:val="000000"/>
      <w:kern w:val="0"/>
      <w:sz w:val="24"/>
      <w:szCs w:val="24"/>
    </w:rPr>
  </w:style>
  <w:style w:type="paragraph" w:styleId="44">
    <w:name w:val="No Spacing"/>
    <w:link w:val="49"/>
    <w:qFormat/>
    <w:uiPriority w:val="1"/>
    <w:pPr>
      <w:widowControl w:val="0"/>
    </w:pPr>
    <w:rPr>
      <w:rFonts w:ascii="宋体" w:hAnsi="宋体" w:eastAsia="宋体" w:cstheme="minorBidi"/>
      <w:kern w:val="2"/>
      <w:sz w:val="21"/>
      <w:szCs w:val="22"/>
      <w:lang w:val="en-US" w:eastAsia="zh-CN" w:bidi="ar-SA"/>
    </w:rPr>
  </w:style>
  <w:style w:type="character" w:customStyle="1" w:styleId="45">
    <w:name w:val="批注文字 字符"/>
    <w:basedOn w:val="29"/>
    <w:link w:val="10"/>
    <w:qFormat/>
    <w:uiPriority w:val="0"/>
    <w:rPr>
      <w:szCs w:val="24"/>
    </w:rPr>
  </w:style>
  <w:style w:type="character" w:customStyle="1" w:styleId="46">
    <w:name w:val="列表段落 字符"/>
    <w:link w:val="37"/>
    <w:qFormat/>
    <w:uiPriority w:val="34"/>
    <w:rPr>
      <w:rFonts w:ascii="宋体" w:hAnsi="宋体" w:eastAsia="宋体"/>
      <w:sz w:val="24"/>
    </w:rPr>
  </w:style>
  <w:style w:type="character" w:customStyle="1" w:styleId="47">
    <w:name w:val="标题 3 字符"/>
    <w:basedOn w:val="29"/>
    <w:link w:val="5"/>
    <w:autoRedefine/>
    <w:qFormat/>
    <w:uiPriority w:val="9"/>
    <w:rPr>
      <w:rFonts w:ascii="宋体" w:hAnsi="宋体" w:eastAsia="宋体"/>
      <w:b/>
      <w:bCs/>
      <w:sz w:val="32"/>
      <w:szCs w:val="32"/>
    </w:rPr>
  </w:style>
  <w:style w:type="character" w:customStyle="1" w:styleId="48">
    <w:name w:val="标题 4 字符"/>
    <w:basedOn w:val="29"/>
    <w:link w:val="6"/>
    <w:autoRedefine/>
    <w:qFormat/>
    <w:uiPriority w:val="9"/>
    <w:rPr>
      <w:rFonts w:eastAsia="宋体" w:asciiTheme="majorHAnsi" w:hAnsiTheme="majorHAnsi" w:cstheme="majorBidi"/>
      <w:b/>
      <w:bCs/>
      <w:sz w:val="28"/>
      <w:szCs w:val="28"/>
    </w:rPr>
  </w:style>
  <w:style w:type="character" w:customStyle="1" w:styleId="49">
    <w:name w:val="无间隔 字符"/>
    <w:link w:val="44"/>
    <w:qFormat/>
    <w:uiPriority w:val="1"/>
    <w:rPr>
      <w:rFonts w:ascii="宋体" w:hAnsi="宋体" w:eastAsia="宋体"/>
    </w:rPr>
  </w:style>
  <w:style w:type="character" w:customStyle="1" w:styleId="50">
    <w:name w:val="批注主题 字符"/>
    <w:basedOn w:val="45"/>
    <w:link w:val="26"/>
    <w:semiHidden/>
    <w:qFormat/>
    <w:uiPriority w:val="99"/>
    <w:rPr>
      <w:rFonts w:ascii="宋体" w:hAnsi="宋体" w:eastAsia="宋体"/>
      <w:b/>
      <w:bCs/>
      <w:kern w:val="2"/>
      <w:sz w:val="24"/>
      <w:szCs w:val="22"/>
    </w:rPr>
  </w:style>
  <w:style w:type="paragraph" w:customStyle="1" w:styleId="51">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2">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3">
    <w:name w:val="正文1"/>
    <w:autoRedefine/>
    <w:qFormat/>
    <w:uiPriority w:val="0"/>
    <w:pPr>
      <w:widowControl w:val="0"/>
      <w:jc w:val="both"/>
    </w:pPr>
    <w:rPr>
      <w:rFonts w:ascii="Calibri" w:hAnsi="Calibri" w:eastAsia="宋体" w:cs="Times New Roman"/>
      <w:lang w:val="en-US" w:eastAsia="zh-CN" w:bidi="ar-SA"/>
    </w:rPr>
  </w:style>
  <w:style w:type="paragraph" w:customStyle="1" w:styleId="54">
    <w:name w:val="正文_2"/>
    <w:autoRedefine/>
    <w:qFormat/>
    <w:uiPriority w:val="0"/>
    <w:pPr>
      <w:widowControl w:val="0"/>
      <w:jc w:val="both"/>
    </w:pPr>
    <w:rPr>
      <w:rFonts w:ascii="Calibri" w:hAnsi="Calibri" w:eastAsia="宋体" w:cs="Times New Roman"/>
      <w:lang w:val="en-US" w:eastAsia="zh-CN" w:bidi="ar-SA"/>
    </w:rPr>
  </w:style>
  <w:style w:type="paragraph" w:customStyle="1" w:styleId="55">
    <w:name w:val="Normal"/>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6">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7">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58">
    <w:name w:val="列出段落1"/>
    <w:basedOn w:val="1"/>
    <w:autoRedefine/>
    <w:qFormat/>
    <w:uiPriority w:val="0"/>
    <w:pPr>
      <w:ind w:firstLine="420" w:firstLineChars="200"/>
    </w:pPr>
    <w:rPr>
      <w:szCs w:val="21"/>
    </w:rPr>
  </w:style>
  <w:style w:type="paragraph" w:customStyle="1" w:styleId="59">
    <w:name w:val="Normal_22"/>
    <w:autoRedefine/>
    <w:qFormat/>
    <w:uiPriority w:val="0"/>
    <w:rPr>
      <w:rFonts w:ascii="Times New Roman" w:hAnsi="Times New Roman" w:eastAsia="Times New Roman" w:cs="Times New Roman"/>
      <w:sz w:val="24"/>
      <w:szCs w:val="24"/>
      <w:lang w:bidi="ar-SA"/>
    </w:rPr>
  </w:style>
  <w:style w:type="paragraph" w:customStyle="1" w:styleId="60">
    <w:name w:val="Char Char Char Char Char Char Char1 Char"/>
    <w:basedOn w:val="1"/>
    <w:autoRedefine/>
    <w:qFormat/>
    <w:uiPriority w:val="0"/>
    <w:rPr>
      <w:rFonts w:ascii="Arial" w:hAnsi="Arial" w:eastAsia="宋体" w:cs="Arial"/>
      <w:sz w:val="24"/>
    </w:rPr>
  </w:style>
  <w:style w:type="paragraph" w:customStyle="1" w:styleId="61">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character" w:customStyle="1" w:styleId="62">
    <w:name w:val="font11"/>
    <w:basedOn w:val="29"/>
    <w:qFormat/>
    <w:uiPriority w:val="0"/>
    <w:rPr>
      <w:rFonts w:hint="default" w:ascii="仿宋_GB2312" w:eastAsia="仿宋_GB2312" w:cs="仿宋_GB2312"/>
      <w:color w:val="000000"/>
      <w:sz w:val="32"/>
      <w:szCs w:val="32"/>
      <w:u w:val="none"/>
    </w:rPr>
  </w:style>
  <w:style w:type="character" w:customStyle="1" w:styleId="63">
    <w:name w:val="font31"/>
    <w:basedOn w:val="29"/>
    <w:qFormat/>
    <w:uiPriority w:val="0"/>
    <w:rPr>
      <w:rFonts w:hint="default" w:ascii="Times New Roman" w:hAnsi="Times New Roman" w:cs="Times New Roman"/>
      <w:color w:val="000000"/>
      <w:sz w:val="32"/>
      <w:szCs w:val="32"/>
      <w:u w:val="none"/>
    </w:rPr>
  </w:style>
  <w:style w:type="character" w:customStyle="1" w:styleId="64">
    <w:name w:val="font21"/>
    <w:basedOn w:val="29"/>
    <w:qFormat/>
    <w:uiPriority w:val="0"/>
    <w:rPr>
      <w:rFonts w:hint="default" w:ascii="Times New Roman" w:hAnsi="Times New Roman" w:cs="Times New Roman"/>
      <w:color w:val="000000"/>
      <w:sz w:val="32"/>
      <w:szCs w:val="32"/>
      <w:u w:val="none"/>
    </w:rPr>
  </w:style>
  <w:style w:type="character" w:customStyle="1" w:styleId="65">
    <w:name w:val="font41"/>
    <w:basedOn w:val="29"/>
    <w:qFormat/>
    <w:uiPriority w:val="0"/>
    <w:rPr>
      <w:rFonts w:hint="default" w:ascii="仿宋_GB2312" w:eastAsia="仿宋_GB2312" w:cs="仿宋_GB2312"/>
      <w:color w:val="000000"/>
      <w:sz w:val="32"/>
      <w:szCs w:val="32"/>
      <w:u w:val="none"/>
    </w:rPr>
  </w:style>
  <w:style w:type="character" w:customStyle="1" w:styleId="66">
    <w:name w:val="font01"/>
    <w:basedOn w:val="29"/>
    <w:qFormat/>
    <w:uiPriority w:val="0"/>
    <w:rPr>
      <w:rFonts w:hint="eastAsia" w:ascii="宋体" w:hAnsi="宋体" w:eastAsia="宋体" w:cs="宋体"/>
      <w:color w:val="000000"/>
      <w:sz w:val="22"/>
      <w:szCs w:val="22"/>
      <w:u w:val="none"/>
    </w:rPr>
  </w:style>
  <w:style w:type="character" w:customStyle="1" w:styleId="67">
    <w:name w:val="font81"/>
    <w:basedOn w:val="29"/>
    <w:qFormat/>
    <w:uiPriority w:val="0"/>
    <w:rPr>
      <w:rFonts w:hint="default" w:ascii="仿宋_GB2312" w:eastAsia="仿宋_GB2312" w:cs="仿宋_GB2312"/>
      <w:color w:val="000000"/>
      <w:sz w:val="32"/>
      <w:szCs w:val="32"/>
      <w:u w:val="none"/>
    </w:rPr>
  </w:style>
  <w:style w:type="paragraph" w:customStyle="1" w:styleId="68">
    <w:name w:val="Table Text"/>
    <w:basedOn w:val="1"/>
    <w:semiHidden/>
    <w:qFormat/>
    <w:uiPriority w:val="0"/>
    <w:rPr>
      <w:rFonts w:ascii="宋体" w:hAnsi="宋体" w:eastAsia="宋体" w:cs="宋体"/>
      <w:sz w:val="28"/>
      <w:szCs w:val="28"/>
      <w:lang w:val="en-US" w:eastAsia="en-US" w:bidi="ar-SA"/>
    </w:rPr>
  </w:style>
  <w:style w:type="table" w:customStyle="1" w:styleId="69">
    <w:name w:val="Table Normal"/>
    <w:semiHidden/>
    <w:unhideWhenUsed/>
    <w:qFormat/>
    <w:uiPriority w:val="0"/>
    <w:tblPr>
      <w:tblCellMar>
        <w:top w:w="0" w:type="dxa"/>
        <w:left w:w="0" w:type="dxa"/>
        <w:bottom w:w="0" w:type="dxa"/>
        <w:right w:w="0" w:type="dxa"/>
      </w:tblCellMar>
    </w:tblPr>
  </w:style>
  <w:style w:type="paragraph" w:customStyle="1" w:styleId="70">
    <w:name w:val="Suggest Style"/>
    <w:qFormat/>
    <w:uiPriority w:val="0"/>
    <w:pPr>
      <w:spacing w:before="60" w:after="60" w:line="276" w:lineRule="auto"/>
      <w:ind w:left="480"/>
    </w:pPr>
    <w:rPr>
      <w:rFonts w:ascii="宋体" w:hAnsi="宋体" w:eastAsia="宋体" w:cstheme="minorBidi"/>
      <w:color w:val="0033CC"/>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2.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130</Pages>
  <Words>5297</Words>
  <Characters>6002</Characters>
  <Lines>294</Lines>
  <Paragraphs>82</Paragraphs>
  <TotalTime>10</TotalTime>
  <ScaleCrop>false</ScaleCrop>
  <LinksUpToDate>false</LinksUpToDate>
  <CharactersWithSpaces>6806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2024-02-04T06:30:00Z</dcterms:created>
  <dc:creator>admin</dc:creator>
  <cp:lastModifiedBy>李梦媛</cp:lastModifiedBy>
  <cp:lastPrinted>2025-03-18T03:27:00Z</cp:lastPrinted>
  <dcterms:modified xsi:type="dcterms:W3CDTF">2026-05-06T04:46:57Z</dcterms:modified>
  <cp:revision>397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D018169E30EE4B3091BE472FC89590FD_13</vt:lpwstr>
  </property>
  <property fmtid="{D5CDD505-2E9C-101B-9397-08002B2CF9AE}" pid="4" name="KSOTemplateDocerSaveRecord">
    <vt:lpwstr>eyJoZGlkIjoiYTY0ZGVhMzY2Mjc2ZTVmNTg0OTc4MWEzZmNmZjdjMjUiLCJ1c2VySWQiOiI0NTE3ODAxODIifQ==</vt:lpwstr>
  </property>
</Properties>
</file>