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bookmarkStart w:id="71" w:name="_GoBack"/>
      <w:bookmarkEnd w:id="71"/>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B3D71">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新疆医科大学第六附属医院过氧化氢低温灭菌器采购项目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77FB3D71">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新疆医科大学第六附属医院过氧化氢低温灭菌器采购项目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（项目编号：SJX-2026-422）</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SJX-2026-422</w:t>
      </w:r>
    </w:p>
    <w:p w14:paraId="111C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新疆医科大学第六附属医院过氧化氢低温灭菌器采购项目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380000.00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380000.00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过氧化氢低温灭菌器采购，具体内容详见第五章采购需求。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新疆医科大学第六附属医院过氧化氢低温灭菌器采购项目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1套</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350000.00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过氧化氢低温灭菌器采购，具体内容详见第五章采购需求。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w:t>
      </w:r>
      <w:r>
        <w:rPr>
          <w:rFonts w:hint="eastAsia" w:ascii="方正仿宋_GB2312" w:hAnsi="方正仿宋_GB2312" w:eastAsia="方正仿宋_GB2312" w:cs="方正仿宋_GB2312"/>
          <w:sz w:val="24"/>
          <w:szCs w:val="24"/>
          <w:highlight w:val="none"/>
          <w:lang w:val="en-US" w:eastAsia="zh-CN"/>
        </w:rPr>
        <w:t>06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过氧化氢低温灭菌器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项目预算金额：38万元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最高限价：38万元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7600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投标截止时间：2026年06月17日11:00（北京时间）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9"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7"/>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10"/>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1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2"/>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2"/>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过氧化氢低温灭菌器</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套</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380000.00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3D56D96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6C7DC80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★1.灭菌器容积：≥160L。</w:t>
      </w:r>
    </w:p>
    <w:p w14:paraId="06E1BBC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2.腔体结构为矩形，腔体材质航空铝材，厚度≥16mm，保证过氧化氢保持100%气态。</w:t>
      </w:r>
    </w:p>
    <w:p w14:paraId="7094B2B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3.腔体温度控制探头数量 ≥1个，检测精度≤0.1。</w:t>
      </w:r>
    </w:p>
    <w:p w14:paraId="6AFECB4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 腔体温度加热功率 ：≥900W，预热升温时间≤30min。</w:t>
      </w:r>
    </w:p>
    <w:p w14:paraId="48FE0759">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5.主体具备厚度：≥20mm。</w:t>
      </w:r>
    </w:p>
    <w:p w14:paraId="3EB27A6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6.铝质厚度：≥20mm，门1个，电动升降，前后门互锁，带隔离墙，实现无菌区隔离。</w:t>
      </w:r>
    </w:p>
    <w:p w14:paraId="4AF5B65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7.门板温度控制探头数量≥1个，检测精度≤0.1℃</w:t>
      </w:r>
    </w:p>
    <w:p w14:paraId="5F28902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8.具备脚踏开门功能</w:t>
      </w:r>
    </w:p>
    <w:p w14:paraId="4F43AF0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9.可高真空度耐H</w:t>
      </w:r>
      <w:r>
        <w:rPr>
          <w:rFonts w:hint="eastAsia" w:ascii="仿宋" w:hAnsi="仿宋" w:eastAsia="仿宋" w:cs="仿宋"/>
          <w:b w:val="0"/>
          <w:bCs w:val="0"/>
          <w:kern w:val="2"/>
          <w:sz w:val="24"/>
          <w:szCs w:val="24"/>
          <w:vertAlign w:val="subscript"/>
          <w:lang w:val="en-US" w:eastAsia="zh-CN" w:bidi="ar-SA"/>
        </w:rPr>
        <w:t>2</w:t>
      </w:r>
      <w:r>
        <w:rPr>
          <w:rFonts w:hint="eastAsia" w:ascii="仿宋" w:hAnsi="仿宋" w:eastAsia="仿宋" w:cs="仿宋"/>
          <w:b w:val="0"/>
          <w:bCs w:val="0"/>
          <w:kern w:val="2"/>
          <w:sz w:val="24"/>
          <w:szCs w:val="24"/>
          <w:lang w:val="en-US" w:eastAsia="zh-CN" w:bidi="ar-SA"/>
        </w:rPr>
        <w:t>O</w:t>
      </w:r>
      <w:r>
        <w:rPr>
          <w:rFonts w:hint="eastAsia" w:ascii="仿宋" w:hAnsi="仿宋" w:eastAsia="仿宋" w:cs="仿宋"/>
          <w:b w:val="0"/>
          <w:bCs w:val="0"/>
          <w:kern w:val="2"/>
          <w:sz w:val="24"/>
          <w:szCs w:val="24"/>
          <w:vertAlign w:val="subscript"/>
          <w:lang w:val="en-US" w:eastAsia="zh-CN" w:bidi="ar-SA"/>
        </w:rPr>
        <w:t>2</w:t>
      </w:r>
      <w:r>
        <w:rPr>
          <w:rFonts w:hint="eastAsia" w:ascii="仿宋" w:hAnsi="仿宋" w:eastAsia="仿宋" w:cs="仿宋"/>
          <w:b w:val="0"/>
          <w:bCs w:val="0"/>
          <w:kern w:val="2"/>
          <w:sz w:val="24"/>
          <w:szCs w:val="24"/>
          <w:lang w:val="en-US" w:eastAsia="zh-CN" w:bidi="ar-SA"/>
        </w:rPr>
        <w:t>腐蚀。</w:t>
      </w:r>
    </w:p>
    <w:p w14:paraId="17ABB8E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10.具备真空泵相序保护器。</w:t>
      </w:r>
    </w:p>
    <w:p w14:paraId="54A49BB7">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11.具备高真空挡板电磁阀，控制抽空管路，泄漏率≤1.3×10</w:t>
      </w:r>
      <w:r>
        <w:rPr>
          <w:rFonts w:hint="eastAsia" w:ascii="仿宋" w:hAnsi="仿宋" w:eastAsia="仿宋" w:cs="仿宋"/>
          <w:b w:val="0"/>
          <w:bCs w:val="0"/>
          <w:kern w:val="2"/>
          <w:sz w:val="24"/>
          <w:szCs w:val="24"/>
          <w:vertAlign w:val="superscript"/>
          <w:lang w:val="en-US" w:eastAsia="zh-CN" w:bidi="ar-SA"/>
        </w:rPr>
        <w:t>-7</w:t>
      </w:r>
      <w:r>
        <w:rPr>
          <w:rFonts w:hint="eastAsia" w:ascii="仿宋" w:hAnsi="仿宋" w:eastAsia="仿宋" w:cs="仿宋"/>
          <w:b w:val="0"/>
          <w:bCs w:val="0"/>
          <w:kern w:val="2"/>
          <w:sz w:val="24"/>
          <w:szCs w:val="24"/>
          <w:lang w:val="en-US" w:eastAsia="zh-CN" w:bidi="ar-SA"/>
        </w:rPr>
        <w:t>。</w:t>
      </w:r>
    </w:p>
    <w:p w14:paraId="741C824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12.过氧化氢胶囊式卡匣</w:t>
      </w:r>
    </w:p>
    <w:p w14:paraId="1BA72D8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13.压力传感器数量≥3个，检测内室压力传感器≥2个，提纯器压力传感器≥1个。</w:t>
      </w:r>
    </w:p>
    <w:p w14:paraId="21B5E38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14.具有过氧化氢提纯功能，过氧化氢提纯后浓度≥95%。 </w:t>
      </w:r>
    </w:p>
    <w:p w14:paraId="5D2D925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★15.灭菌能力：聚四氟乙烯管腔直径≤1mm,长度≥4000mm；不锈钢管腔直径≤0.7mm,长度≥600mm；提供省级以上机构有效期内灭菌效果检测报告。</w:t>
      </w:r>
    </w:p>
    <w:p w14:paraId="54FB797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16.过氧化氢过滤器周围空气中过氧化氢浓度≤0.6mg/m</w:t>
      </w:r>
      <w:r>
        <w:rPr>
          <w:rFonts w:hint="eastAsia" w:ascii="仿宋" w:hAnsi="仿宋" w:eastAsia="仿宋" w:cs="仿宋"/>
          <w:b w:val="0"/>
          <w:bCs w:val="0"/>
          <w:kern w:val="2"/>
          <w:sz w:val="24"/>
          <w:szCs w:val="24"/>
          <w:vertAlign w:val="superscript"/>
          <w:lang w:val="en-US" w:eastAsia="zh-CN" w:bidi="ar-SA"/>
        </w:rPr>
        <w:t>3</w:t>
      </w:r>
    </w:p>
    <w:p w14:paraId="665AC20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17.空气过滤器过滤精度：≤0.22μm。</w:t>
      </w:r>
    </w:p>
    <w:p w14:paraId="21FE9E1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18.具备PLC控制系统。</w:t>
      </w:r>
    </w:p>
    <w:p w14:paraId="3574BC6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19.≥10英寸</w:t>
      </w:r>
    </w:p>
    <w:p w14:paraId="7D1B098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20.显示屏显示内容：如温度，压力，时间，循环模式，过程阶段、胶囊使用数量和报警信息等，并具备打印功能</w:t>
      </w:r>
    </w:p>
    <w:p w14:paraId="033AE09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21.根据灭菌物品特点，可设置多个灭菌程序。程序运行时间：管腔的灭菌程序≤55分钟，软式内镜的灭菌程序≤45分钟，医疗器械的表面灭菌程序≤26分钟。提供证明资料。</w:t>
      </w:r>
    </w:p>
    <w:p w14:paraId="64135198">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22.具备真空干燥功能。</w:t>
      </w:r>
    </w:p>
    <w:p w14:paraId="349D1CDE">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23.倒计时显示 可根据装载情况自动调整剩余时间</w:t>
      </w:r>
    </w:p>
    <w:p w14:paraId="68B3B2B5">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24.过氧化氢浓度监测 实时检测显示灭菌阶段舱内过氧化氢浓度并通过打印机记录灭菌过程作用浓度。通过过氧化氢浓度系统自动判断灭菌效果，提供证明材料。</w:t>
      </w:r>
    </w:p>
    <w:p w14:paraId="5BE68F02">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25.配套环境安全浓度报警器、低温生物阅读器（按采购方需求配置，同时包安装）</w:t>
      </w:r>
    </w:p>
    <w:p w14:paraId="5533A85F">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kern w:val="2"/>
          <w:sz w:val="24"/>
          <w:szCs w:val="24"/>
          <w:lang w:val="en-US" w:eastAsia="zh-CN" w:bidi="ar-SA"/>
        </w:rPr>
        <w:t>26.设计</w:t>
      </w:r>
      <w:r>
        <w:rPr>
          <w:rFonts w:hint="eastAsia" w:ascii="仿宋" w:hAnsi="仿宋" w:eastAsia="仿宋" w:cs="仿宋"/>
          <w:b w:val="0"/>
          <w:bCs w:val="0"/>
          <w:sz w:val="24"/>
          <w:szCs w:val="24"/>
          <w:highlight w:val="none"/>
          <w:lang w:val="en-US" w:eastAsia="zh-CN"/>
        </w:rPr>
        <w:t>使用寿命：≥10年。</w:t>
      </w:r>
    </w:p>
    <w:p w14:paraId="0110651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kern w:val="2"/>
          <w:sz w:val="24"/>
          <w:szCs w:val="24"/>
          <w:lang w:val="en-US" w:eastAsia="zh-CN" w:bidi="ar-SA"/>
        </w:rPr>
        <w:t>27.</w:t>
      </w:r>
      <w:r>
        <w:rPr>
          <w:rFonts w:hint="eastAsia" w:ascii="仿宋" w:hAnsi="仿宋" w:eastAsia="仿宋" w:cs="仿宋"/>
          <w:b w:val="0"/>
          <w:bCs w:val="0"/>
          <w:sz w:val="24"/>
          <w:szCs w:val="24"/>
          <w:highlight w:val="none"/>
          <w:lang w:val="en-US" w:eastAsia="zh-CN"/>
        </w:rPr>
        <w:t>灭菌舱体深度：≥820mm。</w:t>
      </w:r>
    </w:p>
    <w:p w14:paraId="64B0308D">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kern w:val="2"/>
          <w:sz w:val="24"/>
          <w:szCs w:val="24"/>
          <w:lang w:val="en-US" w:eastAsia="zh-CN" w:bidi="ar-SA"/>
        </w:rPr>
        <w:t>28.</w:t>
      </w:r>
      <w:r>
        <w:rPr>
          <w:rFonts w:hint="eastAsia" w:ascii="仿宋" w:hAnsi="仿宋" w:eastAsia="仿宋" w:cs="仿宋"/>
          <w:b w:val="0"/>
          <w:bCs w:val="0"/>
          <w:sz w:val="24"/>
          <w:szCs w:val="24"/>
          <w:highlight w:val="none"/>
          <w:lang w:val="en-US" w:eastAsia="zh-CN"/>
        </w:rPr>
        <w:t>最长灭菌作用时间：≥10min。</w:t>
      </w:r>
    </w:p>
    <w:p w14:paraId="3217483F">
      <w:pPr>
        <w:pStyle w:val="31"/>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sz w:val="24"/>
          <w:szCs w:val="24"/>
          <w:highlight w:val="none"/>
          <w:lang w:val="en-US" w:eastAsia="zh-CN"/>
        </w:rPr>
        <w:t>29.整机质保≥5年</w:t>
      </w:r>
    </w:p>
    <w:p w14:paraId="2B3EF81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23F442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13B567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724C4F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12</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58</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12</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D2F49ED">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2分，最高得10分。</w:t>
            </w:r>
          </w:p>
          <w:p w14:paraId="4C2E0CDB">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2"/>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2"/>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2</w:t>
            </w:r>
          </w:p>
        </w:tc>
        <w:tc>
          <w:tcPr>
            <w:tcW w:w="5611" w:type="dxa"/>
            <w:vAlign w:val="top"/>
          </w:tcPr>
          <w:p w14:paraId="220D9E5F">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1、投标人承诺在满足招标文件规定的质保期（5年）基础上，每承诺延长1年得0.5分，最多可得1分。</w:t>
            </w:r>
          </w:p>
          <w:p w14:paraId="39AA0510">
            <w:pPr>
              <w:pStyle w:val="12"/>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2、投标人承诺产品出现故障时在接到采购人通知后2小时内排除故障并解决问题得1分，未提供承诺函不得分。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58</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54</w:t>
            </w:r>
          </w:p>
        </w:tc>
        <w:tc>
          <w:tcPr>
            <w:tcW w:w="5611" w:type="dxa"/>
          </w:tcPr>
          <w:p w14:paraId="61892E04">
            <w:pPr>
              <w:pStyle w:val="12"/>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7FB6AC1F">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得54</w:t>
            </w:r>
            <w:r>
              <w:rPr>
                <w:rFonts w:hint="eastAsia" w:ascii="仿宋" w:hAnsi="仿宋" w:eastAsia="仿宋" w:cs="仿宋"/>
                <w:kern w:val="2"/>
                <w:sz w:val="21"/>
                <w:szCs w:val="21"/>
                <w:highlight w:val="none"/>
                <w:vertAlign w:val="baseline"/>
                <w:lang w:val="zh-CN" w:eastAsia="zh-CN" w:bidi="ar-SA"/>
              </w:rPr>
              <w:t>分；</w:t>
            </w:r>
          </w:p>
          <w:p w14:paraId="539572E7">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）偏离</w:t>
            </w:r>
            <w:r>
              <w:rPr>
                <w:rFonts w:hint="eastAsia" w:ascii="仿宋" w:hAnsi="仿宋" w:eastAsia="仿宋" w:cs="仿宋"/>
                <w:sz w:val="21"/>
                <w:szCs w:val="21"/>
                <w:highlight w:val="none"/>
                <w:vertAlign w:val="baseline"/>
                <w:lang w:val="en-US" w:eastAsia="zh-CN"/>
              </w:rPr>
              <w:t>共27项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2</w:t>
            </w:r>
            <w:r>
              <w:rPr>
                <w:rFonts w:hint="eastAsia" w:ascii="仿宋" w:hAnsi="仿宋" w:eastAsia="仿宋" w:cs="仿宋"/>
                <w:sz w:val="21"/>
                <w:szCs w:val="21"/>
                <w:highlight w:val="none"/>
                <w:vertAlign w:val="baseline"/>
              </w:rPr>
              <w:t xml:space="preserve"> </w:t>
            </w:r>
            <w:r>
              <w:rPr>
                <w:rFonts w:hint="eastAsia" w:ascii="仿宋" w:hAnsi="仿宋" w:eastAsia="仿宋" w:cs="仿宋"/>
                <w:sz w:val="21"/>
                <w:szCs w:val="21"/>
                <w:highlight w:val="none"/>
                <w:vertAlign w:val="baseline"/>
                <w:lang w:val="zh-CN"/>
              </w:rPr>
              <w:t>分，</w:t>
            </w:r>
            <w:r>
              <w:rPr>
                <w:rFonts w:hint="eastAsia" w:ascii="仿宋" w:hAnsi="仿宋" w:eastAsia="仿宋" w:cs="仿宋"/>
                <w:sz w:val="21"/>
                <w:szCs w:val="21"/>
                <w:highlight w:val="none"/>
                <w:vertAlign w:val="baseline"/>
              </w:rPr>
              <w:t>满分</w:t>
            </w:r>
            <w:r>
              <w:rPr>
                <w:rFonts w:hint="eastAsia" w:ascii="仿宋" w:hAnsi="仿宋" w:eastAsia="仿宋" w:cs="仿宋"/>
                <w:sz w:val="21"/>
                <w:szCs w:val="21"/>
                <w:highlight w:val="none"/>
                <w:vertAlign w:val="baseline"/>
                <w:lang w:val="en-US" w:eastAsia="zh-CN"/>
              </w:rPr>
              <w:t>54</w:t>
            </w:r>
            <w:r>
              <w:rPr>
                <w:rFonts w:hint="eastAsia" w:ascii="仿宋" w:hAnsi="仿宋" w:eastAsia="仿宋" w:cs="仿宋"/>
                <w:sz w:val="21"/>
                <w:szCs w:val="21"/>
                <w:highlight w:val="none"/>
                <w:vertAlign w:val="baseline"/>
              </w:rPr>
              <w:t>分，</w:t>
            </w:r>
            <w:r>
              <w:rPr>
                <w:rFonts w:hint="eastAsia" w:ascii="仿宋" w:hAnsi="仿宋" w:eastAsia="仿宋" w:cs="仿宋"/>
                <w:sz w:val="21"/>
                <w:szCs w:val="21"/>
                <w:highlight w:val="none"/>
                <w:vertAlign w:val="baseline"/>
                <w:lang w:val="zh-CN"/>
              </w:rPr>
              <w:t>扣完为止。</w:t>
            </w:r>
          </w:p>
          <w:p w14:paraId="70AD7C97">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74FC3FC">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770A2FAA">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2301B68F">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w:t>
            </w:r>
            <w:r>
              <w:rPr>
                <w:rFonts w:hint="eastAsia" w:ascii="仿宋" w:hAnsi="仿宋" w:eastAsia="仿宋" w:cs="仿宋"/>
                <w:sz w:val="21"/>
                <w:szCs w:val="21"/>
                <w:highlight w:val="none"/>
                <w:vertAlign w:val="baseline"/>
                <w:lang w:val="en-US" w:eastAsia="zh-CN"/>
              </w:rPr>
              <w:t>2</w:t>
            </w:r>
            <w:r>
              <w:rPr>
                <w:rFonts w:hint="eastAsia" w:ascii="仿宋" w:hAnsi="仿宋" w:eastAsia="仿宋" w:cs="仿宋"/>
                <w:sz w:val="21"/>
                <w:szCs w:val="21"/>
                <w:highlight w:val="none"/>
                <w:vertAlign w:val="baseline"/>
              </w:rPr>
              <w:t>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2"/>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2"/>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6D9A889D">
            <w:pPr>
              <w:pStyle w:val="1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提供承诺函得1分，未提供承诺不得分。</w:t>
            </w:r>
          </w:p>
          <w:p w14:paraId="2665EB37">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1分，未提供不得分。</w:t>
            </w:r>
          </w:p>
        </w:tc>
      </w:tr>
    </w:tbl>
    <w:p w14:paraId="683711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3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keepNext w:val="0"/>
        <w:keepLines w:val="0"/>
        <w:pageBreakBefore w:val="0"/>
        <w:widowControl w:val="0"/>
        <w:kinsoku/>
        <w:wordWrap/>
        <w:overflowPunct/>
        <w:topLinePunct w:val="0"/>
        <w:autoSpaceDE/>
        <w:autoSpaceDN/>
        <w:bidi w:val="0"/>
        <w:adjustRightInd/>
        <w:snapToGrid/>
        <w:spacing w:line="430" w:lineRule="exact"/>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7"/>
        <w:ind w:left="0" w:leftChars="0" w:firstLine="0" w:firstLineChars="0"/>
        <w:jc w:val="center"/>
        <w:rPr>
          <w:rFonts w:hint="eastAsia" w:ascii="仿宋_GB2312" w:hAnsi="仿宋_GB2312" w:eastAsia="仿宋_GB2312" w:cs="仿宋_GB2312"/>
          <w:highlight w:val="none"/>
          <w:lang w:val="en-US" w:eastAsia="zh-CN"/>
        </w:rPr>
      </w:pP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default" w:ascii="仿宋" w:hAnsi="仿宋" w:eastAsia="仿宋" w:cs="仿宋"/>
                <w:i w:val="0"/>
                <w:iCs w:val="0"/>
                <w:color w:val="000000"/>
                <w:kern w:val="0"/>
                <w:sz w:val="18"/>
                <w:szCs w:val="18"/>
                <w:highlight w:val="none"/>
                <w:u w:val="none"/>
                <w:lang w:val="en-US" w:eastAsia="zh-CN" w:bidi="ar"/>
              </w:rPr>
              <w:t>过氧化氢低温灭菌器</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62D0656B">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0810ADD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03B83AAD">
      <w:pPr>
        <w:spacing w:line="360" w:lineRule="auto"/>
        <w:rPr>
          <w:rFonts w:hint="eastAsia" w:ascii="仿宋" w:hAnsi="仿宋" w:eastAsia="仿宋" w:cs="仿宋"/>
          <w:sz w:val="24"/>
          <w:szCs w:val="24"/>
          <w:highlight w:val="none"/>
          <w:lang w:val="en-US" w:eastAsia="zh-CN"/>
        </w:rPr>
      </w:pPr>
    </w:p>
    <w:p w14:paraId="4E203336">
      <w:pPr>
        <w:spacing w:line="360" w:lineRule="auto"/>
        <w:rPr>
          <w:rFonts w:hint="eastAsia" w:ascii="仿宋" w:hAnsi="仿宋" w:eastAsia="仿宋" w:cs="仿宋"/>
          <w:sz w:val="24"/>
          <w:szCs w:val="24"/>
          <w:highlight w:val="none"/>
          <w:lang w:val="en-US" w:eastAsia="zh-CN"/>
        </w:rPr>
      </w:pPr>
    </w:p>
    <w:p w14:paraId="281CF73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B310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Toc520356224"/>
      <w:bookmarkStart w:id="45" w:name="_Toc480942355"/>
      <w:bookmarkStart w:id="46" w:name="_Toc216582819"/>
      <w:bookmarkStart w:id="47" w:name="_Ref467988543"/>
      <w:bookmarkStart w:id="48" w:name="_Toc20238"/>
      <w:bookmarkStart w:id="49" w:name="_Toc21320"/>
      <w:bookmarkStart w:id="50" w:name="_Toc17143"/>
      <w:bookmarkStart w:id="51" w:name="_Toc522"/>
      <w:bookmarkStart w:id="52" w:name="_Toc507399535"/>
      <w:bookmarkStart w:id="53" w:name="_Toc9592"/>
      <w:bookmarkStart w:id="54" w:name="_Toc15963"/>
      <w:bookmarkStart w:id="55" w:name="_Toc4183"/>
      <w:bookmarkStart w:id="56" w:name="_Toc8281"/>
      <w:bookmarkStart w:id="57" w:name="_Toc3420"/>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274911"/>
      <w:bookmarkEnd w:id="58"/>
      <w:bookmarkStart w:id="59" w:name="_Hlt520273711"/>
      <w:bookmarkEnd w:id="59"/>
      <w:bookmarkStart w:id="60" w:name="_Hlt520274393"/>
      <w:bookmarkEnd w:id="60"/>
      <w:bookmarkStart w:id="61" w:name="_Hlt520350957"/>
      <w:bookmarkEnd w:id="61"/>
      <w:bookmarkStart w:id="62" w:name="_Hlt520273973"/>
      <w:bookmarkEnd w:id="62"/>
      <w:bookmarkStart w:id="63" w:name="_Hlt520274407"/>
      <w:bookmarkEnd w:id="63"/>
      <w:bookmarkStart w:id="64" w:name="_Hlt520350918"/>
      <w:bookmarkEnd w:id="64"/>
      <w:bookmarkStart w:id="65" w:name="_Hlt520343392"/>
      <w:bookmarkEnd w:id="65"/>
      <w:bookmarkStart w:id="66" w:name="_Hlt520343000"/>
      <w:bookmarkEnd w:id="66"/>
      <w:bookmarkStart w:id="67" w:name="_Hlt520271212"/>
      <w:bookmarkEnd w:id="67"/>
      <w:bookmarkStart w:id="68" w:name="_Hlt520274065"/>
      <w:bookmarkEnd w:id="68"/>
      <w:bookmarkStart w:id="69" w:name="_Toc216513801"/>
      <w:bookmarkStart w:id="70" w:name="_Toc21658282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8C9A4E-3F64-4E34-97C9-E7C1A228FBAC}"/>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2263CE5B-0B2A-4C23-99EC-A09B911929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ED4ABEDB-305F-4D41-8AD0-9D534043D7FE}"/>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roman"/>
    <w:pitch w:val="default"/>
    <w:sig w:usb0="F7FFAEFF" w:usb1="F9DFFFFF"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C4A71DFB-4B1C-4BBF-B299-613EC6BFA956}"/>
  </w:font>
  <w:font w:name="微软雅黑">
    <w:panose1 w:val="020B0503020204020204"/>
    <w:charset w:val="86"/>
    <w:family w:val="auto"/>
    <w:pitch w:val="default"/>
    <w:sig w:usb0="80000287" w:usb1="2ACF3C50" w:usb2="00000016" w:usb3="00000000" w:csb0="0004001F" w:csb1="00000000"/>
    <w:embedRegular r:id="rId5" w:fontKey="{BDC0BEDE-9687-48C5-A1FA-B03F62045D10}"/>
  </w:font>
  <w:font w:name="方正小标宋简体">
    <w:panose1 w:val="02000000000000000000"/>
    <w:charset w:val="86"/>
    <w:family w:val="auto"/>
    <w:pitch w:val="default"/>
    <w:sig w:usb0="00000001" w:usb1="08000000" w:usb2="00000000" w:usb3="00000000" w:csb0="00040000" w:csb1="00000000"/>
    <w:embedRegular r:id="rId6" w:fontKey="{0627971C-E28C-42C2-9159-33A01EE59B0F}"/>
  </w:font>
  <w:font w:name="Microsoft JhengHei UI">
    <w:panose1 w:val="020B0604030504040204"/>
    <w:charset w:val="88"/>
    <w:family w:val="auto"/>
    <w:pitch w:val="default"/>
    <w:sig w:usb0="000002A7" w:usb1="28CF4400" w:usb2="00000016" w:usb3="00000000" w:csb0="00100009" w:csb1="00000000"/>
    <w:embedRegular r:id="rId7" w:fontKey="{FADFE340-9CD2-420C-AB1A-705A2A5DAC0B}"/>
  </w:font>
  <w:font w:name="方正仿宋_GB2312">
    <w:panose1 w:val="02000000000000000000"/>
    <w:charset w:val="86"/>
    <w:family w:val="auto"/>
    <w:pitch w:val="default"/>
    <w:sig w:usb0="A00002BF" w:usb1="184F6CFA" w:usb2="00000012" w:usb3="00000000" w:csb0="00040001" w:csb1="00000000"/>
    <w:embedRegular r:id="rId8" w:fontKey="{56E8A258-9B7C-49A0-A272-A925B1618C78}"/>
  </w:font>
  <w:font w:name="华文中宋">
    <w:panose1 w:val="02010600040101010101"/>
    <w:charset w:val="86"/>
    <w:family w:val="auto"/>
    <w:pitch w:val="default"/>
    <w:sig w:usb0="00000287" w:usb1="080F0000" w:usb2="00000000" w:usb3="00000000" w:csb0="0004009F" w:csb1="DFD70000"/>
    <w:embedRegular r:id="rId9" w:fontKey="{EF46CDDE-BB4D-4AE0-9208-D4094AFB11A2}"/>
  </w:font>
  <w:font w:name="方正仿宋简体">
    <w:panose1 w:val="02000000000000000000"/>
    <w:charset w:val="86"/>
    <w:family w:val="auto"/>
    <w:pitch w:val="default"/>
    <w:sig w:usb0="A00002BF" w:usb1="184F6CFA" w:usb2="00000012" w:usb3="00000000" w:csb0="00040001" w:csb1="00000000"/>
    <w:embedRegular r:id="rId10" w:fontKey="{345BFFEE-C02C-4BD8-A645-E16500E37CE9}"/>
  </w:font>
  <w:font w:name="WPSEMBED7">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4D552D"/>
    <w:rsid w:val="00633977"/>
    <w:rsid w:val="008D6E61"/>
    <w:rsid w:val="009444C8"/>
    <w:rsid w:val="00EF7950"/>
    <w:rsid w:val="010827C0"/>
    <w:rsid w:val="01616098"/>
    <w:rsid w:val="01B12E58"/>
    <w:rsid w:val="01B327A1"/>
    <w:rsid w:val="01D86637"/>
    <w:rsid w:val="01DD3C4D"/>
    <w:rsid w:val="01F455B3"/>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530041"/>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5A03F0"/>
    <w:rsid w:val="1D8B7ED2"/>
    <w:rsid w:val="1DE91501"/>
    <w:rsid w:val="1DFB74DD"/>
    <w:rsid w:val="1E0565AE"/>
    <w:rsid w:val="1E4C7D38"/>
    <w:rsid w:val="1E88173F"/>
    <w:rsid w:val="1EA57449"/>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A0911D4"/>
    <w:rsid w:val="2A331DAD"/>
    <w:rsid w:val="2A5D1834"/>
    <w:rsid w:val="2A9C76A8"/>
    <w:rsid w:val="2AF07C9E"/>
    <w:rsid w:val="2B1E1887"/>
    <w:rsid w:val="2B2D2CA0"/>
    <w:rsid w:val="2B8C679F"/>
    <w:rsid w:val="2CA945A8"/>
    <w:rsid w:val="2CAB441F"/>
    <w:rsid w:val="2DC45E34"/>
    <w:rsid w:val="2DD12008"/>
    <w:rsid w:val="2E393998"/>
    <w:rsid w:val="2E4072A5"/>
    <w:rsid w:val="2EEF6CA3"/>
    <w:rsid w:val="2F835584"/>
    <w:rsid w:val="2FD309CC"/>
    <w:rsid w:val="2FFD5337"/>
    <w:rsid w:val="30007685"/>
    <w:rsid w:val="300C37CC"/>
    <w:rsid w:val="30BC6FA0"/>
    <w:rsid w:val="31344D88"/>
    <w:rsid w:val="313D6184"/>
    <w:rsid w:val="3172701E"/>
    <w:rsid w:val="320A7897"/>
    <w:rsid w:val="32393423"/>
    <w:rsid w:val="329B7A40"/>
    <w:rsid w:val="32C40CF3"/>
    <w:rsid w:val="32C71C2C"/>
    <w:rsid w:val="331D7A9E"/>
    <w:rsid w:val="33380434"/>
    <w:rsid w:val="337C0B48"/>
    <w:rsid w:val="33B01385"/>
    <w:rsid w:val="33C63C91"/>
    <w:rsid w:val="341A78AC"/>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E03859"/>
    <w:rsid w:val="3AEF1D20"/>
    <w:rsid w:val="3B64270E"/>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5E45E1D"/>
    <w:rsid w:val="46095888"/>
    <w:rsid w:val="4685178A"/>
    <w:rsid w:val="47525B10"/>
    <w:rsid w:val="475573AE"/>
    <w:rsid w:val="48181044"/>
    <w:rsid w:val="4867383D"/>
    <w:rsid w:val="49771967"/>
    <w:rsid w:val="49C5081B"/>
    <w:rsid w:val="4A7712EA"/>
    <w:rsid w:val="4ABD5A95"/>
    <w:rsid w:val="4BD71EB9"/>
    <w:rsid w:val="4C0E2F1B"/>
    <w:rsid w:val="4CA87F80"/>
    <w:rsid w:val="4D7E14B4"/>
    <w:rsid w:val="4DBA563F"/>
    <w:rsid w:val="4E6B74B7"/>
    <w:rsid w:val="4E74636C"/>
    <w:rsid w:val="4EC310A1"/>
    <w:rsid w:val="4ECB281C"/>
    <w:rsid w:val="4EE71C25"/>
    <w:rsid w:val="501C315F"/>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F182D44"/>
    <w:rsid w:val="5F441D8B"/>
    <w:rsid w:val="5F8D1984"/>
    <w:rsid w:val="5FF83899"/>
    <w:rsid w:val="60350378"/>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8C24AF"/>
    <w:rsid w:val="67902011"/>
    <w:rsid w:val="67B65075"/>
    <w:rsid w:val="67BB4BB4"/>
    <w:rsid w:val="67ED07E2"/>
    <w:rsid w:val="68832A45"/>
    <w:rsid w:val="68E819D9"/>
    <w:rsid w:val="693C6A86"/>
    <w:rsid w:val="69C74BE0"/>
    <w:rsid w:val="69E44896"/>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164A4D"/>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A509E4"/>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D03091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next w:val="9"/>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0">
    <w:name w:val="Plain Text"/>
    <w:basedOn w:val="1"/>
    <w:qFormat/>
    <w:uiPriority w:val="0"/>
    <w:rPr>
      <w:rFonts w:ascii="宋体" w:hAnsi="Courier New"/>
      <w:szCs w:val="22"/>
    </w:rPr>
  </w:style>
  <w:style w:type="paragraph" w:styleId="11">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2">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1">
    <w:name w:val="List Paragraph"/>
    <w:basedOn w:val="1"/>
    <w:qFormat/>
    <w:uiPriority w:val="99"/>
    <w:pPr>
      <w:ind w:firstLine="420" w:firstLineChars="200"/>
    </w:pPr>
  </w:style>
  <w:style w:type="paragraph" w:customStyle="1" w:styleId="3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1843</Words>
  <Characters>2152</Characters>
  <Lines>0</Lines>
  <Paragraphs>0</Paragraphs>
  <TotalTime>8</TotalTime>
  <ScaleCrop>false</ScaleCrop>
  <LinksUpToDate>false</LinksUpToDate>
  <CharactersWithSpaces>2266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李梦媛</cp:lastModifiedBy>
  <dcterms:modified xsi:type="dcterms:W3CDTF">2026-05-21T09:47:18Z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1B887B0BCA1140D68F8CF18F264F4C31_13</vt:lpwstr>
  </property>
  <property fmtid="{D5CDD505-2E9C-101B-9397-08002B2CF9AE}" pid="4" name="KSOTemplateDocerSaveRecord">
    <vt:lpwstr>eyJoZGlkIjoiZTc2MGZhOTAzZWQzNjA1ZmZmN2MzYjcyYWFmZWU1NGYiLCJ1c2VySWQiOiI0NTE3ODAxODIifQ==</vt:lpwstr>
  </property>
</Properties>
</file>