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6AB7D">
      <w:pPr>
        <w:jc w:val="center"/>
        <w:rPr>
          <w:rFonts w:hint="eastAsia" w:ascii="宋体" w:hAnsi="宋体" w:cs="宋体"/>
          <w:b/>
          <w:color w:val="auto"/>
          <w:sz w:val="48"/>
          <w:szCs w:val="48"/>
          <w:highlight w:val="none"/>
          <w:lang w:val="en-US" w:eastAsia="zh-CN"/>
        </w:rPr>
      </w:pPr>
    </w:p>
    <w:p w14:paraId="499386D8">
      <w:pPr>
        <w:jc w:val="both"/>
        <w:rPr>
          <w:rFonts w:hint="eastAsia" w:ascii="宋体" w:hAnsi="宋体" w:cs="宋体"/>
          <w:b/>
          <w:color w:val="auto"/>
          <w:kern w:val="0"/>
          <w:sz w:val="48"/>
          <w:szCs w:val="48"/>
          <w:highlight w:val="none"/>
          <w:lang w:val="en-US" w:eastAsia="zh-CN"/>
        </w:rPr>
      </w:pPr>
    </w:p>
    <w:p w14:paraId="092CD8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32"/>
          <w:szCs w:val="32"/>
          <w:highlight w:val="none"/>
          <w:lang w:val="en-US" w:eastAsia="zh-CN"/>
        </w:rPr>
      </w:pPr>
      <w:r>
        <w:rPr>
          <w:rFonts w:hint="eastAsia" w:ascii="宋体" w:hAnsi="宋体" w:cs="宋体"/>
          <w:b/>
          <w:color w:val="auto"/>
          <w:kern w:val="0"/>
          <w:sz w:val="48"/>
          <w:szCs w:val="48"/>
          <w:highlight w:val="none"/>
          <w:lang w:val="en-US" w:eastAsia="zh-CN"/>
        </w:rPr>
        <w:t>温泉县乡镇运输服务站（乡镇综合运输服务站改造项目）</w:t>
      </w:r>
    </w:p>
    <w:p w14:paraId="34873E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highlight w:val="none"/>
          <w:lang w:eastAsia="zh-CN"/>
        </w:rPr>
      </w:pPr>
    </w:p>
    <w:p w14:paraId="69798C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32"/>
          <w:szCs w:val="32"/>
          <w:highlight w:val="none"/>
          <w:lang w:eastAsia="zh-CN"/>
        </w:rPr>
      </w:pPr>
    </w:p>
    <w:p w14:paraId="5D0C3F5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eastAsia="zh-CN"/>
        </w:rPr>
        <w:t>谈判文件</w:t>
      </w:r>
      <w:r>
        <w:rPr>
          <w:rFonts w:hint="eastAsia" w:ascii="宋体" w:hAnsi="宋体" w:eastAsia="宋体" w:cs="宋体"/>
          <w:b/>
          <w:bCs/>
          <w:color w:val="auto"/>
          <w:sz w:val="32"/>
          <w:szCs w:val="32"/>
          <w:highlight w:val="none"/>
          <w:lang w:eastAsia="zh-CN"/>
        </w:rPr>
        <w:t>编号：</w:t>
      </w:r>
      <w:r>
        <w:rPr>
          <w:rFonts w:hint="eastAsia" w:ascii="宋体" w:hAnsi="宋体" w:cs="宋体"/>
          <w:b/>
          <w:bCs/>
          <w:color w:val="auto"/>
          <w:sz w:val="32"/>
          <w:szCs w:val="32"/>
          <w:highlight w:val="none"/>
          <w:lang w:val="en-US" w:eastAsia="zh-CN"/>
        </w:rPr>
        <w:t>AHKRTP2026-009</w:t>
      </w:r>
    </w:p>
    <w:p w14:paraId="4B589589">
      <w:pPr>
        <w:jc w:val="center"/>
        <w:rPr>
          <w:rFonts w:hint="eastAsia" w:ascii="宋体" w:hAnsi="宋体" w:eastAsia="宋体" w:cs="宋体"/>
          <w:b/>
          <w:color w:val="auto"/>
          <w:kern w:val="0"/>
          <w:sz w:val="48"/>
          <w:szCs w:val="48"/>
          <w:highlight w:val="none"/>
          <w:lang w:val="en-US" w:eastAsia="zh-CN"/>
        </w:rPr>
      </w:pPr>
    </w:p>
    <w:p w14:paraId="2FD3EA6D">
      <w:pPr>
        <w:pStyle w:val="4"/>
        <w:numPr>
          <w:ilvl w:val="0"/>
          <w:numId w:val="0"/>
        </w:numPr>
        <w:ind w:leftChars="0"/>
        <w:jc w:val="both"/>
        <w:outlineLvl w:val="9"/>
        <w:rPr>
          <w:rFonts w:hint="eastAsia" w:ascii="宋体" w:hAnsi="宋体" w:eastAsia="宋体" w:cs="宋体"/>
          <w:color w:val="auto"/>
          <w:highlight w:val="none"/>
        </w:rPr>
      </w:pPr>
    </w:p>
    <w:p w14:paraId="661050A7">
      <w:pPr>
        <w:rPr>
          <w:rFonts w:hint="eastAsia" w:ascii="宋体" w:hAnsi="宋体" w:eastAsia="宋体" w:cs="宋体"/>
          <w:color w:val="auto"/>
          <w:highlight w:val="none"/>
        </w:rPr>
      </w:pPr>
    </w:p>
    <w:p w14:paraId="0329B59D">
      <w:pPr>
        <w:pStyle w:val="5"/>
        <w:rPr>
          <w:rFonts w:hint="eastAsia" w:ascii="宋体" w:hAnsi="宋体" w:eastAsia="宋体" w:cs="宋体"/>
          <w:color w:val="auto"/>
          <w:highlight w:val="none"/>
        </w:rPr>
      </w:pPr>
    </w:p>
    <w:p w14:paraId="70C66E8B">
      <w:pPr>
        <w:pStyle w:val="5"/>
        <w:ind w:left="0" w:leftChars="0" w:firstLine="0" w:firstLineChars="0"/>
        <w:rPr>
          <w:rFonts w:hint="eastAsia" w:ascii="宋体" w:hAnsi="宋体" w:eastAsia="宋体" w:cs="宋体"/>
          <w:color w:val="auto"/>
          <w:highlight w:val="none"/>
        </w:rPr>
      </w:pPr>
    </w:p>
    <w:p w14:paraId="2148EE6B">
      <w:pPr>
        <w:jc w:val="center"/>
        <w:rPr>
          <w:rFonts w:hint="eastAsia" w:ascii="宋体" w:hAnsi="宋体" w:eastAsia="宋体" w:cs="宋体"/>
          <w:b/>
          <w:color w:val="auto"/>
          <w:sz w:val="56"/>
          <w:szCs w:val="22"/>
          <w:highlight w:val="none"/>
        </w:rPr>
      </w:pPr>
      <w:r>
        <w:rPr>
          <w:rFonts w:hint="eastAsia" w:ascii="宋体" w:hAnsi="宋体" w:eastAsia="宋体" w:cs="宋体"/>
          <w:b/>
          <w:color w:val="auto"/>
          <w:sz w:val="56"/>
          <w:szCs w:val="22"/>
          <w:highlight w:val="none"/>
        </w:rPr>
        <w:t>竞争性谈判文件</w:t>
      </w:r>
    </w:p>
    <w:p w14:paraId="7E19DF52">
      <w:pPr>
        <w:pStyle w:val="21"/>
        <w:rPr>
          <w:rFonts w:hint="eastAsia" w:ascii="宋体" w:hAnsi="宋体" w:eastAsia="宋体" w:cs="宋体"/>
          <w:color w:val="auto"/>
          <w:sz w:val="30"/>
          <w:highlight w:val="none"/>
        </w:rPr>
      </w:pPr>
    </w:p>
    <w:p w14:paraId="52244300">
      <w:pPr>
        <w:pStyle w:val="21"/>
        <w:jc w:val="both"/>
        <w:rPr>
          <w:rFonts w:hint="eastAsia" w:ascii="宋体" w:hAnsi="宋体" w:eastAsia="宋体" w:cs="宋体"/>
          <w:color w:val="auto"/>
          <w:spacing w:val="40"/>
          <w:sz w:val="32"/>
          <w:highlight w:val="none"/>
        </w:rPr>
      </w:pPr>
    </w:p>
    <w:p w14:paraId="5B34A5F5">
      <w:pPr>
        <w:pStyle w:val="21"/>
        <w:jc w:val="both"/>
        <w:rPr>
          <w:rFonts w:hint="eastAsia" w:ascii="宋体" w:hAnsi="宋体" w:eastAsia="宋体" w:cs="宋体"/>
          <w:color w:val="auto"/>
          <w:spacing w:val="40"/>
          <w:sz w:val="32"/>
          <w:highlight w:val="none"/>
        </w:rPr>
      </w:pPr>
    </w:p>
    <w:p w14:paraId="2B2AB35A">
      <w:pPr>
        <w:pStyle w:val="21"/>
        <w:jc w:val="both"/>
        <w:rPr>
          <w:rFonts w:hint="eastAsia" w:ascii="宋体" w:hAnsi="宋体" w:eastAsia="宋体" w:cs="宋体"/>
          <w:color w:val="auto"/>
          <w:spacing w:val="40"/>
          <w:sz w:val="32"/>
          <w:highlight w:val="none"/>
        </w:rPr>
      </w:pPr>
    </w:p>
    <w:p w14:paraId="0A1ABB3F">
      <w:pPr>
        <w:pStyle w:val="21"/>
        <w:jc w:val="both"/>
        <w:rPr>
          <w:rFonts w:hint="eastAsia" w:ascii="宋体" w:hAnsi="宋体" w:eastAsia="宋体" w:cs="宋体"/>
          <w:b/>
          <w:bCs/>
          <w:color w:val="auto"/>
          <w:spacing w:val="0"/>
          <w:sz w:val="32"/>
          <w:highlight w:val="none"/>
          <w:lang w:val="zh-CN" w:eastAsia="zh-CN"/>
        </w:rPr>
      </w:pPr>
      <w:r>
        <w:rPr>
          <w:rFonts w:hint="eastAsia" w:ascii="宋体" w:hAnsi="宋体" w:eastAsia="宋体" w:cs="宋体"/>
          <w:color w:val="auto"/>
          <w:spacing w:val="0"/>
          <w:sz w:val="32"/>
          <w:highlight w:val="none"/>
          <w:lang w:val="en-US" w:eastAsia="zh-CN"/>
        </w:rPr>
        <w:t xml:space="preserve">  </w:t>
      </w:r>
      <w:bookmarkStart w:id="0" w:name="OLE_LINK1"/>
      <w:r>
        <w:rPr>
          <w:rFonts w:hint="eastAsia" w:ascii="宋体" w:hAnsi="宋体" w:eastAsia="宋体" w:cs="宋体"/>
          <w:color w:val="auto"/>
          <w:spacing w:val="0"/>
          <w:sz w:val="32"/>
          <w:highlight w:val="none"/>
          <w:lang w:val="en-US" w:eastAsia="zh-CN"/>
        </w:rPr>
        <w:t xml:space="preserve">      </w:t>
      </w:r>
      <w:r>
        <w:rPr>
          <w:rFonts w:hint="eastAsia" w:ascii="宋体" w:hAnsi="宋体" w:eastAsia="宋体" w:cs="宋体"/>
          <w:b/>
          <w:bCs/>
          <w:color w:val="auto"/>
          <w:spacing w:val="0"/>
          <w:sz w:val="32"/>
          <w:highlight w:val="none"/>
          <w:lang w:val="en-US" w:eastAsia="zh-CN"/>
        </w:rPr>
        <w:t>采购单位</w:t>
      </w:r>
      <w:r>
        <w:rPr>
          <w:rFonts w:hint="eastAsia" w:ascii="宋体" w:hAnsi="宋体" w:eastAsia="宋体" w:cs="宋体"/>
          <w:b/>
          <w:bCs/>
          <w:color w:val="auto"/>
          <w:spacing w:val="0"/>
          <w:sz w:val="32"/>
          <w:highlight w:val="none"/>
        </w:rPr>
        <w:t>：</w:t>
      </w:r>
      <w:r>
        <w:rPr>
          <w:rFonts w:hint="eastAsia" w:ascii="宋体" w:hAnsi="宋体" w:eastAsia="宋体" w:cs="宋体"/>
          <w:b/>
          <w:bCs/>
          <w:color w:val="auto"/>
          <w:spacing w:val="0"/>
          <w:sz w:val="32"/>
          <w:highlight w:val="none"/>
          <w:lang w:val="zh-CN" w:eastAsia="zh-CN"/>
        </w:rPr>
        <w:t>温泉县交通运输局</w:t>
      </w:r>
    </w:p>
    <w:p w14:paraId="7B038B6B">
      <w:pPr>
        <w:pStyle w:val="21"/>
        <w:jc w:val="both"/>
        <w:rPr>
          <w:rFonts w:hint="eastAsia" w:ascii="宋体" w:hAnsi="宋体" w:eastAsia="宋体" w:cs="宋体"/>
          <w:b/>
          <w:bCs/>
          <w:color w:val="auto"/>
          <w:spacing w:val="0"/>
          <w:sz w:val="32"/>
          <w:highlight w:val="none"/>
          <w:lang w:val="en-US" w:eastAsia="zh-CN"/>
        </w:rPr>
      </w:pPr>
    </w:p>
    <w:p w14:paraId="5BC03C50">
      <w:pPr>
        <w:pStyle w:val="21"/>
        <w:jc w:val="both"/>
        <w:rPr>
          <w:rFonts w:hint="eastAsia" w:ascii="宋体" w:hAnsi="宋体" w:eastAsia="宋体" w:cs="宋体"/>
          <w:b/>
          <w:bCs/>
          <w:color w:val="auto"/>
          <w:spacing w:val="0"/>
          <w:sz w:val="32"/>
          <w:highlight w:val="none"/>
        </w:rPr>
      </w:pPr>
      <w:r>
        <w:rPr>
          <w:rFonts w:hint="eastAsia" w:ascii="宋体" w:hAnsi="宋体" w:eastAsia="宋体" w:cs="宋体"/>
          <w:b/>
          <w:bCs/>
          <w:color w:val="auto"/>
          <w:spacing w:val="0"/>
          <w:sz w:val="32"/>
          <w:highlight w:val="none"/>
          <w:lang w:val="en-US" w:eastAsia="zh-CN"/>
        </w:rPr>
        <w:t xml:space="preserve">   </w:t>
      </w:r>
    </w:p>
    <w:p w14:paraId="0D9FBB0F">
      <w:pPr>
        <w:pStyle w:val="21"/>
        <w:ind w:firstLine="1285" w:firstLineChars="400"/>
        <w:jc w:val="both"/>
        <w:rPr>
          <w:rFonts w:hint="eastAsia" w:ascii="宋体" w:hAnsi="宋体" w:cs="宋体"/>
          <w:b/>
          <w:bCs/>
          <w:color w:val="auto"/>
          <w:spacing w:val="0"/>
          <w:sz w:val="32"/>
          <w:highlight w:val="none"/>
          <w:lang w:eastAsia="zh-CN"/>
        </w:rPr>
      </w:pPr>
      <w:r>
        <w:rPr>
          <w:rFonts w:hint="eastAsia" w:ascii="宋体" w:hAnsi="宋体" w:eastAsia="宋体" w:cs="宋体"/>
          <w:b/>
          <w:bCs/>
          <w:color w:val="auto"/>
          <w:spacing w:val="0"/>
          <w:sz w:val="32"/>
          <w:highlight w:val="none"/>
        </w:rPr>
        <w:t>代理机构：</w:t>
      </w:r>
      <w:r>
        <w:rPr>
          <w:rFonts w:hint="eastAsia" w:ascii="宋体" w:hAnsi="宋体" w:cs="宋体"/>
          <w:b/>
          <w:bCs/>
          <w:color w:val="auto"/>
          <w:spacing w:val="0"/>
          <w:sz w:val="32"/>
          <w:highlight w:val="none"/>
          <w:lang w:eastAsia="zh-CN"/>
        </w:rPr>
        <w:t>安徽科睿工程项目管理有限公司</w:t>
      </w:r>
    </w:p>
    <w:p w14:paraId="6F2D2E94">
      <w:pPr>
        <w:pStyle w:val="21"/>
        <w:ind w:firstLine="1280" w:firstLineChars="400"/>
        <w:jc w:val="both"/>
        <w:rPr>
          <w:rFonts w:hint="eastAsia" w:ascii="宋体" w:hAnsi="宋体" w:cs="宋体"/>
          <w:color w:val="auto"/>
          <w:spacing w:val="0"/>
          <w:sz w:val="32"/>
          <w:highlight w:val="none"/>
          <w:lang w:eastAsia="zh-CN"/>
        </w:rPr>
      </w:pPr>
    </w:p>
    <w:p w14:paraId="3ECBFF6F">
      <w:pPr>
        <w:pStyle w:val="21"/>
        <w:jc w:val="center"/>
        <w:rPr>
          <w:rFonts w:hint="eastAsia" w:ascii="宋体" w:hAnsi="宋体" w:cs="宋体"/>
          <w:color w:val="auto"/>
          <w:spacing w:val="0"/>
          <w:sz w:val="32"/>
          <w:highlight w:val="none"/>
          <w:lang w:val="en-US" w:eastAsia="zh-CN"/>
        </w:rPr>
      </w:pPr>
    </w:p>
    <w:p w14:paraId="1F047DDC">
      <w:pPr>
        <w:pStyle w:val="21"/>
        <w:jc w:val="center"/>
        <w:rPr>
          <w:rFonts w:hint="eastAsia" w:ascii="宋体" w:hAnsi="宋体" w:eastAsia="宋体" w:cs="宋体"/>
          <w:b/>
          <w:bCs/>
          <w:color w:val="auto"/>
          <w:spacing w:val="0"/>
          <w:sz w:val="32"/>
          <w:highlight w:val="none"/>
          <w:lang w:eastAsia="zh-CN"/>
        </w:rPr>
      </w:pPr>
      <w:r>
        <w:rPr>
          <w:rFonts w:hint="eastAsia" w:ascii="宋体" w:hAnsi="宋体" w:cs="宋体"/>
          <w:b/>
          <w:bCs/>
          <w:color w:val="auto"/>
          <w:spacing w:val="0"/>
          <w:sz w:val="32"/>
          <w:highlight w:val="none"/>
          <w:lang w:val="en-US" w:eastAsia="zh-CN"/>
        </w:rPr>
        <w:t>2026 年 5 月</w:t>
      </w:r>
    </w:p>
    <w:p w14:paraId="0BDC3D60">
      <w:pPr>
        <w:pStyle w:val="21"/>
        <w:jc w:val="both"/>
        <w:rPr>
          <w:rFonts w:hint="default" w:ascii="宋体" w:hAnsi="宋体"/>
          <w:b/>
          <w:color w:val="auto"/>
          <w:sz w:val="44"/>
          <w:szCs w:val="44"/>
          <w:highlight w:val="none"/>
          <w:lang w:val="en-US" w:eastAsia="zh-CN"/>
        </w:rPr>
        <w:sectPr>
          <w:footerReference r:id="rId3" w:type="even"/>
          <w:type w:val="continuous"/>
          <w:pgSz w:w="11907" w:h="16840"/>
          <w:pgMar w:top="1020" w:right="1287" w:bottom="1020" w:left="124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r>
        <w:rPr>
          <w:rFonts w:hint="eastAsia" w:ascii="宋体" w:hAnsi="宋体" w:eastAsia="宋体" w:cs="宋体"/>
          <w:color w:val="auto"/>
          <w:spacing w:val="0"/>
          <w:sz w:val="32"/>
          <w:highlight w:val="none"/>
          <w:lang w:val="en-US" w:eastAsia="zh-CN"/>
        </w:rPr>
        <w:t xml:space="preserve">       </w:t>
      </w:r>
      <w:bookmarkEnd w:id="0"/>
    </w:p>
    <w:p w14:paraId="58D8C790">
      <w:pPr>
        <w:pStyle w:val="8"/>
        <w:rPr>
          <w:rFonts w:hint="eastAsia"/>
          <w:color w:val="auto"/>
          <w:highlight w:val="none"/>
          <w:lang w:val="en-US" w:eastAsia="zh-CN"/>
        </w:rPr>
      </w:pPr>
    </w:p>
    <w:p w14:paraId="1DD5F20D">
      <w:pPr>
        <w:pStyle w:val="8"/>
        <w:rPr>
          <w:rFonts w:hint="eastAsia"/>
          <w:color w:val="auto"/>
          <w:highlight w:val="none"/>
          <w:lang w:val="en-US" w:eastAsia="zh-CN"/>
        </w:rPr>
      </w:pPr>
    </w:p>
    <w:p w14:paraId="26B7FAB7">
      <w:pPr>
        <w:pStyle w:val="8"/>
        <w:rPr>
          <w:rFonts w:hint="eastAsia"/>
          <w:color w:val="auto"/>
          <w:highlight w:val="none"/>
          <w:lang w:val="en-US" w:eastAsia="zh-CN"/>
        </w:rPr>
      </w:pPr>
    </w:p>
    <w:p w14:paraId="558EF44B">
      <w:pPr>
        <w:pStyle w:val="8"/>
        <w:rPr>
          <w:rFonts w:hint="eastAsia"/>
          <w:color w:val="auto"/>
          <w:highlight w:val="none"/>
          <w:lang w:val="en-US" w:eastAsia="zh-CN"/>
        </w:rPr>
      </w:pPr>
    </w:p>
    <w:p w14:paraId="459BD4E2">
      <w:pPr>
        <w:pStyle w:val="8"/>
        <w:rPr>
          <w:rFonts w:hint="eastAsia"/>
          <w:color w:val="auto"/>
          <w:highlight w:val="none"/>
          <w:lang w:val="en-US" w:eastAsia="zh-CN"/>
        </w:rPr>
      </w:pPr>
    </w:p>
    <w:p w14:paraId="19BE5BA9">
      <w:pPr>
        <w:pStyle w:val="8"/>
        <w:rPr>
          <w:rFonts w:hint="eastAsia"/>
          <w:color w:val="auto"/>
          <w:highlight w:val="none"/>
          <w:lang w:val="en-US" w:eastAsia="zh-CN"/>
        </w:rPr>
      </w:pPr>
    </w:p>
    <w:p w14:paraId="3F74524E">
      <w:pPr>
        <w:pStyle w:val="8"/>
        <w:rPr>
          <w:rFonts w:hint="eastAsia"/>
          <w:color w:val="auto"/>
          <w:highlight w:val="none"/>
          <w:lang w:val="en-US" w:eastAsia="zh-CN"/>
        </w:rPr>
      </w:pPr>
    </w:p>
    <w:p w14:paraId="5910FBA8">
      <w:pPr>
        <w:pStyle w:val="8"/>
        <w:rPr>
          <w:rFonts w:hint="eastAsia"/>
          <w:color w:val="auto"/>
          <w:highlight w:val="none"/>
          <w:lang w:val="en-US" w:eastAsia="zh-CN"/>
        </w:rPr>
      </w:pPr>
    </w:p>
    <w:p w14:paraId="7FC58D2A">
      <w:pPr>
        <w:pStyle w:val="8"/>
        <w:rPr>
          <w:rFonts w:hint="eastAsia"/>
          <w:color w:val="auto"/>
          <w:highlight w:val="none"/>
          <w:lang w:val="en-US" w:eastAsia="zh-CN"/>
        </w:rPr>
      </w:pPr>
    </w:p>
    <w:p w14:paraId="5C06FDA7">
      <w:pPr>
        <w:pStyle w:val="8"/>
        <w:rPr>
          <w:rFonts w:hint="eastAsia"/>
          <w:color w:val="auto"/>
          <w:highlight w:val="none"/>
          <w:lang w:val="en-US" w:eastAsia="zh-CN"/>
        </w:rPr>
      </w:pPr>
    </w:p>
    <w:p w14:paraId="0889D96C">
      <w:pPr>
        <w:pStyle w:val="8"/>
        <w:rPr>
          <w:rFonts w:hint="eastAsia"/>
          <w:color w:val="auto"/>
          <w:highlight w:val="none"/>
          <w:lang w:val="en-US" w:eastAsia="zh-CN"/>
        </w:rPr>
      </w:pPr>
    </w:p>
    <w:p w14:paraId="16374347">
      <w:pPr>
        <w:pStyle w:val="8"/>
        <w:rPr>
          <w:rFonts w:hint="eastAsia"/>
          <w:color w:val="auto"/>
          <w:highlight w:val="none"/>
          <w:lang w:val="en-US" w:eastAsia="zh-CN"/>
        </w:rPr>
      </w:pPr>
    </w:p>
    <w:p w14:paraId="2C4AE5BB">
      <w:pPr>
        <w:pStyle w:val="8"/>
        <w:rPr>
          <w:rFonts w:hint="eastAsia"/>
          <w:color w:val="auto"/>
          <w:highlight w:val="none"/>
          <w:lang w:val="en-US" w:eastAsia="zh-CN"/>
        </w:rPr>
      </w:pPr>
    </w:p>
    <w:p w14:paraId="5C0BD829">
      <w:pPr>
        <w:pStyle w:val="2"/>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right="62" w:rightChars="0"/>
        <w:jc w:val="both"/>
        <w:textAlignment w:val="auto"/>
        <w:rPr>
          <w:rFonts w:hint="eastAsia" w:ascii="宋体" w:hAnsi="宋体"/>
          <w:bCs w:val="0"/>
          <w:color w:val="auto"/>
          <w:sz w:val="32"/>
          <w:szCs w:val="32"/>
          <w:highlight w:val="none"/>
          <w:lang w:val="en-US" w:eastAsia="zh-CN"/>
        </w:rPr>
        <w:sectPr>
          <w:footerReference r:id="rId4" w:type="default"/>
          <w:type w:val="continuous"/>
          <w:pgSz w:w="11906" w:h="16838"/>
          <w:pgMar w:top="1440" w:right="1080" w:bottom="1440" w:left="1080" w:header="0" w:footer="1204" w:gutter="0"/>
          <w:pgNumType w:fmt="decimal"/>
          <w:cols w:space="720" w:num="1"/>
        </w:sectPr>
      </w:pPr>
      <w:bookmarkStart w:id="1" w:name="_Toc18757"/>
    </w:p>
    <w:p w14:paraId="14466806">
      <w:pPr>
        <w:pStyle w:val="2"/>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right="62" w:rightChars="0"/>
        <w:jc w:val="center"/>
        <w:textAlignment w:val="auto"/>
        <w:rPr>
          <w:rFonts w:hint="eastAsia" w:ascii="宋体" w:hAnsi="宋体"/>
          <w:bCs w:val="0"/>
          <w:color w:val="000000" w:themeColor="text1"/>
          <w:sz w:val="32"/>
          <w:szCs w:val="32"/>
          <w:highlight w:val="none"/>
          <w:lang w:val="en-US" w:eastAsia="zh-CN"/>
          <w14:textFill>
            <w14:solidFill>
              <w14:schemeClr w14:val="tx1"/>
            </w14:solidFill>
          </w14:textFill>
        </w:rPr>
      </w:pPr>
      <w:r>
        <w:rPr>
          <w:rFonts w:hint="eastAsia" w:ascii="宋体" w:hAnsi="宋体"/>
          <w:bCs w:val="0"/>
          <w:color w:val="auto"/>
          <w:sz w:val="32"/>
          <w:szCs w:val="32"/>
          <w:highlight w:val="none"/>
          <w:lang w:val="en-US" w:eastAsia="zh-CN"/>
        </w:rPr>
        <w:t>温泉县乡镇运输服务站（乡镇综合运输服务站改造项目）</w:t>
      </w:r>
    </w:p>
    <w:p w14:paraId="6FB79D5A">
      <w:pPr>
        <w:pStyle w:val="2"/>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380" w:lineRule="exact"/>
        <w:ind w:leftChars="-50" w:right="62" w:rightChars="0"/>
        <w:jc w:val="center"/>
        <w:textAlignment w:val="auto"/>
        <w:rPr>
          <w:color w:val="000000" w:themeColor="text1"/>
          <w:highlight w:val="none"/>
          <w14:textFill>
            <w14:solidFill>
              <w14:schemeClr w14:val="tx1"/>
            </w14:solidFill>
          </w14:textFill>
        </w:rPr>
      </w:pPr>
      <w:r>
        <w:rPr>
          <w:rFonts w:hint="eastAsia" w:ascii="宋体" w:hAnsi="宋体" w:eastAsia="宋体"/>
          <w:bCs w:val="0"/>
          <w:color w:val="000000" w:themeColor="text1"/>
          <w:sz w:val="32"/>
          <w:szCs w:val="32"/>
          <w:highlight w:val="none"/>
          <w:lang w:eastAsia="zh-CN"/>
          <w14:textFill>
            <w14:solidFill>
              <w14:schemeClr w14:val="tx1"/>
            </w14:solidFill>
          </w14:textFill>
        </w:rPr>
        <w:t>竞争性谈判</w:t>
      </w:r>
      <w:r>
        <w:rPr>
          <w:rFonts w:hint="eastAsia" w:ascii="宋体" w:hAnsi="宋体"/>
          <w:bCs w:val="0"/>
          <w:color w:val="000000" w:themeColor="text1"/>
          <w:sz w:val="32"/>
          <w:szCs w:val="32"/>
          <w:highlight w:val="none"/>
          <w14:textFill>
            <w14:solidFill>
              <w14:schemeClr w14:val="tx1"/>
            </w14:solidFill>
          </w14:textFill>
        </w:rPr>
        <w:t>公告</w:t>
      </w:r>
      <w:bookmarkEnd w:id="1"/>
    </w:p>
    <w:p w14:paraId="2AD6C9D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t>项目概况</w:t>
      </w:r>
    </w:p>
    <w:p w14:paraId="4422D34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pPr>
      <w:bookmarkStart w:id="2" w:name="_Toc35393621"/>
      <w:bookmarkStart w:id="3" w:name="_Toc28359002"/>
      <w:bookmarkStart w:id="4" w:name="_Toc28359079"/>
      <w:bookmarkStart w:id="5" w:name="_Hlk24379207"/>
      <w:bookmarkStart w:id="6" w:name="_Toc35393790"/>
      <w:r>
        <w:rPr>
          <w:rFonts w:hint="eastAsia" w:ascii="宋体" w:hAnsi="宋体" w:cs="宋体"/>
          <w:color w:val="000000" w:themeColor="text1"/>
          <w:kern w:val="2"/>
          <w:sz w:val="24"/>
          <w:szCs w:val="24"/>
          <w:highlight w:val="none"/>
          <w:shd w:val="clear" w:color="auto" w:fill="FFFFFF"/>
          <w:lang w:val="en-US" w:eastAsia="zh-CN" w:bidi="ar-SA"/>
          <w14:textFill>
            <w14:solidFill>
              <w14:schemeClr w14:val="tx1"/>
            </w14:solidFill>
          </w14:textFill>
        </w:rPr>
        <w:t>温泉县乡镇运输服务站（乡镇综合运输服务站改造项目）</w:t>
      </w:r>
      <w:r>
        <w:rPr>
          <w:rFonts w:hint="eastAsia"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t>的潜在投标人应在新疆政府采购网（http://www.ccgp-xinjiang.gov.cn）获取谈判文件，并于</w:t>
      </w:r>
      <w:r>
        <w:rPr>
          <w:rFonts w:hint="eastAsia" w:ascii="宋体" w:hAnsi="宋体" w:cs="宋体"/>
          <w:color w:val="000000" w:themeColor="text1"/>
          <w:kern w:val="2"/>
          <w:sz w:val="24"/>
          <w:szCs w:val="24"/>
          <w:highlight w:val="none"/>
          <w:shd w:val="clear" w:color="auto" w:fill="FFFFFF"/>
          <w:lang w:val="en-US" w:eastAsia="zh-CN" w:bidi="ar-SA"/>
          <w14:textFill>
            <w14:solidFill>
              <w14:schemeClr w14:val="tx1"/>
            </w14:solidFill>
          </w14:textFill>
        </w:rPr>
        <w:t>2026年5月15日11点00分</w:t>
      </w:r>
      <w:r>
        <w:rPr>
          <w:rFonts w:hint="eastAsia" w:ascii="宋体" w:hAnsi="宋体" w:eastAsia="宋体" w:cs="宋体"/>
          <w:color w:val="000000" w:themeColor="text1"/>
          <w:kern w:val="2"/>
          <w:sz w:val="24"/>
          <w:szCs w:val="24"/>
          <w:highlight w:val="none"/>
          <w:shd w:val="clear" w:color="auto" w:fill="FFFFFF"/>
          <w:lang w:val="en-US" w:eastAsia="zh-CN" w:bidi="ar-SA"/>
          <w14:textFill>
            <w14:solidFill>
              <w14:schemeClr w14:val="tx1"/>
            </w14:solidFill>
          </w14:textFill>
        </w:rPr>
        <w:t>（北京时间）前递交响应文件。</w:t>
      </w:r>
    </w:p>
    <w:bookmarkEnd w:id="2"/>
    <w:bookmarkEnd w:id="3"/>
    <w:bookmarkEnd w:id="4"/>
    <w:bookmarkEnd w:id="5"/>
    <w:bookmarkEnd w:id="6"/>
    <w:p w14:paraId="02A2FA20">
      <w:pPr>
        <w:pStyle w:val="22"/>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一、项目基本情况</w:t>
      </w:r>
    </w:p>
    <w:p w14:paraId="01F29A84">
      <w:pPr>
        <w:pStyle w:val="22"/>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bookmarkStart w:id="7" w:name="_Toc28359084"/>
      <w:bookmarkStart w:id="8" w:name="_Toc35393625"/>
      <w:bookmarkStart w:id="9" w:name="_Toc35393794"/>
      <w:bookmarkStart w:id="10" w:name="_Toc28359007"/>
      <w:r>
        <w:rPr>
          <w:rFonts w:hint="eastAsia" w:ascii="宋体" w:hAnsi="宋体" w:eastAsia="宋体" w:cs="宋体"/>
          <w:color w:val="000000" w:themeColor="text1"/>
          <w:kern w:val="2"/>
          <w:sz w:val="24"/>
          <w:szCs w:val="24"/>
          <w:highlight w:val="none"/>
          <w:shd w:val="clear" w:color="auto" w:fill="FFFFFF"/>
          <w14:textFill>
            <w14:solidFill>
              <w14:schemeClr w14:val="tx1"/>
            </w14:solidFill>
          </w14:textFill>
        </w:rPr>
        <w:t>项目</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编号：</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AHKRTP2026-009</w:t>
      </w:r>
    </w:p>
    <w:p w14:paraId="23AF9093">
      <w:pPr>
        <w:pStyle w:val="22"/>
        <w:keepNext w:val="0"/>
        <w:keepLines w:val="0"/>
        <w:pageBreakBefore w:val="0"/>
        <w:tabs>
          <w:tab w:val="left" w:pos="5756"/>
        </w:tabs>
        <w:kinsoku/>
        <w:wordWrap/>
        <w:overflowPunct/>
        <w:topLinePunct w:val="0"/>
        <w:autoSpaceDE/>
        <w:autoSpaceDN/>
        <w:bidi w:val="0"/>
        <w:spacing w:line="340" w:lineRule="exact"/>
        <w:ind w:firstLine="480" w:firstLineChars="200"/>
        <w:textAlignment w:val="auto"/>
        <w:rPr>
          <w:rFonts w:hint="eastAsia" w:ascii="宋体" w:hAnsi="宋体" w:eastAsia="宋体" w:cs="宋体"/>
          <w:b/>
          <w:bCs/>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项目名称：</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温泉县乡镇运输服务站（乡镇综合运输服务站改造项目）</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ab/>
      </w:r>
    </w:p>
    <w:p w14:paraId="057423D4">
      <w:pPr>
        <w:pStyle w:val="22"/>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采购方式：竞争性谈判</w:t>
      </w:r>
    </w:p>
    <w:p w14:paraId="0670CE38">
      <w:pPr>
        <w:pStyle w:val="22"/>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预算金额：</w:t>
      </w:r>
      <w:r>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t>1800000.00</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元</w:t>
      </w:r>
    </w:p>
    <w:p w14:paraId="0EFF3A86">
      <w:pPr>
        <w:pStyle w:val="22"/>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最高限价：</w:t>
      </w:r>
      <w:r>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t>1788988.02</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元</w:t>
      </w:r>
    </w:p>
    <w:p w14:paraId="7B7BFC8A">
      <w:pPr>
        <w:pStyle w:val="22"/>
        <w:spacing w:line="276" w:lineRule="auto"/>
        <w:ind w:firstLine="480" w:firstLineChars="200"/>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数量：1</w:t>
      </w:r>
    </w:p>
    <w:p w14:paraId="089E679D">
      <w:pPr>
        <w:pStyle w:val="22"/>
        <w:spacing w:line="276" w:lineRule="auto"/>
        <w:ind w:firstLine="480" w:firstLineChars="200"/>
        <w:jc w:val="both"/>
        <w:rPr>
          <w:rFonts w:hint="default"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采购</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需求：</w:t>
      </w:r>
      <w:bookmarkStart w:id="11" w:name="OLE_LINK3"/>
      <w:r>
        <w:rPr>
          <w:rFonts w:hint="eastAsia" w:ascii="宋体" w:hAnsi="宋体" w:eastAsia="宋体" w:cs="宋体"/>
          <w:b/>
          <w:bCs/>
          <w:color w:val="000000" w:themeColor="text1"/>
          <w:kern w:val="2"/>
          <w:sz w:val="24"/>
          <w:szCs w:val="24"/>
          <w:highlight w:val="none"/>
          <w:shd w:val="clear" w:color="auto" w:fill="FFFFFF"/>
          <w:lang w:eastAsia="zh-CN"/>
          <w14:textFill>
            <w14:solidFill>
              <w14:schemeClr w14:val="tx1"/>
            </w14:solidFill>
          </w14:textFill>
        </w:rPr>
        <w:t>对乡镇综合运输服务站进行改造。（</w:t>
      </w:r>
      <w:r>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t>详见工程量清单</w:t>
      </w:r>
      <w:r>
        <w:rPr>
          <w:rFonts w:hint="eastAsia" w:ascii="宋体" w:hAnsi="宋体" w:eastAsia="宋体" w:cs="宋体"/>
          <w:b/>
          <w:bCs/>
          <w:color w:val="000000" w:themeColor="text1"/>
          <w:kern w:val="2"/>
          <w:sz w:val="24"/>
          <w:szCs w:val="24"/>
          <w:highlight w:val="none"/>
          <w:shd w:val="clear" w:color="auto" w:fill="FFFFFF"/>
          <w:lang w:eastAsia="zh-CN"/>
          <w14:textFill>
            <w14:solidFill>
              <w14:schemeClr w14:val="tx1"/>
            </w14:solidFill>
          </w14:textFill>
        </w:rPr>
        <w:t>）。</w:t>
      </w:r>
    </w:p>
    <w:bookmarkEnd w:id="11"/>
    <w:p w14:paraId="3C625D94">
      <w:pPr>
        <w:pStyle w:val="22"/>
        <w:spacing w:line="276" w:lineRule="auto"/>
        <w:ind w:firstLine="480" w:firstLineChars="200"/>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合同履行期限：</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总工期90 日历日，计划开工日期 2026 年05月20日，计划竣工日期 2026 年08月18日。</w:t>
      </w:r>
    </w:p>
    <w:p w14:paraId="404D312A">
      <w:pPr>
        <w:pStyle w:val="22"/>
        <w:spacing w:line="276" w:lineRule="auto"/>
        <w:ind w:firstLine="480" w:firstLineChars="200"/>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本项目（否）接受联合体投标。</w:t>
      </w:r>
    </w:p>
    <w:p w14:paraId="46C6187F">
      <w:pPr>
        <w:pStyle w:val="22"/>
        <w:keepNext w:val="0"/>
        <w:keepLines w:val="0"/>
        <w:pageBreakBefore w:val="0"/>
        <w:numPr>
          <w:ilvl w:val="0"/>
          <w:numId w:val="1"/>
        </w:numPr>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bookmarkStart w:id="12" w:name="_Toc28359003"/>
      <w:bookmarkStart w:id="13" w:name="_Toc35393622"/>
      <w:bookmarkStart w:id="14" w:name="_Toc28359080"/>
      <w:bookmarkStart w:id="15" w:name="_Toc35393791"/>
      <w:r>
        <w:rPr>
          <w:rFonts w:hint="eastAsia" w:ascii="宋体" w:hAnsi="宋体" w:eastAsia="宋体" w:cs="宋体"/>
          <w:b w:val="0"/>
          <w:color w:val="000000" w:themeColor="text1"/>
          <w:kern w:val="0"/>
          <w:sz w:val="24"/>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的资格要求：</w:t>
      </w:r>
      <w:bookmarkEnd w:id="12"/>
      <w:bookmarkEnd w:id="13"/>
      <w:bookmarkEnd w:id="14"/>
      <w:bookmarkEnd w:id="15"/>
    </w:p>
    <w:p w14:paraId="37228808">
      <w:pPr>
        <w:pStyle w:val="22"/>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bookmarkStart w:id="16" w:name="_Toc28359004"/>
      <w:bookmarkStart w:id="17" w:name="_Toc35393623"/>
      <w:bookmarkStart w:id="18" w:name="_Toc28359081"/>
      <w:bookmarkStart w:id="19" w:name="_Toc35393792"/>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1.满足《中华人民共和国政府采购法》第二十二条规定；</w:t>
      </w:r>
    </w:p>
    <w:p w14:paraId="17D00D43">
      <w:pPr>
        <w:pStyle w:val="22"/>
        <w:keepNext w:val="0"/>
        <w:keepLines w:val="0"/>
        <w:pageBreakBefore w:val="0"/>
        <w:widowControl/>
        <w:kinsoku/>
        <w:wordWrap/>
        <w:overflowPunct/>
        <w:topLinePunct w:val="0"/>
        <w:autoSpaceDE/>
        <w:autoSpaceDN/>
        <w:bidi w:val="0"/>
        <w:spacing w:line="340" w:lineRule="exact"/>
        <w:ind w:firstLine="480"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2.落实政府采购政策需满足的资格要求：</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本项目专门面向小微企业。</w:t>
      </w:r>
    </w:p>
    <w:p w14:paraId="791FB53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t>本项目的特定资格要求</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w:t>
      </w:r>
      <w:bookmarkStart w:id="20" w:name="OLE_LINK10"/>
      <w:r>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t>供应商须具备建筑工程施工总承包叁级及以上资质，并在有效期内的，有效的《安全生产许可证》，并在人员、设备、资金等方面具备相应的施工能力；拟派的项目负责人须具备建筑工程专业二级建造师及以上（含二级）注册执业资格，并具备有效的安全生产考核合格证书</w:t>
      </w:r>
      <w:r>
        <w:rPr>
          <w:rFonts w:ascii="Segoe UI" w:hAnsi="Segoe UI" w:eastAsia="Segoe UI" w:cs="Segoe UI"/>
          <w:b/>
          <w:bCs/>
          <w:i w:val="0"/>
          <w:iCs w:val="0"/>
          <w:caps w:val="0"/>
          <w:color w:val="000000" w:themeColor="text1"/>
          <w:spacing w:val="0"/>
          <w:sz w:val="24"/>
          <w:szCs w:val="24"/>
          <w:highlight w:val="none"/>
          <w:shd w:val="clear" w:color="auto" w:fill="FFFFFF"/>
          <w14:textFill>
            <w14:solidFill>
              <w14:schemeClr w14:val="tx1"/>
            </w14:solidFill>
          </w14:textFill>
        </w:rPr>
        <w:t>（B 证）</w:t>
      </w:r>
      <w:r>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t>。</w:t>
      </w:r>
      <w:bookmarkEnd w:id="20"/>
    </w:p>
    <w:p w14:paraId="0103287E">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三、获取采购文件</w:t>
      </w:r>
      <w:bookmarkEnd w:id="16"/>
      <w:bookmarkEnd w:id="17"/>
      <w:bookmarkEnd w:id="18"/>
      <w:bookmarkEnd w:id="19"/>
    </w:p>
    <w:p w14:paraId="1F1CD1AD">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21" w:name="_Toc28359082"/>
      <w:bookmarkStart w:id="22" w:name="_Toc35393624"/>
      <w:bookmarkStart w:id="23" w:name="_Toc28359005"/>
      <w:bookmarkStart w:id="24" w:name="_Toc35393793"/>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 xml:space="preserve">1、 </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时间：</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2026</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年</w:t>
      </w:r>
      <w:r>
        <w:rPr>
          <w:rFonts w:hint="eastAsia" w:ascii="宋体" w:hAnsi="宋体" w:cs="宋体"/>
          <w:color w:val="000000" w:themeColor="text1"/>
          <w:kern w:val="2"/>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月</w:t>
      </w:r>
      <w:r>
        <w:rPr>
          <w:rFonts w:hint="eastAsia" w:ascii="宋体" w:hAnsi="宋体" w:cs="宋体"/>
          <w:color w:val="000000" w:themeColor="text1"/>
          <w:kern w:val="2"/>
          <w:sz w:val="24"/>
          <w:szCs w:val="24"/>
          <w:highlight w:val="none"/>
          <w:shd w:val="clear" w:color="auto" w:fill="FFFFFF"/>
          <w:lang w:val="en-US" w:eastAsia="zh-CN"/>
          <w14:textFill>
            <w14:solidFill>
              <w14:schemeClr w14:val="tx1"/>
            </w14:solidFill>
          </w14:textFill>
        </w:rPr>
        <w:t>11</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日至</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2026</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年</w:t>
      </w:r>
      <w:r>
        <w:rPr>
          <w:rFonts w:hint="eastAsia" w:ascii="宋体" w:hAnsi="宋体" w:cs="宋体"/>
          <w:color w:val="000000" w:themeColor="text1"/>
          <w:kern w:val="2"/>
          <w:sz w:val="24"/>
          <w:szCs w:val="24"/>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月</w:t>
      </w:r>
      <w:r>
        <w:rPr>
          <w:rFonts w:hint="eastAsia" w:ascii="宋体" w:hAnsi="宋体" w:cs="宋体"/>
          <w:color w:val="000000" w:themeColor="text1"/>
          <w:kern w:val="2"/>
          <w:sz w:val="24"/>
          <w:szCs w:val="24"/>
          <w:highlight w:val="none"/>
          <w:shd w:val="clear" w:color="auto" w:fill="FFFFFF"/>
          <w:lang w:val="en-US" w:eastAsia="zh-CN"/>
          <w14:textFill>
            <w14:solidFill>
              <w14:schemeClr w14:val="tx1"/>
            </w14:solidFill>
          </w14:textFill>
        </w:rPr>
        <w:t>13</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日</w:t>
      </w:r>
      <w:r>
        <w:rPr>
          <w:rFonts w:hint="eastAsia" w:ascii="宋体" w:hAnsi="宋体" w:eastAsia="宋体" w:cs="宋体"/>
          <w:color w:val="000000" w:themeColor="text1"/>
          <w:sz w:val="24"/>
          <w:szCs w:val="24"/>
          <w:highlight w:val="none"/>
          <w:lang w:eastAsia="zh-CN"/>
          <w14:textFill>
            <w14:solidFill>
              <w14:schemeClr w14:val="tx1"/>
            </w14:solidFill>
          </w14:textFill>
        </w:rPr>
        <w:t>，每天上午00:00至12:00，下午12:00至23:59（北京时间）。</w:t>
      </w:r>
    </w:p>
    <w:bookmarkEnd w:id="21"/>
    <w:bookmarkEnd w:id="22"/>
    <w:bookmarkEnd w:id="23"/>
    <w:bookmarkEnd w:id="24"/>
    <w:p w14:paraId="421F936B">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地点：</w:t>
      </w:r>
      <w:bookmarkStart w:id="25" w:name="OLE_LINK13"/>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政采云平台（https://www.zcygov.cn/）线上获取</w:t>
      </w:r>
    </w:p>
    <w:bookmarkEnd w:id="25"/>
    <w:p w14:paraId="08FF5088">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8BC11B0">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售价（元）：</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0</w:t>
      </w:r>
    </w:p>
    <w:p w14:paraId="273BD9BA">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四、响应文件提交</w:t>
      </w:r>
    </w:p>
    <w:p w14:paraId="5BA49B13">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1、截止时间：2026年5月15日11点00分（北京时间）</w:t>
      </w:r>
    </w:p>
    <w:p w14:paraId="36706C99">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2、投标地点：请登录政采云投标客户端投标。</w:t>
      </w:r>
    </w:p>
    <w:p w14:paraId="05994B67">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五、响应文件开启 </w:t>
      </w:r>
    </w:p>
    <w:p w14:paraId="4C935956">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开启时间：</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2026年5月15日11点00分（北京时间）</w:t>
      </w:r>
    </w:p>
    <w:p w14:paraId="0E9DA342">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地点：投标人登录政采云平台 https://www.zcygov.cn/，进入“项目采购-开标 评标-右边选择对应项目点击“进入项目”进入开标大厅。</w:t>
      </w:r>
    </w:p>
    <w:p w14:paraId="3F03F59D">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六、公告期限</w:t>
      </w:r>
      <w:bookmarkEnd w:id="7"/>
      <w:bookmarkEnd w:id="8"/>
      <w:bookmarkEnd w:id="9"/>
      <w:bookmarkEnd w:id="10"/>
    </w:p>
    <w:p w14:paraId="67F98FA3">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自本公告发布之日起</w:t>
      </w: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kern w:val="2"/>
          <w:sz w:val="24"/>
          <w:szCs w:val="24"/>
          <w:highlight w:val="none"/>
          <w:shd w:val="clear" w:color="auto" w:fill="FFFFFF"/>
          <w:lang w:eastAsia="zh-CN"/>
          <w14:textFill>
            <w14:solidFill>
              <w14:schemeClr w14:val="tx1"/>
            </w14:solidFill>
          </w14:textFill>
        </w:rPr>
        <w:t>个工作日。</w:t>
      </w:r>
    </w:p>
    <w:p w14:paraId="4FB4372D">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bookmarkStart w:id="26" w:name="_Toc35393795"/>
      <w:bookmarkStart w:id="27" w:name="_Toc35393626"/>
      <w:bookmarkStart w:id="28" w:name="_Toc28359008"/>
      <w:bookmarkStart w:id="29" w:name="_Toc35393627"/>
      <w:bookmarkStart w:id="30" w:name="_Toc35393796"/>
      <w:bookmarkStart w:id="31" w:name="_Toc28359085"/>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七、其他补充事宜 </w:t>
      </w:r>
    </w:p>
    <w:p w14:paraId="6E14A62A">
      <w:pPr>
        <w:pStyle w:val="22"/>
        <w:keepNext w:val="0"/>
        <w:keepLines w:val="0"/>
        <w:pageBreakBefore w:val="0"/>
        <w:widowControl/>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1、本项目实行网上投标，采用电子响应文件。</w:t>
      </w:r>
    </w:p>
    <w:p w14:paraId="54D64EEA">
      <w:pPr>
        <w:pStyle w:val="22"/>
        <w:keepNext w:val="0"/>
        <w:keepLines w:val="0"/>
        <w:pageBreakBefore w:val="0"/>
        <w:widowControl/>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6F11E8CE">
      <w:pPr>
        <w:pStyle w:val="22"/>
        <w:keepNext w:val="0"/>
        <w:keepLines w:val="0"/>
        <w:pageBreakBefore w:val="0"/>
        <w:widowControl/>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3、供应商将政采云</w:t>
      </w:r>
      <w:r>
        <w:rPr>
          <w:rFonts w:hint="eastAsia" w:ascii="宋体" w:hAnsi="宋体" w:eastAsia="宋体" w:cs="宋体"/>
          <w:color w:val="auto"/>
          <w:kern w:val="2"/>
          <w:sz w:val="24"/>
          <w:szCs w:val="24"/>
          <w:highlight w:val="none"/>
          <w:shd w:val="clear" w:color="auto" w:fill="FFFFFF"/>
          <w:lang w:val="en-US" w:eastAsia="zh-CN"/>
        </w:rPr>
        <w:t>电子交易客户端下载、安装完成后，可通过账号密码或CA登录客户端进行响应文件的制作。在使用政采云投标客户端时，建议使用WIN7及以上操作系统。</w:t>
      </w:r>
    </w:p>
    <w:p w14:paraId="1139813B">
      <w:pPr>
        <w:pStyle w:val="22"/>
        <w:keepNext w:val="0"/>
        <w:keepLines w:val="0"/>
        <w:pageBreakBefore w:val="0"/>
        <w:widowControl/>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特别提示：</w:t>
      </w:r>
    </w:p>
    <w:p w14:paraId="1CF8D12C">
      <w:pPr>
        <w:keepNext w:val="0"/>
        <w:keepLines w:val="0"/>
        <w:pageBreakBefore w:val="0"/>
        <w:widowControl/>
        <w:shd w:val="clear" w:color="auto" w:fill="auto"/>
        <w:kinsoku w:val="0"/>
        <w:wordWrap/>
        <w:overflowPunct/>
        <w:topLinePunct w:val="0"/>
        <w:autoSpaceDE w:val="0"/>
        <w:autoSpaceDN w:val="0"/>
        <w:bidi w:val="0"/>
        <w:adjustRightInd w:val="0"/>
        <w:snapToGrid w:val="0"/>
        <w:spacing w:line="252"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1、采购限额标准以上，200万元以下的货物和服务采购项目、400万元以下的工程采购项目，适宜由中小企业提供的，采购人应当专门面向中小企业采购。</w:t>
      </w:r>
    </w:p>
    <w:p w14:paraId="2D46B0EB">
      <w:pPr>
        <w:keepNext w:val="0"/>
        <w:keepLines w:val="0"/>
        <w:pageBreakBefore w:val="0"/>
        <w:widowControl/>
        <w:shd w:val="clear" w:color="auto" w:fill="auto"/>
        <w:kinsoku w:val="0"/>
        <w:wordWrap/>
        <w:overflowPunct/>
        <w:topLinePunct w:val="0"/>
        <w:autoSpaceDE w:val="0"/>
        <w:autoSpaceDN w:val="0"/>
        <w:bidi w:val="0"/>
        <w:adjustRightInd w:val="0"/>
        <w:snapToGrid w:val="0"/>
        <w:spacing w:line="252"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14:paraId="08B002EC">
      <w:pPr>
        <w:keepNext w:val="0"/>
        <w:keepLines w:val="0"/>
        <w:pageBreakBefore w:val="0"/>
        <w:widowControl/>
        <w:shd w:val="clear" w:color="auto" w:fill="auto"/>
        <w:kinsoku w:val="0"/>
        <w:wordWrap/>
        <w:overflowPunct/>
        <w:topLinePunct w:val="0"/>
        <w:autoSpaceDE w:val="0"/>
        <w:autoSpaceDN w:val="0"/>
        <w:bidi w:val="0"/>
        <w:adjustRightInd w:val="0"/>
        <w:snapToGrid w:val="0"/>
        <w:spacing w:line="252"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3E01B492">
      <w:pPr>
        <w:keepNext w:val="0"/>
        <w:keepLines w:val="0"/>
        <w:pageBreakBefore w:val="0"/>
        <w:widowControl/>
        <w:shd w:val="clear" w:color="auto" w:fill="auto"/>
        <w:kinsoku w:val="0"/>
        <w:wordWrap/>
        <w:overflowPunct/>
        <w:topLinePunct w:val="0"/>
        <w:autoSpaceDE w:val="0"/>
        <w:autoSpaceDN w:val="0"/>
        <w:bidi w:val="0"/>
        <w:adjustRightInd w:val="0"/>
        <w:snapToGrid w:val="0"/>
        <w:spacing w:line="252" w:lineRule="auto"/>
        <w:ind w:firstLine="480" w:firstLineChars="200"/>
        <w:textAlignment w:val="baseline"/>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FEA26BC">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八、</w:t>
      </w:r>
      <w:bookmarkEnd w:id="26"/>
      <w:bookmarkEnd w:id="27"/>
      <w:r>
        <w:rPr>
          <w:rFonts w:hint="eastAsia" w:ascii="宋体" w:hAnsi="宋体" w:eastAsia="宋体" w:cs="宋体"/>
          <w:color w:val="auto"/>
          <w:kern w:val="2"/>
          <w:sz w:val="24"/>
          <w:szCs w:val="24"/>
          <w:highlight w:val="none"/>
          <w:shd w:val="clear" w:color="auto" w:fill="FFFFFF"/>
          <w:lang w:val="en-US" w:eastAsia="zh-CN"/>
        </w:rPr>
        <w:t>对本次招标提出询问，请按以下方式联系。</w:t>
      </w:r>
      <w:bookmarkEnd w:id="28"/>
      <w:bookmarkEnd w:id="29"/>
      <w:bookmarkEnd w:id="30"/>
      <w:bookmarkEnd w:id="31"/>
    </w:p>
    <w:p w14:paraId="61F2C208">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1.采购人信息</w:t>
      </w:r>
    </w:p>
    <w:p w14:paraId="6234738C">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名 称：温泉县交通运输局</w:t>
      </w:r>
    </w:p>
    <w:p w14:paraId="045B41C6">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地 址：温泉县</w:t>
      </w:r>
    </w:p>
    <w:p w14:paraId="342B1129">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联系方式：</w:t>
      </w:r>
      <w:bookmarkStart w:id="32" w:name="_Toc28359086"/>
      <w:bookmarkStart w:id="33" w:name="_Toc28359009"/>
      <w:r>
        <w:rPr>
          <w:rFonts w:hint="eastAsia" w:ascii="宋体" w:hAnsi="宋体" w:eastAsia="宋体" w:cs="宋体"/>
          <w:color w:val="auto"/>
          <w:kern w:val="2"/>
          <w:sz w:val="24"/>
          <w:szCs w:val="24"/>
          <w:highlight w:val="none"/>
          <w:shd w:val="clear" w:color="auto" w:fill="FFFFFF"/>
          <w:lang w:val="en-US" w:eastAsia="zh-CN"/>
        </w:rPr>
        <w:t xml:space="preserve">13999761991 </w:t>
      </w:r>
    </w:p>
    <w:p w14:paraId="36054532">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2.采购代理机构信息</w:t>
      </w:r>
      <w:bookmarkEnd w:id="32"/>
      <w:bookmarkEnd w:id="33"/>
    </w:p>
    <w:p w14:paraId="25E1F0C0">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 xml:space="preserve">名 称：安徽科睿工程项目管理有限公司 </w:t>
      </w:r>
    </w:p>
    <w:p w14:paraId="71148F54">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地 址：博乐市中央名筑二期负一层01-1号</w:t>
      </w:r>
    </w:p>
    <w:p w14:paraId="32D12967">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3.项目联系方式</w:t>
      </w:r>
    </w:p>
    <w:p w14:paraId="2E570CCA">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项目联系人：赵曼</w:t>
      </w:r>
    </w:p>
    <w:p w14:paraId="55EA79C9">
      <w:pPr>
        <w:pStyle w:val="22"/>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电 话：15026218772</w:t>
      </w:r>
    </w:p>
    <w:p w14:paraId="5711F371">
      <w:pPr>
        <w:pStyle w:val="22"/>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p>
    <w:p w14:paraId="20D422D3">
      <w:pPr>
        <w:pStyle w:val="22"/>
        <w:keepNext w:val="0"/>
        <w:keepLines w:val="0"/>
        <w:pageBreakBefore w:val="0"/>
        <w:kinsoku/>
        <w:wordWrap/>
        <w:overflowPunct/>
        <w:topLinePunct w:val="0"/>
        <w:autoSpaceDE/>
        <w:autoSpaceDN/>
        <w:bidi w:val="0"/>
        <w:spacing w:line="340" w:lineRule="exact"/>
        <w:ind w:firstLine="480" w:firstLineChars="200"/>
        <w:textAlignment w:val="auto"/>
        <w:rPr>
          <w:rFonts w:hint="eastAsia" w:ascii="宋体" w:hAnsi="宋体" w:eastAsia="宋体" w:cs="宋体"/>
          <w:color w:val="auto"/>
          <w:kern w:val="2"/>
          <w:sz w:val="24"/>
          <w:szCs w:val="24"/>
          <w:highlight w:val="none"/>
          <w:shd w:val="clear" w:color="auto" w:fill="FFFFFF"/>
          <w:lang w:val="en-US" w:eastAsia="zh-CN"/>
        </w:rPr>
      </w:pPr>
    </w:p>
    <w:p w14:paraId="55110C88">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bookmarkStart w:id="34" w:name="_Toc15624"/>
    </w:p>
    <w:p w14:paraId="4B6AC07C">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2E3509A6">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7D8B8EC7">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45436C8A">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6820C563">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71AB2539">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45B0FEA7">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405C5B8B">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5942D3F2">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046E6BD3">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63917181">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09FEF516">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0BCD83F4">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7ECCFECD">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08FF5511">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22CC1A1B">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7828516D">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38F26D6E">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29AC83D1">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2039A91C">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32E4EC38">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59CE134E">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0382E483">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eastAsia" w:ascii="宋体" w:hAnsi="宋体" w:cs="宋体"/>
          <w:b/>
          <w:bCs/>
          <w:color w:val="auto"/>
          <w:sz w:val="28"/>
          <w:szCs w:val="28"/>
          <w:highlight w:val="none"/>
          <w:lang w:val="en-US" w:eastAsia="zh-CN"/>
        </w:rPr>
      </w:pPr>
    </w:p>
    <w:p w14:paraId="108DE3DD">
      <w:pPr>
        <w:keepNext w:val="0"/>
        <w:keepLines w:val="0"/>
        <w:pageBreakBefore w:val="0"/>
        <w:kinsoku/>
        <w:wordWrap/>
        <w:overflowPunct/>
        <w:topLinePunct w:val="0"/>
        <w:autoSpaceDE/>
        <w:autoSpaceDN/>
        <w:bidi w:val="0"/>
        <w:spacing w:line="340" w:lineRule="exact"/>
        <w:ind w:firstLine="3935" w:firstLineChars="1400"/>
        <w:jc w:val="left"/>
        <w:textAlignment w:val="auto"/>
        <w:outlineLvl w:val="0"/>
        <w:rPr>
          <w:rFonts w:hint="default"/>
          <w:b/>
          <w:bCs/>
          <w:color w:val="auto"/>
          <w:highlight w:val="none"/>
          <w:lang w:val="en-US" w:eastAsia="zh-CN"/>
        </w:rPr>
      </w:pPr>
      <w:r>
        <w:rPr>
          <w:rFonts w:hint="eastAsia" w:ascii="宋体" w:hAnsi="宋体" w:cs="宋体"/>
          <w:b/>
          <w:bCs/>
          <w:color w:val="auto"/>
          <w:sz w:val="28"/>
          <w:szCs w:val="28"/>
          <w:highlight w:val="none"/>
          <w:lang w:val="en-US" w:eastAsia="zh-CN"/>
        </w:rPr>
        <w:t>投标人须知前附表</w:t>
      </w:r>
      <w:bookmarkEnd w:id="34"/>
    </w:p>
    <w:tbl>
      <w:tblPr>
        <w:tblStyle w:val="17"/>
        <w:tblpPr w:leftFromText="180" w:rightFromText="180" w:vertAnchor="text" w:horzAnchor="page" w:tblpX="1237" w:tblpY="627"/>
        <w:tblOverlap w:val="never"/>
        <w:tblW w:w="9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2087"/>
        <w:gridCol w:w="6656"/>
      </w:tblGrid>
      <w:tr w14:paraId="337D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noWrap w:val="0"/>
            <w:vAlign w:val="center"/>
          </w:tcPr>
          <w:p w14:paraId="1156E57C">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spacing w:val="40"/>
                <w:kern w:val="24"/>
                <w:sz w:val="24"/>
                <w:szCs w:val="24"/>
                <w:highlight w:val="none"/>
              </w:rPr>
            </w:pPr>
            <w:r>
              <w:rPr>
                <w:rFonts w:hint="eastAsia" w:ascii="宋体" w:hAnsi="宋体" w:eastAsia="宋体" w:cs="宋体"/>
                <w:color w:val="auto"/>
                <w:spacing w:val="40"/>
                <w:kern w:val="24"/>
                <w:sz w:val="24"/>
                <w:szCs w:val="24"/>
                <w:highlight w:val="none"/>
              </w:rPr>
              <w:t>序号</w:t>
            </w:r>
          </w:p>
        </w:tc>
        <w:tc>
          <w:tcPr>
            <w:tcW w:w="2087" w:type="dxa"/>
            <w:noWrap w:val="0"/>
            <w:tcMar>
              <w:top w:w="0" w:type="dxa"/>
              <w:left w:w="108" w:type="dxa"/>
              <w:bottom w:w="0" w:type="dxa"/>
              <w:right w:w="108" w:type="dxa"/>
            </w:tcMar>
            <w:vAlign w:val="center"/>
          </w:tcPr>
          <w:p w14:paraId="5E9D2A3C">
            <w:pPr>
              <w:keepLines w:val="0"/>
              <w:pageBreakBefore w:val="0"/>
              <w:kinsoku/>
              <w:wordWrap/>
              <w:overflowPunct/>
              <w:topLinePunct w:val="0"/>
              <w:bidi w:val="0"/>
              <w:spacing w:line="420" w:lineRule="exact"/>
              <w:jc w:val="center"/>
              <w:rPr>
                <w:rFonts w:hint="eastAsia" w:ascii="宋体" w:hAnsi="宋体" w:eastAsia="宋体" w:cs="宋体"/>
                <w:color w:val="auto"/>
                <w:spacing w:val="40"/>
                <w:kern w:val="24"/>
                <w:sz w:val="24"/>
                <w:szCs w:val="24"/>
                <w:highlight w:val="none"/>
                <w:lang w:eastAsia="zh-CN"/>
              </w:rPr>
            </w:pPr>
            <w:r>
              <w:rPr>
                <w:rFonts w:hint="eastAsia" w:ascii="宋体" w:hAnsi="宋体" w:cs="宋体"/>
                <w:color w:val="auto"/>
                <w:spacing w:val="40"/>
                <w:kern w:val="24"/>
                <w:sz w:val="24"/>
                <w:szCs w:val="24"/>
                <w:highlight w:val="none"/>
                <w:lang w:eastAsia="zh-CN"/>
              </w:rPr>
              <w:t>名称</w:t>
            </w:r>
          </w:p>
        </w:tc>
        <w:tc>
          <w:tcPr>
            <w:tcW w:w="6656" w:type="dxa"/>
            <w:noWrap w:val="0"/>
            <w:vAlign w:val="center"/>
          </w:tcPr>
          <w:p w14:paraId="451B2DFF">
            <w:pPr>
              <w:keepLines w:val="0"/>
              <w:pageBreakBefore w:val="0"/>
              <w:kinsoku/>
              <w:wordWrap/>
              <w:overflowPunct/>
              <w:topLinePunct w:val="0"/>
              <w:bidi w:val="0"/>
              <w:spacing w:line="420" w:lineRule="exact"/>
              <w:ind w:right="5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r>
      <w:tr w14:paraId="755C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66" w:type="dxa"/>
            <w:noWrap w:val="0"/>
            <w:vAlign w:val="center"/>
          </w:tcPr>
          <w:p w14:paraId="6E28F8EC">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87" w:type="dxa"/>
            <w:noWrap w:val="0"/>
            <w:tcMar>
              <w:top w:w="0" w:type="dxa"/>
              <w:left w:w="108" w:type="dxa"/>
              <w:bottom w:w="0" w:type="dxa"/>
              <w:right w:w="108" w:type="dxa"/>
            </w:tcMar>
            <w:vAlign w:val="center"/>
          </w:tcPr>
          <w:p w14:paraId="4A4F5441">
            <w:pPr>
              <w:keepLines w:val="0"/>
              <w:pageBreakBefore w:val="0"/>
              <w:kinsoku/>
              <w:wordWrap/>
              <w:overflowPunct/>
              <w:topLinePunct w:val="0"/>
              <w:bidi w:val="0"/>
              <w:spacing w:line="420" w:lineRule="exact"/>
              <w:ind w:right="-49"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r>
              <w:rPr>
                <w:rFonts w:hint="eastAsia" w:ascii="宋体" w:hAnsi="宋体" w:cs="宋体"/>
                <w:color w:val="auto"/>
                <w:sz w:val="24"/>
                <w:szCs w:val="24"/>
                <w:highlight w:val="none"/>
                <w:lang w:val="en-US" w:eastAsia="zh-CN"/>
              </w:rPr>
              <w:t>目名称</w:t>
            </w:r>
          </w:p>
        </w:tc>
        <w:tc>
          <w:tcPr>
            <w:tcW w:w="6656" w:type="dxa"/>
            <w:noWrap w:val="0"/>
            <w:vAlign w:val="center"/>
          </w:tcPr>
          <w:p w14:paraId="716D0A22">
            <w:pPr>
              <w:keepLines w:val="0"/>
              <w:pageBreakBefore w:val="0"/>
              <w:wordWrap/>
              <w:overflowPunct/>
              <w:topLinePunct w:val="0"/>
              <w:bidi w:val="0"/>
              <w:spacing w:line="420" w:lineRule="exact"/>
              <w:rPr>
                <w:rFonts w:hint="eastAsia"/>
                <w:color w:val="auto"/>
                <w:sz w:val="24"/>
                <w:szCs w:val="24"/>
                <w:highlight w:val="none"/>
              </w:rPr>
            </w:pPr>
            <w:r>
              <w:rPr>
                <w:rFonts w:hint="eastAsia"/>
                <w:color w:val="auto"/>
                <w:sz w:val="24"/>
                <w:szCs w:val="24"/>
                <w:highlight w:val="none"/>
                <w:lang w:eastAsia="zh-CN"/>
              </w:rPr>
              <w:t>温泉县乡镇运输服务站（乡镇综合运输服务站改造项目）</w:t>
            </w:r>
          </w:p>
        </w:tc>
      </w:tr>
      <w:tr w14:paraId="08E2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noWrap w:val="0"/>
            <w:vAlign w:val="center"/>
          </w:tcPr>
          <w:p w14:paraId="315CBC54">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087" w:type="dxa"/>
            <w:noWrap w:val="0"/>
            <w:tcMar>
              <w:top w:w="0" w:type="dxa"/>
              <w:left w:w="108" w:type="dxa"/>
              <w:bottom w:w="0" w:type="dxa"/>
              <w:right w:w="108" w:type="dxa"/>
            </w:tcMar>
            <w:vAlign w:val="center"/>
          </w:tcPr>
          <w:p w14:paraId="11603B9A">
            <w:pPr>
              <w:keepLines w:val="0"/>
              <w:pageBreakBefore w:val="0"/>
              <w:kinsoku/>
              <w:wordWrap/>
              <w:overflowPunct/>
              <w:topLinePunct w:val="0"/>
              <w:bidi w:val="0"/>
              <w:spacing w:line="420" w:lineRule="exact"/>
              <w:ind w:right="-48" w:rightChars="-2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项目编号</w:t>
            </w:r>
          </w:p>
        </w:tc>
        <w:tc>
          <w:tcPr>
            <w:tcW w:w="6656" w:type="dxa"/>
            <w:noWrap w:val="0"/>
            <w:vAlign w:val="center"/>
          </w:tcPr>
          <w:p w14:paraId="6F4833DD">
            <w:pPr>
              <w:keepLines w:val="0"/>
              <w:pageBreakBefore w:val="0"/>
              <w:wordWrap/>
              <w:overflowPunct/>
              <w:topLinePunct w:val="0"/>
              <w:bidi w:val="0"/>
              <w:spacing w:line="420" w:lineRule="exact"/>
              <w:rPr>
                <w:rFonts w:hint="eastAsia"/>
                <w:color w:val="auto"/>
                <w:sz w:val="24"/>
                <w:szCs w:val="24"/>
                <w:highlight w:val="none"/>
                <w:lang w:val="en-US" w:eastAsia="zh-CN"/>
              </w:rPr>
            </w:pPr>
            <w:r>
              <w:rPr>
                <w:rFonts w:hint="eastAsia" w:ascii="宋体" w:hAnsi="宋体" w:cs="宋体"/>
                <w:color w:val="auto"/>
                <w:sz w:val="24"/>
                <w:szCs w:val="24"/>
                <w:highlight w:val="none"/>
                <w:lang w:val="en-US" w:eastAsia="zh-CN"/>
              </w:rPr>
              <w:t>AHKRTP2026-009</w:t>
            </w:r>
          </w:p>
        </w:tc>
      </w:tr>
      <w:tr w14:paraId="56DF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noWrap w:val="0"/>
            <w:vAlign w:val="center"/>
          </w:tcPr>
          <w:p w14:paraId="199277BA">
            <w:pPr>
              <w:keepLines w:val="0"/>
              <w:pageBreakBefore w:val="0"/>
              <w:kinsoku/>
              <w:wordWrap/>
              <w:overflowPunct/>
              <w:topLinePunct w:val="0"/>
              <w:bidi w:val="0"/>
              <w:spacing w:line="420" w:lineRule="exact"/>
              <w:ind w:right="-108" w:rightChars="-4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087" w:type="dxa"/>
            <w:noWrap w:val="0"/>
            <w:tcMar>
              <w:top w:w="0" w:type="dxa"/>
              <w:left w:w="108" w:type="dxa"/>
              <w:bottom w:w="0" w:type="dxa"/>
              <w:right w:w="108" w:type="dxa"/>
            </w:tcMar>
            <w:vAlign w:val="center"/>
          </w:tcPr>
          <w:p w14:paraId="39844BA2">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采购需求</w:t>
            </w:r>
          </w:p>
        </w:tc>
        <w:tc>
          <w:tcPr>
            <w:tcW w:w="6656" w:type="dxa"/>
            <w:noWrap w:val="0"/>
            <w:vAlign w:val="center"/>
          </w:tcPr>
          <w:p w14:paraId="73824A3E">
            <w:pPr>
              <w:pStyle w:val="22"/>
              <w:keepLines w:val="0"/>
              <w:pageBreakBefore w:val="0"/>
              <w:wordWrap/>
              <w:overflowPunct/>
              <w:topLinePunct w:val="0"/>
              <w:bidi w:val="0"/>
              <w:spacing w:line="420" w:lineRule="exact"/>
              <w:rPr>
                <w:rFonts w:hint="eastAsia"/>
                <w:color w:val="auto"/>
                <w:sz w:val="24"/>
                <w:szCs w:val="24"/>
                <w:highlight w:val="none"/>
                <w:lang w:val="en-US" w:eastAsia="zh-CN"/>
              </w:rPr>
            </w:pPr>
            <w:r>
              <w:rPr>
                <w:rFonts w:hint="eastAsia" w:ascii="宋体" w:hAnsi="宋体" w:eastAsia="宋体" w:cs="宋体"/>
                <w:color w:val="auto"/>
                <w:kern w:val="2"/>
                <w:sz w:val="24"/>
                <w:szCs w:val="24"/>
                <w:highlight w:val="none"/>
                <w:shd w:val="clear" w:color="auto" w:fill="FFFFFF"/>
                <w:lang w:eastAsia="zh-CN"/>
              </w:rPr>
              <w:t>对乡镇综合运输服务站进行改造。</w:t>
            </w:r>
            <w:r>
              <w:rPr>
                <w:rFonts w:hint="eastAsia" w:ascii="宋体" w:hAnsi="宋体" w:eastAsia="宋体" w:cs="宋体"/>
                <w:b/>
                <w:bCs/>
                <w:color w:val="000000" w:themeColor="text1"/>
                <w:kern w:val="2"/>
                <w:sz w:val="24"/>
                <w:szCs w:val="24"/>
                <w:highlight w:val="none"/>
                <w:shd w:val="clear" w:color="auto" w:fill="FFFFFF"/>
                <w:lang w:eastAsia="zh-CN"/>
                <w14:textFill>
                  <w14:solidFill>
                    <w14:schemeClr w14:val="tx1"/>
                  </w14:solidFill>
                </w14:textFill>
              </w:rPr>
              <w:t>（</w:t>
            </w:r>
            <w:r>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t>详见工程量清单</w:t>
            </w:r>
            <w:r>
              <w:rPr>
                <w:rFonts w:hint="eastAsia" w:ascii="宋体" w:hAnsi="宋体" w:eastAsia="宋体" w:cs="宋体"/>
                <w:b/>
                <w:bCs/>
                <w:color w:val="000000" w:themeColor="text1"/>
                <w:kern w:val="2"/>
                <w:sz w:val="24"/>
                <w:szCs w:val="24"/>
                <w:highlight w:val="none"/>
                <w:shd w:val="clear" w:color="auto" w:fill="FFFFFF"/>
                <w:lang w:eastAsia="zh-CN"/>
                <w14:textFill>
                  <w14:solidFill>
                    <w14:schemeClr w14:val="tx1"/>
                  </w14:solidFill>
                </w14:textFill>
              </w:rPr>
              <w:t>）</w:t>
            </w:r>
          </w:p>
        </w:tc>
      </w:tr>
      <w:tr w14:paraId="543D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066" w:type="dxa"/>
            <w:noWrap w:val="0"/>
            <w:vAlign w:val="center"/>
          </w:tcPr>
          <w:p w14:paraId="716C5A06">
            <w:pPr>
              <w:keepLines w:val="0"/>
              <w:pageBreakBefore w:val="0"/>
              <w:kinsoku/>
              <w:wordWrap/>
              <w:overflowPunct/>
              <w:topLinePunct w:val="0"/>
              <w:bidi w:val="0"/>
              <w:spacing w:line="420" w:lineRule="exact"/>
              <w:ind w:right="-108" w:rightChars="-4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2087" w:type="dxa"/>
            <w:noWrap w:val="0"/>
            <w:tcMar>
              <w:top w:w="0" w:type="dxa"/>
              <w:left w:w="108" w:type="dxa"/>
              <w:bottom w:w="0" w:type="dxa"/>
              <w:right w:w="108" w:type="dxa"/>
            </w:tcMar>
            <w:vAlign w:val="center"/>
          </w:tcPr>
          <w:p w14:paraId="4334D5A9">
            <w:pPr>
              <w:keepLines w:val="0"/>
              <w:pageBreakBefore w:val="0"/>
              <w:kinsoku/>
              <w:wordWrap/>
              <w:overflowPunct/>
              <w:topLinePunct w:val="0"/>
              <w:bidi w:val="0"/>
              <w:spacing w:line="420" w:lineRule="exact"/>
              <w:ind w:right="-48" w:rightChars="-2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采购单位</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招标代理机构联系方式</w:t>
            </w:r>
          </w:p>
        </w:tc>
        <w:tc>
          <w:tcPr>
            <w:tcW w:w="6656" w:type="dxa"/>
            <w:noWrap w:val="0"/>
            <w:vAlign w:val="center"/>
          </w:tcPr>
          <w:p w14:paraId="5E151A3B">
            <w:pPr>
              <w:keepLines w:val="0"/>
              <w:pageBreakBefore w:val="0"/>
              <w:kinsoku/>
              <w:wordWrap/>
              <w:overflowPunct/>
              <w:topLinePunct w:val="0"/>
              <w:bidi w:val="0"/>
              <w:spacing w:line="420" w:lineRule="exact"/>
              <w:ind w:right="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采购单位：温泉县交通运输局</w:t>
            </w:r>
          </w:p>
          <w:p w14:paraId="34463411">
            <w:pPr>
              <w:keepLines w:val="0"/>
              <w:pageBreakBefore w:val="0"/>
              <w:kinsoku/>
              <w:wordWrap/>
              <w:overflowPunct/>
              <w:topLinePunct w:val="0"/>
              <w:bidi w:val="0"/>
              <w:spacing w:line="420" w:lineRule="exact"/>
              <w:ind w:right="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 系 人：阿木日达拉</w:t>
            </w:r>
          </w:p>
          <w:p w14:paraId="0D33A5C5">
            <w:pPr>
              <w:keepLines w:val="0"/>
              <w:pageBreakBefore w:val="0"/>
              <w:kinsoku/>
              <w:wordWrap/>
              <w:overflowPunct/>
              <w:topLinePunct w:val="0"/>
              <w:bidi w:val="0"/>
              <w:spacing w:line="420" w:lineRule="exact"/>
              <w:ind w:right="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电    话：13999761991 </w:t>
            </w:r>
          </w:p>
          <w:p w14:paraId="61216C06">
            <w:pPr>
              <w:keepLines w:val="0"/>
              <w:pageBreakBefore w:val="0"/>
              <w:kinsoku/>
              <w:wordWrap/>
              <w:overflowPunct/>
              <w:topLinePunct w:val="0"/>
              <w:bidi w:val="0"/>
              <w:spacing w:line="420" w:lineRule="exact"/>
              <w:ind w:right="56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详细地址：温泉县</w:t>
            </w:r>
          </w:p>
          <w:p w14:paraId="18A97518">
            <w:pPr>
              <w:keepLines w:val="0"/>
              <w:pageBreakBefore w:val="0"/>
              <w:kinsoku/>
              <w:wordWrap/>
              <w:overflowPunct/>
              <w:topLinePunct w:val="0"/>
              <w:bidi w:val="0"/>
              <w:spacing w:line="420" w:lineRule="exact"/>
              <w:ind w:right="5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招标代理机构：</w:t>
            </w:r>
            <w:r>
              <w:rPr>
                <w:rFonts w:hint="eastAsia" w:ascii="宋体" w:hAnsi="宋体" w:cs="宋体"/>
                <w:color w:val="auto"/>
                <w:sz w:val="24"/>
                <w:szCs w:val="24"/>
                <w:highlight w:val="none"/>
                <w:lang w:val="en-US" w:eastAsia="zh-CN"/>
              </w:rPr>
              <w:t xml:space="preserve">安徽科睿工程项目管理有限公司 </w:t>
            </w:r>
          </w:p>
          <w:p w14:paraId="7F4DA13F">
            <w:pPr>
              <w:keepLines w:val="0"/>
              <w:pageBreakBefore w:val="0"/>
              <w:kinsoku/>
              <w:wordWrap/>
              <w:overflowPunct/>
              <w:topLinePunct w:val="0"/>
              <w:bidi w:val="0"/>
              <w:spacing w:line="420" w:lineRule="exact"/>
              <w:ind w:right="56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w:t>
            </w:r>
            <w:r>
              <w:rPr>
                <w:rFonts w:hint="eastAsia" w:ascii="宋体" w:hAnsi="宋体" w:cs="宋体"/>
                <w:color w:val="auto"/>
                <w:sz w:val="24"/>
                <w:szCs w:val="24"/>
                <w:highlight w:val="none"/>
                <w:lang w:val="en-US" w:eastAsia="zh-CN"/>
              </w:rPr>
              <w:t>赵曼</w:t>
            </w:r>
          </w:p>
          <w:p w14:paraId="0ED22C2F">
            <w:pPr>
              <w:keepLines w:val="0"/>
              <w:pageBreakBefore w:val="0"/>
              <w:kinsoku/>
              <w:wordWrap/>
              <w:overflowPunct/>
              <w:topLinePunct w:val="0"/>
              <w:bidi w:val="0"/>
              <w:spacing w:line="420" w:lineRule="exact"/>
              <w:ind w:right="56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w:t>
            </w:r>
            <w:bookmarkStart w:id="35" w:name="OLE_LINK5"/>
            <w:r>
              <w:rPr>
                <w:rFonts w:hint="eastAsia" w:ascii="宋体" w:hAnsi="宋体" w:cs="宋体"/>
                <w:color w:val="auto"/>
                <w:sz w:val="24"/>
                <w:szCs w:val="24"/>
                <w:highlight w:val="none"/>
                <w:lang w:val="en-US" w:eastAsia="zh-CN"/>
              </w:rPr>
              <w:t>15026218772</w:t>
            </w:r>
          </w:p>
          <w:bookmarkEnd w:id="35"/>
          <w:p w14:paraId="65E430A7">
            <w:pPr>
              <w:keepLines w:val="0"/>
              <w:pageBreakBefore w:val="0"/>
              <w:kinsoku/>
              <w:wordWrap/>
              <w:overflowPunct/>
              <w:topLinePunct w:val="0"/>
              <w:bidi w:val="0"/>
              <w:spacing w:line="420" w:lineRule="exact"/>
              <w:ind w:right="560"/>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详细地址：</w:t>
            </w:r>
            <w:r>
              <w:rPr>
                <w:rFonts w:hint="eastAsia" w:ascii="宋体" w:hAnsi="宋体" w:cs="宋体"/>
                <w:color w:val="auto"/>
                <w:kern w:val="2"/>
                <w:sz w:val="24"/>
                <w:szCs w:val="24"/>
                <w:highlight w:val="none"/>
                <w:shd w:val="clear" w:color="auto" w:fill="FFFFFF"/>
                <w:lang w:val="en-US" w:eastAsia="zh-CN"/>
              </w:rPr>
              <w:t>博乐市中央名筑二期负一层01-1号</w:t>
            </w:r>
          </w:p>
        </w:tc>
      </w:tr>
      <w:tr w14:paraId="3F2C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66" w:type="dxa"/>
            <w:noWrap w:val="0"/>
            <w:vAlign w:val="center"/>
          </w:tcPr>
          <w:p w14:paraId="667BF467">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2087" w:type="dxa"/>
            <w:noWrap w:val="0"/>
            <w:tcMar>
              <w:top w:w="0" w:type="dxa"/>
              <w:left w:w="108" w:type="dxa"/>
              <w:bottom w:w="0" w:type="dxa"/>
              <w:right w:w="108" w:type="dxa"/>
            </w:tcMar>
            <w:vAlign w:val="center"/>
          </w:tcPr>
          <w:p w14:paraId="55F2257C">
            <w:pPr>
              <w:keepLines w:val="0"/>
              <w:pageBreakBefore w:val="0"/>
              <w:kinsoku/>
              <w:wordWrap/>
              <w:overflowPunct/>
              <w:topLinePunct w:val="0"/>
              <w:bidi w:val="0"/>
              <w:spacing w:line="420" w:lineRule="exact"/>
              <w:ind w:right="-48" w:rightChars="-2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项目建设地址</w:t>
            </w:r>
          </w:p>
        </w:tc>
        <w:tc>
          <w:tcPr>
            <w:tcW w:w="6656" w:type="dxa"/>
            <w:noWrap w:val="0"/>
            <w:vAlign w:val="center"/>
          </w:tcPr>
          <w:p w14:paraId="17EB506A">
            <w:pPr>
              <w:keepLines w:val="0"/>
              <w:pageBreakBefore w:val="0"/>
              <w:kinsoku/>
              <w:wordWrap/>
              <w:overflowPunct/>
              <w:topLinePunct w:val="0"/>
              <w:bidi w:val="0"/>
              <w:spacing w:line="420" w:lineRule="exact"/>
              <w:ind w:right="560"/>
              <w:rPr>
                <w:rFonts w:hint="default" w:ascii="宋体" w:hAnsi="宋体" w:eastAsia="宋体" w:cs="宋体"/>
                <w:color w:val="auto"/>
                <w:sz w:val="24"/>
                <w:szCs w:val="24"/>
                <w:highlight w:val="none"/>
                <w:lang w:val="en-US" w:eastAsia="zh-CN"/>
              </w:rPr>
            </w:pPr>
            <w:r>
              <w:rPr>
                <w:rFonts w:hint="eastAsia" w:ascii="宋体" w:hAnsi="宋体" w:cs="宋体"/>
                <w:color w:val="auto"/>
                <w:spacing w:val="-1"/>
                <w:sz w:val="24"/>
                <w:szCs w:val="24"/>
                <w:highlight w:val="none"/>
                <w:lang w:val="en-US" w:eastAsia="zh-CN"/>
              </w:rPr>
              <w:t>温泉县</w:t>
            </w:r>
          </w:p>
        </w:tc>
      </w:tr>
      <w:tr w14:paraId="4745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66" w:type="dxa"/>
            <w:noWrap w:val="0"/>
            <w:vAlign w:val="center"/>
          </w:tcPr>
          <w:p w14:paraId="61466304">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2087" w:type="dxa"/>
            <w:noWrap w:val="0"/>
            <w:tcMar>
              <w:top w:w="0" w:type="dxa"/>
              <w:left w:w="108" w:type="dxa"/>
              <w:bottom w:w="0" w:type="dxa"/>
              <w:right w:w="108" w:type="dxa"/>
            </w:tcMar>
            <w:vAlign w:val="center"/>
          </w:tcPr>
          <w:p w14:paraId="2DFE9E94">
            <w:pPr>
              <w:keepNext w:val="0"/>
              <w:keepLines w:val="0"/>
              <w:pageBreakBefore w:val="0"/>
              <w:widowControl w:val="0"/>
              <w:kinsoku/>
              <w:wordWrap/>
              <w:overflowPunct/>
              <w:topLinePunct w:val="0"/>
              <w:autoSpaceDE/>
              <w:autoSpaceDN/>
              <w:bidi w:val="0"/>
              <w:adjustRightInd/>
              <w:snapToGrid/>
              <w:spacing w:line="420" w:lineRule="exact"/>
              <w:ind w:right="-48" w:rightChars="-2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w:t>
            </w:r>
            <w:r>
              <w:rPr>
                <w:rFonts w:hint="eastAsia" w:ascii="宋体" w:hAnsi="宋体" w:cs="宋体"/>
                <w:color w:val="auto"/>
                <w:sz w:val="24"/>
                <w:szCs w:val="24"/>
                <w:highlight w:val="none"/>
                <w:lang w:eastAsia="zh-CN"/>
              </w:rPr>
              <w:t>最高限价</w:t>
            </w:r>
          </w:p>
        </w:tc>
        <w:tc>
          <w:tcPr>
            <w:tcW w:w="6656" w:type="dxa"/>
            <w:noWrap w:val="0"/>
            <w:vAlign w:val="center"/>
          </w:tcPr>
          <w:p w14:paraId="6322C89A">
            <w:pPr>
              <w:keepNext w:val="0"/>
              <w:keepLines w:val="0"/>
              <w:pageBreakBefore w:val="0"/>
              <w:widowControl w:val="0"/>
              <w:kinsoku/>
              <w:wordWrap/>
              <w:overflowPunct/>
              <w:topLinePunct w:val="0"/>
              <w:autoSpaceDE/>
              <w:autoSpaceDN/>
              <w:bidi w:val="0"/>
              <w:adjustRightInd/>
              <w:snapToGrid/>
              <w:spacing w:line="420" w:lineRule="exact"/>
              <w:ind w:right="-40" w:rightChars="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t>1788988.02元</w:t>
            </w:r>
            <w:r>
              <w:rPr>
                <w:rFonts w:hint="eastAsia" w:ascii="宋体" w:hAnsi="宋体" w:cs="宋体"/>
                <w:b/>
                <w:bCs/>
                <w:color w:val="000000" w:themeColor="text1"/>
                <w:sz w:val="24"/>
                <w:szCs w:val="24"/>
                <w:highlight w:val="none"/>
                <w:lang w:val="en-US" w:eastAsia="zh-CN"/>
                <w14:textFill>
                  <w14:solidFill>
                    <w14:schemeClr w14:val="tx1"/>
                  </w14:solidFill>
                </w14:textFill>
              </w:rPr>
              <w:t>（</w:t>
            </w:r>
            <w:r>
              <w:rPr>
                <w:rFonts w:hint="eastAsia" w:eastAsia="宋体"/>
                <w:b/>
                <w:bCs/>
                <w:color w:val="000000" w:themeColor="text1"/>
                <w:sz w:val="24"/>
                <w:szCs w:val="24"/>
                <w:highlight w:val="none"/>
                <w:lang w:val="en-US" w:eastAsia="zh-CN"/>
                <w14:textFill>
                  <w14:solidFill>
                    <w14:schemeClr w14:val="tx1"/>
                  </w14:solidFill>
                </w14:textFill>
              </w:rPr>
              <w:t>对高于或等于最高限价的响应文件，应做无效投标处理。</w:t>
            </w:r>
            <w:r>
              <w:rPr>
                <w:rFonts w:hint="eastAsia" w:ascii="宋体" w:hAnsi="宋体" w:cs="宋体"/>
                <w:b/>
                <w:bCs/>
                <w:color w:val="000000" w:themeColor="text1"/>
                <w:sz w:val="24"/>
                <w:szCs w:val="24"/>
                <w:highlight w:val="none"/>
                <w:lang w:val="en-US" w:eastAsia="zh-CN"/>
                <w14:textFill>
                  <w14:solidFill>
                    <w14:schemeClr w14:val="tx1"/>
                  </w14:solidFill>
                </w14:textFill>
              </w:rPr>
              <w:t>）</w:t>
            </w:r>
          </w:p>
        </w:tc>
      </w:tr>
      <w:tr w14:paraId="25D5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66" w:type="dxa"/>
            <w:noWrap w:val="0"/>
            <w:vAlign w:val="center"/>
          </w:tcPr>
          <w:p w14:paraId="3FDCBD63">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2087" w:type="dxa"/>
            <w:noWrap w:val="0"/>
            <w:tcMar>
              <w:top w:w="0" w:type="dxa"/>
              <w:left w:w="108" w:type="dxa"/>
              <w:bottom w:w="0" w:type="dxa"/>
              <w:right w:w="108" w:type="dxa"/>
            </w:tcMar>
            <w:vAlign w:val="center"/>
          </w:tcPr>
          <w:p w14:paraId="327EA9CA">
            <w:pPr>
              <w:keepLines w:val="0"/>
              <w:pageBreakBefore w:val="0"/>
              <w:kinsoku/>
              <w:wordWrap/>
              <w:overflowPunct/>
              <w:topLinePunct w:val="0"/>
              <w:bidi w:val="0"/>
              <w:spacing w:line="420" w:lineRule="exact"/>
              <w:ind w:right="-48" w:rightChars="-2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招标</w:t>
            </w:r>
            <w:r>
              <w:rPr>
                <w:rFonts w:hint="eastAsia" w:ascii="宋体" w:hAnsi="宋体" w:eastAsia="宋体" w:cs="宋体"/>
                <w:color w:val="auto"/>
                <w:sz w:val="24"/>
                <w:szCs w:val="24"/>
                <w:highlight w:val="none"/>
              </w:rPr>
              <w:t>方式</w:t>
            </w:r>
          </w:p>
        </w:tc>
        <w:tc>
          <w:tcPr>
            <w:tcW w:w="6656" w:type="dxa"/>
            <w:noWrap w:val="0"/>
            <w:vAlign w:val="center"/>
          </w:tcPr>
          <w:p w14:paraId="2C7952D9">
            <w:pPr>
              <w:keepLines w:val="0"/>
              <w:pageBreakBefore w:val="0"/>
              <w:kinsoku/>
              <w:wordWrap/>
              <w:overflowPunct/>
              <w:topLinePunct w:val="0"/>
              <w:bidi w:val="0"/>
              <w:spacing w:line="420" w:lineRule="exact"/>
              <w:ind w:right="56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竞争性谈判</w:t>
            </w:r>
          </w:p>
        </w:tc>
      </w:tr>
      <w:tr w14:paraId="33EA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66" w:type="dxa"/>
            <w:noWrap w:val="0"/>
            <w:vAlign w:val="center"/>
          </w:tcPr>
          <w:p w14:paraId="4FF1B690">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2087" w:type="dxa"/>
            <w:noWrap w:val="0"/>
            <w:tcMar>
              <w:top w:w="0" w:type="dxa"/>
              <w:left w:w="108" w:type="dxa"/>
              <w:bottom w:w="0" w:type="dxa"/>
              <w:right w:w="108" w:type="dxa"/>
            </w:tcMar>
            <w:vAlign w:val="center"/>
          </w:tcPr>
          <w:p w14:paraId="21F55F5C">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资金到位情况</w:t>
            </w:r>
          </w:p>
        </w:tc>
        <w:tc>
          <w:tcPr>
            <w:tcW w:w="6656" w:type="dxa"/>
            <w:noWrap w:val="0"/>
            <w:vAlign w:val="center"/>
          </w:tcPr>
          <w:p w14:paraId="79C2C7D0">
            <w:pPr>
              <w:keepNext w:val="0"/>
              <w:keepLines w:val="0"/>
              <w:pageBreakBefore w:val="0"/>
              <w:widowControl w:val="0"/>
              <w:numPr>
                <w:ilvl w:val="2"/>
                <w:numId w:val="0"/>
              </w:numPr>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已到位</w:t>
            </w:r>
          </w:p>
        </w:tc>
      </w:tr>
      <w:tr w14:paraId="0704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66" w:type="dxa"/>
            <w:noWrap w:val="0"/>
            <w:vAlign w:val="center"/>
          </w:tcPr>
          <w:p w14:paraId="29E1F016">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2087" w:type="dxa"/>
            <w:noWrap w:val="0"/>
            <w:tcMar>
              <w:top w:w="0" w:type="dxa"/>
              <w:left w:w="108" w:type="dxa"/>
              <w:bottom w:w="0" w:type="dxa"/>
              <w:right w:w="108" w:type="dxa"/>
            </w:tcMar>
            <w:vAlign w:val="center"/>
          </w:tcPr>
          <w:p w14:paraId="4F109321">
            <w:pPr>
              <w:keepNext w:val="0"/>
              <w:keepLines w:val="0"/>
              <w:pageBreakBefore w:val="0"/>
              <w:widowControl w:val="0"/>
              <w:kinsoku/>
              <w:wordWrap/>
              <w:overflowPunct/>
              <w:topLinePunct w:val="0"/>
              <w:autoSpaceDE/>
              <w:autoSpaceDN/>
              <w:bidi w:val="0"/>
              <w:adjustRightInd/>
              <w:snapToGrid/>
              <w:spacing w:line="420" w:lineRule="exact"/>
              <w:ind w:right="-48" w:rightChars="-2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工期</w:t>
            </w:r>
          </w:p>
        </w:tc>
        <w:tc>
          <w:tcPr>
            <w:tcW w:w="6656" w:type="dxa"/>
            <w:noWrap w:val="0"/>
            <w:vAlign w:val="center"/>
          </w:tcPr>
          <w:p w14:paraId="7307B2FA">
            <w:pPr>
              <w:pStyle w:val="22"/>
              <w:spacing w:line="276" w:lineRule="auto"/>
              <w:rPr>
                <w:rFonts w:hint="default"/>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总工期90 日历日，计划开工日期 2026 年05月20日，计划竣工日期 2026 年08月18日。</w:t>
            </w:r>
          </w:p>
        </w:tc>
      </w:tr>
      <w:tr w14:paraId="7E3B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66" w:type="dxa"/>
            <w:noWrap w:val="0"/>
            <w:vAlign w:val="center"/>
          </w:tcPr>
          <w:p w14:paraId="31B947B7">
            <w:pPr>
              <w:keepLines w:val="0"/>
              <w:pageBreakBefore w:val="0"/>
              <w:kinsoku/>
              <w:wordWrap/>
              <w:overflowPunct/>
              <w:topLinePunct w:val="0"/>
              <w:bidi w:val="0"/>
              <w:spacing w:line="420" w:lineRule="exact"/>
              <w:ind w:right="-108" w:rightChars="-4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2087" w:type="dxa"/>
            <w:noWrap w:val="0"/>
            <w:tcMar>
              <w:top w:w="0" w:type="dxa"/>
              <w:left w:w="108" w:type="dxa"/>
              <w:bottom w:w="0" w:type="dxa"/>
              <w:right w:w="108" w:type="dxa"/>
            </w:tcMar>
            <w:vAlign w:val="center"/>
          </w:tcPr>
          <w:p w14:paraId="5EC4EA81">
            <w:pPr>
              <w:keepNext w:val="0"/>
              <w:keepLines w:val="0"/>
              <w:pageBreakBefore w:val="0"/>
              <w:widowControl w:val="0"/>
              <w:kinsoku/>
              <w:wordWrap/>
              <w:overflowPunct/>
              <w:topLinePunct w:val="0"/>
              <w:autoSpaceDE/>
              <w:autoSpaceDN/>
              <w:bidi w:val="0"/>
              <w:adjustRightInd/>
              <w:snapToGrid/>
              <w:spacing w:line="420" w:lineRule="exact"/>
              <w:ind w:right="-48" w:rightChars="-2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质量标准</w:t>
            </w:r>
          </w:p>
        </w:tc>
        <w:tc>
          <w:tcPr>
            <w:tcW w:w="6656" w:type="dxa"/>
            <w:noWrap w:val="0"/>
            <w:vAlign w:val="center"/>
          </w:tcPr>
          <w:p w14:paraId="790CBB1F">
            <w:pPr>
              <w:keepNext w:val="0"/>
              <w:keepLines w:val="0"/>
              <w:pageBreakBefore w:val="0"/>
              <w:widowControl w:val="0"/>
              <w:kinsoku/>
              <w:wordWrap/>
              <w:overflowPunct/>
              <w:topLinePunct w:val="0"/>
              <w:autoSpaceDE/>
              <w:autoSpaceDN/>
              <w:bidi w:val="0"/>
              <w:adjustRightInd/>
              <w:snapToGrid/>
              <w:spacing w:line="420" w:lineRule="exact"/>
              <w:ind w:right="560"/>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达到国家及行业标准合格及以上</w:t>
            </w:r>
          </w:p>
        </w:tc>
      </w:tr>
      <w:tr w14:paraId="508F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66" w:type="dxa"/>
            <w:noWrap w:val="0"/>
            <w:vAlign w:val="center"/>
          </w:tcPr>
          <w:p w14:paraId="0281CC91">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2087" w:type="dxa"/>
            <w:noWrap w:val="0"/>
            <w:tcMar>
              <w:top w:w="0" w:type="dxa"/>
              <w:left w:w="108" w:type="dxa"/>
              <w:bottom w:w="0" w:type="dxa"/>
              <w:right w:w="108" w:type="dxa"/>
            </w:tcMar>
            <w:vAlign w:val="center"/>
          </w:tcPr>
          <w:p w14:paraId="669CDC61">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报价</w:t>
            </w:r>
          </w:p>
        </w:tc>
        <w:tc>
          <w:tcPr>
            <w:tcW w:w="6656" w:type="dxa"/>
            <w:noWrap w:val="0"/>
            <w:vAlign w:val="center"/>
          </w:tcPr>
          <w:p w14:paraId="38E67913">
            <w:pPr>
              <w:keepNext w:val="0"/>
              <w:keepLines w:val="0"/>
              <w:pageBreakBefore w:val="0"/>
              <w:widowControl w:val="0"/>
              <w:tabs>
                <w:tab w:val="left" w:pos="5760"/>
              </w:tabs>
              <w:kinsoku/>
              <w:wordWrap/>
              <w:overflowPunct/>
              <w:topLinePunct w:val="0"/>
              <w:autoSpaceDE/>
              <w:autoSpaceDN/>
              <w:bidi w:val="0"/>
              <w:adjustRightInd/>
              <w:snapToGrid/>
              <w:spacing w:line="420" w:lineRule="exact"/>
              <w:ind w:right="-40" w:rightChars="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完成</w:t>
            </w:r>
            <w:r>
              <w:rPr>
                <w:rFonts w:hint="eastAsia" w:ascii="宋体" w:hAnsi="宋体" w:cs="宋体"/>
                <w:color w:val="000000" w:themeColor="text1"/>
                <w:sz w:val="24"/>
                <w:szCs w:val="24"/>
                <w:highlight w:val="none"/>
                <w:lang w:val="en-US" w:eastAsia="zh-CN"/>
                <w14:textFill>
                  <w14:solidFill>
                    <w14:schemeClr w14:val="tx1"/>
                  </w14:solidFill>
                </w14:textFill>
              </w:rPr>
              <w:t>本项目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采购需求</w:t>
            </w:r>
            <w:r>
              <w:rPr>
                <w:rFonts w:hint="eastAsia" w:ascii="宋体" w:hAnsi="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包干总价；本项目为竞争性谈判，最终报价2轮或两轮以上。对于异常低价的投标报价，根据财库〔2026〕2号文的规定处理。</w:t>
            </w:r>
          </w:p>
        </w:tc>
      </w:tr>
      <w:tr w14:paraId="4690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66" w:type="dxa"/>
            <w:noWrap w:val="0"/>
            <w:vAlign w:val="center"/>
          </w:tcPr>
          <w:p w14:paraId="3EC7A9C2">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2087" w:type="dxa"/>
            <w:noWrap w:val="0"/>
            <w:tcMar>
              <w:top w:w="0" w:type="dxa"/>
              <w:left w:w="108" w:type="dxa"/>
              <w:bottom w:w="0" w:type="dxa"/>
              <w:right w:w="108" w:type="dxa"/>
            </w:tcMar>
            <w:vAlign w:val="center"/>
          </w:tcPr>
          <w:p w14:paraId="686DF2CD">
            <w:pPr>
              <w:keepNext w:val="0"/>
              <w:keepLines w:val="0"/>
              <w:pageBreakBefore w:val="0"/>
              <w:widowControl/>
              <w:kinsoku/>
              <w:wordWrap/>
              <w:overflowPunct/>
              <w:topLinePunct w:val="0"/>
              <w:autoSpaceDE w:val="0"/>
              <w:autoSpaceDN w:val="0"/>
              <w:bidi w:val="0"/>
              <w:spacing w:line="420" w:lineRule="exact"/>
              <w:ind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rPr>
              <w:t>履约保证金</w:t>
            </w:r>
          </w:p>
        </w:tc>
        <w:tc>
          <w:tcPr>
            <w:tcW w:w="6656" w:type="dxa"/>
            <w:noWrap w:val="0"/>
            <w:vAlign w:val="center"/>
          </w:tcPr>
          <w:p w14:paraId="74862DC7">
            <w:pPr>
              <w:pStyle w:val="23"/>
              <w:keepNext w:val="0"/>
              <w:keepLines w:val="0"/>
              <w:pageBreakBefore w:val="0"/>
              <w:widowControl/>
              <w:kinsoku/>
              <w:wordWrap/>
              <w:overflowPunct/>
              <w:topLinePunct w:val="0"/>
              <w:bidi w:val="0"/>
              <w:snapToGrid/>
              <w:spacing w:before="35" w:line="420" w:lineRule="exact"/>
              <w:ind w:left="117"/>
              <w:jc w:val="left"/>
              <w:textAlignment w:val="auto"/>
              <w:rPr>
                <w:rFonts w:hint="default"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履约保证金金额：</w:t>
            </w:r>
            <w:r>
              <w:rPr>
                <w:rFonts w:hint="eastAsia" w:cs="宋体"/>
                <w:b/>
                <w:bCs w:val="0"/>
                <w:color w:val="000000" w:themeColor="text1"/>
                <w:kern w:val="2"/>
                <w:sz w:val="24"/>
                <w:szCs w:val="24"/>
                <w:highlight w:val="none"/>
                <w:lang w:val="en-US" w:eastAsia="zh-CN" w:bidi="ar-SA"/>
                <w14:textFill>
                  <w14:solidFill>
                    <w14:schemeClr w14:val="tx1"/>
                  </w14:solidFill>
                </w14:textFill>
              </w:rPr>
              <w:t>本项目不收取</w:t>
            </w:r>
          </w:p>
          <w:p w14:paraId="3B02E378">
            <w:pPr>
              <w:pStyle w:val="23"/>
              <w:keepNext w:val="0"/>
              <w:keepLines w:val="0"/>
              <w:pageBreakBefore w:val="0"/>
              <w:widowControl/>
              <w:kinsoku/>
              <w:wordWrap/>
              <w:overflowPunct/>
              <w:topLinePunct w:val="0"/>
              <w:bidi w:val="0"/>
              <w:snapToGrid/>
              <w:spacing w:before="24" w:line="420" w:lineRule="exact"/>
              <w:ind w:left="124"/>
              <w:jc w:val="left"/>
              <w:textAlignment w:val="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（1）缴纳形式：转账或电汇或银行保函或电子保函。</w:t>
            </w:r>
          </w:p>
          <w:p w14:paraId="205C30B3">
            <w:pPr>
              <w:pStyle w:val="23"/>
              <w:keepNext w:val="0"/>
              <w:keepLines w:val="0"/>
              <w:pageBreakBefore w:val="0"/>
              <w:widowControl/>
              <w:kinsoku/>
              <w:wordWrap/>
              <w:overflowPunct/>
              <w:topLinePunct w:val="0"/>
              <w:bidi w:val="0"/>
              <w:snapToGrid/>
              <w:spacing w:before="24" w:line="420" w:lineRule="exact"/>
              <w:ind w:left="124"/>
              <w:jc w:val="left"/>
              <w:textAlignment w:val="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（2）缴纳时间：签订合同前。</w:t>
            </w:r>
          </w:p>
          <w:p w14:paraId="0918EB98">
            <w:pPr>
              <w:pStyle w:val="23"/>
              <w:keepNext w:val="0"/>
              <w:keepLines w:val="0"/>
              <w:pageBreakBefore w:val="0"/>
              <w:widowControl/>
              <w:kinsoku/>
              <w:wordWrap/>
              <w:overflowPunct/>
              <w:topLinePunct w:val="0"/>
              <w:bidi w:val="0"/>
              <w:snapToGrid/>
              <w:spacing w:before="26" w:line="420" w:lineRule="exact"/>
              <w:ind w:left="124"/>
              <w:jc w:val="left"/>
              <w:textAlignment w:val="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（3）缴纳账户：采购人指定账户</w:t>
            </w:r>
          </w:p>
          <w:p w14:paraId="5CE24966">
            <w:pPr>
              <w:pStyle w:val="23"/>
              <w:keepNext w:val="0"/>
              <w:keepLines w:val="0"/>
              <w:pageBreakBefore w:val="0"/>
              <w:widowControl/>
              <w:kinsoku/>
              <w:wordWrap/>
              <w:overflowPunct/>
              <w:topLinePunct w:val="0"/>
              <w:bidi w:val="0"/>
              <w:snapToGrid/>
              <w:spacing w:before="24" w:line="420" w:lineRule="exact"/>
              <w:ind w:left="113" w:right="82" w:firstLine="10"/>
              <w:jc w:val="left"/>
              <w:textAlignment w:val="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Cs/>
                <w:color w:val="000000" w:themeColor="text1"/>
                <w:spacing w:val="-6"/>
                <w:kern w:val="2"/>
                <w:sz w:val="24"/>
                <w:szCs w:val="24"/>
                <w:highlight w:val="none"/>
                <w:lang w:val="en-US" w:eastAsia="zh-CN" w:bidi="ar-SA"/>
                <w14:textFill>
                  <w14:solidFill>
                    <w14:schemeClr w14:val="tx1"/>
                  </w14:solidFill>
                </w14:textFill>
              </w:rPr>
              <w:t>如果成交人没有按照上述规定缴纳履约担保，采购人有权取消其成交资格，在其他候选供应商中依次确定成交供应商或重新招标。</w:t>
            </w:r>
          </w:p>
          <w:p w14:paraId="4D0E3114">
            <w:pPr>
              <w:pStyle w:val="23"/>
              <w:keepNext w:val="0"/>
              <w:keepLines w:val="0"/>
              <w:pageBreakBefore w:val="0"/>
              <w:widowControl/>
              <w:kinsoku/>
              <w:wordWrap/>
              <w:overflowPunct/>
              <w:topLinePunct w:val="0"/>
              <w:bidi w:val="0"/>
              <w:snapToGrid/>
              <w:spacing w:before="26" w:line="420" w:lineRule="exact"/>
              <w:ind w:left="115" w:right="107" w:firstLine="8"/>
              <w:jc w:val="left"/>
              <w:textAlignment w:val="auto"/>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（5）采购人应在验收合格后五个工作日内退还成交供应商的履约担保。如中标人未能完全履行合同规定的义务，采购人有权从履约担保中得到补偿。</w:t>
            </w:r>
          </w:p>
          <w:p w14:paraId="5D88B2D4">
            <w:pPr>
              <w:keepNext w:val="0"/>
              <w:keepLines w:val="0"/>
              <w:pageBreakBefore w:val="0"/>
              <w:widowControl/>
              <w:kinsoku/>
              <w:wordWrap/>
              <w:overflowPunct/>
              <w:topLinePunct w:val="0"/>
              <w:autoSpaceDE w:val="0"/>
              <w:autoSpaceDN w:val="0"/>
              <w:bidi w:val="0"/>
              <w:spacing w:line="420" w:lineRule="exact"/>
              <w:ind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以银行保函或电子保函提交的，需将保函原件递交给采购人。</w:t>
            </w:r>
          </w:p>
        </w:tc>
      </w:tr>
      <w:tr w14:paraId="39EA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66" w:type="dxa"/>
            <w:noWrap w:val="0"/>
            <w:vAlign w:val="center"/>
          </w:tcPr>
          <w:p w14:paraId="7D5D031F">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p>
        </w:tc>
        <w:tc>
          <w:tcPr>
            <w:tcW w:w="2087" w:type="dxa"/>
            <w:noWrap w:val="0"/>
            <w:tcMar>
              <w:top w:w="0" w:type="dxa"/>
              <w:left w:w="108" w:type="dxa"/>
              <w:bottom w:w="0" w:type="dxa"/>
              <w:right w:w="108" w:type="dxa"/>
            </w:tcMar>
            <w:vAlign w:val="center"/>
          </w:tcPr>
          <w:p w14:paraId="7C06E1DF">
            <w:pPr>
              <w:keepLines w:val="0"/>
              <w:pageBreakBefore w:val="0"/>
              <w:kinsoku/>
              <w:wordWrap/>
              <w:overflowPunct/>
              <w:topLinePunct w:val="0"/>
              <w:bidi w:val="0"/>
              <w:spacing w:line="420" w:lineRule="exact"/>
              <w:ind w:right="-48" w:rightChars="-20"/>
              <w:jc w:val="center"/>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shd w:val="clear" w:color="auto" w:fill="FFFFFF"/>
                <w:lang w:eastAsia="zh-CN"/>
              </w:rPr>
              <w:t>投标保证金</w:t>
            </w:r>
          </w:p>
        </w:tc>
        <w:tc>
          <w:tcPr>
            <w:tcW w:w="6656" w:type="dxa"/>
            <w:noWrap w:val="0"/>
            <w:vAlign w:val="center"/>
          </w:tcPr>
          <w:p w14:paraId="5FDB7106">
            <w:pPr>
              <w:keepNext w:val="0"/>
              <w:keepLines w:val="0"/>
              <w:pageBreakBefore w:val="0"/>
              <w:widowControl w:val="0"/>
              <w:numPr>
                <w:ilvl w:val="2"/>
                <w:numId w:val="0"/>
              </w:numPr>
              <w:kinsoku/>
              <w:wordWrap/>
              <w:overflowPunct/>
              <w:topLinePunct w:val="0"/>
              <w:autoSpaceDE/>
              <w:autoSpaceDN/>
              <w:bidi w:val="0"/>
              <w:adjustRightInd/>
              <w:snapToGrid/>
              <w:spacing w:line="420" w:lineRule="exact"/>
              <w:ind w:leftChars="100"/>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本项目不收取保证金</w:t>
            </w:r>
          </w:p>
        </w:tc>
      </w:tr>
      <w:tr w14:paraId="13B5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66" w:type="dxa"/>
            <w:noWrap w:val="0"/>
            <w:vAlign w:val="center"/>
          </w:tcPr>
          <w:p w14:paraId="6E6EECDF">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2087" w:type="dxa"/>
            <w:noWrap w:val="0"/>
            <w:tcMar>
              <w:top w:w="0" w:type="dxa"/>
              <w:left w:w="108" w:type="dxa"/>
              <w:bottom w:w="0" w:type="dxa"/>
              <w:right w:w="108" w:type="dxa"/>
            </w:tcMar>
            <w:vAlign w:val="center"/>
          </w:tcPr>
          <w:p w14:paraId="6416EC55">
            <w:pPr>
              <w:keepNext w:val="0"/>
              <w:keepLines w:val="0"/>
              <w:pageBreakBefore w:val="0"/>
              <w:widowControl w:val="0"/>
              <w:kinsoku/>
              <w:wordWrap/>
              <w:overflowPunct/>
              <w:topLinePunct w:val="0"/>
              <w:autoSpaceDE/>
              <w:autoSpaceDN/>
              <w:bidi w:val="0"/>
              <w:adjustRightInd/>
              <w:snapToGrid/>
              <w:spacing w:line="420" w:lineRule="exact"/>
              <w:ind w:right="-48" w:rightChars="-20"/>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谈判供应商资格要求</w:t>
            </w:r>
          </w:p>
          <w:p w14:paraId="69722AF8">
            <w:pPr>
              <w:keepLines w:val="0"/>
              <w:pageBreakBefore w:val="0"/>
              <w:kinsoku/>
              <w:wordWrap/>
              <w:overflowPunct/>
              <w:topLinePunct w:val="0"/>
              <w:bidi w:val="0"/>
              <w:spacing w:line="420" w:lineRule="exact"/>
              <w:ind w:right="-48" w:rightChars="-20"/>
              <w:jc w:val="center"/>
              <w:rPr>
                <w:rFonts w:hint="eastAsia" w:ascii="宋体" w:hAnsi="宋体" w:eastAsia="宋体" w:cs="宋体"/>
                <w:color w:val="auto"/>
                <w:sz w:val="24"/>
                <w:szCs w:val="24"/>
                <w:highlight w:val="none"/>
              </w:rPr>
            </w:pPr>
          </w:p>
        </w:tc>
        <w:tc>
          <w:tcPr>
            <w:tcW w:w="6656" w:type="dxa"/>
            <w:noWrap w:val="0"/>
            <w:vAlign w:val="center"/>
          </w:tcPr>
          <w:p w14:paraId="1351B00D">
            <w:pPr>
              <w:pStyle w:val="12"/>
              <w:keepLines w:val="0"/>
              <w:pageBreakBefore w:val="0"/>
              <w:wordWrap/>
              <w:overflowPunct/>
              <w:topLinePunct w:val="0"/>
              <w:bidi w:val="0"/>
              <w:spacing w:line="420" w:lineRule="exact"/>
              <w:ind w:left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1、满足《中华人民共和国政府采购法》第二十二条规定；</w:t>
            </w:r>
          </w:p>
          <w:p w14:paraId="23E19030">
            <w:pPr>
              <w:pStyle w:val="12"/>
              <w:keepLines w:val="0"/>
              <w:pageBreakBefore w:val="0"/>
              <w:wordWrap/>
              <w:overflowPunct/>
              <w:topLinePunct w:val="0"/>
              <w:bidi w:val="0"/>
              <w:spacing w:line="420" w:lineRule="exact"/>
              <w:ind w:left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①具有独立承担民事责任的能力；</w:t>
            </w:r>
          </w:p>
          <w:p w14:paraId="1DCF0082">
            <w:pPr>
              <w:pStyle w:val="12"/>
              <w:keepLines w:val="0"/>
              <w:pageBreakBefore w:val="0"/>
              <w:wordWrap/>
              <w:overflowPunct/>
              <w:topLinePunct w:val="0"/>
              <w:bidi w:val="0"/>
              <w:spacing w:line="420" w:lineRule="exact"/>
              <w:ind w:left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■供应商提供其营业执照等证明文件。</w:t>
            </w:r>
          </w:p>
          <w:p w14:paraId="5F81E330">
            <w:pPr>
              <w:pStyle w:val="12"/>
              <w:keepLines w:val="0"/>
              <w:pageBreakBefore w:val="0"/>
              <w:wordWrap/>
              <w:overflowPunct/>
              <w:topLinePunct w:val="0"/>
              <w:bidi w:val="0"/>
              <w:spacing w:line="420" w:lineRule="exact"/>
              <w:ind w:left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②具有良好的商业信誉和健全的财务会计制度；</w:t>
            </w:r>
          </w:p>
          <w:p w14:paraId="1F937AAE">
            <w:pPr>
              <w:pStyle w:val="12"/>
              <w:keepLines w:val="0"/>
              <w:pageBreakBefore w:val="0"/>
              <w:wordWrap/>
              <w:overflowPunct/>
              <w:topLinePunct w:val="0"/>
              <w:bidi w:val="0"/>
              <w:spacing w:line="420" w:lineRule="exact"/>
              <w:ind w:left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■提供银行出具的近 1 年内资信证明2025年度经审计的财务报告，从取得营业执照时间起到响应文件提交截止时间为止不足一年的，为新成立企业，提供财务状况良好承诺函（格式自拟）；</w:t>
            </w:r>
          </w:p>
          <w:p w14:paraId="52FF8803">
            <w:pPr>
              <w:pStyle w:val="12"/>
              <w:keepLines w:val="0"/>
              <w:pageBreakBefore w:val="0"/>
              <w:wordWrap/>
              <w:overflowPunct/>
              <w:topLinePunct w:val="0"/>
              <w:bidi w:val="0"/>
              <w:spacing w:line="420" w:lineRule="exact"/>
              <w:ind w:left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③具有履行合同所必需的设备和专业技术能力；</w:t>
            </w:r>
          </w:p>
          <w:p w14:paraId="6AA1AA2F">
            <w:pPr>
              <w:pStyle w:val="12"/>
              <w:keepLines w:val="0"/>
              <w:pageBreakBefore w:val="0"/>
              <w:wordWrap/>
              <w:overflowPunct/>
              <w:topLinePunct w:val="0"/>
              <w:bidi w:val="0"/>
              <w:spacing w:line="420" w:lineRule="exact"/>
              <w:ind w:left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■提供具有履行合同所必需的设备和专业技术能力的承诺函（格式自拟）；</w:t>
            </w:r>
          </w:p>
          <w:p w14:paraId="3D77B6FB">
            <w:pPr>
              <w:pStyle w:val="12"/>
              <w:keepLines w:val="0"/>
              <w:pageBreakBefore w:val="0"/>
              <w:wordWrap/>
              <w:overflowPunct/>
              <w:topLinePunct w:val="0"/>
              <w:bidi w:val="0"/>
              <w:spacing w:line="420" w:lineRule="exact"/>
              <w:ind w:left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④有依法缴纳税收</w:t>
            </w:r>
            <w:r>
              <w:rPr>
                <w:rFonts w:hint="eastAsia" w:ascii="宋体" w:hAnsi="宋体" w:eastAsia="宋体" w:cs="宋体"/>
                <w:color w:val="auto"/>
                <w:sz w:val="24"/>
                <w:szCs w:val="24"/>
                <w:highlight w:val="none"/>
                <w:lang w:val="en-US" w:eastAsia="zh-CN"/>
              </w:rPr>
              <w:t>和社会保障资金</w:t>
            </w:r>
            <w:r>
              <w:rPr>
                <w:rFonts w:hint="eastAsia" w:ascii="宋体" w:hAnsi="宋体" w:eastAsia="宋体" w:cs="宋体"/>
                <w:color w:val="auto"/>
                <w:sz w:val="24"/>
                <w:szCs w:val="24"/>
                <w:highlight w:val="none"/>
                <w:lang w:eastAsia="zh-CN"/>
              </w:rPr>
              <w:t>的良好记录；</w:t>
            </w:r>
          </w:p>
          <w:p w14:paraId="191A05E5">
            <w:pPr>
              <w:pStyle w:val="12"/>
              <w:keepLines w:val="0"/>
              <w:pageBreakBefore w:val="0"/>
              <w:wordWrap/>
              <w:overflowPunct/>
              <w:topLinePunct w:val="0"/>
              <w:bidi w:val="0"/>
              <w:spacing w:line="420" w:lineRule="exact"/>
              <w:ind w:left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■提供参加政府采购活动近</w:t>
            </w:r>
            <w:r>
              <w:rPr>
                <w:rFonts w:hint="eastAsia" w:ascii="宋体" w:hAnsi="宋体" w:eastAsia="宋体" w:cs="宋体"/>
                <w:color w:val="auto"/>
                <w:sz w:val="24"/>
                <w:szCs w:val="24"/>
                <w:highlight w:val="none"/>
                <w:lang w:val="en-US" w:eastAsia="zh-CN"/>
              </w:rPr>
              <w:t>12个月（任意1个月）依法缴纳税收的</w:t>
            </w:r>
            <w:r>
              <w:rPr>
                <w:rFonts w:hint="eastAsia" w:ascii="宋体" w:hAnsi="宋体" w:eastAsia="宋体" w:cs="宋体"/>
                <w:color w:val="auto"/>
                <w:sz w:val="24"/>
                <w:szCs w:val="24"/>
                <w:highlight w:val="none"/>
                <w:lang w:eastAsia="zh-CN"/>
              </w:rPr>
              <w:t>凭据和参加政府采购活动近</w:t>
            </w:r>
            <w:r>
              <w:rPr>
                <w:rFonts w:hint="eastAsia" w:ascii="宋体" w:hAnsi="宋体" w:eastAsia="宋体" w:cs="宋体"/>
                <w:color w:val="auto"/>
                <w:sz w:val="24"/>
                <w:szCs w:val="24"/>
                <w:highlight w:val="none"/>
                <w:lang w:val="en-US" w:eastAsia="zh-CN"/>
              </w:rPr>
              <w:t>12个月（任意1个月）</w:t>
            </w:r>
            <w:r>
              <w:rPr>
                <w:rFonts w:hint="eastAsia" w:ascii="宋体" w:hAnsi="宋体" w:eastAsia="宋体" w:cs="宋体"/>
                <w:color w:val="auto"/>
                <w:sz w:val="24"/>
                <w:szCs w:val="24"/>
                <w:highlight w:val="none"/>
                <w:lang w:eastAsia="zh-CN"/>
              </w:rPr>
              <w:t>缴纳社会保险的凭据(专用收据或社会保险缴纳清单) ；依法免税或不需要缴纳社会保障资金的供应商，应提供相应证明文件；</w:t>
            </w:r>
          </w:p>
          <w:p w14:paraId="6CD8C43E">
            <w:pPr>
              <w:pStyle w:val="22"/>
              <w:keepNext w:val="0"/>
              <w:keepLines w:val="0"/>
              <w:pageBreakBefore w:val="0"/>
              <w:widowControl/>
              <w:kinsoku/>
              <w:wordWrap/>
              <w:overflowPunct/>
              <w:topLinePunct w:val="0"/>
              <w:autoSpaceDE/>
              <w:autoSpaceDN/>
              <w:bidi w:val="0"/>
              <w:adjustRightInd w:val="0"/>
              <w:snapToGrid w:val="0"/>
              <w:spacing w:line="420" w:lineRule="exact"/>
              <w:ind w:firstLine="240" w:firstLineChars="1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⑤参加政府采购活动前三年内，在经营活动中没有重大违法记录。</w:t>
            </w:r>
          </w:p>
          <w:p w14:paraId="1A8D1E8A">
            <w:pPr>
              <w:pStyle w:val="22"/>
              <w:keepNext w:val="0"/>
              <w:keepLines w:val="0"/>
              <w:pageBreakBefore w:val="0"/>
              <w:widowControl/>
              <w:kinsoku/>
              <w:wordWrap/>
              <w:overflowPunct/>
              <w:topLinePunct w:val="0"/>
              <w:autoSpaceDE/>
              <w:autoSpaceDN/>
              <w:bidi w:val="0"/>
              <w:adjustRightInd w:val="0"/>
              <w:snapToGrid w:val="0"/>
              <w:spacing w:line="420" w:lineRule="exact"/>
              <w:ind w:firstLine="240" w:firstLineChars="1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sz w:val="24"/>
                <w:szCs w:val="24"/>
                <w:highlight w:val="none"/>
                <w:lang w:eastAsia="zh-CN"/>
              </w:rPr>
              <w:t>■须提供书面声明 (声明不实的，按《政府采购法》及相关法律法规中提供虚假材料的有关规定处理。</w:t>
            </w:r>
          </w:p>
          <w:p w14:paraId="57775997">
            <w:pPr>
              <w:pStyle w:val="22"/>
              <w:keepNext w:val="0"/>
              <w:keepLines w:val="0"/>
              <w:pageBreakBefore w:val="0"/>
              <w:widowControl/>
              <w:kinsoku/>
              <w:wordWrap/>
              <w:overflowPunct/>
              <w:topLinePunct w:val="0"/>
              <w:autoSpaceDE/>
              <w:autoSpaceDN/>
              <w:bidi w:val="0"/>
              <w:adjustRightInd w:val="0"/>
              <w:snapToGrid w:val="0"/>
              <w:spacing w:line="420" w:lineRule="exact"/>
              <w:ind w:firstLine="240" w:firstLineChars="100"/>
              <w:textAlignment w:val="auto"/>
              <w:rPr>
                <w:rFonts w:hint="eastAsia" w:ascii="宋体" w:hAnsi="宋体" w:eastAsia="宋体" w:cs="宋体"/>
                <w:color w:val="auto"/>
                <w:kern w:val="2"/>
                <w:sz w:val="24"/>
                <w:szCs w:val="24"/>
                <w:highlight w:val="none"/>
                <w:shd w:val="clear" w:color="auto" w:fill="FFFFFF"/>
                <w:lang w:val="en-US" w:eastAsia="zh-CN"/>
              </w:rPr>
            </w:pPr>
            <w:r>
              <w:rPr>
                <w:rFonts w:hint="eastAsia" w:ascii="宋体" w:hAnsi="宋体" w:eastAsia="宋体" w:cs="宋体"/>
                <w:color w:val="auto"/>
                <w:kern w:val="2"/>
                <w:sz w:val="24"/>
                <w:szCs w:val="24"/>
                <w:highlight w:val="none"/>
                <w:shd w:val="clear" w:color="auto" w:fill="FFFFFF"/>
                <w:lang w:val="en-US" w:eastAsia="zh-CN"/>
              </w:rPr>
              <w:t>⑥提供有效的《中小企业声明函》，满足《政府采购促进中小企业发展暂行办法》（财库〔2020〕46号）的规定；</w:t>
            </w:r>
          </w:p>
          <w:p w14:paraId="22A5B3E0">
            <w:pPr>
              <w:keepLines w:val="0"/>
              <w:pageBreakBefore w:val="0"/>
              <w:numPr>
                <w:ilvl w:val="0"/>
                <w:numId w:val="0"/>
              </w:numPr>
              <w:wordWrap/>
              <w:overflowPunct/>
              <w:topLinePunct w:val="0"/>
              <w:bidi w:val="0"/>
              <w:spacing w:line="420" w:lineRule="exact"/>
              <w:rPr>
                <w:rFonts w:hint="eastAsia" w:ascii="宋体" w:hAnsi="宋体" w:eastAsia="宋体" w:cs="宋体"/>
                <w:b/>
                <w:bCs/>
                <w:color w:val="auto"/>
                <w:kern w:val="2"/>
                <w:sz w:val="24"/>
                <w:szCs w:val="24"/>
                <w:highlight w:val="none"/>
                <w:shd w:val="clear" w:color="auto" w:fill="FFFFFF"/>
                <w:lang w:val="en-US" w:eastAsia="zh-CN"/>
              </w:rPr>
            </w:pPr>
            <w:r>
              <w:rPr>
                <w:rFonts w:hint="eastAsia" w:ascii="宋体" w:hAnsi="宋体" w:cs="宋体"/>
                <w:b/>
                <w:bCs/>
                <w:color w:val="auto"/>
                <w:kern w:val="2"/>
                <w:sz w:val="24"/>
                <w:szCs w:val="24"/>
                <w:highlight w:val="none"/>
                <w:shd w:val="clear" w:color="auto" w:fill="FFFFFF"/>
                <w:lang w:val="en-US" w:eastAsia="zh-CN"/>
              </w:rPr>
              <w:t>3.</w:t>
            </w:r>
            <w:r>
              <w:rPr>
                <w:rFonts w:hint="eastAsia" w:ascii="宋体" w:hAnsi="宋体" w:eastAsia="宋体" w:cs="宋体"/>
                <w:b/>
                <w:bCs/>
                <w:color w:val="auto"/>
                <w:kern w:val="2"/>
                <w:sz w:val="24"/>
                <w:szCs w:val="24"/>
                <w:highlight w:val="none"/>
                <w:shd w:val="clear" w:color="auto" w:fill="FFFFFF"/>
                <w:lang w:val="en-US" w:eastAsia="zh-CN"/>
              </w:rPr>
              <w:t>本项目的特定资格要求：</w:t>
            </w:r>
            <w:r>
              <w:rPr>
                <w:rFonts w:hint="eastAsia" w:ascii="Times New Roman" w:hAnsi="宋体" w:eastAsia="宋体" w:cs="Times New Roman"/>
                <w:b/>
                <w:bCs/>
                <w:color w:val="000000" w:themeColor="text1"/>
                <w:sz w:val="24"/>
                <w:szCs w:val="24"/>
                <w:highlight w:val="none"/>
                <w:lang w:val="en-US" w:eastAsia="zh-CN"/>
                <w14:textFill>
                  <w14:solidFill>
                    <w14:schemeClr w14:val="tx1"/>
                  </w14:solidFill>
                </w14:textFill>
              </w:rPr>
              <w:t>供应商须具备建筑工程施工总承包叁级及以上资质，并在有效期内的，有效的《安全生产许可证》，并在人员、设备、资金等方面具备相应的施工能力；拟派的项目负责人须具备建筑工程专业二级建造师及以上（含二级）注册执业资格，并具备有效的安全生产考核合格证书（B 证）。</w:t>
            </w:r>
          </w:p>
          <w:p w14:paraId="67B17F86">
            <w:pPr>
              <w:keepLines w:val="0"/>
              <w:pageBreakBefore w:val="0"/>
              <w:numPr>
                <w:ilvl w:val="0"/>
                <w:numId w:val="0"/>
              </w:numPr>
              <w:wordWrap/>
              <w:overflowPunct/>
              <w:topLinePunct w:val="0"/>
              <w:bidi w:val="0"/>
              <w:spacing w:line="420" w:lineRule="exact"/>
              <w:rPr>
                <w:rFonts w:hint="default" w:ascii="宋体" w:hAnsi="宋体" w:eastAsia="宋体" w:cs="宋体"/>
                <w:color w:val="auto"/>
                <w:kern w:val="2"/>
                <w:sz w:val="24"/>
                <w:szCs w:val="24"/>
                <w:highlight w:val="none"/>
                <w:shd w:val="clear" w:color="auto" w:fill="FFFFFF"/>
                <w:lang w:val="en-US" w:eastAsia="zh-CN"/>
              </w:rPr>
            </w:pPr>
            <w:r>
              <w:rPr>
                <w:rFonts w:hint="eastAsia" w:ascii="宋体" w:hAnsi="宋体" w:cs="宋体"/>
                <w:color w:val="auto"/>
                <w:kern w:val="2"/>
                <w:sz w:val="24"/>
                <w:szCs w:val="24"/>
                <w:highlight w:val="none"/>
                <w:shd w:val="clear" w:color="auto" w:fill="FFFFFF"/>
                <w:lang w:val="en-US" w:eastAsia="zh-CN"/>
              </w:rPr>
              <w:t>4.</w:t>
            </w:r>
            <w:r>
              <w:rPr>
                <w:rFonts w:hint="eastAsia" w:ascii="宋体" w:hAnsi="宋体" w:eastAsia="宋体" w:cs="宋体"/>
                <w:color w:val="auto"/>
                <w:kern w:val="2"/>
                <w:sz w:val="24"/>
                <w:szCs w:val="24"/>
                <w:highlight w:val="none"/>
                <w:shd w:val="clear" w:color="auto" w:fill="FFFFFF"/>
                <w:lang w:val="en-US" w:eastAsia="zh-CN"/>
              </w:rPr>
              <w:t>本项目（否）接受联合体投标</w:t>
            </w:r>
          </w:p>
        </w:tc>
      </w:tr>
      <w:tr w14:paraId="3E54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6" w:type="dxa"/>
            <w:noWrap w:val="0"/>
            <w:vAlign w:val="center"/>
          </w:tcPr>
          <w:p w14:paraId="44FD3EB1">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2087" w:type="dxa"/>
            <w:noWrap w:val="0"/>
            <w:tcMar>
              <w:top w:w="0" w:type="dxa"/>
              <w:left w:w="108" w:type="dxa"/>
              <w:bottom w:w="0" w:type="dxa"/>
              <w:right w:w="108" w:type="dxa"/>
            </w:tcMar>
            <w:vAlign w:val="center"/>
          </w:tcPr>
          <w:p w14:paraId="2B4CCDA6">
            <w:pPr>
              <w:keepNext w:val="0"/>
              <w:keepLines w:val="0"/>
              <w:pageBreakBefore w:val="0"/>
              <w:widowControl w:val="0"/>
              <w:kinsoku/>
              <w:wordWrap/>
              <w:overflowPunct/>
              <w:topLinePunct w:val="0"/>
              <w:autoSpaceDE/>
              <w:autoSpaceDN/>
              <w:bidi w:val="0"/>
              <w:adjustRightInd/>
              <w:snapToGrid/>
              <w:spacing w:line="420" w:lineRule="exact"/>
              <w:ind w:right="-48" w:rightChars="-2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谈判响应文件</w:t>
            </w:r>
          </w:p>
          <w:p w14:paraId="7F3E700C">
            <w:pPr>
              <w:keepNext w:val="0"/>
              <w:keepLines w:val="0"/>
              <w:pageBreakBefore w:val="0"/>
              <w:widowControl w:val="0"/>
              <w:kinsoku/>
              <w:wordWrap/>
              <w:overflowPunct/>
              <w:topLinePunct w:val="0"/>
              <w:autoSpaceDE/>
              <w:autoSpaceDN/>
              <w:bidi w:val="0"/>
              <w:adjustRightInd/>
              <w:snapToGrid/>
              <w:spacing w:line="420" w:lineRule="exact"/>
              <w:ind w:right="-48" w:rightChars="-2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c>
          <w:tcPr>
            <w:tcW w:w="6656" w:type="dxa"/>
            <w:noWrap w:val="0"/>
            <w:vAlign w:val="center"/>
          </w:tcPr>
          <w:p w14:paraId="7F4631E8">
            <w:pPr>
              <w:keepLines w:val="0"/>
              <w:pageBreakBefore w:val="0"/>
              <w:kinsoku/>
              <w:wordWrap/>
              <w:overflowPunct/>
              <w:topLinePunct w:val="0"/>
              <w:bidi w:val="0"/>
              <w:spacing w:line="420" w:lineRule="exact"/>
              <w:ind w:right="56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90</w:t>
            </w:r>
            <w:r>
              <w:rPr>
                <w:rFonts w:hint="eastAsia" w:ascii="宋体" w:hAnsi="宋体" w:eastAsia="宋体" w:cs="宋体"/>
                <w:color w:val="auto"/>
                <w:sz w:val="24"/>
                <w:szCs w:val="24"/>
                <w:highlight w:val="none"/>
              </w:rPr>
              <w:t>天</w:t>
            </w:r>
          </w:p>
        </w:tc>
      </w:tr>
      <w:tr w14:paraId="0FE4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66" w:type="dxa"/>
            <w:noWrap w:val="0"/>
            <w:vAlign w:val="center"/>
          </w:tcPr>
          <w:p w14:paraId="78CB5CA4">
            <w:pPr>
              <w:keepLines w:val="0"/>
              <w:pageBreakBefore w:val="0"/>
              <w:kinsoku/>
              <w:wordWrap/>
              <w:overflowPunct/>
              <w:topLinePunct w:val="0"/>
              <w:bidi w:val="0"/>
              <w:spacing w:line="420" w:lineRule="exact"/>
              <w:ind w:right="-108" w:rightChars="-4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2087" w:type="dxa"/>
            <w:noWrap w:val="0"/>
            <w:tcMar>
              <w:top w:w="0" w:type="dxa"/>
              <w:left w:w="57" w:type="dxa"/>
              <w:bottom w:w="0" w:type="dxa"/>
              <w:right w:w="57" w:type="dxa"/>
            </w:tcMar>
            <w:vAlign w:val="center"/>
          </w:tcPr>
          <w:p w14:paraId="68CEE360">
            <w:pPr>
              <w:keepLines w:val="0"/>
              <w:pageBreakBefore w:val="0"/>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新宋体" w:hAnsi="新宋体" w:eastAsia="新宋体" w:cs="新宋体"/>
                <w:color w:val="auto"/>
                <w:sz w:val="24"/>
                <w:szCs w:val="24"/>
                <w:highlight w:val="none"/>
              </w:rPr>
              <w:t>投标人对</w:t>
            </w:r>
            <w:r>
              <w:rPr>
                <w:rFonts w:hint="eastAsia" w:ascii="新宋体" w:hAnsi="新宋体" w:eastAsia="新宋体" w:cs="新宋体"/>
                <w:color w:val="auto"/>
                <w:sz w:val="24"/>
                <w:szCs w:val="24"/>
                <w:highlight w:val="none"/>
                <w:lang w:eastAsia="zh-CN"/>
              </w:rPr>
              <w:t>谈判文件</w:t>
            </w:r>
            <w:r>
              <w:rPr>
                <w:rFonts w:hint="eastAsia" w:ascii="新宋体" w:hAnsi="新宋体" w:eastAsia="新宋体" w:cs="新宋体"/>
                <w:color w:val="auto"/>
                <w:sz w:val="24"/>
                <w:szCs w:val="24"/>
                <w:highlight w:val="none"/>
              </w:rPr>
              <w:t>提出质疑的时间</w:t>
            </w:r>
          </w:p>
        </w:tc>
        <w:tc>
          <w:tcPr>
            <w:tcW w:w="6656" w:type="dxa"/>
            <w:noWrap w:val="0"/>
            <w:vAlign w:val="center"/>
          </w:tcPr>
          <w:p w14:paraId="25122118">
            <w:pPr>
              <w:keepLines w:val="0"/>
              <w:pageBreakBefore w:val="0"/>
              <w:wordWrap/>
              <w:overflowPunct/>
              <w:topLinePunct w:val="0"/>
              <w:bidi w:val="0"/>
              <w:spacing w:line="4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投标人认为</w:t>
            </w:r>
            <w:r>
              <w:rPr>
                <w:rFonts w:hint="eastAsia" w:ascii="宋体" w:hAnsi="宋体" w:cs="宋体"/>
                <w:color w:val="auto"/>
                <w:sz w:val="24"/>
                <w:szCs w:val="24"/>
                <w:highlight w:val="none"/>
                <w:lang w:val="en-US" w:eastAsia="zh-CN"/>
              </w:rPr>
              <w:t>谈判文件</w:t>
            </w:r>
            <w:r>
              <w:rPr>
                <w:rFonts w:hint="eastAsia" w:ascii="宋体" w:hAnsi="宋体" w:eastAsia="宋体" w:cs="宋体"/>
                <w:color w:val="auto"/>
                <w:sz w:val="24"/>
                <w:szCs w:val="24"/>
                <w:highlight w:val="none"/>
                <w:lang w:val="en-US" w:eastAsia="zh-CN"/>
              </w:rPr>
              <w:t>、招标过程或中标结果使自己的合法权益受到损害的，应当在知道或者应知其权益受到损害之日起七个工作日内，以书面形式向招标人、招标代理机构提出质疑</w:t>
            </w:r>
          </w:p>
        </w:tc>
      </w:tr>
      <w:tr w14:paraId="02CE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066" w:type="dxa"/>
            <w:noWrap w:val="0"/>
            <w:vAlign w:val="center"/>
          </w:tcPr>
          <w:p w14:paraId="15A7323A">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7</w:t>
            </w:r>
          </w:p>
        </w:tc>
        <w:tc>
          <w:tcPr>
            <w:tcW w:w="2087" w:type="dxa"/>
            <w:noWrap w:val="0"/>
            <w:tcMar>
              <w:top w:w="0" w:type="dxa"/>
              <w:left w:w="108" w:type="dxa"/>
              <w:bottom w:w="0" w:type="dxa"/>
              <w:right w:w="108" w:type="dxa"/>
            </w:tcMar>
            <w:vAlign w:val="center"/>
          </w:tcPr>
          <w:p w14:paraId="5F69F3BD">
            <w:pPr>
              <w:keepLines w:val="0"/>
              <w:pageBreakBefore w:val="0"/>
              <w:kinsoku/>
              <w:wordWrap/>
              <w:overflowPunct/>
              <w:topLinePunct w:val="0"/>
              <w:bidi w:val="0"/>
              <w:spacing w:line="420" w:lineRule="exact"/>
              <w:ind w:right="-48" w:rightChars="-2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谈判响应时间</w:t>
            </w:r>
          </w:p>
        </w:tc>
        <w:tc>
          <w:tcPr>
            <w:tcW w:w="6656" w:type="dxa"/>
            <w:noWrap w:val="0"/>
            <w:vAlign w:val="center"/>
          </w:tcPr>
          <w:p w14:paraId="19440241">
            <w:pPr>
              <w:keepNext w:val="0"/>
              <w:keepLines w:val="0"/>
              <w:pageBreakBefore w:val="0"/>
              <w:widowControl w:val="0"/>
              <w:kinsoku/>
              <w:wordWrap/>
              <w:overflowPunct/>
              <w:topLinePunct w:val="0"/>
              <w:autoSpaceDE/>
              <w:autoSpaceDN/>
              <w:bidi w:val="0"/>
              <w:adjustRightInd/>
              <w:snapToGrid/>
              <w:spacing w:line="420" w:lineRule="exact"/>
              <w:ind w:right="-40" w:righ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hAnsi="宋体"/>
                <w:b w:val="0"/>
                <w:bCs w:val="0"/>
                <w:color w:val="000000" w:themeColor="text1"/>
                <w:sz w:val="24"/>
                <w:szCs w:val="24"/>
                <w:highlight w:val="none"/>
                <w:lang w:val="en-US" w:eastAsia="zh-CN"/>
                <w14:textFill>
                  <w14:solidFill>
                    <w14:schemeClr w14:val="tx1"/>
                  </w14:solidFill>
                </w14:textFill>
              </w:rPr>
              <w:t>2026年5月15日11点00分</w:t>
            </w:r>
          </w:p>
        </w:tc>
      </w:tr>
      <w:tr w14:paraId="4324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66" w:type="dxa"/>
            <w:noWrap w:val="0"/>
            <w:vAlign w:val="center"/>
          </w:tcPr>
          <w:p w14:paraId="29C495A7">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8</w:t>
            </w:r>
          </w:p>
        </w:tc>
        <w:tc>
          <w:tcPr>
            <w:tcW w:w="2087" w:type="dxa"/>
            <w:noWrap w:val="0"/>
            <w:tcMar>
              <w:top w:w="0" w:type="dxa"/>
              <w:left w:w="51" w:type="dxa"/>
              <w:bottom w:w="0" w:type="dxa"/>
              <w:right w:w="51" w:type="dxa"/>
            </w:tcMar>
            <w:vAlign w:val="center"/>
          </w:tcPr>
          <w:p w14:paraId="14A27BB0">
            <w:pPr>
              <w:keepLines w:val="0"/>
              <w:pageBreakBefore w:val="0"/>
              <w:kinsoku/>
              <w:wordWrap/>
              <w:overflowPunct/>
              <w:topLinePunct w:val="0"/>
              <w:bidi w:val="0"/>
              <w:spacing w:line="420" w:lineRule="exact"/>
              <w:ind w:right="-48"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谈判响应文件递交</w:t>
            </w:r>
            <w:r>
              <w:rPr>
                <w:rFonts w:hint="eastAsia" w:ascii="宋体" w:hAnsi="宋体" w:cs="宋体"/>
                <w:color w:val="auto"/>
                <w:sz w:val="24"/>
                <w:szCs w:val="24"/>
                <w:highlight w:val="none"/>
                <w:lang w:val="en-US" w:eastAsia="zh-CN"/>
              </w:rPr>
              <w:t>地点及递交方式</w:t>
            </w:r>
          </w:p>
        </w:tc>
        <w:tc>
          <w:tcPr>
            <w:tcW w:w="6656" w:type="dxa"/>
            <w:noWrap w:val="0"/>
            <w:vAlign w:val="center"/>
          </w:tcPr>
          <w:p w14:paraId="69B9D3DE">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谈判响应文件递交地点:</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新疆政府采购网政采云平台（www.zcygov.cn），按照本项目</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谈判文件</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和政采云平台的要求编制、加密传输</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p>
          <w:p w14:paraId="29431440">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谈判响应文件递交</w:t>
            </w:r>
            <w:r>
              <w:rPr>
                <w:rFonts w:hint="eastAsia" w:ascii="宋体" w:hAnsi="宋体" w:cs="宋体"/>
                <w:b/>
                <w:bCs/>
                <w:color w:val="000000" w:themeColor="text1"/>
                <w:sz w:val="24"/>
                <w:szCs w:val="24"/>
                <w:highlight w:val="none"/>
                <w:lang w:val="en-US" w:eastAsia="zh-CN"/>
                <w14:textFill>
                  <w14:solidFill>
                    <w14:schemeClr w14:val="tx1"/>
                  </w14:solidFill>
                </w14:textFill>
              </w:rPr>
              <w:t>方式</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投标人应于</w:t>
            </w:r>
            <w:r>
              <w:rPr>
                <w:rFonts w:hint="eastAsia" w:hAnsi="宋体"/>
                <w:b w:val="0"/>
                <w:bCs w:val="0"/>
                <w:color w:val="000000" w:themeColor="text1"/>
                <w:sz w:val="24"/>
                <w:szCs w:val="24"/>
                <w:highlight w:val="none"/>
                <w:lang w:val="en-US" w:eastAsia="zh-CN"/>
                <w14:textFill>
                  <w14:solidFill>
                    <w14:schemeClr w14:val="tx1"/>
                  </w14:solidFill>
                </w14:textFill>
              </w:rPr>
              <w:t>2026年5月15日11点00分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时整之前将电子</w:t>
            </w:r>
            <w:r>
              <w:rPr>
                <w:rFonts w:hint="eastAsia" w:ascii="宋体" w:hAnsi="宋体"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上传到“政采云”平台。应按照本项目</w:t>
            </w:r>
            <w:r>
              <w:rPr>
                <w:rFonts w:hint="eastAsia" w:ascii="宋体" w:hAnsi="宋体" w:cs="宋体"/>
                <w:color w:val="000000" w:themeColor="text1"/>
                <w:sz w:val="24"/>
                <w:szCs w:val="24"/>
                <w:highlight w:val="none"/>
                <w:lang w:val="en-US" w:eastAsia="zh-CN"/>
                <w14:textFill>
                  <w14:solidFill>
                    <w14:schemeClr w14:val="tx1"/>
                  </w14:solidFill>
                </w14:textFill>
              </w:rPr>
              <w:t>谈判文件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和政采云平台的要求编制、加密传输</w:t>
            </w:r>
            <w:r>
              <w:rPr>
                <w:rFonts w:hint="eastAsia" w:ascii="宋体" w:hAnsi="宋体" w:cs="宋体"/>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。供应商在使用系统进行投标的过程中遇到涉及平台使用的任何问题，可致电政采云平台技术支持热线咨询，联系方式：</w:t>
            </w:r>
            <w:r>
              <w:rPr>
                <w:rFonts w:hint="eastAsia" w:ascii="宋体" w:hAnsi="宋体" w:cs="宋体"/>
                <w:color w:val="000000" w:themeColor="text1"/>
                <w:sz w:val="24"/>
                <w:szCs w:val="24"/>
                <w:highlight w:val="none"/>
                <w:lang w:val="en-US" w:eastAsia="zh-CN"/>
                <w14:textFill>
                  <w14:solidFill>
                    <w14:schemeClr w14:val="tx1"/>
                  </w14:solidFill>
                </w14:textFill>
              </w:rPr>
              <w:t>95763或95763</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r>
      <w:tr w14:paraId="7070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066" w:type="dxa"/>
            <w:noWrap w:val="0"/>
            <w:vAlign w:val="center"/>
          </w:tcPr>
          <w:p w14:paraId="0F49B357">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2087" w:type="dxa"/>
            <w:noWrap w:val="0"/>
            <w:tcMar>
              <w:top w:w="0" w:type="dxa"/>
              <w:left w:w="108" w:type="dxa"/>
              <w:bottom w:w="0" w:type="dxa"/>
              <w:right w:w="108" w:type="dxa"/>
            </w:tcMar>
            <w:vAlign w:val="center"/>
          </w:tcPr>
          <w:p w14:paraId="4DCCE0BF">
            <w:pPr>
              <w:keepLines w:val="0"/>
              <w:pageBreakBefore w:val="0"/>
              <w:kinsoku/>
              <w:wordWrap/>
              <w:overflowPunct/>
              <w:topLinePunct w:val="0"/>
              <w:bidi w:val="0"/>
              <w:spacing w:line="420" w:lineRule="exact"/>
              <w:ind w:right="-48"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谈判</w:t>
            </w:r>
            <w:r>
              <w:rPr>
                <w:rFonts w:hint="eastAsia" w:ascii="宋体" w:hAnsi="宋体" w:cs="宋体"/>
                <w:color w:val="auto"/>
                <w:sz w:val="24"/>
                <w:szCs w:val="24"/>
                <w:highlight w:val="none"/>
                <w:lang w:val="en-US" w:eastAsia="zh-CN"/>
              </w:rPr>
              <w:t>文件解密时间</w:t>
            </w:r>
          </w:p>
        </w:tc>
        <w:tc>
          <w:tcPr>
            <w:tcW w:w="6656" w:type="dxa"/>
            <w:noWrap w:val="0"/>
            <w:vAlign w:val="center"/>
          </w:tcPr>
          <w:p w14:paraId="13485F81">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val="0"/>
                <w:color w:val="auto"/>
                <w:sz w:val="24"/>
                <w:szCs w:val="24"/>
                <w:highlight w:val="none"/>
              </w:rPr>
              <w:t>开标时间后</w:t>
            </w:r>
            <w:r>
              <w:rPr>
                <w:rFonts w:hint="eastAsia" w:ascii="宋体" w:hAnsi="宋体" w:eastAsia="宋体" w:cs="宋体"/>
                <w:b/>
                <w:bCs w:val="0"/>
                <w:color w:val="auto"/>
                <w:sz w:val="24"/>
                <w:szCs w:val="24"/>
                <w:highlight w:val="none"/>
                <w:lang w:val="en-US" w:eastAsia="zh-CN"/>
              </w:rPr>
              <w:t>30分钟</w:t>
            </w:r>
            <w:r>
              <w:rPr>
                <w:rFonts w:hint="eastAsia" w:ascii="宋体" w:hAnsi="宋体" w:eastAsia="宋体" w:cs="宋体"/>
                <w:b/>
                <w:bCs w:val="0"/>
                <w:color w:val="auto"/>
                <w:sz w:val="24"/>
                <w:szCs w:val="24"/>
                <w:highlight w:val="none"/>
              </w:rPr>
              <w:t>内</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供应商可以登录“政采云”平台，用“项目采购-开标评标”功能进行解密</w:t>
            </w:r>
            <w:r>
              <w:rPr>
                <w:rFonts w:hint="eastAsia" w:ascii="宋体" w:hAnsi="宋体" w:eastAsia="宋体" w:cs="宋体"/>
                <w:b/>
                <w:bCs w:val="0"/>
                <w:color w:val="auto"/>
                <w:sz w:val="24"/>
                <w:szCs w:val="24"/>
                <w:highlight w:val="none"/>
                <w:lang w:eastAsia="zh-CN"/>
              </w:rPr>
              <w:t>响应文件</w:t>
            </w:r>
            <w:r>
              <w:rPr>
                <w:rFonts w:hint="eastAsia" w:ascii="宋体" w:hAnsi="宋体" w:eastAsia="宋体" w:cs="宋体"/>
                <w:b/>
                <w:bCs w:val="0"/>
                <w:color w:val="auto"/>
                <w:sz w:val="24"/>
                <w:szCs w:val="24"/>
                <w:highlight w:val="none"/>
              </w:rPr>
              <w:t>。若供应商在规定时间内未按时解密的，视为</w:t>
            </w:r>
            <w:r>
              <w:rPr>
                <w:rFonts w:hint="eastAsia" w:ascii="宋体" w:hAnsi="宋体" w:eastAsia="宋体" w:cs="宋体"/>
                <w:b/>
                <w:bCs w:val="0"/>
                <w:color w:val="auto"/>
                <w:sz w:val="24"/>
                <w:szCs w:val="24"/>
                <w:highlight w:val="none"/>
                <w:lang w:eastAsia="zh-CN"/>
              </w:rPr>
              <w:t>响应文件</w:t>
            </w:r>
            <w:r>
              <w:rPr>
                <w:rFonts w:hint="eastAsia" w:ascii="宋体" w:hAnsi="宋体" w:eastAsia="宋体" w:cs="宋体"/>
                <w:b/>
                <w:bCs w:val="0"/>
                <w:color w:val="auto"/>
                <w:sz w:val="24"/>
                <w:szCs w:val="24"/>
                <w:highlight w:val="none"/>
              </w:rPr>
              <w:t>撤回。</w:t>
            </w:r>
          </w:p>
        </w:tc>
      </w:tr>
      <w:tr w14:paraId="50D5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066" w:type="dxa"/>
            <w:noWrap w:val="0"/>
            <w:vAlign w:val="center"/>
          </w:tcPr>
          <w:p w14:paraId="6E82342F">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20</w:t>
            </w:r>
          </w:p>
        </w:tc>
        <w:tc>
          <w:tcPr>
            <w:tcW w:w="2087" w:type="dxa"/>
            <w:noWrap w:val="0"/>
            <w:tcMar>
              <w:top w:w="0" w:type="dxa"/>
              <w:left w:w="108" w:type="dxa"/>
              <w:bottom w:w="0" w:type="dxa"/>
              <w:right w:w="108" w:type="dxa"/>
            </w:tcMar>
            <w:vAlign w:val="center"/>
          </w:tcPr>
          <w:p w14:paraId="534DBD18">
            <w:pPr>
              <w:keepLines w:val="0"/>
              <w:pageBreakBefore w:val="0"/>
              <w:kinsoku/>
              <w:wordWrap/>
              <w:overflowPunct/>
              <w:topLinePunct w:val="0"/>
              <w:bidi w:val="0"/>
              <w:spacing w:line="420" w:lineRule="exact"/>
              <w:ind w:right="-48" w:rightChars="-2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签字盖章</w:t>
            </w:r>
          </w:p>
        </w:tc>
        <w:tc>
          <w:tcPr>
            <w:tcW w:w="6656" w:type="dxa"/>
            <w:noWrap w:val="0"/>
            <w:vAlign w:val="center"/>
          </w:tcPr>
          <w:p w14:paraId="79468924">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color w:val="auto"/>
                <w:sz w:val="24"/>
                <w:szCs w:val="24"/>
                <w:highlight w:val="none"/>
                <w:lang w:val="en-US" w:eastAsia="zh-CN"/>
              </w:rPr>
              <w:t>投标人必须按照谈判文件的规定和要求签字、盖章</w:t>
            </w:r>
          </w:p>
        </w:tc>
      </w:tr>
      <w:tr w14:paraId="329D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66" w:type="dxa"/>
            <w:noWrap w:val="0"/>
            <w:vAlign w:val="center"/>
          </w:tcPr>
          <w:p w14:paraId="68DA4F51">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21</w:t>
            </w:r>
          </w:p>
        </w:tc>
        <w:tc>
          <w:tcPr>
            <w:tcW w:w="2087" w:type="dxa"/>
            <w:noWrap w:val="0"/>
            <w:tcMar>
              <w:top w:w="0" w:type="dxa"/>
              <w:left w:w="108" w:type="dxa"/>
              <w:bottom w:w="0" w:type="dxa"/>
              <w:right w:w="108" w:type="dxa"/>
            </w:tcMar>
            <w:vAlign w:val="center"/>
          </w:tcPr>
          <w:p w14:paraId="3293FD8B">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谈判顺序</w:t>
            </w:r>
          </w:p>
        </w:tc>
        <w:tc>
          <w:tcPr>
            <w:tcW w:w="6656" w:type="dxa"/>
            <w:noWrap w:val="0"/>
            <w:vAlign w:val="center"/>
          </w:tcPr>
          <w:p w14:paraId="7D21DDF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按递交谈判响应文件的顺序谈判，报价人应在指定的时间内到达谈判地点</w:t>
            </w:r>
          </w:p>
        </w:tc>
      </w:tr>
      <w:tr w14:paraId="2B31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66" w:type="dxa"/>
            <w:noWrap w:val="0"/>
            <w:vAlign w:val="center"/>
          </w:tcPr>
          <w:p w14:paraId="21730AAA">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22</w:t>
            </w:r>
          </w:p>
        </w:tc>
        <w:tc>
          <w:tcPr>
            <w:tcW w:w="2087" w:type="dxa"/>
            <w:noWrap w:val="0"/>
            <w:tcMar>
              <w:top w:w="0" w:type="dxa"/>
              <w:left w:w="108" w:type="dxa"/>
              <w:bottom w:w="0" w:type="dxa"/>
              <w:right w:w="108" w:type="dxa"/>
            </w:tcMar>
            <w:vAlign w:val="center"/>
          </w:tcPr>
          <w:p w14:paraId="20FB3063">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评标委员的组建</w:t>
            </w:r>
          </w:p>
        </w:tc>
        <w:tc>
          <w:tcPr>
            <w:tcW w:w="6656" w:type="dxa"/>
            <w:noWrap w:val="0"/>
            <w:vAlign w:val="center"/>
          </w:tcPr>
          <w:p w14:paraId="6500B2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评标委员会构成：</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人</w:t>
            </w:r>
          </w:p>
          <w:p w14:paraId="3D2F959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评标专家确定方式：由招标代理在开标前48小时在新疆政府采购专家库中随机抽取此次评标专家。</w:t>
            </w:r>
          </w:p>
          <w:p w14:paraId="3D35012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lang w:val="en-US" w:eastAsia="zh-CN"/>
              </w:rPr>
              <w:t>评审地址：博州公共资源交易中心评标室</w:t>
            </w:r>
          </w:p>
        </w:tc>
      </w:tr>
      <w:tr w14:paraId="256D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66" w:type="dxa"/>
            <w:noWrap w:val="0"/>
            <w:vAlign w:val="center"/>
          </w:tcPr>
          <w:p w14:paraId="2B2A82B7">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23</w:t>
            </w:r>
          </w:p>
        </w:tc>
        <w:tc>
          <w:tcPr>
            <w:tcW w:w="2087" w:type="dxa"/>
            <w:noWrap w:val="0"/>
            <w:tcMar>
              <w:top w:w="0" w:type="dxa"/>
              <w:left w:w="108" w:type="dxa"/>
              <w:bottom w:w="0" w:type="dxa"/>
              <w:right w:w="108" w:type="dxa"/>
            </w:tcMar>
            <w:vAlign w:val="center"/>
          </w:tcPr>
          <w:p w14:paraId="46D6436E">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谈判内容</w:t>
            </w:r>
          </w:p>
        </w:tc>
        <w:tc>
          <w:tcPr>
            <w:tcW w:w="6656" w:type="dxa"/>
            <w:noWrap w:val="0"/>
            <w:vAlign w:val="center"/>
          </w:tcPr>
          <w:p w14:paraId="37263F0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谈判小组针对谈判文件的商务、技术、报价等内容进行谈判</w:t>
            </w:r>
          </w:p>
        </w:tc>
      </w:tr>
      <w:tr w14:paraId="7E65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66" w:type="dxa"/>
            <w:noWrap w:val="0"/>
            <w:vAlign w:val="center"/>
          </w:tcPr>
          <w:p w14:paraId="08DD98F3">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2087" w:type="dxa"/>
            <w:noWrap w:val="0"/>
            <w:tcMar>
              <w:top w:w="0" w:type="dxa"/>
              <w:left w:w="108" w:type="dxa"/>
              <w:bottom w:w="0" w:type="dxa"/>
              <w:right w:w="108" w:type="dxa"/>
            </w:tcMar>
            <w:vAlign w:val="center"/>
          </w:tcPr>
          <w:p w14:paraId="5FBC436F">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评标办法</w:t>
            </w:r>
          </w:p>
        </w:tc>
        <w:tc>
          <w:tcPr>
            <w:tcW w:w="6656" w:type="dxa"/>
            <w:noWrap w:val="0"/>
            <w:vAlign w:val="center"/>
          </w:tcPr>
          <w:p w14:paraId="392EF80A">
            <w:pPr>
              <w:keepNext w:val="0"/>
              <w:keepLines w:val="0"/>
              <w:pageBreakBefore w:val="0"/>
              <w:widowControl w:val="0"/>
              <w:kinsoku/>
              <w:wordWrap/>
              <w:overflowPunct/>
              <w:topLinePunct w:val="0"/>
              <w:autoSpaceDE/>
              <w:autoSpaceDN/>
              <w:bidi w:val="0"/>
              <w:adjustRightInd/>
              <w:snapToGrid/>
              <w:spacing w:line="420" w:lineRule="exact"/>
              <w:ind w:right="-40" w:rightChars="0"/>
              <w:jc w:val="left"/>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u w:val="none"/>
              </w:rPr>
              <w:t>竞争性谈判</w:t>
            </w:r>
            <w:r>
              <w:rPr>
                <w:rFonts w:hint="eastAsia" w:ascii="宋体" w:hAnsi="宋体" w:cs="宋体"/>
                <w:b/>
                <w:bCs/>
                <w:color w:val="auto"/>
                <w:sz w:val="24"/>
                <w:szCs w:val="24"/>
                <w:highlight w:val="none"/>
                <w:u w:val="none"/>
                <w:lang w:eastAsia="zh-CN"/>
              </w:rPr>
              <w:t>采用最低评标价法：</w:t>
            </w:r>
            <w:r>
              <w:rPr>
                <w:rFonts w:hint="eastAsia" w:ascii="宋体" w:hAnsi="宋体" w:cs="宋体"/>
                <w:b/>
                <w:bCs/>
                <w:color w:val="auto"/>
                <w:sz w:val="24"/>
                <w:szCs w:val="24"/>
                <w:highlight w:val="none"/>
                <w:u w:val="none"/>
              </w:rPr>
              <w:t>第一轮根据</w:t>
            </w:r>
            <w:r>
              <w:rPr>
                <w:rFonts w:hint="eastAsia" w:ascii="宋体" w:hAnsi="宋体" w:cs="宋体"/>
                <w:b/>
                <w:bCs/>
                <w:color w:val="auto"/>
                <w:sz w:val="24"/>
                <w:szCs w:val="24"/>
                <w:highlight w:val="none"/>
                <w:u w:val="none"/>
                <w:lang w:eastAsia="zh-CN"/>
              </w:rPr>
              <w:t>响应文件</w:t>
            </w:r>
            <w:r>
              <w:rPr>
                <w:rFonts w:hint="eastAsia" w:ascii="宋体" w:hAnsi="宋体" w:cs="宋体"/>
                <w:b/>
                <w:bCs/>
                <w:color w:val="auto"/>
                <w:sz w:val="24"/>
                <w:szCs w:val="24"/>
                <w:highlight w:val="none"/>
                <w:u w:val="none"/>
              </w:rPr>
              <w:t>能够详细列明全部技术、工程质量且技术、商务均能全部满足采购文件实质性响应要求者且可进行下一轮，</w:t>
            </w:r>
            <w:r>
              <w:rPr>
                <w:rFonts w:hint="eastAsia" w:ascii="宋体" w:hAnsi="宋体" w:eastAsia="宋体" w:cs="宋体"/>
                <w:b/>
                <w:bCs/>
                <w:color w:val="auto"/>
                <w:sz w:val="24"/>
                <w:szCs w:val="24"/>
                <w:highlight w:val="none"/>
                <w:u w:val="none"/>
              </w:rPr>
              <w:t>投标人的报价明显低于其他通过符合性检查投标人的报价，有可能影响履约的，投标人能</w:t>
            </w:r>
            <w:r>
              <w:rPr>
                <w:rFonts w:hint="eastAsia" w:ascii="宋体" w:hAnsi="宋体" w:eastAsia="宋体" w:cs="宋体"/>
                <w:b/>
                <w:bCs/>
                <w:color w:val="auto"/>
                <w:sz w:val="24"/>
                <w:szCs w:val="24"/>
                <w:highlight w:val="none"/>
                <w:u w:val="none"/>
                <w:lang w:eastAsia="zh-CN"/>
              </w:rPr>
              <w:t>在</w:t>
            </w:r>
            <w:r>
              <w:rPr>
                <w:rFonts w:hint="eastAsia" w:ascii="宋体" w:hAnsi="宋体" w:eastAsia="宋体" w:cs="宋体"/>
                <w:b/>
                <w:bCs/>
                <w:color w:val="auto"/>
                <w:sz w:val="24"/>
                <w:szCs w:val="24"/>
                <w:highlight w:val="none"/>
                <w:u w:val="none"/>
              </w:rPr>
              <w:t>规定</w:t>
            </w:r>
            <w:r>
              <w:rPr>
                <w:rFonts w:hint="eastAsia" w:ascii="宋体" w:hAnsi="宋体" w:eastAsia="宋体" w:cs="宋体"/>
                <w:b/>
                <w:bCs/>
                <w:color w:val="auto"/>
                <w:sz w:val="24"/>
                <w:szCs w:val="24"/>
                <w:highlight w:val="none"/>
                <w:u w:val="none"/>
                <w:lang w:eastAsia="zh-CN"/>
              </w:rPr>
              <w:t>时间内提出</w:t>
            </w:r>
            <w:r>
              <w:rPr>
                <w:rFonts w:hint="eastAsia" w:ascii="宋体" w:hAnsi="宋体" w:eastAsia="宋体" w:cs="宋体"/>
                <w:b/>
                <w:bCs/>
                <w:color w:val="auto"/>
                <w:sz w:val="24"/>
                <w:szCs w:val="24"/>
                <w:highlight w:val="none"/>
                <w:u w:val="none"/>
              </w:rPr>
              <w:t>证明其报价合理性</w:t>
            </w:r>
            <w:r>
              <w:rPr>
                <w:rFonts w:hint="eastAsia" w:ascii="宋体" w:hAnsi="宋体" w:eastAsia="宋体" w:cs="宋体"/>
                <w:b/>
                <w:bCs/>
                <w:color w:val="auto"/>
                <w:sz w:val="24"/>
                <w:szCs w:val="24"/>
                <w:highlight w:val="none"/>
                <w:u w:val="none"/>
                <w:lang w:eastAsia="zh-CN"/>
              </w:rPr>
              <w:t>，否则视为不能</w:t>
            </w:r>
            <w:r>
              <w:rPr>
                <w:rFonts w:hint="eastAsia" w:ascii="宋体" w:hAnsi="宋体" w:eastAsia="宋体" w:cs="宋体"/>
                <w:b/>
                <w:bCs/>
                <w:color w:val="auto"/>
                <w:sz w:val="24"/>
                <w:szCs w:val="24"/>
                <w:highlight w:val="none"/>
                <w:u w:val="none"/>
              </w:rPr>
              <w:t>履约</w:t>
            </w:r>
            <w:r>
              <w:rPr>
                <w:rFonts w:hint="eastAsia" w:ascii="宋体" w:hAnsi="宋体" w:eastAsia="宋体" w:cs="宋体"/>
                <w:b/>
                <w:bCs/>
                <w:color w:val="auto"/>
                <w:sz w:val="24"/>
                <w:szCs w:val="24"/>
                <w:highlight w:val="none"/>
                <w:u w:val="none"/>
                <w:lang w:eastAsia="zh-CN"/>
              </w:rPr>
              <w:t>做否决投标处理</w:t>
            </w: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eastAsia="zh-CN"/>
              </w:rPr>
              <w:t>第二轮报价报总价，</w:t>
            </w:r>
            <w:r>
              <w:rPr>
                <w:rFonts w:hint="eastAsia" w:ascii="宋体" w:hAnsi="宋体" w:cs="宋体"/>
                <w:b/>
                <w:bCs/>
                <w:color w:val="auto"/>
                <w:sz w:val="24"/>
                <w:szCs w:val="24"/>
                <w:highlight w:val="none"/>
                <w:u w:val="none"/>
              </w:rPr>
              <w:t>谈判结束后，谈判小组应当从全部技术、工程质量</w:t>
            </w:r>
            <w:r>
              <w:rPr>
                <w:rFonts w:hint="eastAsia" w:ascii="宋体" w:hAnsi="宋体" w:cs="宋体"/>
                <w:b/>
                <w:bCs/>
                <w:color w:val="auto"/>
                <w:sz w:val="24"/>
                <w:szCs w:val="24"/>
                <w:highlight w:val="none"/>
                <w:u w:val="none"/>
                <w:lang w:eastAsia="zh-CN"/>
              </w:rPr>
              <w:t>等</w:t>
            </w:r>
            <w:r>
              <w:rPr>
                <w:rFonts w:hint="eastAsia" w:ascii="宋体" w:hAnsi="宋体" w:cs="宋体"/>
                <w:b/>
                <w:bCs/>
                <w:color w:val="auto"/>
                <w:sz w:val="24"/>
                <w:szCs w:val="24"/>
                <w:highlight w:val="none"/>
                <w:u w:val="none"/>
              </w:rPr>
              <w:t>均能全部满足采购文件实质性响应要求的供应商中，按照最后报价</w:t>
            </w:r>
            <w:r>
              <w:rPr>
                <w:rFonts w:hint="eastAsia" w:ascii="宋体" w:hAnsi="宋体" w:eastAsia="宋体" w:cs="宋体"/>
                <w:b/>
                <w:bCs/>
                <w:color w:val="auto"/>
                <w:sz w:val="24"/>
                <w:szCs w:val="24"/>
                <w:highlight w:val="none"/>
                <w:u w:val="none"/>
                <w:lang w:val="en-US" w:eastAsia="zh-CN"/>
              </w:rPr>
              <w:t>最低报价的报价人作为成交供应商</w:t>
            </w:r>
            <w:r>
              <w:rPr>
                <w:rFonts w:hint="eastAsia" w:ascii="宋体" w:hAnsi="宋体" w:eastAsia="宋体" w:cs="宋体"/>
                <w:b/>
                <w:bCs/>
                <w:color w:val="auto"/>
                <w:sz w:val="24"/>
                <w:szCs w:val="24"/>
                <w:highlight w:val="none"/>
                <w:u w:val="none"/>
              </w:rPr>
              <w:t>，</w:t>
            </w:r>
            <w:r>
              <w:rPr>
                <w:rFonts w:hint="eastAsia" w:ascii="宋体" w:hAnsi="宋体" w:cs="宋体"/>
                <w:b/>
                <w:bCs/>
                <w:color w:val="auto"/>
                <w:sz w:val="24"/>
                <w:szCs w:val="24"/>
                <w:highlight w:val="none"/>
                <w:u w:val="none"/>
              </w:rPr>
              <w:t>并编写评审报告。</w:t>
            </w:r>
          </w:p>
        </w:tc>
      </w:tr>
      <w:tr w14:paraId="58DA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6" w:type="dxa"/>
            <w:noWrap w:val="0"/>
            <w:vAlign w:val="center"/>
          </w:tcPr>
          <w:p w14:paraId="237203DC">
            <w:pPr>
              <w:keepLines w:val="0"/>
              <w:pageBreakBefore w:val="0"/>
              <w:kinsoku/>
              <w:wordWrap/>
              <w:overflowPunct/>
              <w:topLinePunct w:val="0"/>
              <w:bidi w:val="0"/>
              <w:spacing w:line="420" w:lineRule="exact"/>
              <w:ind w:right="-108" w:rightChars="-4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p>
        </w:tc>
        <w:tc>
          <w:tcPr>
            <w:tcW w:w="2087" w:type="dxa"/>
            <w:noWrap w:val="0"/>
            <w:tcMar>
              <w:top w:w="0" w:type="dxa"/>
              <w:left w:w="108" w:type="dxa"/>
              <w:bottom w:w="0" w:type="dxa"/>
              <w:right w:w="108" w:type="dxa"/>
            </w:tcMar>
            <w:vAlign w:val="center"/>
          </w:tcPr>
          <w:p w14:paraId="604807CB">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签订合同</w:t>
            </w:r>
          </w:p>
        </w:tc>
        <w:tc>
          <w:tcPr>
            <w:tcW w:w="6656" w:type="dxa"/>
            <w:noWrap w:val="0"/>
            <w:vAlign w:val="center"/>
          </w:tcPr>
          <w:p w14:paraId="565B3C81">
            <w:pPr>
              <w:keepNext w:val="0"/>
              <w:keepLines w:val="0"/>
              <w:pageBreakBefore w:val="0"/>
              <w:widowControl w:val="0"/>
              <w:kinsoku/>
              <w:wordWrap/>
              <w:overflowPunct/>
              <w:topLinePunct w:val="0"/>
              <w:autoSpaceDE/>
              <w:autoSpaceDN/>
              <w:bidi w:val="0"/>
              <w:adjustRightInd/>
              <w:snapToGrid/>
              <w:spacing w:line="420" w:lineRule="exact"/>
              <w:ind w:right="56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lang w:eastAsia="zh-CN"/>
              </w:rPr>
              <w:t>通知书发出</w:t>
            </w:r>
            <w:r>
              <w:rPr>
                <w:rFonts w:hint="eastAsia" w:ascii="宋体" w:hAnsi="宋体" w:eastAsia="宋体" w:cs="宋体"/>
                <w:color w:val="auto"/>
                <w:sz w:val="24"/>
                <w:szCs w:val="24"/>
                <w:highlight w:val="none"/>
              </w:rPr>
              <w:t>后</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内</w:t>
            </w:r>
            <w:r>
              <w:rPr>
                <w:rFonts w:hint="eastAsia" w:ascii="宋体" w:hAnsi="宋体" w:cs="宋体"/>
                <w:color w:val="auto"/>
                <w:sz w:val="24"/>
                <w:szCs w:val="24"/>
                <w:highlight w:val="none"/>
                <w:lang w:eastAsia="zh-CN"/>
              </w:rPr>
              <w:t>。</w:t>
            </w:r>
          </w:p>
        </w:tc>
      </w:tr>
      <w:tr w14:paraId="52FB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6" w:type="dxa"/>
            <w:noWrap w:val="0"/>
            <w:vAlign w:val="center"/>
          </w:tcPr>
          <w:p w14:paraId="0DA41518">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p>
        </w:tc>
        <w:tc>
          <w:tcPr>
            <w:tcW w:w="2087" w:type="dxa"/>
            <w:noWrap w:val="0"/>
            <w:tcMar>
              <w:top w:w="0" w:type="dxa"/>
              <w:left w:w="108" w:type="dxa"/>
              <w:bottom w:w="0" w:type="dxa"/>
              <w:right w:w="108" w:type="dxa"/>
            </w:tcMar>
            <w:vAlign w:val="top"/>
          </w:tcPr>
          <w:p w14:paraId="22D7B622">
            <w:pPr>
              <w:keepLines w:val="0"/>
              <w:pageBreakBefore w:val="0"/>
              <w:kinsoku/>
              <w:wordWrap/>
              <w:overflowPunct/>
              <w:topLinePunct w:val="0"/>
              <w:bidi w:val="0"/>
              <w:spacing w:line="420" w:lineRule="exact"/>
              <w:ind w:right="-48" w:rightChars="-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6656" w:type="dxa"/>
            <w:noWrap w:val="0"/>
            <w:vAlign w:val="top"/>
          </w:tcPr>
          <w:p w14:paraId="4C9397F7">
            <w:pPr>
              <w:keepLines w:val="0"/>
              <w:pageBreakBefore w:val="0"/>
              <w:kinsoku/>
              <w:wordWrap/>
              <w:overflowPunct/>
              <w:topLinePunct w:val="0"/>
              <w:bidi w:val="0"/>
              <w:spacing w:line="420" w:lineRule="exact"/>
              <w:ind w:right="-48" w:rightChars="-2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签订合同后预付合同金额的 30%，按工程进度支付工程款。</w:t>
            </w:r>
          </w:p>
        </w:tc>
      </w:tr>
      <w:tr w14:paraId="45FA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6" w:type="dxa"/>
            <w:noWrap w:val="0"/>
            <w:vAlign w:val="center"/>
          </w:tcPr>
          <w:p w14:paraId="0E5114D1">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27</w:t>
            </w:r>
          </w:p>
        </w:tc>
        <w:tc>
          <w:tcPr>
            <w:tcW w:w="2087" w:type="dxa"/>
            <w:noWrap w:val="0"/>
            <w:tcMar>
              <w:top w:w="0" w:type="dxa"/>
              <w:left w:w="108" w:type="dxa"/>
              <w:bottom w:w="0" w:type="dxa"/>
              <w:right w:w="108" w:type="dxa"/>
            </w:tcMar>
            <w:vAlign w:val="center"/>
          </w:tcPr>
          <w:p w14:paraId="3B35F7FD">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color w:val="auto"/>
                <w:sz w:val="24"/>
                <w:szCs w:val="24"/>
                <w:highlight w:val="none"/>
                <w:lang w:eastAsia="zh-CN"/>
              </w:rPr>
              <w:t>招标代理</w:t>
            </w:r>
            <w:r>
              <w:rPr>
                <w:rFonts w:hint="eastAsia"/>
                <w:color w:val="auto"/>
                <w:sz w:val="24"/>
                <w:szCs w:val="24"/>
                <w:highlight w:val="none"/>
              </w:rPr>
              <w:t>服务费</w:t>
            </w:r>
          </w:p>
        </w:tc>
        <w:tc>
          <w:tcPr>
            <w:tcW w:w="6656" w:type="dxa"/>
            <w:noWrap w:val="0"/>
            <w:vAlign w:val="center"/>
          </w:tcPr>
          <w:p w14:paraId="79168B83">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color w:val="auto"/>
                <w:sz w:val="24"/>
                <w:szCs w:val="24"/>
                <w:highlight w:val="none"/>
                <w:lang w:val="en-US"/>
              </w:rPr>
            </w:pPr>
            <w:r>
              <w:rPr>
                <w:rFonts w:hint="eastAsia" w:ascii="宋体" w:hAnsi="宋体" w:cs="宋体"/>
                <w:b w:val="0"/>
                <w:bCs w:val="0"/>
                <w:color w:val="auto"/>
                <w:kern w:val="2"/>
                <w:sz w:val="24"/>
                <w:szCs w:val="24"/>
                <w:highlight w:val="none"/>
                <w:lang w:val="en-US" w:eastAsia="zh-CN" w:bidi="ar-SA"/>
              </w:rPr>
              <w:t>代理</w:t>
            </w:r>
            <w:r>
              <w:rPr>
                <w:rFonts w:hint="default" w:ascii="宋体" w:hAnsi="宋体" w:eastAsia="宋体" w:cs="宋体"/>
                <w:b w:val="0"/>
                <w:bCs w:val="0"/>
                <w:color w:val="auto"/>
                <w:kern w:val="2"/>
                <w:sz w:val="24"/>
                <w:szCs w:val="24"/>
                <w:highlight w:val="none"/>
                <w:lang w:val="en-US" w:eastAsia="zh-CN" w:bidi="ar-SA"/>
              </w:rPr>
              <w:t>费</w:t>
            </w:r>
            <w:r>
              <w:rPr>
                <w:rFonts w:hint="eastAsia" w:ascii="宋体" w:hAnsi="宋体" w:cs="宋体"/>
                <w:b w:val="0"/>
                <w:bCs w:val="0"/>
                <w:color w:val="auto"/>
                <w:kern w:val="2"/>
                <w:sz w:val="24"/>
                <w:szCs w:val="24"/>
                <w:highlight w:val="none"/>
                <w:lang w:val="en-US" w:eastAsia="zh-CN" w:bidi="ar-SA"/>
              </w:rPr>
              <w:t>收费</w:t>
            </w:r>
            <w:r>
              <w:rPr>
                <w:rFonts w:hint="default" w:ascii="宋体" w:hAnsi="宋体" w:eastAsia="宋体" w:cs="宋体"/>
                <w:b w:val="0"/>
                <w:bCs w:val="0"/>
                <w:color w:val="auto"/>
                <w:kern w:val="2"/>
                <w:sz w:val="24"/>
                <w:szCs w:val="24"/>
                <w:highlight w:val="none"/>
                <w:lang w:val="en-US" w:eastAsia="zh-CN" w:bidi="ar-SA"/>
              </w:rPr>
              <w:t>标准参照国家发改委计价格[2011]534 号及 [2002]1980 号《招标代理服务收费管理暂行办法》</w:t>
            </w:r>
            <w:r>
              <w:rPr>
                <w:rFonts w:hint="eastAsia" w:ascii="宋体" w:hAnsi="宋体" w:cs="宋体"/>
                <w:b w:val="0"/>
                <w:bCs w:val="0"/>
                <w:color w:val="auto"/>
                <w:kern w:val="2"/>
                <w:sz w:val="24"/>
                <w:szCs w:val="24"/>
                <w:highlight w:val="none"/>
                <w:lang w:val="en-US" w:eastAsia="zh-CN" w:bidi="ar-SA"/>
              </w:rPr>
              <w:t>计取，造价咨询费参照中价协35号文计取；</w:t>
            </w:r>
            <w:r>
              <w:rPr>
                <w:rFonts w:hint="default" w:ascii="宋体" w:hAnsi="宋体" w:eastAsia="宋体" w:cs="宋体"/>
                <w:b w:val="0"/>
                <w:bCs w:val="0"/>
                <w:color w:val="auto"/>
                <w:kern w:val="2"/>
                <w:sz w:val="24"/>
                <w:szCs w:val="24"/>
                <w:highlight w:val="none"/>
                <w:lang w:val="en-US" w:eastAsia="zh-CN" w:bidi="ar-SA"/>
              </w:rPr>
              <w:t>由中标单位支付。</w:t>
            </w:r>
          </w:p>
        </w:tc>
      </w:tr>
      <w:tr w14:paraId="6196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6" w:type="dxa"/>
            <w:noWrap w:val="0"/>
            <w:vAlign w:val="center"/>
          </w:tcPr>
          <w:p w14:paraId="35BF9A90">
            <w:pPr>
              <w:keepLines w:val="0"/>
              <w:pageBreakBefore w:val="0"/>
              <w:kinsoku/>
              <w:wordWrap/>
              <w:overflowPunct/>
              <w:topLinePunct w:val="0"/>
              <w:bidi w:val="0"/>
              <w:spacing w:line="420" w:lineRule="exact"/>
              <w:ind w:right="-108" w:rightChars="-4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p>
        </w:tc>
        <w:tc>
          <w:tcPr>
            <w:tcW w:w="2087" w:type="dxa"/>
            <w:noWrap w:val="0"/>
            <w:tcMar>
              <w:top w:w="0" w:type="dxa"/>
              <w:left w:w="108" w:type="dxa"/>
              <w:bottom w:w="0" w:type="dxa"/>
              <w:right w:w="108" w:type="dxa"/>
            </w:tcMar>
            <w:vAlign w:val="center"/>
          </w:tcPr>
          <w:p w14:paraId="40624017">
            <w:pPr>
              <w:keepLines w:val="0"/>
              <w:pageBreakBefore w:val="0"/>
              <w:kinsoku/>
              <w:wordWrap/>
              <w:overflowPunct/>
              <w:topLinePunct w:val="0"/>
              <w:bidi w:val="0"/>
              <w:spacing w:line="420" w:lineRule="exact"/>
              <w:ind w:right="-48" w:rightChars="-20"/>
              <w:jc w:val="center"/>
              <w:rPr>
                <w:rFonts w:hint="eastAsia"/>
                <w:color w:val="auto"/>
                <w:sz w:val="24"/>
                <w:szCs w:val="24"/>
                <w:highlight w:val="none"/>
                <w:lang w:eastAsia="zh-CN"/>
              </w:rPr>
            </w:pPr>
            <w:r>
              <w:rPr>
                <w:rFonts w:hint="eastAsia" w:ascii="宋体" w:hAnsi="宋体" w:eastAsia="宋体" w:cs="宋体"/>
                <w:color w:val="auto"/>
                <w:spacing w:val="-4"/>
                <w:highlight w:val="none"/>
              </w:rPr>
              <w:t>投标人信用查询渠道</w:t>
            </w:r>
          </w:p>
        </w:tc>
        <w:tc>
          <w:tcPr>
            <w:tcW w:w="6656" w:type="dxa"/>
            <w:noWrap w:val="0"/>
            <w:vAlign w:val="center"/>
          </w:tcPr>
          <w:p w14:paraId="4E33BD3D">
            <w:pPr>
              <w:keepNext w:val="0"/>
              <w:keepLines w:val="0"/>
              <w:pageBreakBefore w:val="0"/>
              <w:widowControl/>
              <w:kinsoku w:val="0"/>
              <w:wordWrap/>
              <w:overflowPunct/>
              <w:topLinePunct w:val="0"/>
              <w:autoSpaceDE w:val="0"/>
              <w:autoSpaceDN w:val="0"/>
              <w:bidi w:val="0"/>
              <w:adjustRightInd w:val="0"/>
              <w:snapToGrid w:val="0"/>
              <w:spacing w:before="34" w:line="420" w:lineRule="exact"/>
              <w:jc w:val="left"/>
              <w:textAlignment w:val="baseline"/>
              <w:outlineLvl w:val="1"/>
              <w:rPr>
                <w:rFonts w:hint="eastAsia" w:ascii="宋体" w:hAnsi="宋体" w:eastAsia="宋体" w:cs="宋体"/>
                <w:color w:val="auto"/>
                <w:spacing w:val="-1"/>
                <w:sz w:val="24"/>
                <w:szCs w:val="24"/>
                <w:highlight w:val="none"/>
                <w:u w:val="none" w:color="auto"/>
                <w:lang w:eastAsia="zh-CN"/>
              </w:rPr>
            </w:pPr>
            <w:bookmarkStart w:id="36" w:name="_Toc19319"/>
            <w:r>
              <w:rPr>
                <w:rFonts w:hint="eastAsia" w:ascii="宋体" w:hAnsi="宋体" w:eastAsia="宋体" w:cs="宋体"/>
                <w:color w:val="auto"/>
                <w:spacing w:val="-1"/>
                <w:sz w:val="24"/>
                <w:szCs w:val="24"/>
                <w:highlight w:val="none"/>
                <w:u w:val="none" w:color="auto"/>
                <w:lang w:eastAsia="zh-CN"/>
              </w:rPr>
              <w:t>1、信用信息使用规则：对在“信用中国”网站（</w:t>
            </w:r>
            <w:r>
              <w:rPr>
                <w:rFonts w:hint="eastAsia" w:ascii="宋体" w:hAnsi="宋体" w:eastAsia="宋体" w:cs="宋体"/>
                <w:color w:val="auto"/>
                <w:spacing w:val="-1"/>
                <w:sz w:val="24"/>
                <w:szCs w:val="24"/>
                <w:highlight w:val="none"/>
                <w:u w:val="none" w:color="auto"/>
                <w:lang w:eastAsia="zh-CN"/>
              </w:rPr>
              <w:fldChar w:fldCharType="begin"/>
            </w:r>
            <w:r>
              <w:rPr>
                <w:rFonts w:hint="eastAsia" w:ascii="宋体" w:hAnsi="宋体" w:eastAsia="宋体" w:cs="宋体"/>
                <w:color w:val="auto"/>
                <w:spacing w:val="-1"/>
                <w:sz w:val="24"/>
                <w:szCs w:val="24"/>
                <w:highlight w:val="none"/>
                <w:u w:val="none" w:color="auto"/>
                <w:lang w:eastAsia="zh-CN"/>
              </w:rPr>
              <w:instrText xml:space="preserve"> HYPERLINK "https://www.creditchina.g" </w:instrText>
            </w:r>
            <w:r>
              <w:rPr>
                <w:rFonts w:hint="eastAsia" w:ascii="宋体" w:hAnsi="宋体" w:eastAsia="宋体" w:cs="宋体"/>
                <w:color w:val="auto"/>
                <w:spacing w:val="-1"/>
                <w:sz w:val="24"/>
                <w:szCs w:val="24"/>
                <w:highlight w:val="none"/>
                <w:u w:val="none" w:color="auto"/>
                <w:lang w:eastAsia="zh-CN"/>
              </w:rPr>
              <w:fldChar w:fldCharType="separate"/>
            </w:r>
            <w:r>
              <w:rPr>
                <w:rFonts w:hint="eastAsia" w:ascii="宋体" w:hAnsi="宋体" w:eastAsia="宋体" w:cs="宋体"/>
                <w:color w:val="auto"/>
                <w:spacing w:val="-1"/>
                <w:sz w:val="24"/>
                <w:szCs w:val="24"/>
                <w:highlight w:val="none"/>
                <w:u w:val="none" w:color="auto"/>
                <w:lang w:eastAsia="zh-CN"/>
              </w:rPr>
              <w:t>www.creditchina.g</w:t>
            </w:r>
            <w:r>
              <w:rPr>
                <w:rFonts w:hint="eastAsia" w:ascii="宋体" w:hAnsi="宋体" w:eastAsia="宋体" w:cs="宋体"/>
                <w:color w:val="auto"/>
                <w:spacing w:val="-1"/>
                <w:sz w:val="24"/>
                <w:szCs w:val="24"/>
                <w:highlight w:val="none"/>
                <w:u w:val="none" w:color="auto"/>
                <w:lang w:eastAsia="zh-CN"/>
              </w:rPr>
              <w:fldChar w:fldCharType="end"/>
            </w:r>
            <w:r>
              <w:rPr>
                <w:rFonts w:hint="eastAsia" w:ascii="宋体" w:hAnsi="宋体" w:eastAsia="宋体" w:cs="宋体"/>
                <w:color w:val="auto"/>
                <w:spacing w:val="-1"/>
                <w:sz w:val="24"/>
                <w:szCs w:val="24"/>
                <w:highlight w:val="none"/>
                <w:u w:val="none" w:color="auto"/>
                <w:lang w:eastAsia="zh-CN"/>
              </w:rPr>
              <w:t>ov.cn）、中国政府采购网（</w:t>
            </w:r>
            <w:r>
              <w:rPr>
                <w:rFonts w:hint="eastAsia" w:ascii="宋体" w:hAnsi="宋体" w:eastAsia="宋体" w:cs="宋体"/>
                <w:color w:val="auto"/>
                <w:spacing w:val="-1"/>
                <w:sz w:val="24"/>
                <w:szCs w:val="24"/>
                <w:highlight w:val="none"/>
                <w:u w:val="none" w:color="auto"/>
                <w:lang w:eastAsia="zh-CN"/>
              </w:rPr>
              <w:fldChar w:fldCharType="begin"/>
            </w:r>
            <w:r>
              <w:rPr>
                <w:rFonts w:hint="eastAsia" w:ascii="宋体" w:hAnsi="宋体" w:eastAsia="宋体" w:cs="宋体"/>
                <w:color w:val="auto"/>
                <w:spacing w:val="-1"/>
                <w:sz w:val="24"/>
                <w:szCs w:val="24"/>
                <w:highlight w:val="none"/>
                <w:u w:val="none" w:color="auto"/>
                <w:lang w:eastAsia="zh-CN"/>
              </w:rPr>
              <w:instrText xml:space="preserve"> HYPERLINK "https://www.ccgp.gov.cn" </w:instrText>
            </w:r>
            <w:r>
              <w:rPr>
                <w:rFonts w:hint="eastAsia" w:ascii="宋体" w:hAnsi="宋体" w:eastAsia="宋体" w:cs="宋体"/>
                <w:color w:val="auto"/>
                <w:spacing w:val="-1"/>
                <w:sz w:val="24"/>
                <w:szCs w:val="24"/>
                <w:highlight w:val="none"/>
                <w:u w:val="none" w:color="auto"/>
                <w:lang w:eastAsia="zh-CN"/>
              </w:rPr>
              <w:fldChar w:fldCharType="separate"/>
            </w:r>
            <w:r>
              <w:rPr>
                <w:rFonts w:hint="eastAsia" w:ascii="宋体" w:hAnsi="宋体" w:eastAsia="宋体" w:cs="宋体"/>
                <w:color w:val="auto"/>
                <w:spacing w:val="-1"/>
                <w:sz w:val="24"/>
                <w:szCs w:val="24"/>
                <w:highlight w:val="none"/>
                <w:u w:val="none" w:color="auto"/>
                <w:lang w:eastAsia="zh-CN"/>
              </w:rPr>
              <w:t>www.ccgp.gov.cn</w:t>
            </w:r>
            <w:r>
              <w:rPr>
                <w:rFonts w:hint="eastAsia" w:ascii="宋体" w:hAnsi="宋体" w:eastAsia="宋体" w:cs="宋体"/>
                <w:color w:val="auto"/>
                <w:spacing w:val="-1"/>
                <w:sz w:val="24"/>
                <w:szCs w:val="24"/>
                <w:highlight w:val="none"/>
                <w:u w:val="none" w:color="auto"/>
                <w:lang w:eastAsia="zh-CN"/>
              </w:rPr>
              <w:fldChar w:fldCharType="end"/>
            </w:r>
            <w:r>
              <w:rPr>
                <w:rFonts w:hint="eastAsia" w:ascii="宋体" w:hAnsi="宋体" w:eastAsia="宋体" w:cs="宋体"/>
                <w:color w:val="auto"/>
                <w:spacing w:val="-1"/>
                <w:sz w:val="24"/>
                <w:szCs w:val="24"/>
                <w:highlight w:val="none"/>
                <w:u w:val="none" w:color="auto"/>
                <w:lang w:eastAsia="zh-CN"/>
              </w:rPr>
              <w:t>）被列入失信被执行人、重大税收违法案件当事人名单、政府采购严重违法失信行为记录名单及其他不符合《中华人民共和国政府采购法》第二十二条规定条件的供应商，资格审查不通过，不得参与政府采购活动。</w:t>
            </w:r>
            <w:bookmarkEnd w:id="36"/>
          </w:p>
          <w:p w14:paraId="295A85F3">
            <w:pPr>
              <w:keepNext w:val="0"/>
              <w:keepLines w:val="0"/>
              <w:pageBreakBefore w:val="0"/>
              <w:widowControl/>
              <w:kinsoku w:val="0"/>
              <w:wordWrap/>
              <w:overflowPunct/>
              <w:topLinePunct w:val="0"/>
              <w:autoSpaceDE w:val="0"/>
              <w:autoSpaceDN w:val="0"/>
              <w:bidi w:val="0"/>
              <w:adjustRightInd w:val="0"/>
              <w:snapToGrid w:val="0"/>
              <w:spacing w:before="34" w:line="420" w:lineRule="exact"/>
              <w:jc w:val="left"/>
              <w:textAlignment w:val="baseline"/>
              <w:outlineLvl w:val="1"/>
              <w:rPr>
                <w:rFonts w:hint="eastAsia" w:ascii="宋体" w:hAnsi="宋体" w:eastAsia="宋体" w:cs="宋体"/>
                <w:b w:val="0"/>
                <w:bCs w:val="0"/>
                <w:color w:val="auto"/>
                <w:spacing w:val="-1"/>
                <w:sz w:val="24"/>
                <w:szCs w:val="24"/>
                <w:highlight w:val="none"/>
                <w:u w:val="none" w:color="auto"/>
                <w:lang w:eastAsia="zh-CN"/>
              </w:rPr>
            </w:pPr>
            <w:bookmarkStart w:id="37" w:name="_Toc16354"/>
            <w:r>
              <w:rPr>
                <w:rFonts w:hint="eastAsia" w:ascii="宋体" w:hAnsi="宋体" w:eastAsia="宋体" w:cs="宋体"/>
                <w:color w:val="auto"/>
                <w:spacing w:val="-1"/>
                <w:sz w:val="24"/>
                <w:szCs w:val="24"/>
                <w:highlight w:val="none"/>
                <w:u w:val="none" w:color="auto"/>
                <w:lang w:eastAsia="zh-CN"/>
              </w:rPr>
              <w:t>2、查询渠道：由审查小组在“政采云”平台“信用中国”网站（www.creditchina.gov.cn）、中国政府采购网（</w:t>
            </w:r>
            <w:r>
              <w:rPr>
                <w:rFonts w:hint="eastAsia" w:ascii="宋体" w:hAnsi="宋体" w:eastAsia="宋体" w:cs="宋体"/>
                <w:b w:val="0"/>
                <w:bCs w:val="0"/>
                <w:color w:val="auto"/>
                <w:spacing w:val="-1"/>
                <w:sz w:val="24"/>
                <w:szCs w:val="24"/>
                <w:highlight w:val="none"/>
                <w:u w:val="none" w:color="auto"/>
                <w:lang w:eastAsia="zh-CN"/>
              </w:rPr>
              <w:fldChar w:fldCharType="begin"/>
            </w:r>
            <w:r>
              <w:rPr>
                <w:rFonts w:hint="eastAsia" w:ascii="宋体" w:hAnsi="宋体" w:eastAsia="宋体" w:cs="宋体"/>
                <w:b w:val="0"/>
                <w:bCs w:val="0"/>
                <w:color w:val="auto"/>
                <w:spacing w:val="-1"/>
                <w:sz w:val="24"/>
                <w:szCs w:val="24"/>
                <w:highlight w:val="none"/>
                <w:u w:val="none" w:color="auto"/>
                <w:lang w:eastAsia="zh-CN"/>
              </w:rPr>
              <w:instrText xml:space="preserve"> HYPERLINK "https://www.ccgp.gov.cn" </w:instrText>
            </w:r>
            <w:r>
              <w:rPr>
                <w:rFonts w:hint="eastAsia" w:ascii="宋体" w:hAnsi="宋体" w:eastAsia="宋体" w:cs="宋体"/>
                <w:b w:val="0"/>
                <w:bCs w:val="0"/>
                <w:color w:val="auto"/>
                <w:spacing w:val="-1"/>
                <w:sz w:val="24"/>
                <w:szCs w:val="24"/>
                <w:highlight w:val="none"/>
                <w:u w:val="none" w:color="auto"/>
                <w:lang w:eastAsia="zh-CN"/>
              </w:rPr>
              <w:fldChar w:fldCharType="separate"/>
            </w:r>
            <w:r>
              <w:rPr>
                <w:rFonts w:hint="eastAsia" w:ascii="宋体" w:hAnsi="宋体" w:eastAsia="宋体" w:cs="宋体"/>
                <w:b w:val="0"/>
                <w:bCs w:val="0"/>
                <w:color w:val="auto"/>
                <w:spacing w:val="-1"/>
                <w:sz w:val="24"/>
                <w:szCs w:val="24"/>
                <w:highlight w:val="none"/>
                <w:u w:val="none" w:color="auto"/>
                <w:lang w:eastAsia="zh-CN"/>
              </w:rPr>
              <w:t>www.ccgp.gov.cn</w:t>
            </w:r>
            <w:r>
              <w:rPr>
                <w:rFonts w:hint="eastAsia" w:ascii="宋体" w:hAnsi="宋体" w:eastAsia="宋体" w:cs="宋体"/>
                <w:b w:val="0"/>
                <w:bCs w:val="0"/>
                <w:color w:val="auto"/>
                <w:spacing w:val="-1"/>
                <w:sz w:val="24"/>
                <w:szCs w:val="24"/>
                <w:highlight w:val="none"/>
                <w:u w:val="none" w:color="auto"/>
                <w:lang w:eastAsia="zh-CN"/>
              </w:rPr>
              <w:fldChar w:fldCharType="end"/>
            </w:r>
            <w:r>
              <w:rPr>
                <w:rFonts w:hint="eastAsia" w:ascii="宋体" w:hAnsi="宋体" w:eastAsia="宋体" w:cs="宋体"/>
                <w:b w:val="0"/>
                <w:bCs w:val="0"/>
                <w:color w:val="auto"/>
                <w:spacing w:val="-1"/>
                <w:sz w:val="24"/>
                <w:szCs w:val="24"/>
                <w:highlight w:val="none"/>
                <w:u w:val="none" w:color="auto"/>
                <w:lang w:eastAsia="zh-CN"/>
              </w:rPr>
              <w:t>）链接入口查询。</w:t>
            </w:r>
            <w:bookmarkEnd w:id="37"/>
          </w:p>
          <w:p w14:paraId="1460671C">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eastAsia="宋体" w:cs="宋体"/>
                <w:b w:val="0"/>
                <w:bCs w:val="0"/>
                <w:color w:val="auto"/>
                <w:kern w:val="2"/>
                <w:sz w:val="24"/>
                <w:szCs w:val="24"/>
                <w:highlight w:val="none"/>
                <w:lang w:val="en-US" w:eastAsia="zh-CN" w:bidi="ar-SA"/>
              </w:rPr>
            </w:pPr>
            <w:bookmarkStart w:id="38" w:name="_Toc20193"/>
            <w:r>
              <w:rPr>
                <w:rFonts w:hint="eastAsia" w:ascii="宋体" w:hAnsi="宋体" w:eastAsia="宋体" w:cs="宋体"/>
                <w:b w:val="0"/>
                <w:bCs w:val="0"/>
                <w:color w:val="auto"/>
                <w:spacing w:val="-1"/>
                <w:sz w:val="24"/>
                <w:szCs w:val="24"/>
                <w:highlight w:val="none"/>
                <w:u w:val="none" w:color="auto"/>
                <w:lang w:eastAsia="zh-CN"/>
              </w:rPr>
              <w:t>3、信用查询截止时点：资格审查结束前。</w:t>
            </w:r>
            <w:bookmarkEnd w:id="38"/>
          </w:p>
        </w:tc>
      </w:tr>
      <w:tr w14:paraId="45AB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66" w:type="dxa"/>
            <w:noWrap w:val="0"/>
            <w:vAlign w:val="center"/>
          </w:tcPr>
          <w:p w14:paraId="5B1D05CE">
            <w:pPr>
              <w:keepLines w:val="0"/>
              <w:pageBreakBefore w:val="0"/>
              <w:kinsoku/>
              <w:wordWrap/>
              <w:overflowPunct/>
              <w:topLinePunct w:val="0"/>
              <w:bidi w:val="0"/>
              <w:spacing w:line="420" w:lineRule="exact"/>
              <w:ind w:right="-108" w:rightChars="-4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p>
        </w:tc>
        <w:tc>
          <w:tcPr>
            <w:tcW w:w="2087" w:type="dxa"/>
            <w:noWrap w:val="0"/>
            <w:tcMar>
              <w:top w:w="0" w:type="dxa"/>
              <w:left w:w="108" w:type="dxa"/>
              <w:bottom w:w="0" w:type="dxa"/>
              <w:right w:w="108" w:type="dxa"/>
            </w:tcMar>
            <w:vAlign w:val="center"/>
          </w:tcPr>
          <w:p w14:paraId="2B6C0998">
            <w:pPr>
              <w:keepLines w:val="0"/>
              <w:pageBreakBefore w:val="0"/>
              <w:kinsoku/>
              <w:wordWrap/>
              <w:overflowPunct/>
              <w:topLinePunct w:val="0"/>
              <w:bidi w:val="0"/>
              <w:spacing w:line="420" w:lineRule="exact"/>
              <w:ind w:right="-48" w:rightChars="-20"/>
              <w:jc w:val="center"/>
              <w:rPr>
                <w:rFonts w:hint="eastAsia"/>
                <w:color w:val="auto"/>
                <w:sz w:val="24"/>
                <w:szCs w:val="24"/>
                <w:highlight w:val="none"/>
                <w:lang w:eastAsia="zh-CN"/>
              </w:rPr>
            </w:pPr>
            <w:r>
              <w:rPr>
                <w:rFonts w:hint="eastAsia" w:ascii="宋体" w:hAnsi="宋体" w:eastAsia="宋体" w:cs="宋体"/>
                <w:color w:val="auto"/>
                <w:spacing w:val="-4"/>
                <w:highlight w:val="none"/>
              </w:rPr>
              <w:t>信用信息使用</w:t>
            </w:r>
            <w:r>
              <w:rPr>
                <w:rFonts w:hint="eastAsia" w:ascii="宋体" w:hAnsi="宋体" w:eastAsia="宋体" w:cs="宋体"/>
                <w:color w:val="auto"/>
                <w:spacing w:val="-6"/>
                <w:highlight w:val="none"/>
              </w:rPr>
              <w:t>规则</w:t>
            </w:r>
          </w:p>
        </w:tc>
        <w:tc>
          <w:tcPr>
            <w:tcW w:w="6656" w:type="dxa"/>
            <w:noWrap w:val="0"/>
            <w:vAlign w:val="center"/>
          </w:tcPr>
          <w:p w14:paraId="36509F91">
            <w:pPr>
              <w:pStyle w:val="4"/>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eastAsia="宋体" w:cs="宋体"/>
                <w:b w:val="0"/>
                <w:bCs w:val="0"/>
                <w:color w:val="auto"/>
                <w:kern w:val="2"/>
                <w:sz w:val="24"/>
                <w:szCs w:val="24"/>
                <w:highlight w:val="none"/>
                <w:lang w:val="en-US" w:eastAsia="zh-CN" w:bidi="ar-SA"/>
              </w:rPr>
            </w:pPr>
            <w:bookmarkStart w:id="39" w:name="_Toc11796"/>
            <w:r>
              <w:rPr>
                <w:rFonts w:hint="default" w:ascii="宋体" w:hAnsi="宋体" w:eastAsia="宋体" w:cs="宋体"/>
                <w:b w:val="0"/>
                <w:bCs w:val="0"/>
                <w:color w:val="auto"/>
                <w:kern w:val="2"/>
                <w:sz w:val="24"/>
                <w:szCs w:val="24"/>
                <w:highlight w:val="none"/>
                <w:lang w:val="en-US" w:eastAsia="zh-CN" w:bidi="ar-SA"/>
              </w:rPr>
              <w:t>查询记录和证据留存方式：在查询网站中直接打印查询记录。对在“信用中国”网站（</w:t>
            </w:r>
            <w:r>
              <w:rPr>
                <w:rFonts w:hint="default" w:ascii="宋体" w:hAnsi="宋体" w:eastAsia="宋体" w:cs="宋体"/>
                <w:b w:val="0"/>
                <w:bCs w:val="0"/>
                <w:color w:val="auto"/>
                <w:kern w:val="2"/>
                <w:sz w:val="24"/>
                <w:szCs w:val="24"/>
                <w:highlight w:val="none"/>
                <w:lang w:val="en-US" w:eastAsia="zh-CN" w:bidi="ar-SA"/>
              </w:rPr>
              <w:fldChar w:fldCharType="begin"/>
            </w:r>
            <w:r>
              <w:rPr>
                <w:rFonts w:hint="default" w:ascii="宋体" w:hAnsi="宋体" w:eastAsia="宋体" w:cs="宋体"/>
                <w:b w:val="0"/>
                <w:bCs w:val="0"/>
                <w:color w:val="auto"/>
                <w:kern w:val="2"/>
                <w:sz w:val="24"/>
                <w:szCs w:val="24"/>
                <w:highlight w:val="none"/>
                <w:lang w:val="en-US" w:eastAsia="zh-CN" w:bidi="ar-SA"/>
              </w:rPr>
              <w:instrText xml:space="preserve"> HYPERLINK "https://www.creditchina.gov.cn" </w:instrText>
            </w:r>
            <w:r>
              <w:rPr>
                <w:rFonts w:hint="default" w:ascii="宋体" w:hAnsi="宋体" w:eastAsia="宋体" w:cs="宋体"/>
                <w:b w:val="0"/>
                <w:bCs w:val="0"/>
                <w:color w:val="auto"/>
                <w:kern w:val="2"/>
                <w:sz w:val="24"/>
                <w:szCs w:val="24"/>
                <w:highlight w:val="none"/>
                <w:lang w:val="en-US" w:eastAsia="zh-CN" w:bidi="ar-SA"/>
              </w:rPr>
              <w:fldChar w:fldCharType="separate"/>
            </w:r>
            <w:r>
              <w:rPr>
                <w:rFonts w:hint="default" w:ascii="宋体" w:hAnsi="宋体" w:eastAsia="宋体" w:cs="宋体"/>
                <w:b w:val="0"/>
                <w:bCs w:val="0"/>
                <w:color w:val="auto"/>
                <w:kern w:val="2"/>
                <w:sz w:val="24"/>
                <w:szCs w:val="24"/>
                <w:highlight w:val="none"/>
                <w:lang w:val="en-US" w:eastAsia="zh-CN" w:bidi="ar-SA"/>
              </w:rPr>
              <w:t>www.creditchina.gov.cn</w:t>
            </w:r>
            <w:r>
              <w:rPr>
                <w:rFonts w:hint="default" w:ascii="宋体" w:hAnsi="宋体" w:eastAsia="宋体" w:cs="宋体"/>
                <w:b w:val="0"/>
                <w:bCs w:val="0"/>
                <w:color w:val="auto"/>
                <w:kern w:val="2"/>
                <w:sz w:val="24"/>
                <w:szCs w:val="24"/>
                <w:highlight w:val="none"/>
                <w:lang w:val="en-US" w:eastAsia="zh-CN" w:bidi="ar-SA"/>
              </w:rPr>
              <w:fldChar w:fldCharType="end"/>
            </w:r>
            <w:r>
              <w:rPr>
                <w:rFonts w:hint="default" w:ascii="宋体" w:hAnsi="宋体" w:eastAsia="宋体" w:cs="宋体"/>
                <w:b w:val="0"/>
                <w:bCs w:val="0"/>
                <w:color w:val="auto"/>
                <w:kern w:val="2"/>
                <w:sz w:val="24"/>
                <w:szCs w:val="24"/>
                <w:highlight w:val="none"/>
                <w:lang w:val="en-US" w:eastAsia="zh-CN" w:bidi="ar-SA"/>
              </w:rPr>
              <w:t>）、中国政府采购网（</w:t>
            </w:r>
            <w:r>
              <w:rPr>
                <w:rFonts w:hint="default" w:ascii="宋体" w:hAnsi="宋体" w:eastAsia="宋体" w:cs="宋体"/>
                <w:b w:val="0"/>
                <w:bCs w:val="0"/>
                <w:color w:val="auto"/>
                <w:kern w:val="2"/>
                <w:sz w:val="24"/>
                <w:szCs w:val="24"/>
                <w:highlight w:val="none"/>
                <w:lang w:val="en-US" w:eastAsia="zh-CN" w:bidi="ar-SA"/>
              </w:rPr>
              <w:fldChar w:fldCharType="begin"/>
            </w:r>
            <w:r>
              <w:rPr>
                <w:rFonts w:hint="default" w:ascii="宋体" w:hAnsi="宋体" w:eastAsia="宋体" w:cs="宋体"/>
                <w:b w:val="0"/>
                <w:bCs w:val="0"/>
                <w:color w:val="auto"/>
                <w:kern w:val="2"/>
                <w:sz w:val="24"/>
                <w:szCs w:val="24"/>
                <w:highlight w:val="none"/>
                <w:lang w:val="en-US" w:eastAsia="zh-CN" w:bidi="ar-SA"/>
              </w:rPr>
              <w:instrText xml:space="preserve"> HYPERLINK "https://www.ccgp.gov.cn" </w:instrText>
            </w:r>
            <w:r>
              <w:rPr>
                <w:rFonts w:hint="default" w:ascii="宋体" w:hAnsi="宋体" w:eastAsia="宋体" w:cs="宋体"/>
                <w:b w:val="0"/>
                <w:bCs w:val="0"/>
                <w:color w:val="auto"/>
                <w:kern w:val="2"/>
                <w:sz w:val="24"/>
                <w:szCs w:val="24"/>
                <w:highlight w:val="none"/>
                <w:lang w:val="en-US" w:eastAsia="zh-CN" w:bidi="ar-SA"/>
              </w:rPr>
              <w:fldChar w:fldCharType="separate"/>
            </w:r>
            <w:r>
              <w:rPr>
                <w:rFonts w:hint="default" w:ascii="宋体" w:hAnsi="宋体" w:eastAsia="宋体" w:cs="宋体"/>
                <w:b w:val="0"/>
                <w:bCs w:val="0"/>
                <w:color w:val="auto"/>
                <w:kern w:val="2"/>
                <w:sz w:val="24"/>
                <w:szCs w:val="24"/>
                <w:highlight w:val="none"/>
                <w:lang w:val="en-US" w:eastAsia="zh-CN" w:bidi="ar-SA"/>
              </w:rPr>
              <w:t>www.ccgp.gov.cn</w:t>
            </w:r>
            <w:r>
              <w:rPr>
                <w:rFonts w:hint="default" w:ascii="宋体" w:hAnsi="宋体" w:eastAsia="宋体" w:cs="宋体"/>
                <w:b w:val="0"/>
                <w:bCs w:val="0"/>
                <w:color w:val="auto"/>
                <w:kern w:val="2"/>
                <w:sz w:val="24"/>
                <w:szCs w:val="24"/>
                <w:highlight w:val="none"/>
                <w:lang w:val="en-US" w:eastAsia="zh-CN" w:bidi="ar-SA"/>
              </w:rPr>
              <w:fldChar w:fldCharType="end"/>
            </w:r>
            <w:r>
              <w:rPr>
                <w:rFonts w:hint="default" w:ascii="宋体" w:hAnsi="宋体" w:eastAsia="宋体" w:cs="宋体"/>
                <w:b w:val="0"/>
                <w:bCs w:val="0"/>
                <w:color w:val="auto"/>
                <w:kern w:val="2"/>
                <w:sz w:val="24"/>
                <w:szCs w:val="24"/>
                <w:highlight w:val="none"/>
                <w:lang w:val="en-US" w:eastAsia="zh-CN" w:bidi="ar-SA"/>
              </w:rPr>
              <w:t>）被列入失信被执行人、重大税收违法案件当事人名单、政府采购严重违法失信行为记录名单及其他不符合《中华人民共和国政府采购法》第二十二条规定条件的供应商，采购人或者采购代理机构应当拒绝其参与政府采购活动。</w:t>
            </w:r>
            <w:bookmarkEnd w:id="39"/>
          </w:p>
        </w:tc>
      </w:tr>
      <w:tr w14:paraId="7704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66" w:type="dxa"/>
            <w:noWrap w:val="0"/>
            <w:vAlign w:val="center"/>
          </w:tcPr>
          <w:p w14:paraId="3653CA47">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30</w:t>
            </w:r>
          </w:p>
        </w:tc>
        <w:tc>
          <w:tcPr>
            <w:tcW w:w="2087" w:type="dxa"/>
            <w:noWrap w:val="0"/>
            <w:tcMar>
              <w:top w:w="0" w:type="dxa"/>
              <w:left w:w="108" w:type="dxa"/>
              <w:bottom w:w="0" w:type="dxa"/>
              <w:right w:w="108" w:type="dxa"/>
            </w:tcMar>
            <w:vAlign w:val="center"/>
          </w:tcPr>
          <w:p w14:paraId="3075DDB0">
            <w:pPr>
              <w:keepLines w:val="0"/>
              <w:pageBreakBefore w:val="0"/>
              <w:wordWrap/>
              <w:overflowPunct/>
              <w:topLinePunct w:val="0"/>
              <w:bidi w:val="0"/>
              <w:snapToGrid w:val="0"/>
              <w:spacing w:before="0" w:beforeAutospacing="0" w:after="0" w:afterAutospacing="0" w:line="420" w:lineRule="exact"/>
              <w:ind w:left="0" w:leftChars="0" w:firstLine="0" w:firstLineChars="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rPr>
              <w:t>标前准备</w:t>
            </w:r>
          </w:p>
        </w:tc>
        <w:tc>
          <w:tcPr>
            <w:tcW w:w="6656" w:type="dxa"/>
            <w:noWrap w:val="0"/>
            <w:vAlign w:val="center"/>
          </w:tcPr>
          <w:p w14:paraId="41404321">
            <w:pPr>
              <w:keepLines w:val="0"/>
              <w:pageBreakBefore w:val="0"/>
              <w:wordWrap/>
              <w:overflowPunct/>
              <w:topLinePunct w:val="0"/>
              <w:bidi w:val="0"/>
              <w:snapToGrid w:val="0"/>
              <w:spacing w:before="0" w:beforeAutospacing="0" w:after="0" w:afterAutospacing="0" w:line="420" w:lineRule="exact"/>
              <w:ind w:left="0" w:leftChars="0" w:firstLine="0" w:firstLineChars="0"/>
              <w:jc w:val="both"/>
              <w:textAlignment w:val="baseline"/>
              <w:rPr>
                <w:rFonts w:hint="eastAsia" w:ascii="宋体" w:hAnsi="宋体" w:eastAsia="宋体" w:cs="宋体"/>
                <w:b w:val="0"/>
                <w:bCs/>
                <w:i w:val="0"/>
                <w:caps w:val="0"/>
                <w:color w:val="auto"/>
                <w:spacing w:val="0"/>
                <w:w w:val="100"/>
                <w:kern w:val="2"/>
                <w:sz w:val="24"/>
                <w:szCs w:val="24"/>
                <w:highlight w:val="none"/>
                <w:lang w:val="en-US" w:eastAsia="zh-CN" w:bidi="ar-SA"/>
              </w:rPr>
            </w:pPr>
            <w:r>
              <w:rPr>
                <w:rFonts w:hint="eastAsia" w:ascii="宋体" w:hAnsi="宋体" w:eastAsia="宋体" w:cs="宋体"/>
                <w:b w:val="0"/>
                <w:bCs/>
                <w:i w:val="0"/>
                <w:caps w:val="0"/>
                <w:color w:val="auto"/>
                <w:spacing w:val="0"/>
                <w:w w:val="100"/>
                <w:kern w:val="2"/>
                <w:sz w:val="24"/>
                <w:szCs w:val="24"/>
                <w:highlight w:val="none"/>
                <w:lang w:val="en-US" w:eastAsia="zh-CN" w:bidi="ar-SA"/>
              </w:rPr>
              <w:t>1、本项目实行网上投标，采用电子谈判响应文件。若供应商参与投标，自行承担投标一切费用。</w:t>
            </w:r>
          </w:p>
          <w:p w14:paraId="6E684AFB">
            <w:pPr>
              <w:keepLines w:val="0"/>
              <w:pageBreakBefore w:val="0"/>
              <w:wordWrap/>
              <w:overflowPunct/>
              <w:topLinePunct w:val="0"/>
              <w:bidi w:val="0"/>
              <w:snapToGrid w:val="0"/>
              <w:spacing w:before="0" w:beforeAutospacing="0" w:after="0" w:afterAutospacing="0" w:line="420" w:lineRule="exact"/>
              <w:ind w:left="0" w:leftChars="0" w:firstLine="0" w:firstLineChars="0"/>
              <w:jc w:val="both"/>
              <w:textAlignment w:val="baseline"/>
              <w:rPr>
                <w:rFonts w:hint="eastAsia" w:ascii="宋体" w:hAnsi="宋体" w:eastAsia="宋体" w:cs="宋体"/>
                <w:b w:val="0"/>
                <w:bCs/>
                <w:i w:val="0"/>
                <w:caps w:val="0"/>
                <w:color w:val="auto"/>
                <w:spacing w:val="0"/>
                <w:w w:val="100"/>
                <w:kern w:val="2"/>
                <w:sz w:val="24"/>
                <w:szCs w:val="24"/>
                <w:highlight w:val="none"/>
                <w:lang w:val="en-US" w:eastAsia="zh-CN" w:bidi="ar-SA"/>
              </w:rPr>
            </w:pPr>
            <w:r>
              <w:rPr>
                <w:rFonts w:hint="eastAsia" w:ascii="宋体" w:hAnsi="宋体" w:eastAsia="宋体" w:cs="宋体"/>
                <w:b w:val="0"/>
                <w:bCs/>
                <w:i w:val="0"/>
                <w:caps w:val="0"/>
                <w:color w:val="auto"/>
                <w:spacing w:val="0"/>
                <w:w w:val="100"/>
                <w:kern w:val="2"/>
                <w:sz w:val="24"/>
                <w:szCs w:val="24"/>
                <w:highlight w:val="none"/>
                <w:lang w:val="en-US" w:eastAsia="zh-CN" w:bidi="ar-SA"/>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547345D1">
            <w:pPr>
              <w:keepLines w:val="0"/>
              <w:pageBreakBefore w:val="0"/>
              <w:wordWrap/>
              <w:overflowPunct/>
              <w:topLinePunct w:val="0"/>
              <w:bidi w:val="0"/>
              <w:snapToGrid w:val="0"/>
              <w:spacing w:before="0" w:beforeAutospacing="0" w:after="0" w:afterAutospacing="0" w:line="420" w:lineRule="exact"/>
              <w:ind w:left="0" w:leftChars="0" w:firstLine="0" w:firstLineChars="0"/>
              <w:jc w:val="both"/>
              <w:textAlignment w:val="baseline"/>
              <w:rPr>
                <w:rFonts w:hint="eastAsia" w:ascii="宋体" w:hAnsi="宋体" w:eastAsia="宋体" w:cs="宋体"/>
                <w:b w:val="0"/>
                <w:bCs/>
                <w:i w:val="0"/>
                <w:caps w:val="0"/>
                <w:color w:val="auto"/>
                <w:spacing w:val="0"/>
                <w:w w:val="100"/>
                <w:kern w:val="2"/>
                <w:sz w:val="24"/>
                <w:szCs w:val="24"/>
                <w:highlight w:val="none"/>
                <w:lang w:val="en-US" w:eastAsia="zh-CN" w:bidi="ar-SA"/>
              </w:rPr>
            </w:pPr>
            <w:r>
              <w:rPr>
                <w:rFonts w:hint="eastAsia" w:ascii="宋体" w:hAnsi="宋体" w:eastAsia="宋体" w:cs="宋体"/>
                <w:b w:val="0"/>
                <w:bCs/>
                <w:i w:val="0"/>
                <w:caps w:val="0"/>
                <w:color w:val="auto"/>
                <w:spacing w:val="0"/>
                <w:w w:val="100"/>
                <w:kern w:val="2"/>
                <w:sz w:val="24"/>
                <w:szCs w:val="24"/>
                <w:highlight w:val="none"/>
                <w:lang w:val="en-US" w:eastAsia="zh-CN" w:bidi="ar-SA"/>
              </w:rPr>
              <w:t>3、供应商将政采云电子交易客户端下载、安装完成后，可通过账号密码或CA登录客户端进行谈判响应文件制作。在使用政采云投标客户端时，建议使用WIN7及以上操作系统。客户端请至新疆政府采购网（http://www.ccgp-xinjiang.gov.cn/）下载专区查看，如有问题可拨打政采云客户服务热线95763进行咨询。</w:t>
            </w:r>
          </w:p>
          <w:p w14:paraId="2C3D3077">
            <w:pPr>
              <w:keepLines w:val="0"/>
              <w:pageBreakBefore w:val="0"/>
              <w:wordWrap/>
              <w:overflowPunct/>
              <w:topLinePunct w:val="0"/>
              <w:bidi w:val="0"/>
              <w:snapToGrid w:val="0"/>
              <w:spacing w:before="0" w:beforeAutospacing="0" w:after="0" w:afterAutospacing="0" w:line="420" w:lineRule="exact"/>
              <w:ind w:left="0" w:leftChars="0" w:firstLine="0" w:firstLineChars="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val="0"/>
                <w:bCs/>
                <w:i w:val="0"/>
                <w:caps w:val="0"/>
                <w:color w:val="auto"/>
                <w:spacing w:val="0"/>
                <w:w w:val="100"/>
                <w:kern w:val="2"/>
                <w:sz w:val="24"/>
                <w:szCs w:val="24"/>
                <w:highlight w:val="none"/>
                <w:lang w:val="en-US" w:eastAsia="zh-CN" w:bidi="ar-SA"/>
              </w:rPr>
              <w:t>4、有意向参与新疆区域电子开评标的供应商，可访问新疆数字证书认证中心官方网站（https://www.xjca.com.cn/）或下载“新疆政务通”APP自行进行申领。如需咨询，请联系新疆CA服务热线0991-2819290。</w:t>
            </w:r>
          </w:p>
        </w:tc>
      </w:tr>
      <w:tr w14:paraId="378D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066" w:type="dxa"/>
            <w:noWrap w:val="0"/>
            <w:vAlign w:val="center"/>
          </w:tcPr>
          <w:p w14:paraId="085AB065">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31</w:t>
            </w:r>
          </w:p>
        </w:tc>
        <w:tc>
          <w:tcPr>
            <w:tcW w:w="2087" w:type="dxa"/>
            <w:noWrap w:val="0"/>
            <w:tcMar>
              <w:top w:w="0" w:type="dxa"/>
              <w:left w:w="108" w:type="dxa"/>
              <w:bottom w:w="0" w:type="dxa"/>
              <w:right w:w="108" w:type="dxa"/>
            </w:tcMar>
            <w:vAlign w:val="center"/>
          </w:tcPr>
          <w:p w14:paraId="465C4A1B">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提示</w:t>
            </w:r>
          </w:p>
        </w:tc>
        <w:tc>
          <w:tcPr>
            <w:tcW w:w="6656" w:type="dxa"/>
            <w:noWrap w:val="0"/>
            <w:vAlign w:val="center"/>
          </w:tcPr>
          <w:p w14:paraId="492E5B61">
            <w:pPr>
              <w:keepNext/>
              <w:keepLines w:val="0"/>
              <w:pageBreakBefore w:val="0"/>
              <w:widowControl w:val="0"/>
              <w:numPr>
                <w:ilvl w:val="0"/>
                <w:numId w:val="0"/>
              </w:numPr>
              <w:kinsoku/>
              <w:wordWrap/>
              <w:overflowPunct/>
              <w:topLinePunct w:val="0"/>
              <w:bidi w:val="0"/>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根据中华人民共和国《政府采购货物和服务招标投标管理办法》（财政部令第 87 号）第六十条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008909E4">
            <w:pPr>
              <w:keepNext/>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相同品牌产品且通过资格审查、符合性审查的不同投标人参加同一合同项下投标的，按一家投标人计算，评审后得分最高的同品牌投标人获得中标人推荐资格；评审得分相同的，按照随机抽取方式确定一个投标人获得中标人推荐资格，其他同品牌投标人不作为中标候选人。</w:t>
            </w:r>
          </w:p>
          <w:p w14:paraId="1A63E68A">
            <w:pPr>
              <w:keepNext/>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所有投标人的报价明显低于其他投标报价或者在设有标底时明显低于标底，使得其投标报价可能低于其个别成本的，应当要求该投标人作出书面说明并提供相应证明材料。投标人不能合理或者不能提供相应证明材料的，由评标委员会认定该投标人以低于成本报价竞标，其投标视为无效标处理。</w:t>
            </w:r>
          </w:p>
          <w:p w14:paraId="3C96F420">
            <w:pPr>
              <w:keepNext/>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、更正补充公告请自行登录新疆政府采购网查看下载。</w:t>
            </w:r>
          </w:p>
          <w:p w14:paraId="3EC6042A">
            <w:pPr>
              <w:keepNext/>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谈判文件</w:t>
            </w:r>
            <w:r>
              <w:rPr>
                <w:rFonts w:hint="eastAsia" w:ascii="宋体" w:hAnsi="宋体" w:eastAsia="宋体" w:cs="宋体"/>
                <w:color w:val="auto"/>
                <w:sz w:val="24"/>
                <w:szCs w:val="24"/>
                <w:highlight w:val="none"/>
                <w:lang w:val="en-US" w:eastAsia="zh-CN"/>
              </w:rPr>
              <w:t>中部分加“*”、加粗、加下划线、废标、无效标、投标被拒绝字样的条款，为招标的实质性要求和条件，着重提醒各投标人注意，并认真查看</w:t>
            </w:r>
            <w:r>
              <w:rPr>
                <w:rFonts w:hint="eastAsia" w:ascii="宋体" w:hAnsi="宋体" w:cs="宋体"/>
                <w:color w:val="auto"/>
                <w:sz w:val="24"/>
                <w:szCs w:val="24"/>
                <w:highlight w:val="none"/>
                <w:lang w:val="en-US" w:eastAsia="zh-CN"/>
              </w:rPr>
              <w:t>谈判文件</w:t>
            </w:r>
            <w:r>
              <w:rPr>
                <w:rFonts w:hint="eastAsia" w:ascii="宋体" w:hAnsi="宋体" w:eastAsia="宋体" w:cs="宋体"/>
                <w:color w:val="auto"/>
                <w:sz w:val="24"/>
                <w:szCs w:val="24"/>
                <w:highlight w:val="none"/>
                <w:lang w:val="en-US" w:eastAsia="zh-CN"/>
              </w:rPr>
              <w:t>中的每一个条款及要求，因误读</w:t>
            </w:r>
            <w:r>
              <w:rPr>
                <w:rFonts w:hint="eastAsia" w:ascii="宋体" w:hAnsi="宋体" w:cs="宋体"/>
                <w:color w:val="auto"/>
                <w:sz w:val="24"/>
                <w:szCs w:val="24"/>
                <w:highlight w:val="none"/>
                <w:lang w:val="en-US" w:eastAsia="zh-CN"/>
              </w:rPr>
              <w:t>谈判文件</w:t>
            </w:r>
            <w:r>
              <w:rPr>
                <w:rFonts w:hint="eastAsia" w:ascii="宋体" w:hAnsi="宋体" w:eastAsia="宋体" w:cs="宋体"/>
                <w:color w:val="auto"/>
                <w:sz w:val="24"/>
                <w:szCs w:val="24"/>
                <w:highlight w:val="none"/>
                <w:lang w:val="en-US" w:eastAsia="zh-CN"/>
              </w:rPr>
              <w:t>而造成的后果，招标人概不负责。</w:t>
            </w:r>
          </w:p>
          <w:p w14:paraId="41C48D15">
            <w:pPr>
              <w:keepNext/>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中有弄虚作假的内容，其</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作废（如假证书、假业绩、隐瞒不良行为记录、夸大荣誉、使用非本单位在职员工的相关</w:t>
            </w:r>
            <w:r>
              <w:rPr>
                <w:rFonts w:hint="eastAsia" w:ascii="宋体" w:hAnsi="宋体" w:eastAsia="宋体" w:cs="宋体"/>
                <w:color w:val="auto"/>
                <w:sz w:val="24"/>
                <w:szCs w:val="24"/>
                <w:highlight w:val="none"/>
                <w:lang w:val="en-US" w:eastAsia="zh-CN"/>
              </w:rPr>
              <w:t>证件及不符合</w:t>
            </w:r>
            <w:r>
              <w:rPr>
                <w:rFonts w:hint="eastAsia" w:ascii="宋体" w:hAnsi="宋体" w:cs="宋体"/>
                <w:color w:val="auto"/>
                <w:sz w:val="24"/>
                <w:szCs w:val="24"/>
                <w:highlight w:val="none"/>
                <w:lang w:val="en-US" w:eastAsia="zh-CN"/>
              </w:rPr>
              <w:t>谈判文件</w:t>
            </w:r>
            <w:r>
              <w:rPr>
                <w:rFonts w:hint="eastAsia" w:ascii="宋体" w:hAnsi="宋体" w:eastAsia="宋体" w:cs="宋体"/>
                <w:color w:val="auto"/>
                <w:sz w:val="24"/>
                <w:szCs w:val="24"/>
                <w:highlight w:val="none"/>
                <w:lang w:val="en-US" w:eastAsia="zh-CN"/>
              </w:rPr>
              <w:t>规定的条款等）；在签订合同之前，投标人如发现投标人的</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有弄虚作假内容，招标人可拒绝与其签订合同。并将其列入政府采购黑名单库。</w:t>
            </w:r>
          </w:p>
          <w:p w14:paraId="080090BA">
            <w:pPr>
              <w:pStyle w:val="11"/>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、投标供应商制作</w:t>
            </w:r>
            <w:r>
              <w:rPr>
                <w:rFonts w:hint="eastAsia" w:ascii="宋体" w:hAnsi="宋体" w:cs="宋体"/>
                <w:b w:val="0"/>
                <w:bCs w:val="0"/>
                <w:color w:val="auto"/>
                <w:sz w:val="24"/>
                <w:szCs w:val="24"/>
                <w:highlight w:val="none"/>
                <w:lang w:val="en-US" w:eastAsia="zh-CN"/>
              </w:rPr>
              <w:t>响应文件</w:t>
            </w:r>
            <w:r>
              <w:rPr>
                <w:rFonts w:hint="eastAsia" w:ascii="宋体" w:hAnsi="宋体" w:eastAsia="宋体" w:cs="宋体"/>
                <w:b w:val="0"/>
                <w:bCs w:val="0"/>
                <w:color w:val="auto"/>
                <w:sz w:val="24"/>
                <w:szCs w:val="24"/>
                <w:highlight w:val="none"/>
                <w:lang w:val="en-US" w:eastAsia="zh-CN"/>
              </w:rPr>
              <w:t>的CA锁必须和开标解密的CA锁为同一把锁，在解密过程中因为CA锁不同而导致解密失败的，由投标供应商自行承担。</w:t>
            </w:r>
          </w:p>
        </w:tc>
      </w:tr>
      <w:tr w14:paraId="695F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066" w:type="dxa"/>
            <w:noWrap w:val="0"/>
            <w:vAlign w:val="center"/>
          </w:tcPr>
          <w:p w14:paraId="036BBF23">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32</w:t>
            </w:r>
          </w:p>
        </w:tc>
        <w:tc>
          <w:tcPr>
            <w:tcW w:w="2087" w:type="dxa"/>
            <w:noWrap w:val="0"/>
            <w:tcMar>
              <w:top w:w="0" w:type="dxa"/>
              <w:left w:w="108" w:type="dxa"/>
              <w:bottom w:w="0" w:type="dxa"/>
              <w:right w:w="108" w:type="dxa"/>
            </w:tcMar>
            <w:vAlign w:val="center"/>
          </w:tcPr>
          <w:p w14:paraId="133BA421">
            <w:pPr>
              <w:keepLines w:val="0"/>
              <w:pageBreakBefore w:val="0"/>
              <w:kinsoku/>
              <w:wordWrap/>
              <w:overflowPunct/>
              <w:topLinePunct w:val="0"/>
              <w:bidi w:val="0"/>
              <w:spacing w:line="420" w:lineRule="exact"/>
              <w:ind w:right="-48" w:rightChars="-20"/>
              <w:jc w:val="center"/>
              <w:rPr>
                <w:rFonts w:hint="eastAsia" w:ascii="宋体" w:hAnsi="宋体" w:cs="宋体"/>
                <w:color w:val="auto"/>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解释权</w:t>
            </w:r>
          </w:p>
        </w:tc>
        <w:tc>
          <w:tcPr>
            <w:tcW w:w="6656" w:type="dxa"/>
            <w:noWrap w:val="0"/>
            <w:vAlign w:val="center"/>
          </w:tcPr>
          <w:p w14:paraId="78B14864">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color w:val="auto"/>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构成本</w:t>
            </w:r>
            <w:r>
              <w:rPr>
                <w:rFonts w:hint="eastAsia" w:cs="Times New Roman"/>
                <w:color w:val="auto"/>
                <w:kern w:val="2"/>
                <w:sz w:val="24"/>
                <w:szCs w:val="24"/>
                <w:highlight w:val="none"/>
                <w:lang w:val="en-US" w:eastAsia="zh-CN" w:bidi="ar-SA"/>
              </w:rPr>
              <w:t>谈判文件</w:t>
            </w:r>
            <w:r>
              <w:rPr>
                <w:rFonts w:hint="eastAsia" w:ascii="Times New Roman" w:hAnsi="Times New Roman" w:eastAsia="宋体" w:cs="Times New Roman"/>
                <w:color w:val="auto"/>
                <w:kern w:val="2"/>
                <w:sz w:val="24"/>
                <w:szCs w:val="24"/>
                <w:highlight w:val="none"/>
                <w:lang w:val="en-US" w:eastAsia="zh-CN" w:bidi="ar-SA"/>
              </w:rPr>
              <w:t>的各个组成文件应互为解释，互为说明；如有不明确或不一致，构成合同文件组成内容，以合同文件约定内容为准，且以专用合同条款约定的合同文件优先顺序解释；除</w:t>
            </w:r>
            <w:r>
              <w:rPr>
                <w:rFonts w:hint="eastAsia" w:cs="Times New Roman"/>
                <w:color w:val="auto"/>
                <w:kern w:val="2"/>
                <w:sz w:val="24"/>
                <w:szCs w:val="24"/>
                <w:highlight w:val="none"/>
                <w:lang w:val="en-US" w:eastAsia="zh-CN" w:bidi="ar-SA"/>
              </w:rPr>
              <w:t>谈判文件</w:t>
            </w:r>
            <w:r>
              <w:rPr>
                <w:rFonts w:hint="eastAsia" w:ascii="Times New Roman" w:hAnsi="Times New Roman" w:eastAsia="宋体" w:cs="Times New Roman"/>
                <w:color w:val="auto"/>
                <w:kern w:val="2"/>
                <w:sz w:val="24"/>
                <w:szCs w:val="24"/>
                <w:highlight w:val="none"/>
                <w:lang w:val="en-US" w:eastAsia="zh-CN" w:bidi="ar-SA"/>
              </w:rPr>
              <w:t>中有特别规定外，仅适用于招标投标阶段的规定，按招标公告（投标邀请书）、投标人须知、评标办法、</w:t>
            </w:r>
            <w:r>
              <w:rPr>
                <w:rFonts w:hint="eastAsia" w:cs="Times New Roman"/>
                <w:color w:val="auto"/>
                <w:kern w:val="2"/>
                <w:sz w:val="24"/>
                <w:szCs w:val="24"/>
                <w:highlight w:val="none"/>
                <w:lang w:val="en-US" w:eastAsia="zh-CN" w:bidi="ar-SA"/>
              </w:rPr>
              <w:t>响应文件</w:t>
            </w:r>
            <w:r>
              <w:rPr>
                <w:rFonts w:hint="eastAsia" w:ascii="Times New Roman" w:hAnsi="Times New Roman" w:eastAsia="宋体" w:cs="Times New Roman"/>
                <w:color w:val="auto"/>
                <w:kern w:val="2"/>
                <w:sz w:val="24"/>
                <w:szCs w:val="24"/>
                <w:highlight w:val="none"/>
                <w:lang w:val="en-US" w:eastAsia="zh-CN" w:bidi="ar-SA"/>
              </w:rPr>
              <w:t>格式的先后顺序解释；同一组成文件中就同一事项的规定或约定不一致的，以编排顺序在后者为准；同一组成文件不同版本之间有不一致的，以形成时间在后者为准。按本款前述规定仍不成形成结论的，由招标人负责解释。</w:t>
            </w:r>
          </w:p>
        </w:tc>
      </w:tr>
      <w:tr w14:paraId="571A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066" w:type="dxa"/>
            <w:noWrap w:val="0"/>
            <w:vAlign w:val="center"/>
          </w:tcPr>
          <w:p w14:paraId="6570EA8F">
            <w:pPr>
              <w:keepLines w:val="0"/>
              <w:pageBreakBefore w:val="0"/>
              <w:kinsoku/>
              <w:wordWrap/>
              <w:overflowPunct/>
              <w:topLinePunct w:val="0"/>
              <w:bidi w:val="0"/>
              <w:spacing w:line="420" w:lineRule="exact"/>
              <w:ind w:right="-108" w:rightChars="-45"/>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33</w:t>
            </w:r>
          </w:p>
        </w:tc>
        <w:tc>
          <w:tcPr>
            <w:tcW w:w="2087" w:type="dxa"/>
            <w:noWrap w:val="0"/>
            <w:tcMar>
              <w:top w:w="0" w:type="dxa"/>
              <w:left w:w="108" w:type="dxa"/>
              <w:bottom w:w="0" w:type="dxa"/>
              <w:right w:w="108" w:type="dxa"/>
            </w:tcMar>
            <w:vAlign w:val="center"/>
          </w:tcPr>
          <w:p w14:paraId="3C0909A9">
            <w:pPr>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询问与质疑</w:t>
            </w:r>
          </w:p>
        </w:tc>
        <w:tc>
          <w:tcPr>
            <w:tcW w:w="6656" w:type="dxa"/>
            <w:noWrap w:val="0"/>
            <w:vAlign w:val="center"/>
          </w:tcPr>
          <w:p w14:paraId="6A566C8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供应商认为采购文件、采购过程、中标或者成交结果使自己的权益受到损害的，应当在知道或者应知其权益受到损害之日起</w:t>
            </w:r>
            <w:r>
              <w:rPr>
                <w:rFonts w:hint="eastAsia" w:cs="Times New Roman"/>
                <w:color w:val="auto"/>
                <w:kern w:val="2"/>
                <w:sz w:val="24"/>
                <w:szCs w:val="24"/>
                <w:highlight w:val="none"/>
                <w:lang w:val="en-US" w:eastAsia="zh-CN" w:bidi="ar-SA"/>
              </w:rPr>
              <w:t>7个工作日内</w:t>
            </w:r>
            <w:r>
              <w:rPr>
                <w:rFonts w:hint="eastAsia" w:ascii="Times New Roman" w:hAnsi="Times New Roman" w:eastAsia="宋体" w:cs="Times New Roman"/>
                <w:color w:val="auto"/>
                <w:kern w:val="2"/>
                <w:sz w:val="24"/>
                <w:szCs w:val="24"/>
                <w:highlight w:val="none"/>
                <w:lang w:val="en-US" w:eastAsia="zh-CN" w:bidi="ar-SA"/>
              </w:rPr>
              <w:t>在规定的期限内，以书面或邮件形式一次性向采购人（采购代理机构）提出质疑或供应商对采购人（采购代理机构）的质疑答复不满意或者采购人（采购代理机构）未在规定时间内做出答复的，可以在答复期满后</w:t>
            </w:r>
            <w:r>
              <w:rPr>
                <w:rFonts w:hint="eastAsia" w:cs="Times New Roman"/>
                <w:color w:val="auto"/>
                <w:kern w:val="2"/>
                <w:sz w:val="24"/>
                <w:szCs w:val="24"/>
                <w:highlight w:val="none"/>
                <w:lang w:val="en-US" w:eastAsia="zh-CN" w:bidi="ar-SA"/>
              </w:rPr>
              <w:t>十五</w:t>
            </w:r>
            <w:r>
              <w:rPr>
                <w:rFonts w:hint="eastAsia" w:ascii="Times New Roman" w:hAnsi="Times New Roman" w:eastAsia="宋体" w:cs="Times New Roman"/>
                <w:color w:val="auto"/>
                <w:kern w:val="2"/>
                <w:sz w:val="24"/>
                <w:szCs w:val="24"/>
                <w:highlight w:val="none"/>
                <w:lang w:val="en-US" w:eastAsia="zh-CN" w:bidi="ar-SA"/>
              </w:rPr>
              <w:t xml:space="preserve">个工作日内向有关监管部门投诉。 </w:t>
            </w:r>
          </w:p>
        </w:tc>
      </w:tr>
      <w:tr w14:paraId="4FB0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066" w:type="dxa"/>
            <w:noWrap w:val="0"/>
            <w:vAlign w:val="center"/>
          </w:tcPr>
          <w:p w14:paraId="5F8268B5">
            <w:pPr>
              <w:keepLines w:val="0"/>
              <w:pageBreakBefore w:val="0"/>
              <w:kinsoku/>
              <w:wordWrap/>
              <w:overflowPunct/>
              <w:topLinePunct w:val="0"/>
              <w:bidi w:val="0"/>
              <w:spacing w:line="420" w:lineRule="exact"/>
              <w:ind w:right="-108" w:rightChars="-45"/>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w:t>
            </w:r>
          </w:p>
        </w:tc>
        <w:tc>
          <w:tcPr>
            <w:tcW w:w="2087" w:type="dxa"/>
            <w:noWrap w:val="0"/>
            <w:tcMar>
              <w:top w:w="0" w:type="dxa"/>
              <w:left w:w="108" w:type="dxa"/>
              <w:bottom w:w="0" w:type="dxa"/>
              <w:right w:w="108" w:type="dxa"/>
            </w:tcMar>
            <w:vAlign w:val="center"/>
          </w:tcPr>
          <w:p w14:paraId="67F1E342">
            <w:pPr>
              <w:keepLines w:val="0"/>
              <w:pageBreakBefore w:val="0"/>
              <w:kinsoku/>
              <w:wordWrap/>
              <w:overflowPunct/>
              <w:topLinePunct w:val="0"/>
              <w:bidi w:val="0"/>
              <w:spacing w:line="420" w:lineRule="exact"/>
              <w:ind w:right="-48" w:rightChars="-2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政府采购</w:t>
            </w:r>
          </w:p>
          <w:p w14:paraId="4D2DDF28">
            <w:pPr>
              <w:keepLines w:val="0"/>
              <w:pageBreakBefore w:val="0"/>
              <w:kinsoku/>
              <w:wordWrap/>
              <w:overflowPunct/>
              <w:topLinePunct w:val="0"/>
              <w:bidi w:val="0"/>
              <w:spacing w:line="420" w:lineRule="exact"/>
              <w:ind w:right="-48" w:rightChars="-2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政策支持</w:t>
            </w:r>
          </w:p>
        </w:tc>
        <w:tc>
          <w:tcPr>
            <w:tcW w:w="6656" w:type="dxa"/>
            <w:noWrap w:val="0"/>
            <w:vAlign w:val="center"/>
          </w:tcPr>
          <w:p w14:paraId="1CD1C57A">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（1）根据工信部等部委发布的《关于印发中小企业划型标准规定的通知》（工信部联企业[2011]300号）规定执行；</w:t>
            </w:r>
          </w:p>
          <w:p w14:paraId="38D072F5">
            <w:pPr>
              <w:pStyle w:val="24"/>
              <w:keepLines w:val="0"/>
              <w:pageBreakBefore w:val="0"/>
              <w:wordWrap/>
              <w:overflowPunct/>
              <w:topLinePunct w:val="0"/>
              <w:bidi w:val="0"/>
              <w:spacing w:line="420" w:lineRule="exact"/>
              <w:rPr>
                <w:rFonts w:hint="default"/>
                <w:b/>
                <w:bCs/>
                <w:color w:val="auto"/>
                <w:sz w:val="24"/>
                <w:szCs w:val="24"/>
                <w:highlight w:val="none"/>
                <w:lang w:val="en-US" w:eastAsia="zh-CN"/>
              </w:rPr>
            </w:pPr>
            <w:r>
              <w:rPr>
                <w:rFonts w:hint="default"/>
                <w:color w:val="auto"/>
                <w:sz w:val="24"/>
                <w:szCs w:val="24"/>
                <w:highlight w:val="none"/>
                <w:lang w:val="en-US" w:eastAsia="zh-CN"/>
              </w:rPr>
              <w:t>（2）</w:t>
            </w:r>
            <w:r>
              <w:rPr>
                <w:rFonts w:hint="default"/>
                <w:b/>
                <w:bCs/>
                <w:color w:val="auto"/>
                <w:sz w:val="24"/>
                <w:szCs w:val="24"/>
                <w:highlight w:val="none"/>
                <w:lang w:val="en-US" w:eastAsia="zh-CN"/>
              </w:rPr>
              <w:t>本项目专门面向</w:t>
            </w:r>
            <w:r>
              <w:rPr>
                <w:rFonts w:hint="eastAsia"/>
                <w:b/>
                <w:bCs/>
                <w:color w:val="auto"/>
                <w:sz w:val="24"/>
                <w:szCs w:val="24"/>
                <w:highlight w:val="none"/>
                <w:lang w:val="en-US" w:eastAsia="zh-CN"/>
              </w:rPr>
              <w:t>小微</w:t>
            </w:r>
            <w:r>
              <w:rPr>
                <w:rFonts w:hint="default"/>
                <w:b/>
                <w:bCs/>
                <w:color w:val="auto"/>
                <w:sz w:val="24"/>
                <w:szCs w:val="24"/>
                <w:highlight w:val="none"/>
                <w:lang w:val="en-US" w:eastAsia="zh-CN"/>
              </w:rPr>
              <w:t>企业，根据《政府采购促进中小企业发展管理办法》（财库[2020]46号）的规定，不再执行价格评审优惠的扶持政策；故价格不进行扣除幅度。</w:t>
            </w:r>
          </w:p>
          <w:p w14:paraId="0D91FF4D">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1、符合政府采购优先采购节能产品、环境标志产品的,实行价格评审优惠（由投标人在报价文件中选择并填报，评标时进行价格评审优惠）；投标人符合政府采购促进中小企业（监狱企业、残疾人福利性单位）发展政策的，其评标时给予价格评审优惠，用扣除后的价格参与评审打分。财政部门关于政府采购优先采购的政策规定可在中国政府采购网(www.ccgp.gov.cn)查询。同一项目中部分产品属于优先采购政策的，评标时只对该部分产品的报价实行价格优惠。</w:t>
            </w:r>
          </w:p>
          <w:p w14:paraId="406BACBB">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1）支持中小企业发展：对于经主管预算单位统筹后未预留份额专门面向中小企业采购的采购项目，以及预留份额项目中的非预留部分采购包,给予小型和微型企业产品的价格给予10%-20%的扣除用扣除后的价格参与评标，监狱企业参加政府采购活动时，应当提供由省级以上监狱管理局、戒毒管理局（含新疆生产建设兵团）出具的属于监狱企业的证明文件。在政府采购活动中，监狱企业视同小型、微型企业 ,享受预留份额、评标中价格扣除等政府采购促进中小企业发展的政府采购政策。</w:t>
            </w:r>
          </w:p>
          <w:p w14:paraId="139B442D">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2）政府采购促进残疾人就业：符合条件的残疾人福利性单位在参加政府采购活动时，应当提供规定的《残疾人福利性单位声明函》（见附件），并对声明的真实性负责。任何单位或者个人在政府采购活动中均不得要求残疾人福利性单位提供其他证明声明函内容的材料。残疾人福利性单位视同小型、微型企业，享受评标中价格扣除等促进中小企业发展的政府采购政策。</w:t>
            </w:r>
          </w:p>
          <w:p w14:paraId="79645765">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（3）节能产品、环境标志产品的产品优惠：按国家有关节能、环保政策执行。</w:t>
            </w:r>
          </w:p>
          <w:p w14:paraId="351F3C51">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注：当面向中小企业采购时，根据《政府采购促进中小企业发展管理办法》第十一条 中小企业参加政府采购活动，应当出具本办法规定的《中小企业声明函》，否则不得享受相关中小企业扶持政策任何单位和个人不得要求供应商提供《中小企业声明函》之外的中小企业身份证明文件。</w:t>
            </w:r>
          </w:p>
          <w:p w14:paraId="4D2F7C5E">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2、在政府采购活动中，供应商提供的货物、工程或者服务符合下列情形的，享受本办法规定的中小企业扶持政策：</w:t>
            </w:r>
          </w:p>
          <w:p w14:paraId="4FD7D56D">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（一）在货物采购项目中，货物由中小企业制造，即货物由中小企业生产且使用该中小企业商号或者注册商标；</w:t>
            </w:r>
          </w:p>
          <w:p w14:paraId="20AAA7C6">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（二）在工程采购项目中，工程由中小企业承建，即工程施工单位为中小企业；</w:t>
            </w:r>
          </w:p>
          <w:p w14:paraId="3F8189C2">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（三）在服务采购项目中，服务由中小企业承接，即提供服务的/员为中小企业依照《中华人民共和国劳动合同法》订立劳动合同的从业人员。</w:t>
            </w:r>
          </w:p>
          <w:p w14:paraId="15EFEF57">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3、在货物采购项目中，供应商提供的货物既有中小企业制造货物也有大型企业制造货物的，不享受本办法规定的中小企业扶持政策。</w:t>
            </w:r>
          </w:p>
          <w:p w14:paraId="2CA202A1">
            <w:pPr>
              <w:pStyle w:val="24"/>
              <w:keepLines w:val="0"/>
              <w:pageBreakBefore w:val="0"/>
              <w:wordWrap/>
              <w:overflowPunct/>
              <w:topLinePunct w:val="0"/>
              <w:bidi w:val="0"/>
              <w:spacing w:line="420" w:lineRule="exact"/>
              <w:rPr>
                <w:rFonts w:hint="default"/>
                <w:color w:val="auto"/>
                <w:sz w:val="24"/>
                <w:szCs w:val="24"/>
                <w:highlight w:val="none"/>
                <w:lang w:val="en-US" w:eastAsia="zh-CN"/>
              </w:rPr>
            </w:pPr>
            <w:r>
              <w:rPr>
                <w:rFonts w:hint="default"/>
                <w:color w:val="auto"/>
                <w:sz w:val="24"/>
                <w:szCs w:val="24"/>
                <w:highlight w:val="none"/>
                <w:lang w:val="en-US" w:eastAsia="zh-CN"/>
              </w:rPr>
              <w:t>4、以联合体形式参加政府采购活动，联合体各方均为中小企业的联合体视同中小企业。其中，联合体各方均为小微企业的，联合体视同小微企业。</w:t>
            </w:r>
          </w:p>
          <w:p w14:paraId="3451ED6C">
            <w:pPr>
              <w:keepLines w:val="0"/>
              <w:pageBreakBefore w:val="0"/>
              <w:wordWrap/>
              <w:overflowPunct/>
              <w:topLinePunct w:val="0"/>
              <w:bidi w:val="0"/>
              <w:spacing w:line="420" w:lineRule="exact"/>
              <w:rPr>
                <w:rFonts w:hint="default"/>
                <w:color w:val="auto"/>
                <w:highlight w:val="none"/>
                <w:lang w:val="en-US" w:eastAsia="zh-CN"/>
              </w:rPr>
            </w:pPr>
            <w:r>
              <w:rPr>
                <w:rFonts w:hint="eastAsia"/>
                <w:b/>
                <w:bCs/>
                <w:color w:val="auto"/>
                <w:sz w:val="24"/>
                <w:szCs w:val="24"/>
                <w:highlight w:val="none"/>
                <w:lang w:val="en-US" w:eastAsia="zh-CN"/>
              </w:rPr>
              <w:t>本项目所属行业为：建筑业。</w:t>
            </w:r>
            <w:bookmarkStart w:id="40" w:name="OLE_LINK6"/>
            <w:r>
              <w:rPr>
                <w:rFonts w:hint="eastAsia"/>
                <w:b w:val="0"/>
                <w:bCs w:val="0"/>
                <w:color w:val="auto"/>
                <w:sz w:val="24"/>
                <w:szCs w:val="24"/>
                <w:highlight w:val="none"/>
                <w:lang w:val="en-US" w:eastAsia="zh-CN"/>
              </w:rPr>
              <w:t>营业收入 80000 万元以下或资产总额 80000 万元以下的为中小型企业。其中，营业收入 6000 万元及以上，且资产总额 5000 万元及以上的为中型企业；营业收入 300 万元及以上，且资产总额 300 万元及以上的为小型企业；营业收入 300 万元以下且资产总额 300 万元以下的为微型企业。</w:t>
            </w:r>
            <w:bookmarkEnd w:id="40"/>
          </w:p>
        </w:tc>
      </w:tr>
      <w:tr w14:paraId="3CA2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066" w:type="dxa"/>
            <w:noWrap w:val="0"/>
            <w:vAlign w:val="center"/>
          </w:tcPr>
          <w:p w14:paraId="7115EB76">
            <w:pPr>
              <w:keepLines w:val="0"/>
              <w:pageBreakBefore w:val="0"/>
              <w:kinsoku/>
              <w:wordWrap/>
              <w:overflowPunct/>
              <w:topLinePunct w:val="0"/>
              <w:bidi w:val="0"/>
              <w:spacing w:line="420" w:lineRule="exact"/>
              <w:ind w:right="-48" w:rightChars="-2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35</w:t>
            </w:r>
          </w:p>
        </w:tc>
        <w:tc>
          <w:tcPr>
            <w:tcW w:w="2087" w:type="dxa"/>
            <w:noWrap w:val="0"/>
            <w:tcMar>
              <w:top w:w="0" w:type="dxa"/>
              <w:left w:w="108" w:type="dxa"/>
              <w:bottom w:w="0" w:type="dxa"/>
              <w:right w:w="108" w:type="dxa"/>
            </w:tcMar>
            <w:vAlign w:val="top"/>
          </w:tcPr>
          <w:p w14:paraId="638CC781">
            <w:pPr>
              <w:keepLines w:val="0"/>
              <w:pageBreakBefore w:val="0"/>
              <w:kinsoku/>
              <w:wordWrap/>
              <w:overflowPunct/>
              <w:topLinePunct w:val="0"/>
              <w:bidi w:val="0"/>
              <w:spacing w:line="420" w:lineRule="exact"/>
              <w:ind w:right="-48" w:rightChars="-20"/>
              <w:jc w:val="both"/>
              <w:rPr>
                <w:rFonts w:hint="eastAsia" w:ascii="Times New Roman" w:hAnsi="Times New Roman" w:eastAsia="宋体" w:cs="Times New Roman"/>
                <w:color w:val="auto"/>
                <w:kern w:val="2"/>
                <w:sz w:val="24"/>
                <w:szCs w:val="24"/>
                <w:highlight w:val="none"/>
                <w:lang w:val="en-US" w:eastAsia="zh-CN" w:bidi="ar-SA"/>
              </w:rPr>
            </w:pPr>
          </w:p>
          <w:p w14:paraId="710785EB">
            <w:pPr>
              <w:keepLines w:val="0"/>
              <w:pageBreakBefore w:val="0"/>
              <w:kinsoku/>
              <w:wordWrap/>
              <w:overflowPunct/>
              <w:topLinePunct w:val="0"/>
              <w:bidi w:val="0"/>
              <w:spacing w:line="420" w:lineRule="exact"/>
              <w:ind w:right="-48" w:rightChars="-20"/>
              <w:jc w:val="both"/>
              <w:rPr>
                <w:rFonts w:hint="eastAsia" w:ascii="Times New Roman" w:hAnsi="Times New Roman" w:eastAsia="宋体" w:cs="Times New Roman"/>
                <w:color w:val="auto"/>
                <w:kern w:val="2"/>
                <w:sz w:val="24"/>
                <w:szCs w:val="24"/>
                <w:highlight w:val="none"/>
                <w:lang w:val="en-US" w:eastAsia="zh-CN" w:bidi="ar-SA"/>
              </w:rPr>
            </w:pPr>
          </w:p>
          <w:p w14:paraId="41190EF3">
            <w:pPr>
              <w:keepLines w:val="0"/>
              <w:pageBreakBefore w:val="0"/>
              <w:kinsoku/>
              <w:wordWrap/>
              <w:overflowPunct/>
              <w:topLinePunct w:val="0"/>
              <w:bidi w:val="0"/>
              <w:spacing w:line="420" w:lineRule="exact"/>
              <w:ind w:right="-48" w:rightChars="-20"/>
              <w:jc w:val="both"/>
              <w:rPr>
                <w:rFonts w:hint="eastAsia" w:ascii="Times New Roman" w:hAnsi="Times New Roman" w:eastAsia="宋体" w:cs="Times New Roman"/>
                <w:color w:val="auto"/>
                <w:kern w:val="2"/>
                <w:sz w:val="24"/>
                <w:szCs w:val="24"/>
                <w:highlight w:val="none"/>
                <w:lang w:val="en-US" w:eastAsia="zh-CN" w:bidi="ar-SA"/>
              </w:rPr>
            </w:pPr>
          </w:p>
          <w:p w14:paraId="4C51C7EE">
            <w:pPr>
              <w:keepLines w:val="0"/>
              <w:pageBreakBefore w:val="0"/>
              <w:kinsoku/>
              <w:wordWrap/>
              <w:overflowPunct/>
              <w:topLinePunct w:val="0"/>
              <w:bidi w:val="0"/>
              <w:spacing w:line="420" w:lineRule="exact"/>
              <w:ind w:right="-48" w:rightChars="-20"/>
              <w:jc w:val="both"/>
              <w:rPr>
                <w:rFonts w:hint="eastAsia" w:ascii="Times New Roman" w:hAnsi="Times New Roman" w:eastAsia="宋体" w:cs="Times New Roman"/>
                <w:color w:val="auto"/>
                <w:kern w:val="2"/>
                <w:sz w:val="24"/>
                <w:szCs w:val="24"/>
                <w:highlight w:val="none"/>
                <w:lang w:val="en-US" w:eastAsia="zh-CN" w:bidi="ar-SA"/>
              </w:rPr>
            </w:pPr>
          </w:p>
          <w:p w14:paraId="2BD2DCF3">
            <w:pPr>
              <w:keepLines w:val="0"/>
              <w:pageBreakBefore w:val="0"/>
              <w:kinsoku/>
              <w:wordWrap/>
              <w:overflowPunct/>
              <w:topLinePunct w:val="0"/>
              <w:bidi w:val="0"/>
              <w:spacing w:line="420" w:lineRule="exact"/>
              <w:ind w:right="-48" w:rightChars="-20"/>
              <w:jc w:val="both"/>
              <w:rPr>
                <w:rFonts w:hint="eastAsia" w:ascii="Times New Roman" w:hAnsi="Times New Roman" w:eastAsia="宋体" w:cs="Times New Roman"/>
                <w:color w:val="auto"/>
                <w:kern w:val="2"/>
                <w:sz w:val="24"/>
                <w:szCs w:val="24"/>
                <w:highlight w:val="none"/>
                <w:lang w:val="en-US" w:eastAsia="zh-CN" w:bidi="ar-SA"/>
              </w:rPr>
            </w:pPr>
          </w:p>
          <w:p w14:paraId="0E1C82BE">
            <w:pPr>
              <w:keepLines w:val="0"/>
              <w:pageBreakBefore w:val="0"/>
              <w:kinsoku/>
              <w:wordWrap/>
              <w:overflowPunct/>
              <w:topLinePunct w:val="0"/>
              <w:bidi w:val="0"/>
              <w:spacing w:line="420" w:lineRule="exact"/>
              <w:ind w:right="-48" w:rightChars="-20"/>
              <w:jc w:val="both"/>
              <w:rPr>
                <w:rFonts w:hint="eastAsia" w:ascii="Times New Roman" w:hAnsi="Times New Roman" w:eastAsia="宋体" w:cs="Times New Roman"/>
                <w:color w:val="auto"/>
                <w:kern w:val="2"/>
                <w:sz w:val="24"/>
                <w:szCs w:val="24"/>
                <w:highlight w:val="none"/>
                <w:lang w:val="en-US" w:eastAsia="zh-CN" w:bidi="ar-SA"/>
              </w:rPr>
            </w:pPr>
          </w:p>
          <w:p w14:paraId="660572F4">
            <w:pPr>
              <w:keepLines w:val="0"/>
              <w:pageBreakBefore w:val="0"/>
              <w:kinsoku/>
              <w:wordWrap/>
              <w:overflowPunct/>
              <w:topLinePunct w:val="0"/>
              <w:bidi w:val="0"/>
              <w:spacing w:line="420" w:lineRule="exact"/>
              <w:ind w:right="-48" w:rightChars="-20"/>
              <w:jc w:val="both"/>
              <w:rPr>
                <w:rFonts w:hint="eastAsia" w:ascii="Times New Roman" w:hAnsi="Times New Roman" w:eastAsia="宋体" w:cs="Times New Roman"/>
                <w:color w:val="auto"/>
                <w:kern w:val="2"/>
                <w:sz w:val="24"/>
                <w:szCs w:val="24"/>
                <w:highlight w:val="none"/>
                <w:lang w:val="en-US" w:eastAsia="zh-CN" w:bidi="ar-SA"/>
              </w:rPr>
            </w:pPr>
          </w:p>
          <w:p w14:paraId="558DFFD4">
            <w:pPr>
              <w:keepLines w:val="0"/>
              <w:pageBreakBefore w:val="0"/>
              <w:kinsoku/>
              <w:wordWrap/>
              <w:overflowPunct/>
              <w:topLinePunct w:val="0"/>
              <w:bidi w:val="0"/>
              <w:spacing w:line="420" w:lineRule="exact"/>
              <w:ind w:right="-48" w:rightChars="-20"/>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支持本国产品政策，财库〔2025〕30号</w:t>
            </w:r>
          </w:p>
        </w:tc>
        <w:tc>
          <w:tcPr>
            <w:tcW w:w="6656" w:type="dxa"/>
            <w:noWrap w:val="0"/>
            <w:vAlign w:val="top"/>
          </w:tcPr>
          <w:p w14:paraId="7202DDDD">
            <w:pPr>
              <w:keepLines w:val="0"/>
              <w:pageBreakBefore w:val="0"/>
              <w:kinsoku/>
              <w:wordWrap/>
              <w:overflowPunct/>
              <w:topLinePunct w:val="0"/>
              <w:bidi w:val="0"/>
              <w:spacing w:line="420" w:lineRule="exact"/>
              <w:ind w:right="-48" w:rightChars="-2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5D07010">
            <w:pPr>
              <w:keepLines w:val="0"/>
              <w:pageBreakBefore w:val="0"/>
              <w:kinsoku/>
              <w:wordWrap/>
              <w:overflowPunct/>
              <w:topLinePunct w:val="0"/>
              <w:bidi w:val="0"/>
              <w:spacing w:line="420" w:lineRule="exact"/>
              <w:ind w:right="-48" w:rightChars="-2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对本国产品的支持政策：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5AD9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066" w:type="dxa"/>
            <w:noWrap w:val="0"/>
            <w:vAlign w:val="center"/>
          </w:tcPr>
          <w:p w14:paraId="3F40C5BE">
            <w:pPr>
              <w:keepLines w:val="0"/>
              <w:pageBreakBefore w:val="0"/>
              <w:kinsoku/>
              <w:wordWrap/>
              <w:overflowPunct/>
              <w:topLinePunct w:val="0"/>
              <w:bidi w:val="0"/>
              <w:spacing w:line="420" w:lineRule="exact"/>
              <w:ind w:right="-48" w:rightChars="-2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36</w:t>
            </w:r>
          </w:p>
        </w:tc>
        <w:tc>
          <w:tcPr>
            <w:tcW w:w="2087" w:type="dxa"/>
            <w:noWrap w:val="0"/>
            <w:tcMar>
              <w:top w:w="0" w:type="dxa"/>
              <w:left w:w="108" w:type="dxa"/>
              <w:bottom w:w="0" w:type="dxa"/>
              <w:right w:w="108" w:type="dxa"/>
            </w:tcMar>
            <w:vAlign w:val="top"/>
          </w:tcPr>
          <w:p w14:paraId="07B914F8">
            <w:pPr>
              <w:pStyle w:val="23"/>
              <w:keepLines w:val="0"/>
              <w:pageBreakBefore w:val="0"/>
              <w:wordWrap/>
              <w:overflowPunct/>
              <w:topLinePunct w:val="0"/>
              <w:bidi w:val="0"/>
              <w:spacing w:before="78" w:line="420" w:lineRule="exact"/>
              <w:jc w:val="center"/>
              <w:rPr>
                <w:rFonts w:hint="eastAsia" w:asciiTheme="minorEastAsia" w:hAnsiTheme="minorEastAsia" w:eastAsiaTheme="minorEastAsia" w:cstheme="minorEastAsia"/>
                <w:b w:val="0"/>
                <w:bCs w:val="0"/>
                <w:color w:val="auto"/>
                <w:spacing w:val="-8"/>
                <w:sz w:val="24"/>
                <w:szCs w:val="24"/>
                <w:lang w:val="en-US" w:eastAsia="zh-CN"/>
              </w:rPr>
            </w:pPr>
          </w:p>
          <w:p w14:paraId="295BDE28">
            <w:pPr>
              <w:pStyle w:val="23"/>
              <w:keepLines w:val="0"/>
              <w:pageBreakBefore w:val="0"/>
              <w:wordWrap/>
              <w:overflowPunct/>
              <w:topLinePunct w:val="0"/>
              <w:bidi w:val="0"/>
              <w:spacing w:before="78" w:line="420" w:lineRule="exact"/>
              <w:jc w:val="center"/>
              <w:rPr>
                <w:rFonts w:hint="eastAsia" w:asciiTheme="minorEastAsia" w:hAnsiTheme="minorEastAsia" w:eastAsiaTheme="minorEastAsia" w:cstheme="minorEastAsia"/>
                <w:b w:val="0"/>
                <w:bCs w:val="0"/>
                <w:color w:val="auto"/>
                <w:spacing w:val="-8"/>
                <w:sz w:val="24"/>
                <w:szCs w:val="24"/>
                <w:lang w:val="en-US" w:eastAsia="zh-CN"/>
              </w:rPr>
            </w:pPr>
          </w:p>
          <w:p w14:paraId="4C9D80FC">
            <w:pPr>
              <w:pStyle w:val="23"/>
              <w:keepLines w:val="0"/>
              <w:pageBreakBefore w:val="0"/>
              <w:wordWrap/>
              <w:overflowPunct/>
              <w:topLinePunct w:val="0"/>
              <w:bidi w:val="0"/>
              <w:spacing w:before="78" w:line="420" w:lineRule="exact"/>
              <w:jc w:val="center"/>
              <w:rPr>
                <w:rFonts w:hint="eastAsia" w:asciiTheme="minorEastAsia" w:hAnsiTheme="minorEastAsia" w:eastAsiaTheme="minorEastAsia" w:cstheme="minorEastAsia"/>
                <w:b w:val="0"/>
                <w:bCs w:val="0"/>
                <w:color w:val="auto"/>
                <w:spacing w:val="-8"/>
                <w:sz w:val="24"/>
                <w:szCs w:val="24"/>
                <w:lang w:val="en-US" w:eastAsia="zh-CN"/>
              </w:rPr>
            </w:pPr>
          </w:p>
          <w:p w14:paraId="10F37878">
            <w:pPr>
              <w:pStyle w:val="23"/>
              <w:keepLines w:val="0"/>
              <w:pageBreakBefore w:val="0"/>
              <w:wordWrap/>
              <w:overflowPunct/>
              <w:topLinePunct w:val="0"/>
              <w:bidi w:val="0"/>
              <w:spacing w:before="78" w:line="420" w:lineRule="exact"/>
              <w:jc w:val="center"/>
              <w:rPr>
                <w:rFonts w:hint="eastAsia" w:asciiTheme="minorEastAsia" w:hAnsiTheme="minorEastAsia" w:eastAsiaTheme="minorEastAsia" w:cstheme="minorEastAsia"/>
                <w:b w:val="0"/>
                <w:bCs w:val="0"/>
                <w:color w:val="auto"/>
                <w:spacing w:val="-8"/>
                <w:sz w:val="24"/>
                <w:szCs w:val="24"/>
                <w:lang w:val="en-US" w:eastAsia="zh-CN"/>
              </w:rPr>
            </w:pPr>
          </w:p>
          <w:p w14:paraId="473F7A48">
            <w:pPr>
              <w:pStyle w:val="23"/>
              <w:keepLines w:val="0"/>
              <w:pageBreakBefore w:val="0"/>
              <w:wordWrap/>
              <w:overflowPunct/>
              <w:topLinePunct w:val="0"/>
              <w:bidi w:val="0"/>
              <w:spacing w:before="78" w:line="420" w:lineRule="exact"/>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pacing w:val="-8"/>
                <w:sz w:val="24"/>
                <w:szCs w:val="24"/>
                <w:lang w:val="en-US" w:eastAsia="zh-CN"/>
              </w:rPr>
              <w:t>报价合理性说明</w:t>
            </w:r>
          </w:p>
        </w:tc>
        <w:tc>
          <w:tcPr>
            <w:tcW w:w="6656" w:type="dxa"/>
            <w:noWrap w:val="0"/>
            <w:vAlign w:val="top"/>
          </w:tcPr>
          <w:p w14:paraId="0D05890E">
            <w:pPr>
              <w:pStyle w:val="22"/>
              <w:keepLines w:val="0"/>
              <w:pageBreakBefore w:val="0"/>
              <w:wordWrap/>
              <w:overflowPunct/>
              <w:topLinePunct w:val="0"/>
              <w:bidi w:val="0"/>
              <w:spacing w:line="42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0187505D">
            <w:pPr>
              <w:pStyle w:val="22"/>
              <w:keepLines w:val="0"/>
              <w:pageBreakBefore w:val="0"/>
              <w:wordWrap/>
              <w:overflowPunct/>
              <w:topLinePunct w:val="0"/>
              <w:bidi w:val="0"/>
              <w:spacing w:line="42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2E39303">
            <w:pPr>
              <w:pStyle w:val="22"/>
              <w:keepLines w:val="0"/>
              <w:pageBreakBefore w:val="0"/>
              <w:wordWrap/>
              <w:overflowPunct/>
              <w:topLinePunct w:val="0"/>
              <w:bidi w:val="0"/>
              <w:spacing w:line="42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3.投标（响应）报价低于采购项目最高限价45%的，即投标（响应）报价&lt;采购项目最高限价×45%；</w:t>
            </w:r>
          </w:p>
          <w:p w14:paraId="546080BB">
            <w:pPr>
              <w:pStyle w:val="22"/>
              <w:keepLines w:val="0"/>
              <w:pageBreakBefore w:val="0"/>
              <w:wordWrap/>
              <w:overflowPunct/>
              <w:topLinePunct w:val="0"/>
              <w:bidi w:val="0"/>
              <w:spacing w:line="420" w:lineRule="exact"/>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4.评审委员会基于专业判断，认为供应商报价过低，有可能影响产品质量或者不能诚信履约的其他情形。</w:t>
            </w:r>
          </w:p>
          <w:p w14:paraId="197156E9">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供应商报价超出上述范围，须进行报价合理性说明。</w:t>
            </w:r>
          </w:p>
        </w:tc>
      </w:tr>
      <w:tr w14:paraId="11E7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066" w:type="dxa"/>
            <w:noWrap w:val="0"/>
            <w:vAlign w:val="center"/>
          </w:tcPr>
          <w:p w14:paraId="1C86B1A7">
            <w:pPr>
              <w:keepLines w:val="0"/>
              <w:pageBreakBefore w:val="0"/>
              <w:kinsoku/>
              <w:wordWrap/>
              <w:overflowPunct/>
              <w:topLinePunct w:val="0"/>
              <w:bidi w:val="0"/>
              <w:spacing w:line="420" w:lineRule="exact"/>
              <w:ind w:right="-48" w:rightChars="-20"/>
              <w:jc w:val="center"/>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37</w:t>
            </w:r>
          </w:p>
        </w:tc>
        <w:tc>
          <w:tcPr>
            <w:tcW w:w="2087" w:type="dxa"/>
            <w:noWrap w:val="0"/>
            <w:tcMar>
              <w:top w:w="0" w:type="dxa"/>
              <w:left w:w="108" w:type="dxa"/>
              <w:bottom w:w="0" w:type="dxa"/>
              <w:right w:w="108" w:type="dxa"/>
            </w:tcMar>
            <w:vAlign w:val="top"/>
          </w:tcPr>
          <w:p w14:paraId="59E32CD9">
            <w:pPr>
              <w:pStyle w:val="23"/>
              <w:keepLines w:val="0"/>
              <w:pageBreakBefore w:val="0"/>
              <w:wordWrap/>
              <w:overflowPunct/>
              <w:topLinePunct w:val="0"/>
              <w:bidi w:val="0"/>
              <w:spacing w:before="78" w:line="420" w:lineRule="exact"/>
              <w:jc w:val="both"/>
              <w:rPr>
                <w:rFonts w:hint="eastAsia" w:asciiTheme="minorEastAsia" w:hAnsiTheme="minorEastAsia" w:eastAsiaTheme="minorEastAsia" w:cstheme="minorEastAsia"/>
                <w:b w:val="0"/>
                <w:bCs w:val="0"/>
                <w:color w:val="auto"/>
                <w:spacing w:val="-8"/>
                <w:sz w:val="24"/>
                <w:szCs w:val="24"/>
                <w:lang w:val="en-US" w:eastAsia="zh-CN"/>
              </w:rPr>
            </w:pPr>
          </w:p>
          <w:p w14:paraId="3E2DDA1E">
            <w:pPr>
              <w:pStyle w:val="23"/>
              <w:keepLines w:val="0"/>
              <w:pageBreakBefore w:val="0"/>
              <w:wordWrap/>
              <w:overflowPunct/>
              <w:topLinePunct w:val="0"/>
              <w:bidi w:val="0"/>
              <w:spacing w:before="78" w:line="420" w:lineRule="exact"/>
              <w:jc w:val="both"/>
              <w:rPr>
                <w:rFonts w:hint="eastAsia" w:asciiTheme="minorEastAsia" w:hAnsiTheme="minorEastAsia" w:eastAsiaTheme="minorEastAsia" w:cstheme="minorEastAsia"/>
                <w:b w:val="0"/>
                <w:bCs w:val="0"/>
                <w:color w:val="auto"/>
                <w:spacing w:val="-8"/>
                <w:sz w:val="24"/>
                <w:szCs w:val="24"/>
                <w:lang w:val="en-US" w:eastAsia="zh-CN"/>
              </w:rPr>
            </w:pPr>
          </w:p>
          <w:p w14:paraId="7B9733DB">
            <w:pPr>
              <w:pStyle w:val="23"/>
              <w:keepLines w:val="0"/>
              <w:pageBreakBefore w:val="0"/>
              <w:wordWrap/>
              <w:overflowPunct/>
              <w:topLinePunct w:val="0"/>
              <w:bidi w:val="0"/>
              <w:spacing w:before="78" w:line="420" w:lineRule="exact"/>
              <w:jc w:val="both"/>
              <w:rPr>
                <w:rFonts w:hint="eastAsia" w:asciiTheme="minorEastAsia" w:hAnsiTheme="minorEastAsia" w:eastAsiaTheme="minorEastAsia" w:cstheme="minorEastAsia"/>
                <w:b w:val="0"/>
                <w:bCs w:val="0"/>
                <w:color w:val="auto"/>
                <w:spacing w:val="-8"/>
                <w:sz w:val="24"/>
                <w:szCs w:val="24"/>
                <w:lang w:val="en-US" w:eastAsia="zh-CN"/>
              </w:rPr>
            </w:pPr>
          </w:p>
          <w:p w14:paraId="66BE52DB">
            <w:pPr>
              <w:pStyle w:val="23"/>
              <w:keepLines w:val="0"/>
              <w:pageBreakBefore w:val="0"/>
              <w:wordWrap/>
              <w:overflowPunct/>
              <w:topLinePunct w:val="0"/>
              <w:bidi w:val="0"/>
              <w:spacing w:before="78" w:line="420" w:lineRule="exact"/>
              <w:jc w:val="both"/>
              <w:rPr>
                <w:rFonts w:hint="eastAsia" w:asciiTheme="minorEastAsia" w:hAnsiTheme="minorEastAsia" w:eastAsiaTheme="minorEastAsia" w:cstheme="minorEastAsia"/>
                <w:b w:val="0"/>
                <w:bCs w:val="0"/>
                <w:color w:val="auto"/>
                <w:spacing w:val="-8"/>
                <w:sz w:val="24"/>
                <w:szCs w:val="24"/>
                <w:lang w:val="en-US" w:eastAsia="zh-CN"/>
              </w:rPr>
            </w:pPr>
          </w:p>
          <w:p w14:paraId="271109FA">
            <w:pPr>
              <w:pStyle w:val="23"/>
              <w:keepLines w:val="0"/>
              <w:pageBreakBefore w:val="0"/>
              <w:wordWrap/>
              <w:overflowPunct/>
              <w:topLinePunct w:val="0"/>
              <w:bidi w:val="0"/>
              <w:spacing w:before="78" w:line="420" w:lineRule="exact"/>
              <w:jc w:val="both"/>
              <w:rPr>
                <w:rFonts w:hint="eastAsia" w:asciiTheme="minorEastAsia" w:hAnsiTheme="minorEastAsia" w:eastAsiaTheme="minorEastAsia" w:cstheme="minorEastAsia"/>
                <w:b w:val="0"/>
                <w:bCs w:val="0"/>
                <w:color w:val="auto"/>
                <w:spacing w:val="-8"/>
                <w:sz w:val="24"/>
                <w:szCs w:val="24"/>
                <w:lang w:val="en-US" w:eastAsia="zh-CN"/>
              </w:rPr>
            </w:pPr>
          </w:p>
          <w:p w14:paraId="685B5CDE">
            <w:pPr>
              <w:pStyle w:val="23"/>
              <w:keepLines w:val="0"/>
              <w:pageBreakBefore w:val="0"/>
              <w:wordWrap/>
              <w:overflowPunct/>
              <w:topLinePunct w:val="0"/>
              <w:bidi w:val="0"/>
              <w:spacing w:before="78" w:line="420" w:lineRule="exact"/>
              <w:jc w:val="both"/>
              <w:rPr>
                <w:rFonts w:hint="eastAsia" w:asciiTheme="minorEastAsia" w:hAnsiTheme="minorEastAsia" w:eastAsiaTheme="minorEastAsia" w:cstheme="minorEastAsia"/>
                <w:b w:val="0"/>
                <w:bCs w:val="0"/>
                <w:color w:val="auto"/>
                <w:spacing w:val="-8"/>
                <w:sz w:val="24"/>
                <w:szCs w:val="24"/>
                <w:lang w:val="en-US" w:eastAsia="zh-CN"/>
              </w:rPr>
            </w:pPr>
          </w:p>
          <w:p w14:paraId="6073F228">
            <w:pPr>
              <w:pStyle w:val="23"/>
              <w:keepLines w:val="0"/>
              <w:pageBreakBefore w:val="0"/>
              <w:wordWrap/>
              <w:overflowPunct/>
              <w:topLinePunct w:val="0"/>
              <w:bidi w:val="0"/>
              <w:spacing w:before="78" w:line="420" w:lineRule="exact"/>
              <w:jc w:val="both"/>
              <w:rPr>
                <w:rFonts w:hint="eastAsia" w:asciiTheme="minorEastAsia" w:hAnsiTheme="minorEastAsia" w:eastAsiaTheme="minorEastAsia" w:cstheme="minorEastAsia"/>
                <w:b w:val="0"/>
                <w:bCs w:val="0"/>
                <w:color w:val="auto"/>
                <w:spacing w:val="-8"/>
                <w:sz w:val="24"/>
                <w:szCs w:val="24"/>
                <w:lang w:val="en-US" w:eastAsia="zh-CN"/>
              </w:rPr>
            </w:pPr>
          </w:p>
          <w:p w14:paraId="5E00BC71">
            <w:pPr>
              <w:pStyle w:val="23"/>
              <w:keepLines w:val="0"/>
              <w:pageBreakBefore w:val="0"/>
              <w:wordWrap/>
              <w:overflowPunct/>
              <w:topLinePunct w:val="0"/>
              <w:bidi w:val="0"/>
              <w:spacing w:before="78" w:line="420" w:lineRule="exact"/>
              <w:jc w:val="both"/>
              <w:rPr>
                <w:rFonts w:hint="eastAsia" w:asciiTheme="minorEastAsia" w:hAnsiTheme="minorEastAsia" w:eastAsiaTheme="minorEastAsia" w:cstheme="minorEastAsia"/>
                <w:b w:val="0"/>
                <w:bCs w:val="0"/>
                <w:color w:val="auto"/>
                <w:spacing w:val="-8"/>
                <w:sz w:val="24"/>
                <w:szCs w:val="24"/>
                <w:lang w:val="en-US" w:eastAsia="zh-CN"/>
              </w:rPr>
            </w:pPr>
            <w:r>
              <w:rPr>
                <w:rFonts w:hint="eastAsia" w:asciiTheme="minorEastAsia" w:hAnsiTheme="minorEastAsia" w:eastAsiaTheme="minorEastAsia" w:cstheme="minorEastAsia"/>
                <w:b w:val="0"/>
                <w:bCs w:val="0"/>
                <w:color w:val="auto"/>
                <w:spacing w:val="-8"/>
                <w:sz w:val="24"/>
                <w:szCs w:val="24"/>
                <w:lang w:val="en-US" w:eastAsia="zh-CN"/>
              </w:rPr>
              <w:t>报价异常说明要求</w:t>
            </w:r>
          </w:p>
        </w:tc>
        <w:tc>
          <w:tcPr>
            <w:tcW w:w="6656" w:type="dxa"/>
            <w:noWrap w:val="0"/>
            <w:vAlign w:val="top"/>
          </w:tcPr>
          <w:p w14:paraId="58444F53">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一、报价异常情形界定</w:t>
            </w:r>
          </w:p>
          <w:p w14:paraId="44B7A631">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在评标过程中，评标委员会发现供应商存在以下报价异常情形之一的，将启动报价异常核查程序，要求相关供应商对报价合理性进行说明：</w:t>
            </w:r>
          </w:p>
          <w:p w14:paraId="2A61B6DB">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 投标报价明显低于其他通过符合性审查供应商的有效报价，且评标委员会有合理理由认为该报价可能影响项目质量、履约能力，或存在不正当竞争、低于成本价竞标嫌疑的；</w:t>
            </w:r>
          </w:p>
          <w:p w14:paraId="1762E69E">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 投标报价低于本项目采购最高限价45%的；</w:t>
            </w:r>
          </w:p>
          <w:p w14:paraId="07285E2E">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 投标报价低于通过符合性审查的次低有效投标报价50%的；</w:t>
            </w:r>
          </w:p>
          <w:p w14:paraId="3850DFF2">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 投标报价存在畸高、畸低，或与项目成本、市场公允价格严重偏离，评标委员会认定需进行核查的其他情形。</w:t>
            </w:r>
          </w:p>
          <w:p w14:paraId="134CC4A1">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二、报价异常说明时限要求</w:t>
            </w:r>
          </w:p>
          <w:p w14:paraId="0E083238">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评标委员会经核查认定供应商存在上述报价异常情形的，将当场向该供应商发出报价异常说明通知，明确给予供应商30分钟的书面说明及证明材料提交时间，该30分钟计时自供应商收到评标委员会正式通知之时起算。供应商可在该时限内通过现场书面提交、电子交易平台线上提交等指定方式，对报价异常原因、报价构成、成本核算、履约保障措施等内容进行详细说明，并可同步提交成本明细、服务方案、货源证明、质量保障承诺等相关佐证材料。</w:t>
            </w:r>
          </w:p>
          <w:p w14:paraId="0841913A">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若供应商在30分钟时限内提前完成说明及材料提交，可书面告知评标委员会，经确认后计时终止；若时限届满供应商未完成提交，可在时限截止前向评标委员会书面申请适当延长，延长时长由评标委员会根据项目实际情况核定，但基础说明时长严格保障不少于30分钟，充分保障供应商申辩权利。</w:t>
            </w:r>
          </w:p>
          <w:p w14:paraId="599396A5">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三、说明结果处置规则</w:t>
            </w:r>
          </w:p>
          <w:p w14:paraId="23717AB2">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 供应商在规定时限内提交书面说明及佐证材料，经评标委员会评审，认为其说明合理、材料充分，能够证明报价具备合理性、具备完全履约能力且符合项目质量要求的，该报价予以认可，继续参与后续评标流程；</w:t>
            </w:r>
          </w:p>
          <w:p w14:paraId="6308596D">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 供应商未在规定时限内提交说明及相关材料，或提交的说明及材料无法证明报价合理性、不能有效排除履约及质量风险的，评标委员会将依据相关法律法规及招标文件规定，认定该投标报价无效，作无效投标处理；</w:t>
            </w:r>
          </w:p>
          <w:p w14:paraId="62BF5ADE">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 供应商提交虚假说明材料的，一经查实，直接取消其投标资格，同时列入本项目采购不良行为记录，依法依规追究相应责任。 </w:t>
            </w:r>
          </w:p>
          <w:p w14:paraId="6BF4CE42">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四、其他说明</w:t>
            </w:r>
          </w:p>
          <w:p w14:paraId="41173E45">
            <w:pPr>
              <w:pStyle w:val="23"/>
              <w:keepLines w:val="0"/>
              <w:pageBreakBefore w:val="0"/>
              <w:wordWrap/>
              <w:overflowPunct/>
              <w:topLinePunct w:val="0"/>
              <w:bidi w:val="0"/>
              <w:spacing w:before="111" w:line="420" w:lineRule="exact"/>
              <w:ind w:left="111" w:leftChars="0" w:right="104" w:rightChars="0" w:firstLine="2" w:firstLineChars="0"/>
              <w:jc w:val="both"/>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条款所指报价异常说明程序，严格遵循《政府采购货物和服务招标投标管理办法》（财政部令第87号）相关规定，30分钟为供应商报价异常说明的最低保障时限，评标委员会不得擅自缩短该时限，确保采购活动公平、公正、公开开展，维护供需双方合法权益。</w:t>
            </w:r>
          </w:p>
        </w:tc>
      </w:tr>
    </w:tbl>
    <w:p w14:paraId="61C8055B">
      <w:pPr>
        <w:keepLines w:val="0"/>
        <w:pageBreakBefore w:val="0"/>
        <w:kinsoku/>
        <w:wordWrap/>
        <w:overflowPunct/>
        <w:topLinePunct w:val="0"/>
        <w:bidi w:val="0"/>
        <w:spacing w:line="420" w:lineRule="exact"/>
        <w:ind w:right="-48" w:rightChars="-20"/>
        <w:jc w:val="left"/>
        <w:rPr>
          <w:rFonts w:hint="eastAsia"/>
          <w:lang w:val="en-US" w:eastAsia="zh-CN"/>
        </w:rPr>
      </w:pPr>
      <w:r>
        <w:rPr>
          <w:rFonts w:hint="eastAsia" w:ascii="Times New Roman" w:hAnsi="Times New Roman" w:eastAsia="宋体" w:cs="Times New Roman"/>
          <w:color w:val="auto"/>
          <w:kern w:val="2"/>
          <w:sz w:val="24"/>
          <w:szCs w:val="24"/>
          <w:highlight w:val="none"/>
          <w:lang w:val="en-US" w:eastAsia="zh-CN" w:bidi="ar-SA"/>
        </w:rPr>
        <w:t>备注：1、本须知前附表内容与谈</w:t>
      </w:r>
      <w:r>
        <w:rPr>
          <w:rFonts w:hint="eastAsia" w:ascii="宋体" w:hAnsi="宋体" w:eastAsia="宋体" w:cs="宋体"/>
          <w:color w:val="auto"/>
          <w:kern w:val="0"/>
          <w:sz w:val="24"/>
          <w:szCs w:val="24"/>
          <w:highlight w:val="none"/>
          <w:lang w:val="en-US" w:eastAsia="zh-CN" w:bidi="ar"/>
        </w:rPr>
        <w:t>判文件的内容相对应，如有矛盾，应以投标人须知前附表为准。</w:t>
      </w:r>
      <w:r>
        <w:rPr>
          <w:rFonts w:hint="eastAsia" w:ascii="宋体" w:hAnsi="宋体" w:cs="宋体"/>
          <w:color w:val="auto"/>
          <w:sz w:val="24"/>
          <w:highlight w:val="none"/>
          <w:lang w:val="en-US" w:eastAsia="zh-CN"/>
        </w:rPr>
        <w:t>2、因采用不见面电子开评标，凡谈判文件中与采用“不见面”方式开标有矛盾或不一致的条款或规定自然失效。</w:t>
      </w:r>
      <w:bookmarkStart w:id="41" w:name="_Toc18080"/>
      <w:bookmarkStart w:id="42" w:name="_Toc19400"/>
      <w:bookmarkStart w:id="43" w:name="_Toc14477"/>
    </w:p>
    <w:p w14:paraId="53CD20DC">
      <w:pPr>
        <w:pStyle w:val="2"/>
        <w:pageBreakBefore w:val="0"/>
        <w:kinsoku/>
        <w:wordWrap/>
        <w:overflowPunct/>
        <w:topLinePunct w:val="0"/>
        <w:bidi w:val="0"/>
        <w:spacing w:before="0" w:after="0" w:line="240" w:lineRule="auto"/>
        <w:jc w:val="center"/>
        <w:rPr>
          <w:rFonts w:hint="eastAsia" w:ascii="宋体" w:hAnsi="宋体" w:eastAsia="宋体" w:cs="宋体"/>
          <w:color w:val="auto"/>
          <w:sz w:val="32"/>
          <w:highlight w:val="none"/>
          <w:lang w:val="en-US" w:eastAsia="zh-CN"/>
        </w:rPr>
      </w:pPr>
    </w:p>
    <w:p w14:paraId="245020FB">
      <w:pPr>
        <w:rPr>
          <w:rFonts w:hint="eastAsia" w:ascii="宋体" w:hAnsi="宋体" w:eastAsia="宋体" w:cs="宋体"/>
          <w:color w:val="auto"/>
          <w:sz w:val="32"/>
          <w:highlight w:val="none"/>
          <w:lang w:val="en-US" w:eastAsia="zh-CN"/>
        </w:rPr>
      </w:pPr>
    </w:p>
    <w:p w14:paraId="389EE393">
      <w:pPr>
        <w:rPr>
          <w:rFonts w:hint="eastAsia" w:ascii="宋体" w:hAnsi="宋体" w:eastAsia="宋体" w:cs="宋体"/>
          <w:color w:val="auto"/>
          <w:sz w:val="32"/>
          <w:highlight w:val="none"/>
          <w:lang w:val="en-US" w:eastAsia="zh-CN"/>
        </w:rPr>
      </w:pPr>
    </w:p>
    <w:p w14:paraId="0C0F71F7">
      <w:pPr>
        <w:rPr>
          <w:rFonts w:hint="eastAsia" w:ascii="宋体" w:hAnsi="宋体" w:eastAsia="宋体" w:cs="宋体"/>
          <w:color w:val="auto"/>
          <w:sz w:val="32"/>
          <w:highlight w:val="none"/>
          <w:lang w:val="en-US" w:eastAsia="zh-CN"/>
        </w:rPr>
      </w:pPr>
    </w:p>
    <w:p w14:paraId="28721582">
      <w:pPr>
        <w:rPr>
          <w:rFonts w:hint="eastAsia" w:ascii="宋体" w:hAnsi="宋体" w:eastAsia="宋体" w:cs="宋体"/>
          <w:color w:val="auto"/>
          <w:sz w:val="32"/>
          <w:highlight w:val="none"/>
          <w:lang w:val="en-US" w:eastAsia="zh-CN"/>
        </w:rPr>
      </w:pPr>
    </w:p>
    <w:p w14:paraId="3B20F55D">
      <w:pPr>
        <w:pStyle w:val="2"/>
        <w:pageBreakBefore w:val="0"/>
        <w:kinsoku/>
        <w:wordWrap/>
        <w:overflowPunct/>
        <w:topLinePunct w:val="0"/>
        <w:bidi w:val="0"/>
        <w:spacing w:before="0" w:after="0" w:line="240" w:lineRule="auto"/>
        <w:jc w:val="center"/>
        <w:rPr>
          <w:rFonts w:hint="eastAsia" w:ascii="宋体" w:hAnsi="宋体" w:eastAsia="宋体" w:cs="宋体"/>
          <w:color w:val="auto"/>
          <w:sz w:val="32"/>
          <w:highlight w:val="none"/>
          <w:lang w:val="en-US" w:eastAsia="zh-CN"/>
        </w:rPr>
      </w:pPr>
      <w:r>
        <w:rPr>
          <w:rFonts w:hint="eastAsia" w:ascii="宋体" w:hAnsi="宋体" w:eastAsia="宋体" w:cs="宋体"/>
          <w:color w:val="auto"/>
          <w:sz w:val="32"/>
          <w:highlight w:val="none"/>
          <w:lang w:val="en-US" w:eastAsia="zh-CN"/>
        </w:rPr>
        <w:t>第一章  项目谈判有关说明</w:t>
      </w:r>
      <w:bookmarkEnd w:id="41"/>
      <w:bookmarkEnd w:id="42"/>
      <w:bookmarkEnd w:id="43"/>
    </w:p>
    <w:p w14:paraId="171283D2">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cs="宋体"/>
          <w:color w:val="auto"/>
          <w:sz w:val="24"/>
          <w:highlight w:val="none"/>
          <w:lang w:eastAsia="zh-CN"/>
        </w:rPr>
      </w:pPr>
    </w:p>
    <w:p w14:paraId="4F50C75D">
      <w:pPr>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安徽科睿工程项目管理有限公司</w:t>
      </w:r>
      <w:r>
        <w:rPr>
          <w:rFonts w:hint="eastAsia" w:ascii="宋体" w:hAnsi="宋体" w:eastAsia="宋体" w:cs="宋体"/>
          <w:color w:val="auto"/>
          <w:sz w:val="24"/>
          <w:highlight w:val="none"/>
        </w:rPr>
        <w:t>受</w:t>
      </w:r>
      <w:r>
        <w:rPr>
          <w:rFonts w:hint="eastAsia" w:ascii="宋体" w:hAnsi="宋体" w:cs="宋体"/>
          <w:color w:val="auto"/>
          <w:sz w:val="24"/>
          <w:highlight w:val="none"/>
          <w:lang w:val="en-US" w:eastAsia="zh-CN"/>
        </w:rPr>
        <w:t>温泉县交通运输局</w:t>
      </w:r>
      <w:r>
        <w:rPr>
          <w:rFonts w:hint="eastAsia" w:ascii="宋体" w:hAnsi="宋体" w:eastAsia="宋体" w:cs="宋体"/>
          <w:color w:val="auto"/>
          <w:sz w:val="24"/>
          <w:highlight w:val="none"/>
        </w:rPr>
        <w:t>委托，</w:t>
      </w:r>
      <w:r>
        <w:rPr>
          <w:rFonts w:hint="eastAsia" w:ascii="宋体" w:hAnsi="宋体" w:eastAsia="宋体" w:cs="宋体"/>
          <w:color w:val="auto"/>
          <w:sz w:val="24"/>
          <w:highlight w:val="none"/>
          <w:lang w:eastAsia="zh-CN"/>
        </w:rPr>
        <w:t>对</w:t>
      </w:r>
      <w:r>
        <w:rPr>
          <w:rFonts w:hint="eastAsia" w:ascii="宋体" w:hAnsi="宋体" w:eastAsia="宋体" w:cs="宋体"/>
          <w:color w:val="auto"/>
          <w:sz w:val="24"/>
          <w:highlight w:val="none"/>
        </w:rPr>
        <w:t>本项目进行</w:t>
      </w:r>
      <w:r>
        <w:rPr>
          <w:rFonts w:hint="eastAsia" w:ascii="宋体" w:hAnsi="宋体" w:cs="宋体"/>
          <w:color w:val="auto"/>
          <w:sz w:val="24"/>
          <w:highlight w:val="none"/>
          <w:u w:val="none"/>
          <w:lang w:val="en-US" w:eastAsia="zh-CN"/>
        </w:rPr>
        <w:t>竞争性谈判</w:t>
      </w:r>
      <w:r>
        <w:rPr>
          <w:rFonts w:hint="eastAsia" w:ascii="宋体" w:hAnsi="宋体" w:eastAsia="宋体" w:cs="宋体"/>
          <w:color w:val="auto"/>
          <w:sz w:val="24"/>
          <w:highlight w:val="none"/>
          <w:u w:val="none"/>
        </w:rPr>
        <w:t>采</w:t>
      </w:r>
      <w:r>
        <w:rPr>
          <w:rFonts w:hint="eastAsia" w:ascii="宋体" w:hAnsi="宋体" w:eastAsia="宋体" w:cs="宋体"/>
          <w:color w:val="auto"/>
          <w:sz w:val="24"/>
          <w:highlight w:val="none"/>
        </w:rPr>
        <w:t>购</w:t>
      </w:r>
      <w:r>
        <w:rPr>
          <w:rFonts w:hint="eastAsia" w:ascii="宋体" w:hAnsi="宋体" w:cs="宋体"/>
          <w:color w:val="auto"/>
          <w:sz w:val="24"/>
          <w:highlight w:val="none"/>
          <w:lang w:eastAsia="zh-CN"/>
        </w:rPr>
        <w:t>招标</w:t>
      </w:r>
      <w:r>
        <w:rPr>
          <w:rFonts w:hint="eastAsia" w:ascii="宋体" w:hAnsi="宋体" w:eastAsia="宋体" w:cs="宋体"/>
          <w:color w:val="auto"/>
          <w:sz w:val="24"/>
          <w:highlight w:val="none"/>
        </w:rPr>
        <w:t>。</w:t>
      </w:r>
    </w:p>
    <w:p w14:paraId="2688EFDA">
      <w:pPr>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bCs w:val="0"/>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竞争性谈判项目</w:t>
      </w:r>
      <w:r>
        <w:rPr>
          <w:rFonts w:hint="eastAsia" w:ascii="宋体" w:hAnsi="宋体" w:eastAsia="宋体" w:cs="宋体"/>
          <w:b w:val="0"/>
          <w:bCs/>
          <w:color w:val="000000" w:themeColor="text1"/>
          <w:sz w:val="24"/>
          <w:highlight w:val="none"/>
          <w14:textFill>
            <w14:solidFill>
              <w14:schemeClr w14:val="tx1"/>
            </w14:solidFill>
          </w14:textFill>
        </w:rPr>
        <w:t>编号：</w:t>
      </w:r>
      <w:r>
        <w:rPr>
          <w:rFonts w:hint="eastAsia" w:ascii="宋体" w:hAnsi="宋体" w:cs="宋体"/>
          <w:b/>
          <w:bCs w:val="0"/>
          <w:color w:val="000000" w:themeColor="text1"/>
          <w:sz w:val="24"/>
          <w:highlight w:val="none"/>
          <w:lang w:val="en-US" w:eastAsia="zh-CN"/>
          <w14:textFill>
            <w14:solidFill>
              <w14:schemeClr w14:val="tx1"/>
            </w14:solidFill>
          </w14:textFill>
        </w:rPr>
        <w:t>AHKRTP2026-009</w:t>
      </w:r>
    </w:p>
    <w:p w14:paraId="3E588ABA">
      <w:pPr>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竞争性谈判</w:t>
      </w:r>
      <w:r>
        <w:rPr>
          <w:rFonts w:hint="eastAsia" w:ascii="宋体" w:hAnsi="宋体" w:eastAsia="宋体" w:cs="宋体"/>
          <w:b w:val="0"/>
          <w:bCs/>
          <w:color w:val="000000" w:themeColor="text1"/>
          <w:sz w:val="24"/>
          <w:highlight w:val="none"/>
          <w14:textFill>
            <w14:solidFill>
              <w14:schemeClr w14:val="tx1"/>
            </w14:solidFill>
          </w14:textFill>
        </w:rPr>
        <w:t>项目名称：</w:t>
      </w:r>
      <w:r>
        <w:rPr>
          <w:rFonts w:hint="eastAsia" w:ascii="宋体" w:hAnsi="宋体" w:cs="宋体"/>
          <w:b/>
          <w:bCs w:val="0"/>
          <w:color w:val="000000" w:themeColor="text1"/>
          <w:kern w:val="2"/>
          <w:sz w:val="24"/>
          <w:szCs w:val="24"/>
          <w:highlight w:val="none"/>
          <w:lang w:val="en-US" w:eastAsia="zh-CN" w:bidi="ar-SA"/>
          <w14:textFill>
            <w14:solidFill>
              <w14:schemeClr w14:val="tx1"/>
            </w14:solidFill>
          </w14:textFill>
        </w:rPr>
        <w:t>温泉县乡镇运输服务站（乡镇综合运输服务站改造项目）</w:t>
      </w:r>
    </w:p>
    <w:p w14:paraId="76EE53EB">
      <w:pPr>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三、</w:t>
      </w:r>
      <w:r>
        <w:rPr>
          <w:rFonts w:hint="eastAsia" w:ascii="宋体" w:hAnsi="宋体" w:eastAsia="宋体" w:cs="宋体"/>
          <w:b w:val="0"/>
          <w:bCs/>
          <w:color w:val="000000" w:themeColor="text1"/>
          <w:sz w:val="24"/>
          <w:highlight w:val="none"/>
          <w:lang w:eastAsia="zh-CN"/>
          <w14:textFill>
            <w14:solidFill>
              <w14:schemeClr w14:val="tx1"/>
            </w14:solidFill>
          </w14:textFill>
        </w:rPr>
        <w:t>重要</w:t>
      </w:r>
      <w:r>
        <w:rPr>
          <w:rFonts w:hint="eastAsia" w:ascii="宋体" w:hAnsi="宋体" w:eastAsia="宋体" w:cs="宋体"/>
          <w:b w:val="0"/>
          <w:bCs/>
          <w:color w:val="000000" w:themeColor="text1"/>
          <w:sz w:val="24"/>
          <w:highlight w:val="none"/>
          <w14:textFill>
            <w14:solidFill>
              <w14:schemeClr w14:val="tx1"/>
            </w14:solidFill>
          </w14:textFill>
        </w:rPr>
        <w:t>说明：</w:t>
      </w:r>
    </w:p>
    <w:p w14:paraId="5D26248C">
      <w:pPr>
        <w:pageBreakBefore w:val="0"/>
        <w:kinsoku/>
        <w:wordWrap/>
        <w:overflowPunct/>
        <w:topLinePunct w:val="0"/>
        <w:bidi w:val="0"/>
        <w:spacing w:line="360" w:lineRule="auto"/>
        <w:ind w:firstLine="538"/>
        <w:rPr>
          <w:rFonts w:hint="eastAsia" w:ascii="宋体" w:hAnsi="宋体" w:cs="宋体"/>
          <w:b/>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1、</w:t>
      </w:r>
      <w:r>
        <w:rPr>
          <w:rFonts w:hint="eastAsia" w:ascii="宋体" w:hAnsi="宋体" w:cs="宋体"/>
          <w:b w:val="0"/>
          <w:bCs/>
          <w:color w:val="000000" w:themeColor="text1"/>
          <w:sz w:val="24"/>
          <w:highlight w:val="none"/>
          <w:lang w:val="en-US" w:eastAsia="zh-CN"/>
          <w14:textFill>
            <w14:solidFill>
              <w14:schemeClr w14:val="tx1"/>
            </w14:solidFill>
          </w14:textFill>
        </w:rPr>
        <w:t>采购内容：</w:t>
      </w:r>
      <w:r>
        <w:rPr>
          <w:rFonts w:hint="eastAsia" w:ascii="宋体" w:hAnsi="宋体" w:cs="宋体"/>
          <w:b/>
          <w:bCs w:val="0"/>
          <w:color w:val="000000" w:themeColor="text1"/>
          <w:sz w:val="24"/>
          <w:highlight w:val="none"/>
          <w:lang w:val="en-US" w:eastAsia="zh-CN"/>
          <w14:textFill>
            <w14:solidFill>
              <w14:schemeClr w14:val="tx1"/>
            </w14:solidFill>
          </w14:textFill>
        </w:rPr>
        <w:t>对乡镇综合运输服务站进行改造。（详见工程量清单）</w:t>
      </w:r>
    </w:p>
    <w:p w14:paraId="36DB525F">
      <w:pPr>
        <w:pageBreakBefore w:val="0"/>
        <w:kinsoku/>
        <w:wordWrap/>
        <w:overflowPunct/>
        <w:topLinePunct w:val="0"/>
        <w:bidi w:val="0"/>
        <w:spacing w:line="360" w:lineRule="auto"/>
        <w:ind w:firstLine="538"/>
        <w:rPr>
          <w:rFonts w:hint="eastAsia" w:ascii="宋体" w:hAnsi="宋体" w:cs="宋体"/>
          <w:b/>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2、</w:t>
      </w:r>
      <w:r>
        <w:rPr>
          <w:rFonts w:hint="eastAsia" w:ascii="宋体" w:hAnsi="宋体" w:cs="宋体"/>
          <w:b w:val="0"/>
          <w:bCs/>
          <w:color w:val="000000" w:themeColor="text1"/>
          <w:sz w:val="24"/>
          <w:highlight w:val="none"/>
          <w:lang w:val="en-US" w:eastAsia="zh-CN"/>
          <w14:textFill>
            <w14:solidFill>
              <w14:schemeClr w14:val="tx1"/>
            </w14:solidFill>
          </w14:textFill>
        </w:rPr>
        <w:t>施工</w:t>
      </w:r>
      <w:r>
        <w:rPr>
          <w:rFonts w:hint="eastAsia" w:ascii="宋体" w:hAnsi="宋体" w:eastAsia="宋体" w:cs="宋体"/>
          <w:b w:val="0"/>
          <w:bCs/>
          <w:color w:val="000000" w:themeColor="text1"/>
          <w:sz w:val="24"/>
          <w:highlight w:val="none"/>
          <w14:textFill>
            <w14:solidFill>
              <w14:schemeClr w14:val="tx1"/>
            </w14:solidFill>
          </w14:textFill>
        </w:rPr>
        <w:t>地点：</w:t>
      </w:r>
      <w:r>
        <w:rPr>
          <w:rFonts w:hint="eastAsia" w:ascii="宋体" w:hAnsi="宋体" w:cs="宋体"/>
          <w:b/>
          <w:bCs w:val="0"/>
          <w:color w:val="000000" w:themeColor="text1"/>
          <w:sz w:val="24"/>
          <w:highlight w:val="none"/>
          <w:lang w:val="en-US" w:eastAsia="zh-CN"/>
          <w14:textFill>
            <w14:solidFill>
              <w14:schemeClr w14:val="tx1"/>
            </w14:solidFill>
          </w14:textFill>
        </w:rPr>
        <w:t>温泉县</w:t>
      </w:r>
    </w:p>
    <w:p w14:paraId="4CB07D69">
      <w:pPr>
        <w:pStyle w:val="22"/>
        <w:spacing w:line="276" w:lineRule="auto"/>
        <w:ind w:firstLine="480" w:firstLineChars="200"/>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3、</w:t>
      </w:r>
      <w:r>
        <w:rPr>
          <w:rFonts w:hint="eastAsia" w:ascii="宋体" w:hAnsi="宋体" w:cs="宋体"/>
          <w:b w:val="0"/>
          <w:bCs/>
          <w:color w:val="000000" w:themeColor="text1"/>
          <w:sz w:val="24"/>
          <w:highlight w:val="none"/>
          <w:lang w:val="en-US" w:eastAsia="zh-CN"/>
          <w14:textFill>
            <w14:solidFill>
              <w14:schemeClr w14:val="tx1"/>
            </w14:solidFill>
          </w14:textFill>
        </w:rPr>
        <w:t>工期</w:t>
      </w:r>
      <w:r>
        <w:rPr>
          <w:rFonts w:hint="eastAsia" w:ascii="宋体" w:hAnsi="宋体" w:cs="宋体"/>
          <w:b w:val="0"/>
          <w:bCs/>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t>总工期90 日历日，计划开工日期 2026 年05月20日，计划竣工日期 2026 年08月18日。</w:t>
      </w:r>
    </w:p>
    <w:p w14:paraId="4159F5D4">
      <w:pPr>
        <w:pageBreakBefore w:val="0"/>
        <w:kinsoku/>
        <w:wordWrap/>
        <w:overflowPunct/>
        <w:topLinePunct w:val="0"/>
        <w:bidi w:val="0"/>
        <w:spacing w:line="360" w:lineRule="auto"/>
        <w:ind w:firstLine="538"/>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4、服务范围：</w:t>
      </w:r>
      <w:r>
        <w:rPr>
          <w:rFonts w:hint="eastAsia" w:ascii="宋体" w:hAnsi="宋体" w:cs="宋体"/>
          <w:b/>
          <w:bCs/>
          <w:color w:val="000000" w:themeColor="text1"/>
          <w:kern w:val="2"/>
          <w:sz w:val="24"/>
          <w:szCs w:val="24"/>
          <w:highlight w:val="none"/>
          <w:shd w:val="clear" w:color="auto" w:fill="FFFFFF"/>
          <w:lang w:val="en-US" w:eastAsia="zh-CN"/>
          <w14:textFill>
            <w14:solidFill>
              <w14:schemeClr w14:val="tx1"/>
            </w14:solidFill>
          </w14:textFill>
        </w:rPr>
        <w:t>图纸及工程量</w:t>
      </w:r>
      <w:r>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t>清单所含全部内容。</w:t>
      </w:r>
    </w:p>
    <w:p w14:paraId="50A23F05">
      <w:pPr>
        <w:pStyle w:val="6"/>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lang w:val="en-US" w:eastAsia="zh-CN"/>
          <w14:textFill>
            <w14:solidFill>
              <w14:schemeClr w14:val="tx1"/>
            </w14:solidFill>
          </w14:textFill>
        </w:rPr>
        <w:t xml:space="preserve">     5、本工程不允许分包。</w:t>
      </w:r>
    </w:p>
    <w:p w14:paraId="6C5CF6E3">
      <w:pPr>
        <w:pageBreakBefore w:val="0"/>
        <w:kinsoku/>
        <w:wordWrap/>
        <w:overflowPunct/>
        <w:topLinePunct w:val="0"/>
        <w:bidi w:val="0"/>
        <w:spacing w:line="360" w:lineRule="auto"/>
        <w:rPr>
          <w:rFonts w:hint="eastAsia" w:ascii="宋体" w:hAnsi="宋体" w:eastAsia="宋体" w:cs="宋体"/>
          <w:b w:val="0"/>
          <w:bCs/>
          <w:color w:val="000000" w:themeColor="text1"/>
          <w:sz w:val="36"/>
          <w:szCs w:val="36"/>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四、</w:t>
      </w:r>
      <w:r>
        <w:rPr>
          <w:rFonts w:hint="eastAsia" w:ascii="宋体" w:hAnsi="宋体" w:cs="宋体"/>
          <w:b w:val="0"/>
          <w:bCs/>
          <w:color w:val="000000" w:themeColor="text1"/>
          <w:sz w:val="24"/>
          <w:highlight w:val="none"/>
          <w:lang w:val="en-US" w:eastAsia="zh-CN"/>
          <w14:textFill>
            <w14:solidFill>
              <w14:schemeClr w14:val="tx1"/>
            </w14:solidFill>
          </w14:textFill>
        </w:rPr>
        <w:t>项目</w:t>
      </w:r>
      <w:r>
        <w:rPr>
          <w:rFonts w:hint="eastAsia" w:ascii="宋体" w:hAnsi="宋体" w:eastAsia="宋体" w:cs="宋体"/>
          <w:b w:val="0"/>
          <w:bCs/>
          <w:color w:val="000000" w:themeColor="text1"/>
          <w:sz w:val="24"/>
          <w:highlight w:val="none"/>
          <w14:textFill>
            <w14:solidFill>
              <w14:schemeClr w14:val="tx1"/>
            </w14:solidFill>
          </w14:textFill>
        </w:rPr>
        <w:t>内</w:t>
      </w:r>
      <w:r>
        <w:rPr>
          <w:rFonts w:hint="eastAsia" w:ascii="宋体" w:hAnsi="宋体" w:eastAsia="宋体" w:cs="宋体"/>
          <w:b w:val="0"/>
          <w:bCs/>
          <w:color w:val="000000" w:themeColor="text1"/>
          <w:sz w:val="24"/>
          <w:highlight w:val="none"/>
          <w:lang w:eastAsia="zh-CN"/>
          <w14:textFill>
            <w14:solidFill>
              <w14:schemeClr w14:val="tx1"/>
            </w14:solidFill>
          </w14:textFill>
        </w:rPr>
        <w:t>容：</w:t>
      </w:r>
      <w:r>
        <w:rPr>
          <w:rFonts w:hint="eastAsia" w:ascii="宋体" w:hAnsi="宋体" w:eastAsia="宋体" w:cs="宋体"/>
          <w:b w:val="0"/>
          <w:bCs/>
          <w:color w:val="000000" w:themeColor="text1"/>
          <w:sz w:val="24"/>
          <w:highlight w:val="none"/>
          <w14:textFill>
            <w14:solidFill>
              <w14:schemeClr w14:val="tx1"/>
            </w14:solidFill>
          </w14:textFill>
        </w:rPr>
        <w:t>详见第三章</w:t>
      </w:r>
      <w:r>
        <w:rPr>
          <w:rFonts w:hint="eastAsia" w:ascii="宋体" w:hAnsi="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采购</w:t>
      </w:r>
      <w:r>
        <w:rPr>
          <w:rFonts w:hint="eastAsia" w:ascii="宋体" w:hAnsi="宋体" w:cs="宋体"/>
          <w:b w:val="0"/>
          <w:bCs/>
          <w:color w:val="000000" w:themeColor="text1"/>
          <w:sz w:val="24"/>
          <w:szCs w:val="24"/>
          <w:highlight w:val="none"/>
          <w:lang w:val="en-US" w:eastAsia="zh-CN"/>
          <w14:textFill>
            <w14:solidFill>
              <w14:schemeClr w14:val="tx1"/>
            </w14:solidFill>
          </w14:textFill>
        </w:rPr>
        <w:t>需</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求</w:t>
      </w:r>
      <w:r>
        <w:rPr>
          <w:rFonts w:hint="eastAsia" w:ascii="宋体" w:hAnsi="宋体" w:cs="宋体"/>
          <w:b w:val="0"/>
          <w:bCs/>
          <w:color w:val="000000" w:themeColor="text1"/>
          <w:sz w:val="24"/>
          <w:szCs w:val="24"/>
          <w:highlight w:val="none"/>
          <w:lang w:eastAsia="zh-CN"/>
          <w14:textFill>
            <w14:solidFill>
              <w14:schemeClr w14:val="tx1"/>
            </w14:solidFill>
          </w14:textFill>
        </w:rPr>
        <w:t>”</w:t>
      </w:r>
    </w:p>
    <w:p w14:paraId="3B500DB7">
      <w:pPr>
        <w:pageBreakBefore w:val="0"/>
        <w:kinsoku/>
        <w:wordWrap/>
        <w:overflowPunct/>
        <w:topLinePunct w:val="0"/>
        <w:bidi w:val="0"/>
        <w:spacing w:line="360" w:lineRule="auto"/>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五、</w:t>
      </w:r>
      <w:r>
        <w:rPr>
          <w:rFonts w:hint="eastAsia" w:ascii="宋体" w:hAnsi="宋体" w:cs="宋体"/>
          <w:b w:val="0"/>
          <w:bCs/>
          <w:color w:val="000000" w:themeColor="text1"/>
          <w:sz w:val="24"/>
          <w:highlight w:val="none"/>
          <w:lang w:val="en-US" w:eastAsia="zh-CN"/>
          <w14:textFill>
            <w14:solidFill>
              <w14:schemeClr w14:val="tx1"/>
            </w14:solidFill>
          </w14:textFill>
        </w:rPr>
        <w:t>谈判</w:t>
      </w:r>
      <w:r>
        <w:rPr>
          <w:rFonts w:hint="eastAsia" w:ascii="宋体" w:hAnsi="宋体" w:eastAsia="宋体" w:cs="宋体"/>
          <w:b w:val="0"/>
          <w:bCs/>
          <w:color w:val="000000" w:themeColor="text1"/>
          <w:sz w:val="24"/>
          <w:highlight w:val="none"/>
          <w14:textFill>
            <w14:solidFill>
              <w14:schemeClr w14:val="tx1"/>
            </w14:solidFill>
          </w14:textFill>
        </w:rPr>
        <w:t>保证金数额：详见</w:t>
      </w:r>
      <w:r>
        <w:rPr>
          <w:rFonts w:hint="eastAsia" w:ascii="宋体" w:hAnsi="宋体" w:cs="宋体"/>
          <w:b w:val="0"/>
          <w:bCs/>
          <w:color w:val="000000" w:themeColor="text1"/>
          <w:sz w:val="24"/>
          <w:highlight w:val="none"/>
          <w:lang w:eastAsia="zh-CN"/>
          <w14:textFill>
            <w14:solidFill>
              <w14:schemeClr w14:val="tx1"/>
            </w14:solidFill>
          </w14:textFill>
        </w:rPr>
        <w:t>报价人</w:t>
      </w:r>
      <w:r>
        <w:rPr>
          <w:rFonts w:hint="eastAsia" w:ascii="宋体" w:hAnsi="宋体" w:eastAsia="宋体" w:cs="宋体"/>
          <w:b w:val="0"/>
          <w:bCs/>
          <w:color w:val="000000" w:themeColor="text1"/>
          <w:sz w:val="24"/>
          <w:highlight w:val="none"/>
          <w14:textFill>
            <w14:solidFill>
              <w14:schemeClr w14:val="tx1"/>
            </w14:solidFill>
          </w14:textFill>
        </w:rPr>
        <w:t>须知前附表第1</w:t>
      </w:r>
      <w:r>
        <w:rPr>
          <w:rFonts w:hint="eastAsia" w:ascii="宋体" w:hAnsi="宋体" w:cs="宋体"/>
          <w:b w:val="0"/>
          <w:bCs/>
          <w:color w:val="000000" w:themeColor="text1"/>
          <w:sz w:val="24"/>
          <w:highlight w:val="none"/>
          <w:lang w:val="en-US" w:eastAsia="zh-CN"/>
          <w14:textFill>
            <w14:solidFill>
              <w14:schemeClr w14:val="tx1"/>
            </w14:solidFill>
          </w14:textFill>
        </w:rPr>
        <w:t>3</w:t>
      </w:r>
      <w:r>
        <w:rPr>
          <w:rFonts w:hint="eastAsia" w:ascii="宋体" w:hAnsi="宋体" w:eastAsia="宋体" w:cs="宋体"/>
          <w:b w:val="0"/>
          <w:bCs/>
          <w:color w:val="000000" w:themeColor="text1"/>
          <w:sz w:val="24"/>
          <w:highlight w:val="none"/>
          <w14:textFill>
            <w14:solidFill>
              <w14:schemeClr w14:val="tx1"/>
            </w14:solidFill>
          </w14:textFill>
        </w:rPr>
        <w:t>条。</w:t>
      </w:r>
    </w:p>
    <w:p w14:paraId="0CA47CF7">
      <w:pPr>
        <w:pStyle w:val="2"/>
        <w:pageBreakBefore w:val="0"/>
        <w:kinsoku/>
        <w:wordWrap/>
        <w:overflowPunct/>
        <w:topLinePunct w:val="0"/>
        <w:bidi w:val="0"/>
        <w:spacing w:before="0" w:after="0" w:line="240" w:lineRule="auto"/>
        <w:jc w:val="center"/>
        <w:rPr>
          <w:rFonts w:hint="eastAsia" w:ascii="宋体" w:hAnsi="宋体" w:eastAsia="宋体" w:cs="宋体"/>
          <w:color w:val="000000" w:themeColor="text1"/>
          <w:sz w:val="32"/>
          <w:highlight w:val="none"/>
          <w14:textFill>
            <w14:solidFill>
              <w14:schemeClr w14:val="tx1"/>
            </w14:solidFill>
          </w14:textFill>
        </w:rPr>
      </w:pPr>
      <w:bookmarkStart w:id="44" w:name="_Toc31424"/>
      <w:bookmarkStart w:id="45" w:name="_Toc12353"/>
      <w:bookmarkStart w:id="46" w:name="_Toc11200"/>
    </w:p>
    <w:p w14:paraId="5507ECAD">
      <w:pPr>
        <w:rPr>
          <w:rFonts w:hint="eastAsia"/>
          <w:color w:val="auto"/>
          <w:highlight w:val="none"/>
        </w:rPr>
      </w:pPr>
    </w:p>
    <w:p w14:paraId="12C2CFCB">
      <w:pPr>
        <w:rPr>
          <w:rFonts w:hint="eastAsia" w:ascii="宋体" w:hAnsi="宋体" w:eastAsia="宋体" w:cs="宋体"/>
          <w:color w:val="auto"/>
          <w:sz w:val="32"/>
          <w:highlight w:val="none"/>
        </w:rPr>
      </w:pPr>
    </w:p>
    <w:p w14:paraId="40339FD3">
      <w:pPr>
        <w:rPr>
          <w:rFonts w:hint="eastAsia" w:ascii="宋体" w:hAnsi="宋体" w:eastAsia="宋体" w:cs="宋体"/>
          <w:color w:val="auto"/>
          <w:sz w:val="32"/>
          <w:highlight w:val="none"/>
        </w:rPr>
      </w:pPr>
    </w:p>
    <w:p w14:paraId="444BD92A">
      <w:pPr>
        <w:rPr>
          <w:rFonts w:hint="eastAsia" w:ascii="宋体" w:hAnsi="宋体" w:eastAsia="宋体" w:cs="宋体"/>
          <w:color w:val="auto"/>
          <w:sz w:val="32"/>
          <w:highlight w:val="none"/>
        </w:rPr>
      </w:pPr>
    </w:p>
    <w:p w14:paraId="5078DD06">
      <w:pPr>
        <w:rPr>
          <w:rFonts w:hint="eastAsia" w:ascii="宋体" w:hAnsi="宋体" w:eastAsia="宋体" w:cs="宋体"/>
          <w:color w:val="auto"/>
          <w:sz w:val="32"/>
          <w:highlight w:val="none"/>
        </w:rPr>
      </w:pPr>
    </w:p>
    <w:p w14:paraId="10D273E7">
      <w:pPr>
        <w:rPr>
          <w:rFonts w:hint="eastAsia" w:ascii="宋体" w:hAnsi="宋体" w:eastAsia="宋体" w:cs="宋体"/>
          <w:color w:val="auto"/>
          <w:sz w:val="32"/>
          <w:highlight w:val="none"/>
        </w:rPr>
      </w:pPr>
    </w:p>
    <w:p w14:paraId="374E5D57">
      <w:pPr>
        <w:rPr>
          <w:rFonts w:hint="eastAsia" w:ascii="宋体" w:hAnsi="宋体" w:eastAsia="宋体" w:cs="宋体"/>
          <w:color w:val="auto"/>
          <w:sz w:val="32"/>
          <w:highlight w:val="none"/>
        </w:rPr>
      </w:pPr>
    </w:p>
    <w:p w14:paraId="64AA291B">
      <w:pPr>
        <w:rPr>
          <w:rFonts w:hint="eastAsia" w:ascii="宋体" w:hAnsi="宋体" w:eastAsia="宋体" w:cs="宋体"/>
          <w:color w:val="auto"/>
          <w:sz w:val="32"/>
          <w:highlight w:val="none"/>
        </w:rPr>
      </w:pPr>
    </w:p>
    <w:p w14:paraId="16081A30">
      <w:pPr>
        <w:rPr>
          <w:rFonts w:hint="eastAsia" w:ascii="宋体" w:hAnsi="宋体" w:eastAsia="宋体" w:cs="宋体"/>
          <w:color w:val="auto"/>
          <w:sz w:val="32"/>
          <w:highlight w:val="none"/>
        </w:rPr>
      </w:pPr>
    </w:p>
    <w:p w14:paraId="59C26F53">
      <w:pPr>
        <w:rPr>
          <w:rFonts w:hint="eastAsia" w:ascii="宋体" w:hAnsi="宋体" w:eastAsia="宋体" w:cs="宋体"/>
          <w:color w:val="auto"/>
          <w:sz w:val="32"/>
          <w:highlight w:val="none"/>
        </w:rPr>
      </w:pPr>
    </w:p>
    <w:p w14:paraId="5E60F932">
      <w:pPr>
        <w:rPr>
          <w:rFonts w:hint="eastAsia" w:ascii="宋体" w:hAnsi="宋体" w:eastAsia="宋体" w:cs="宋体"/>
          <w:color w:val="auto"/>
          <w:sz w:val="32"/>
          <w:highlight w:val="none"/>
        </w:rPr>
      </w:pPr>
    </w:p>
    <w:p w14:paraId="3022EFCE">
      <w:pPr>
        <w:rPr>
          <w:rFonts w:hint="eastAsia" w:ascii="宋体" w:hAnsi="宋体" w:eastAsia="宋体" w:cs="宋体"/>
          <w:color w:val="auto"/>
          <w:sz w:val="32"/>
          <w:highlight w:val="none"/>
        </w:rPr>
      </w:pPr>
    </w:p>
    <w:p w14:paraId="57683773">
      <w:pPr>
        <w:rPr>
          <w:rFonts w:hint="eastAsia" w:ascii="宋体" w:hAnsi="宋体" w:eastAsia="宋体" w:cs="宋体"/>
          <w:color w:val="auto"/>
          <w:sz w:val="32"/>
          <w:highlight w:val="none"/>
        </w:rPr>
      </w:pPr>
    </w:p>
    <w:p w14:paraId="2E8CDF00">
      <w:pPr>
        <w:rPr>
          <w:rFonts w:hint="eastAsia" w:ascii="宋体" w:hAnsi="宋体" w:eastAsia="宋体" w:cs="宋体"/>
          <w:color w:val="auto"/>
          <w:sz w:val="32"/>
          <w:highlight w:val="none"/>
        </w:rPr>
      </w:pPr>
    </w:p>
    <w:p w14:paraId="7CE9D7E1">
      <w:pPr>
        <w:pStyle w:val="2"/>
        <w:pageBreakBefore w:val="0"/>
        <w:kinsoku/>
        <w:wordWrap/>
        <w:overflowPunct/>
        <w:topLinePunct w:val="0"/>
        <w:bidi w:val="0"/>
        <w:spacing w:before="0" w:after="0" w:line="240" w:lineRule="auto"/>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rPr>
        <w:t xml:space="preserve">第二章  </w:t>
      </w:r>
      <w:r>
        <w:rPr>
          <w:rFonts w:hint="eastAsia" w:ascii="宋体" w:hAnsi="宋体" w:cs="宋体"/>
          <w:color w:val="auto"/>
          <w:sz w:val="32"/>
          <w:highlight w:val="none"/>
          <w:lang w:val="en-US" w:eastAsia="zh-CN"/>
        </w:rPr>
        <w:t>报价人</w:t>
      </w:r>
      <w:r>
        <w:rPr>
          <w:rFonts w:hint="eastAsia" w:ascii="宋体" w:hAnsi="宋体" w:eastAsia="宋体" w:cs="宋体"/>
          <w:color w:val="auto"/>
          <w:sz w:val="32"/>
          <w:highlight w:val="none"/>
        </w:rPr>
        <w:t>须知</w:t>
      </w:r>
      <w:bookmarkEnd w:id="44"/>
      <w:bookmarkEnd w:id="45"/>
      <w:bookmarkEnd w:id="46"/>
    </w:p>
    <w:p w14:paraId="6CBE7837">
      <w:pPr>
        <w:pStyle w:val="3"/>
        <w:pageBreakBefore w:val="0"/>
        <w:kinsoku/>
        <w:wordWrap/>
        <w:overflowPunct/>
        <w:topLinePunct w:val="0"/>
        <w:bidi w:val="0"/>
        <w:spacing w:line="360" w:lineRule="auto"/>
        <w:jc w:val="center"/>
        <w:rPr>
          <w:rFonts w:hint="eastAsia" w:ascii="宋体" w:hAnsi="宋体" w:eastAsia="宋体" w:cs="宋体"/>
          <w:color w:val="auto"/>
          <w:sz w:val="28"/>
          <w:szCs w:val="28"/>
          <w:highlight w:val="none"/>
        </w:rPr>
      </w:pPr>
      <w:bookmarkStart w:id="47" w:name="_Toc17623"/>
      <w:bookmarkStart w:id="48" w:name="_Toc24673"/>
      <w:r>
        <w:rPr>
          <w:rFonts w:hint="eastAsia" w:ascii="宋体" w:hAnsi="宋体" w:eastAsia="宋体" w:cs="宋体"/>
          <w:color w:val="auto"/>
          <w:sz w:val="28"/>
          <w:szCs w:val="28"/>
          <w:highlight w:val="none"/>
        </w:rPr>
        <w:t>一、总  则</w:t>
      </w:r>
      <w:bookmarkEnd w:id="47"/>
      <w:bookmarkEnd w:id="48"/>
    </w:p>
    <w:p w14:paraId="27186644">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1、适用范围</w:t>
      </w:r>
    </w:p>
    <w:p w14:paraId="14EEBAF1">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1.1</w:t>
      </w:r>
      <w:r>
        <w:rPr>
          <w:rFonts w:hint="eastAsia" w:ascii="宋体" w:hAnsi="宋体" w:eastAsia="宋体" w:cs="宋体"/>
          <w:color w:val="auto"/>
          <w:sz w:val="24"/>
          <w:highlight w:val="none"/>
        </w:rPr>
        <w:t xml:space="preserve"> 本采购文件适用于本次竞争性谈判采购项目的招标投标。</w:t>
      </w:r>
    </w:p>
    <w:p w14:paraId="56C97F64">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2、合格的</w:t>
      </w:r>
      <w:r>
        <w:rPr>
          <w:rFonts w:hint="eastAsia" w:ascii="宋体" w:hAnsi="宋体" w:cs="宋体"/>
          <w:b/>
          <w:color w:val="auto"/>
          <w:sz w:val="24"/>
          <w:highlight w:val="none"/>
          <w:lang w:val="en-US" w:eastAsia="zh-CN"/>
        </w:rPr>
        <w:t>报价</w:t>
      </w:r>
      <w:r>
        <w:rPr>
          <w:rFonts w:hint="eastAsia" w:ascii="宋体" w:hAnsi="宋体" w:eastAsia="宋体" w:cs="宋体"/>
          <w:b/>
          <w:color w:val="auto"/>
          <w:sz w:val="24"/>
          <w:highlight w:val="none"/>
        </w:rPr>
        <w:t>人</w:t>
      </w:r>
    </w:p>
    <w:p w14:paraId="1EBEE15A">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w:t>
      </w:r>
      <w:r>
        <w:rPr>
          <w:rFonts w:hint="eastAsia" w:ascii="宋体" w:hAnsi="宋体" w:cs="宋体"/>
          <w:b w:val="0"/>
          <w:bCs/>
          <w:color w:val="auto"/>
          <w:sz w:val="24"/>
          <w:highlight w:val="none"/>
          <w:lang w:val="en-US" w:eastAsia="zh-CN"/>
        </w:rPr>
        <w:t>报价</w:t>
      </w:r>
      <w:r>
        <w:rPr>
          <w:rFonts w:hint="eastAsia" w:ascii="宋体" w:hAnsi="宋体" w:eastAsia="宋体" w:cs="宋体"/>
          <w:b w:val="0"/>
          <w:bCs/>
          <w:color w:val="auto"/>
          <w:sz w:val="24"/>
          <w:highlight w:val="none"/>
        </w:rPr>
        <w:t>人</w:t>
      </w:r>
      <w:r>
        <w:rPr>
          <w:rFonts w:hint="eastAsia" w:ascii="宋体" w:hAnsi="宋体" w:eastAsia="宋体" w:cs="宋体"/>
          <w:color w:val="auto"/>
          <w:sz w:val="24"/>
          <w:highlight w:val="none"/>
        </w:rPr>
        <w:t>资格要求：见</w:t>
      </w: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文件“投标人须知前附表”。</w:t>
      </w:r>
    </w:p>
    <w:p w14:paraId="08699C5A">
      <w:pPr>
        <w:pageBreakBefore w:val="0"/>
        <w:kinsoku/>
        <w:wordWrap/>
        <w:overflowPunct/>
        <w:topLinePunct w:val="0"/>
        <w:bidi w:val="0"/>
        <w:spacing w:line="360" w:lineRule="auto"/>
        <w:rPr>
          <w:rFonts w:hint="eastAsia" w:ascii="宋体" w:hAnsi="宋体" w:eastAsia="宋体" w:cs="宋体"/>
          <w:b w:val="0"/>
          <w:bCs/>
          <w:color w:val="auto"/>
          <w:sz w:val="24"/>
          <w:highlight w:val="none"/>
          <w:lang w:val="en-US" w:eastAsia="zh-CN"/>
        </w:rPr>
      </w:pPr>
      <w:r>
        <w:rPr>
          <w:rFonts w:hint="eastAsia" w:ascii="宋体" w:hAnsi="宋体" w:eastAsia="宋体" w:cs="宋体"/>
          <w:b/>
          <w:bCs w:val="0"/>
          <w:color w:val="auto"/>
          <w:sz w:val="24"/>
          <w:highlight w:val="none"/>
          <w:lang w:val="en-US" w:eastAsia="zh-CN"/>
        </w:rPr>
        <w:t xml:space="preserve">2.2 </w:t>
      </w:r>
      <w:r>
        <w:rPr>
          <w:rFonts w:hint="eastAsia" w:ascii="宋体" w:hAnsi="宋体" w:eastAsia="宋体" w:cs="宋体"/>
          <w:b w:val="0"/>
          <w:bCs/>
          <w:color w:val="auto"/>
          <w:sz w:val="24"/>
          <w:highlight w:val="none"/>
          <w:lang w:val="en-US" w:eastAsia="zh-CN"/>
        </w:rPr>
        <w:t>报价人在本次竞争性谈判中，必须遵守《中华人民共和国政府采购法》</w:t>
      </w:r>
      <w:r>
        <w:rPr>
          <w:rFonts w:hint="eastAsia" w:ascii="宋体" w:hAnsi="宋体" w:cs="宋体"/>
          <w:b w:val="0"/>
          <w:bCs/>
          <w:color w:val="auto"/>
          <w:sz w:val="24"/>
          <w:highlight w:val="none"/>
          <w:lang w:val="en-US" w:eastAsia="zh-CN"/>
        </w:rPr>
        <w:t>等相关法律法规</w:t>
      </w:r>
      <w:r>
        <w:rPr>
          <w:rFonts w:hint="eastAsia" w:ascii="宋体" w:hAnsi="宋体" w:eastAsia="宋体" w:cs="宋体"/>
          <w:b w:val="0"/>
          <w:bCs/>
          <w:color w:val="auto"/>
          <w:sz w:val="24"/>
          <w:highlight w:val="none"/>
          <w:lang w:val="en-US" w:eastAsia="zh-CN"/>
        </w:rPr>
        <w:t>的规定。</w:t>
      </w:r>
    </w:p>
    <w:p w14:paraId="7755A6AC">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3、定义</w:t>
      </w:r>
    </w:p>
    <w:p w14:paraId="475DD358">
      <w:pPr>
        <w:rPr>
          <w:rFonts w:hint="eastAsia"/>
          <w:color w:val="auto"/>
          <w:highlight w:val="none"/>
          <w:lang w:val="en-US" w:eastAsia="zh-CN"/>
        </w:rPr>
      </w:pPr>
      <w:r>
        <w:rPr>
          <w:rFonts w:hint="eastAsia" w:ascii="宋体" w:hAnsi="宋体" w:eastAsia="宋体" w:cs="宋体"/>
          <w:b/>
          <w:color w:val="auto"/>
          <w:sz w:val="24"/>
          <w:highlight w:val="none"/>
        </w:rPr>
        <w:t>3.1</w:t>
      </w:r>
      <w:r>
        <w:rPr>
          <w:rFonts w:hint="eastAsia"/>
          <w:color w:val="auto"/>
          <w:highlight w:val="none"/>
        </w:rPr>
        <w:t xml:space="preserve"> “采购人”名称见</w:t>
      </w: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文件</w:t>
      </w:r>
      <w:r>
        <w:rPr>
          <w:rFonts w:hint="eastAsia"/>
          <w:color w:val="auto"/>
          <w:highlight w:val="none"/>
        </w:rPr>
        <w:t>“投标人须知前附表”。</w:t>
      </w:r>
    </w:p>
    <w:p w14:paraId="5CF6F5D1">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3.2</w:t>
      </w:r>
      <w:r>
        <w:rPr>
          <w:rFonts w:hint="eastAsia" w:ascii="宋体" w:hAnsi="宋体" w:eastAsia="宋体" w:cs="宋体"/>
          <w:color w:val="auto"/>
          <w:sz w:val="24"/>
          <w:highlight w:val="none"/>
        </w:rPr>
        <w:t xml:space="preserve"> </w:t>
      </w:r>
      <w:r>
        <w:rPr>
          <w:rFonts w:hint="eastAsia" w:ascii="宋体" w:hAnsi="宋体" w:cs="宋体"/>
          <w:color w:val="auto"/>
          <w:kern w:val="0"/>
          <w:sz w:val="24"/>
          <w:szCs w:val="24"/>
          <w:highlight w:val="none"/>
        </w:rPr>
        <w:t>“招标代理机构”名称见</w:t>
      </w: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文件</w:t>
      </w:r>
      <w:r>
        <w:rPr>
          <w:rFonts w:hint="eastAsia" w:ascii="宋体" w:hAnsi="宋体" w:cs="宋体"/>
          <w:color w:val="auto"/>
          <w:kern w:val="0"/>
          <w:sz w:val="24"/>
          <w:szCs w:val="24"/>
          <w:highlight w:val="none"/>
        </w:rPr>
        <w:t>“投标人须知前附表”。</w:t>
      </w:r>
    </w:p>
    <w:p w14:paraId="6E506B2A">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3.3</w:t>
      </w:r>
      <w:r>
        <w:rPr>
          <w:rFonts w:hint="eastAsia" w:ascii="宋体" w:hAnsi="宋体" w:eastAsia="宋体" w:cs="宋体"/>
          <w:color w:val="auto"/>
          <w:sz w:val="24"/>
          <w:highlight w:val="none"/>
        </w:rPr>
        <w:t xml:space="preserve"> “招标货物”指采购文件所述所有货物；“服务”指采购文件所述投标人应该履行的承诺和义务。</w:t>
      </w:r>
    </w:p>
    <w:p w14:paraId="5F96886C">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3.4</w:t>
      </w:r>
      <w:r>
        <w:rPr>
          <w:rFonts w:hint="eastAsia" w:ascii="宋体" w:hAnsi="宋体" w:eastAsia="宋体" w:cs="宋体"/>
          <w:color w:val="auto"/>
          <w:sz w:val="24"/>
          <w:highlight w:val="none"/>
        </w:rPr>
        <w:t xml:space="preserve"> “潜在投标人”指符合</w:t>
      </w: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文件各项规定的供应商。</w:t>
      </w:r>
    </w:p>
    <w:p w14:paraId="1C0E7583">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3.5</w:t>
      </w:r>
      <w:r>
        <w:rPr>
          <w:rFonts w:hint="eastAsia" w:ascii="宋体" w:hAnsi="宋体" w:eastAsia="宋体" w:cs="宋体"/>
          <w:color w:val="auto"/>
          <w:sz w:val="24"/>
          <w:highlight w:val="none"/>
        </w:rPr>
        <w:t xml:space="preserve"> </w:t>
      </w:r>
      <w:r>
        <w:rPr>
          <w:rFonts w:hint="eastAsia" w:ascii="宋体" w:hAnsi="宋体" w:cs="宋体"/>
          <w:color w:val="auto"/>
          <w:kern w:val="0"/>
          <w:sz w:val="24"/>
          <w:szCs w:val="24"/>
          <w:highlight w:val="none"/>
        </w:rPr>
        <w:t>“投标人”指符合</w:t>
      </w:r>
      <w:r>
        <w:rPr>
          <w:rFonts w:hint="eastAsia" w:ascii="宋体" w:hAnsi="宋体" w:cs="宋体"/>
          <w:color w:val="auto"/>
          <w:sz w:val="24"/>
          <w:highlight w:val="none"/>
          <w:lang w:eastAsia="zh-CN"/>
        </w:rPr>
        <w:t>谈判</w:t>
      </w:r>
      <w:r>
        <w:rPr>
          <w:rFonts w:hint="eastAsia" w:ascii="宋体" w:hAnsi="宋体" w:cs="宋体"/>
          <w:color w:val="auto"/>
          <w:kern w:val="0"/>
          <w:sz w:val="24"/>
          <w:szCs w:val="24"/>
          <w:highlight w:val="none"/>
        </w:rPr>
        <w:t>文件规定并参加投标的供应商。</w:t>
      </w:r>
    </w:p>
    <w:p w14:paraId="6139444C">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3.6</w:t>
      </w:r>
      <w:r>
        <w:rPr>
          <w:rFonts w:hint="eastAsia" w:ascii="宋体" w:hAnsi="宋体" w:eastAsia="宋体" w:cs="宋体"/>
          <w:color w:val="auto"/>
          <w:sz w:val="24"/>
          <w:highlight w:val="none"/>
        </w:rPr>
        <w:t xml:space="preserve"> </w:t>
      </w:r>
      <w:r>
        <w:rPr>
          <w:rFonts w:hint="eastAsia" w:ascii="宋体" w:hAnsi="宋体" w:cs="宋体"/>
          <w:color w:val="auto"/>
          <w:kern w:val="0"/>
          <w:sz w:val="24"/>
          <w:szCs w:val="24"/>
          <w:highlight w:val="none"/>
        </w:rPr>
        <w:t>“投标人公章”在</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中指与投标人标准公章一致的投标人电子签章。</w:t>
      </w:r>
    </w:p>
    <w:p w14:paraId="4660D313">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3.7</w:t>
      </w:r>
      <w:r>
        <w:rPr>
          <w:rFonts w:hint="eastAsia" w:ascii="宋体" w:hAnsi="宋体" w:eastAsia="宋体" w:cs="宋体"/>
          <w:color w:val="auto"/>
          <w:sz w:val="24"/>
          <w:highlight w:val="none"/>
        </w:rPr>
        <w:t xml:space="preserve"> “电子</w:t>
      </w:r>
      <w:r>
        <w:rPr>
          <w:rFonts w:hint="eastAsia" w:ascii="宋体" w:hAnsi="宋体" w:eastAsia="宋体" w:cs="宋体"/>
          <w:color w:val="auto"/>
          <w:sz w:val="24"/>
          <w:highlight w:val="none"/>
          <w:lang w:eastAsia="zh-CN"/>
        </w:rPr>
        <w:t>谈判响应文件</w:t>
      </w:r>
      <w:r>
        <w:rPr>
          <w:rFonts w:hint="eastAsia" w:ascii="宋体" w:hAnsi="宋体" w:eastAsia="宋体" w:cs="宋体"/>
          <w:color w:val="auto"/>
          <w:sz w:val="24"/>
          <w:highlight w:val="none"/>
        </w:rPr>
        <w:t>”指利用</w:t>
      </w:r>
      <w:r>
        <w:rPr>
          <w:rFonts w:hint="eastAsia" w:ascii="宋体" w:hAnsi="宋体" w:eastAsia="宋体" w:cs="宋体"/>
          <w:color w:val="auto"/>
          <w:sz w:val="24"/>
          <w:highlight w:val="none"/>
          <w:lang w:val="en-US" w:eastAsia="zh-CN"/>
        </w:rPr>
        <w:t>政采云</w:t>
      </w:r>
      <w:r>
        <w:rPr>
          <w:rFonts w:hint="eastAsia" w:ascii="宋体" w:hAnsi="宋体" w:eastAsia="宋体" w:cs="宋体"/>
          <w:color w:val="auto"/>
          <w:sz w:val="24"/>
          <w:highlight w:val="none"/>
        </w:rPr>
        <w:t>平台提供的“政采云电子交易客户端”进行</w:t>
      </w:r>
      <w:r>
        <w:rPr>
          <w:rFonts w:hint="eastAsia" w:ascii="宋体" w:hAnsi="宋体" w:eastAsia="宋体" w:cs="宋体"/>
          <w:color w:val="auto"/>
          <w:sz w:val="24"/>
          <w:highlight w:val="none"/>
          <w:lang w:eastAsia="zh-CN"/>
        </w:rPr>
        <w:t>谈判响应文件</w:t>
      </w:r>
      <w:r>
        <w:rPr>
          <w:rFonts w:hint="eastAsia" w:ascii="宋体" w:hAnsi="宋体" w:eastAsia="宋体" w:cs="宋体"/>
          <w:color w:val="auto"/>
          <w:sz w:val="24"/>
          <w:highlight w:val="none"/>
        </w:rPr>
        <w:t>制作。</w:t>
      </w:r>
    </w:p>
    <w:p w14:paraId="71D8E982">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w:t>
      </w:r>
      <w:r>
        <w:rPr>
          <w:rFonts w:hint="eastAsia" w:ascii="宋体" w:hAnsi="宋体" w:cs="宋体"/>
          <w:b/>
          <w:color w:val="auto"/>
          <w:sz w:val="24"/>
          <w:highlight w:val="none"/>
          <w:lang w:val="en-US" w:eastAsia="zh-CN"/>
        </w:rPr>
        <w:t>谈判</w:t>
      </w:r>
      <w:r>
        <w:rPr>
          <w:rFonts w:hint="eastAsia" w:ascii="宋体" w:hAnsi="宋体" w:eastAsia="宋体" w:cs="宋体"/>
          <w:b/>
          <w:color w:val="auto"/>
          <w:sz w:val="24"/>
          <w:highlight w:val="none"/>
        </w:rPr>
        <w:t>费用</w:t>
      </w:r>
    </w:p>
    <w:p w14:paraId="29DF2B7F">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4.1</w:t>
      </w:r>
      <w:r>
        <w:rPr>
          <w:rFonts w:hint="eastAsia" w:ascii="宋体" w:hAnsi="宋体" w:eastAsia="宋体" w:cs="宋体"/>
          <w:color w:val="auto"/>
          <w:sz w:val="24"/>
          <w:highlight w:val="none"/>
        </w:rPr>
        <w:t xml:space="preserve"> 无论本次结果如何，</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人须自行承担所有与参加</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有关的全部费用。</w:t>
      </w:r>
    </w:p>
    <w:p w14:paraId="79F26BE3">
      <w:pPr>
        <w:pStyle w:val="3"/>
        <w:pageBreakBefore w:val="0"/>
        <w:kinsoku/>
        <w:wordWrap/>
        <w:overflowPunct/>
        <w:topLinePunct w:val="0"/>
        <w:bidi w:val="0"/>
        <w:spacing w:line="360" w:lineRule="auto"/>
        <w:ind w:firstLine="3626" w:firstLineChars="1290"/>
        <w:rPr>
          <w:rFonts w:hint="eastAsia" w:ascii="宋体" w:hAnsi="宋体" w:eastAsia="宋体" w:cs="宋体"/>
          <w:color w:val="auto"/>
          <w:sz w:val="28"/>
          <w:highlight w:val="none"/>
        </w:rPr>
      </w:pPr>
      <w:bookmarkStart w:id="49" w:name="_Toc26514"/>
      <w:bookmarkStart w:id="50" w:name="_Toc11505"/>
      <w:r>
        <w:rPr>
          <w:rFonts w:hint="eastAsia" w:ascii="宋体" w:hAnsi="宋体" w:eastAsia="宋体" w:cs="宋体"/>
          <w:color w:val="auto"/>
          <w:sz w:val="28"/>
          <w:highlight w:val="none"/>
        </w:rPr>
        <w:t>二、</w:t>
      </w:r>
      <w:r>
        <w:rPr>
          <w:rFonts w:hint="eastAsia" w:ascii="宋体" w:hAnsi="宋体" w:cs="宋体"/>
          <w:color w:val="auto"/>
          <w:sz w:val="28"/>
          <w:highlight w:val="none"/>
          <w:lang w:val="en-US" w:eastAsia="zh-CN"/>
        </w:rPr>
        <w:t>竞争性谈判</w:t>
      </w:r>
      <w:r>
        <w:rPr>
          <w:rFonts w:hint="eastAsia" w:ascii="宋体" w:hAnsi="宋体" w:eastAsia="宋体" w:cs="宋体"/>
          <w:color w:val="auto"/>
          <w:sz w:val="28"/>
          <w:highlight w:val="none"/>
        </w:rPr>
        <w:t>文件</w:t>
      </w:r>
      <w:bookmarkEnd w:id="49"/>
      <w:bookmarkEnd w:id="50"/>
    </w:p>
    <w:p w14:paraId="353D9AF4">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w:t>
      </w:r>
      <w:r>
        <w:rPr>
          <w:rFonts w:hint="eastAsia" w:ascii="宋体" w:hAnsi="宋体" w:cs="宋体"/>
          <w:b/>
          <w:color w:val="auto"/>
          <w:sz w:val="24"/>
          <w:highlight w:val="none"/>
          <w:lang w:val="en-US" w:eastAsia="zh-CN"/>
        </w:rPr>
        <w:t>竞争性谈判</w:t>
      </w:r>
      <w:r>
        <w:rPr>
          <w:rFonts w:hint="eastAsia" w:ascii="宋体" w:hAnsi="宋体" w:eastAsia="宋体" w:cs="宋体"/>
          <w:b/>
          <w:color w:val="auto"/>
          <w:sz w:val="24"/>
          <w:highlight w:val="none"/>
        </w:rPr>
        <w:t>文件</w:t>
      </w:r>
    </w:p>
    <w:p w14:paraId="3C44138E">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5.1 </w:t>
      </w:r>
      <w:r>
        <w:rPr>
          <w:rFonts w:hint="eastAsia" w:ascii="宋体" w:hAnsi="宋体" w:cs="宋体"/>
          <w:color w:val="auto"/>
          <w:sz w:val="24"/>
          <w:highlight w:val="none"/>
          <w:lang w:val="en-US" w:eastAsia="zh-CN"/>
        </w:rPr>
        <w:t>竞争性谈判</w:t>
      </w:r>
      <w:r>
        <w:rPr>
          <w:rFonts w:hint="eastAsia" w:ascii="宋体" w:hAnsi="宋体" w:eastAsia="宋体" w:cs="宋体"/>
          <w:color w:val="auto"/>
          <w:sz w:val="24"/>
          <w:highlight w:val="none"/>
        </w:rPr>
        <w:t>文件用以阐明所的内容，</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程序及合同条款，包括：</w:t>
      </w:r>
    </w:p>
    <w:p w14:paraId="257DB187">
      <w:pPr>
        <w:pageBreakBefore w:val="0"/>
        <w:kinsoku/>
        <w:wordWrap/>
        <w:overflowPunct/>
        <w:topLinePunct w:val="0"/>
        <w:bidi w:val="0"/>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5.1.1</w:t>
      </w:r>
      <w:r>
        <w:rPr>
          <w:rFonts w:hint="eastAsia" w:ascii="宋体" w:hAnsi="宋体" w:cs="宋体"/>
          <w:color w:val="auto"/>
          <w:sz w:val="24"/>
          <w:highlight w:val="none"/>
          <w:lang w:val="en-US" w:eastAsia="zh-CN"/>
        </w:rPr>
        <w:t>报价人前附须知表</w:t>
      </w:r>
    </w:p>
    <w:p w14:paraId="2B69F926">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5.1.2谈判说明</w:t>
      </w:r>
      <w:r>
        <w:rPr>
          <w:rFonts w:hint="eastAsia" w:ascii="宋体" w:hAnsi="宋体" w:eastAsia="宋体" w:cs="宋体"/>
          <w:color w:val="auto"/>
          <w:sz w:val="24"/>
          <w:highlight w:val="none"/>
        </w:rPr>
        <w:t>；</w:t>
      </w:r>
    </w:p>
    <w:p w14:paraId="5B912690">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人须知；</w:t>
      </w:r>
    </w:p>
    <w:p w14:paraId="4B5298F8">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服务需求</w:t>
      </w:r>
      <w:r>
        <w:rPr>
          <w:rFonts w:hint="eastAsia" w:ascii="宋体" w:hAnsi="宋体" w:eastAsia="宋体" w:cs="宋体"/>
          <w:color w:val="auto"/>
          <w:sz w:val="24"/>
          <w:highlight w:val="none"/>
        </w:rPr>
        <w:t>；</w:t>
      </w:r>
    </w:p>
    <w:p w14:paraId="2655540D">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合同条款；</w:t>
      </w:r>
    </w:p>
    <w:p w14:paraId="250FD3F1">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谈判响应文件格式</w:t>
      </w:r>
      <w:r>
        <w:rPr>
          <w:rFonts w:hint="eastAsia" w:ascii="宋体" w:hAnsi="宋体" w:eastAsia="宋体" w:cs="宋体"/>
          <w:color w:val="auto"/>
          <w:sz w:val="24"/>
          <w:highlight w:val="none"/>
        </w:rPr>
        <w:t>；</w:t>
      </w:r>
    </w:p>
    <w:p w14:paraId="785F29C4">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5.2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人应仔细阅读</w:t>
      </w: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文件中所有内容。</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机构将拒绝未按照</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文件的要求提供全部资料或提交的</w:t>
      </w:r>
      <w:r>
        <w:rPr>
          <w:rFonts w:hint="eastAsia" w:ascii="宋体" w:hAnsi="宋体" w:cs="宋体"/>
          <w:color w:val="auto"/>
          <w:sz w:val="24"/>
          <w:highlight w:val="none"/>
          <w:lang w:eastAsia="zh-CN"/>
        </w:rPr>
        <w:t>谈</w:t>
      </w:r>
      <w:r>
        <w:rPr>
          <w:rFonts w:hint="eastAsia" w:ascii="宋体" w:hAnsi="宋体" w:eastAsia="宋体" w:cs="宋体"/>
          <w:color w:val="auto"/>
          <w:sz w:val="24"/>
          <w:highlight w:val="none"/>
          <w:lang w:eastAsia="zh-CN"/>
        </w:rPr>
        <w:t>判响应文件</w:t>
      </w:r>
      <w:r>
        <w:rPr>
          <w:rFonts w:hint="eastAsia" w:ascii="宋体" w:hAnsi="宋体" w:eastAsia="宋体" w:cs="宋体"/>
          <w:color w:val="auto"/>
          <w:sz w:val="24"/>
          <w:highlight w:val="none"/>
        </w:rPr>
        <w:t>未对</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文件做出实质性响应的</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highlight w:val="none"/>
        </w:rPr>
        <w:t>。</w:t>
      </w:r>
    </w:p>
    <w:p w14:paraId="5756A5B1">
      <w:pPr>
        <w:pageBreakBefore w:val="0"/>
        <w:kinsoku/>
        <w:wordWrap/>
        <w:overflowPunct/>
        <w:topLinePunct w:val="0"/>
        <w:bidi w:val="0"/>
        <w:spacing w:line="360" w:lineRule="auto"/>
        <w:rPr>
          <w:rFonts w:hint="eastAsia" w:ascii="宋体" w:hAnsi="宋体" w:eastAsia="宋体" w:cs="宋体"/>
          <w:b/>
          <w:bCs w:val="0"/>
          <w:color w:val="auto"/>
          <w:sz w:val="24"/>
          <w:highlight w:val="none"/>
          <w:u w:val="none"/>
          <w:lang w:eastAsia="zh-CN"/>
        </w:rPr>
      </w:pPr>
      <w:r>
        <w:rPr>
          <w:rFonts w:hint="eastAsia" w:ascii="宋体" w:hAnsi="宋体" w:eastAsia="宋体" w:cs="宋体"/>
          <w:b/>
          <w:bCs w:val="0"/>
          <w:color w:val="auto"/>
          <w:sz w:val="24"/>
          <w:highlight w:val="none"/>
          <w:u w:val="none"/>
          <w:lang w:eastAsia="zh-CN"/>
        </w:rPr>
        <w:t>6、</w:t>
      </w:r>
      <w:r>
        <w:rPr>
          <w:rFonts w:hint="eastAsia" w:ascii="宋体" w:hAnsi="宋体" w:eastAsia="宋体" w:cs="宋体"/>
          <w:b/>
          <w:bCs w:val="0"/>
          <w:color w:val="auto"/>
          <w:sz w:val="24"/>
          <w:highlight w:val="none"/>
          <w:u w:val="none"/>
          <w:lang w:val="en-US" w:eastAsia="zh-CN"/>
        </w:rPr>
        <w:t>谈判</w:t>
      </w:r>
      <w:r>
        <w:rPr>
          <w:rFonts w:hint="eastAsia" w:ascii="宋体" w:hAnsi="宋体" w:eastAsia="宋体" w:cs="宋体"/>
          <w:b/>
          <w:bCs w:val="0"/>
          <w:color w:val="auto"/>
          <w:sz w:val="24"/>
          <w:highlight w:val="none"/>
          <w:u w:val="none"/>
          <w:lang w:eastAsia="zh-CN"/>
        </w:rPr>
        <w:t>文件的澄清</w:t>
      </w:r>
    </w:p>
    <w:p w14:paraId="3C6E8FE0">
      <w:pPr>
        <w:spacing w:line="46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6.1</w:t>
      </w:r>
      <w:r>
        <w:rPr>
          <w:rFonts w:hint="eastAsia" w:ascii="宋体" w:hAnsi="宋体" w:eastAsia="宋体" w:cs="宋体"/>
          <w:color w:val="auto"/>
          <w:sz w:val="24"/>
          <w:highlight w:val="none"/>
        </w:rPr>
        <w:t xml:space="preserve"> </w:t>
      </w:r>
      <w:r>
        <w:rPr>
          <w:rFonts w:hint="eastAsia" w:ascii="宋体" w:hAnsi="宋体" w:eastAsia="宋体" w:cs="宋体"/>
          <w:b/>
          <w:bCs w:val="0"/>
          <w:color w:val="auto"/>
          <w:sz w:val="24"/>
          <w:highlight w:val="none"/>
          <w:u w:val="none"/>
        </w:rPr>
        <w:t>投标企业下载</w:t>
      </w:r>
      <w:r>
        <w:rPr>
          <w:rFonts w:hint="eastAsia" w:ascii="宋体" w:hAnsi="宋体" w:eastAsia="宋体" w:cs="宋体"/>
          <w:b/>
          <w:bCs w:val="0"/>
          <w:color w:val="auto"/>
          <w:sz w:val="24"/>
          <w:highlight w:val="none"/>
          <w:u w:val="none"/>
          <w:lang w:eastAsia="zh-CN"/>
        </w:rPr>
        <w:t>竞争性谈判</w:t>
      </w:r>
      <w:r>
        <w:rPr>
          <w:rFonts w:hint="eastAsia" w:ascii="宋体" w:hAnsi="宋体" w:eastAsia="宋体" w:cs="宋体"/>
          <w:b/>
          <w:bCs w:val="0"/>
          <w:color w:val="auto"/>
          <w:sz w:val="24"/>
          <w:highlight w:val="none"/>
          <w:u w:val="none"/>
        </w:rPr>
        <w:t>文件后请仔细阅读，如对</w:t>
      </w:r>
      <w:r>
        <w:rPr>
          <w:rFonts w:hint="eastAsia" w:ascii="宋体" w:hAnsi="宋体" w:eastAsia="宋体" w:cs="宋体"/>
          <w:b/>
          <w:bCs w:val="0"/>
          <w:color w:val="auto"/>
          <w:sz w:val="24"/>
          <w:highlight w:val="none"/>
          <w:u w:val="none"/>
          <w:lang w:eastAsia="zh-CN"/>
        </w:rPr>
        <w:t>竞争性谈判</w:t>
      </w:r>
      <w:r>
        <w:rPr>
          <w:rFonts w:hint="eastAsia" w:ascii="宋体" w:hAnsi="宋体" w:eastAsia="宋体" w:cs="宋体"/>
          <w:b/>
          <w:bCs w:val="0"/>
          <w:color w:val="auto"/>
          <w:sz w:val="24"/>
          <w:highlight w:val="none"/>
          <w:u w:val="none"/>
        </w:rPr>
        <w:t>文件内容有质疑，任何要求澄清</w:t>
      </w:r>
      <w:r>
        <w:rPr>
          <w:rFonts w:hint="eastAsia" w:ascii="宋体" w:hAnsi="宋体" w:eastAsia="宋体" w:cs="宋体"/>
          <w:b/>
          <w:bCs w:val="0"/>
          <w:color w:val="auto"/>
          <w:sz w:val="24"/>
          <w:highlight w:val="none"/>
          <w:u w:val="none"/>
          <w:lang w:eastAsia="zh-CN"/>
        </w:rPr>
        <w:t>竞争性谈判文件</w:t>
      </w:r>
      <w:r>
        <w:rPr>
          <w:rFonts w:hint="eastAsia" w:ascii="宋体" w:hAnsi="宋体" w:eastAsia="宋体" w:cs="宋体"/>
          <w:b/>
          <w:bCs w:val="0"/>
          <w:color w:val="auto"/>
          <w:sz w:val="24"/>
          <w:highlight w:val="none"/>
          <w:u w:val="none"/>
        </w:rPr>
        <w:t>的投标人，均应在投标截止日期三天前以书面形式或传真、电报通知招标机构。招标人认为必要时，将（澄清）修改后的公告发布在新疆政府采购网（http://www.ccgp-xinjiang.gov.cn/），敬请投标企业及时关注。在规定期限内投标企业未提出质疑的视为投标企业默认</w:t>
      </w:r>
      <w:r>
        <w:rPr>
          <w:rFonts w:hint="eastAsia" w:ascii="宋体" w:hAnsi="宋体" w:eastAsia="宋体" w:cs="宋体"/>
          <w:b/>
          <w:bCs w:val="0"/>
          <w:color w:val="auto"/>
          <w:sz w:val="24"/>
          <w:highlight w:val="none"/>
          <w:u w:val="none"/>
          <w:lang w:eastAsia="zh-CN"/>
        </w:rPr>
        <w:t>竞争性谈判</w:t>
      </w:r>
      <w:r>
        <w:rPr>
          <w:rFonts w:hint="eastAsia" w:ascii="宋体" w:hAnsi="宋体" w:eastAsia="宋体" w:cs="宋体"/>
          <w:b/>
          <w:bCs w:val="0"/>
          <w:color w:val="auto"/>
          <w:sz w:val="24"/>
          <w:highlight w:val="none"/>
          <w:u w:val="none"/>
        </w:rPr>
        <w:t>文件不存在质疑的相关问题。超过</w:t>
      </w:r>
      <w:r>
        <w:rPr>
          <w:rFonts w:hint="eastAsia" w:ascii="宋体" w:hAnsi="宋体" w:eastAsia="宋体" w:cs="宋体"/>
          <w:b/>
          <w:bCs w:val="0"/>
          <w:color w:val="auto"/>
          <w:sz w:val="24"/>
          <w:highlight w:val="none"/>
          <w:u w:val="none"/>
          <w:lang w:eastAsia="zh-CN"/>
        </w:rPr>
        <w:t>竞争性谈判</w:t>
      </w:r>
      <w:r>
        <w:rPr>
          <w:rFonts w:hint="eastAsia" w:ascii="宋体" w:hAnsi="宋体" w:eastAsia="宋体" w:cs="宋体"/>
          <w:b/>
          <w:bCs w:val="0"/>
          <w:color w:val="auto"/>
          <w:sz w:val="24"/>
          <w:highlight w:val="none"/>
          <w:u w:val="none"/>
        </w:rPr>
        <w:t>文件质疑时间将不再接受投标企业所提出的质疑。投标人不得与招标人私下就招投标的有关实质性的问题进行磋商。</w:t>
      </w:r>
    </w:p>
    <w:p w14:paraId="337882B4">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w:t>
      </w:r>
      <w:r>
        <w:rPr>
          <w:rFonts w:hint="eastAsia" w:ascii="宋体" w:hAnsi="宋体" w:cs="宋体"/>
          <w:b/>
          <w:color w:val="auto"/>
          <w:sz w:val="24"/>
          <w:highlight w:val="none"/>
          <w:lang w:val="en-US" w:eastAsia="zh-CN"/>
        </w:rPr>
        <w:t>谈判</w:t>
      </w:r>
      <w:r>
        <w:rPr>
          <w:rFonts w:hint="eastAsia" w:ascii="宋体" w:hAnsi="宋体" w:eastAsia="宋体" w:cs="宋体"/>
          <w:b/>
          <w:color w:val="auto"/>
          <w:sz w:val="24"/>
          <w:highlight w:val="none"/>
        </w:rPr>
        <w:t>文件的修改</w:t>
      </w:r>
    </w:p>
    <w:p w14:paraId="73090F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7.1</w:t>
      </w:r>
      <w:r>
        <w:rPr>
          <w:rFonts w:hint="eastAsia" w:ascii="宋体" w:hAnsi="宋体" w:eastAsia="宋体" w:cs="宋体"/>
          <w:color w:val="auto"/>
          <w:sz w:val="24"/>
          <w:highlight w:val="none"/>
        </w:rPr>
        <w:t xml:space="preserve"> 在</w:t>
      </w:r>
      <w:r>
        <w:rPr>
          <w:rFonts w:hint="eastAsia" w:ascii="宋体" w:hAnsi="宋体" w:cs="宋体"/>
          <w:color w:val="auto"/>
          <w:sz w:val="24"/>
          <w:highlight w:val="none"/>
          <w:lang w:val="en-US" w:eastAsia="zh-CN"/>
        </w:rPr>
        <w:t>开标</w:t>
      </w: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u w:val="single"/>
        </w:rPr>
        <w:t>24</w:t>
      </w:r>
      <w:r>
        <w:rPr>
          <w:rFonts w:hint="eastAsia" w:ascii="宋体" w:hAnsi="宋体" w:eastAsia="宋体" w:cs="宋体"/>
          <w:color w:val="auto"/>
          <w:sz w:val="24"/>
          <w:highlight w:val="none"/>
        </w:rPr>
        <w:t>小时以前，</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人都可能以《文件补充》的方式修改</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color w:val="auto"/>
          <w:sz w:val="24"/>
          <w:highlight w:val="none"/>
        </w:rPr>
        <w:t>文件</w:t>
      </w:r>
      <w:r>
        <w:rPr>
          <w:rFonts w:hint="eastAsia" w:ascii="宋体" w:hAnsi="宋体" w:cs="宋体"/>
          <w:color w:val="auto"/>
          <w:sz w:val="24"/>
          <w:highlight w:val="none"/>
          <w:lang w:eastAsia="zh-CN"/>
        </w:rPr>
        <w:t>，代理公司将于开标前</w:t>
      </w:r>
      <w:r>
        <w:rPr>
          <w:rFonts w:hint="eastAsia" w:ascii="宋体" w:hAnsi="宋体" w:cs="宋体"/>
          <w:color w:val="auto"/>
          <w:sz w:val="24"/>
          <w:highlight w:val="none"/>
          <w:lang w:val="en-US" w:eastAsia="zh-CN"/>
        </w:rPr>
        <w:t>3个工作日</w:t>
      </w:r>
      <w:r>
        <w:rPr>
          <w:rFonts w:hint="eastAsia" w:ascii="宋体" w:hAnsi="宋体" w:cs="宋体"/>
          <w:color w:val="auto"/>
          <w:sz w:val="24"/>
          <w:highlight w:val="none"/>
          <w:lang w:eastAsia="zh-CN"/>
        </w:rPr>
        <w:t>在本次招标公告刊登的媒体（新疆政府采购网（http://www.ccgp-xinjiang.gov.cn/）上</w:t>
      </w:r>
      <w:r>
        <w:rPr>
          <w:rFonts w:hint="eastAsia" w:ascii="宋体" w:hAnsi="宋体" w:cs="宋体"/>
          <w:color w:val="auto"/>
          <w:sz w:val="24"/>
          <w:highlight w:val="none"/>
          <w:lang w:val="en-US" w:eastAsia="zh-CN"/>
        </w:rPr>
        <w:t>予</w:t>
      </w:r>
      <w:r>
        <w:rPr>
          <w:rFonts w:hint="eastAsia" w:ascii="宋体" w:hAnsi="宋体" w:cs="宋体"/>
          <w:color w:val="auto"/>
          <w:sz w:val="24"/>
          <w:highlight w:val="none"/>
          <w:lang w:eastAsia="zh-CN"/>
        </w:rPr>
        <w:t>以公</w:t>
      </w:r>
      <w:r>
        <w:rPr>
          <w:rFonts w:hint="eastAsia" w:ascii="宋体" w:hAnsi="宋体" w:cs="宋体"/>
          <w:color w:val="auto"/>
          <w:sz w:val="24"/>
          <w:highlight w:val="none"/>
          <w:lang w:val="en-US" w:eastAsia="zh-CN"/>
        </w:rPr>
        <w:t>布</w:t>
      </w:r>
      <w:r>
        <w:rPr>
          <w:rFonts w:hint="eastAsia" w:ascii="宋体" w:hAnsi="宋体" w:cs="宋体"/>
          <w:color w:val="auto"/>
          <w:sz w:val="24"/>
          <w:highlight w:val="none"/>
          <w:lang w:eastAsia="zh-CN"/>
        </w:rPr>
        <w:t>，该补充或修改的内容为</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cs="宋体"/>
          <w:color w:val="auto"/>
          <w:sz w:val="24"/>
          <w:highlight w:val="none"/>
          <w:lang w:eastAsia="zh-CN"/>
        </w:rPr>
        <w:t>文件的组成部分；补充或修改不足</w:t>
      </w:r>
      <w:r>
        <w:rPr>
          <w:rFonts w:hint="eastAsia" w:ascii="宋体" w:hAnsi="宋体" w:cs="宋体"/>
          <w:color w:val="auto"/>
          <w:sz w:val="24"/>
          <w:highlight w:val="none"/>
          <w:lang w:val="en-US" w:eastAsia="zh-CN"/>
        </w:rPr>
        <w:t>3个工作日</w:t>
      </w:r>
      <w:r>
        <w:rPr>
          <w:rFonts w:hint="eastAsia" w:ascii="宋体" w:hAnsi="宋体" w:cs="宋体"/>
          <w:color w:val="auto"/>
          <w:sz w:val="24"/>
          <w:highlight w:val="none"/>
          <w:lang w:eastAsia="zh-CN"/>
        </w:rPr>
        <w:t>的，应顺延投标截至时间</w:t>
      </w:r>
      <w:r>
        <w:rPr>
          <w:rFonts w:hint="eastAsia" w:ascii="宋体" w:hAnsi="宋体" w:eastAsia="宋体" w:cs="宋体"/>
          <w:color w:val="auto"/>
          <w:sz w:val="24"/>
          <w:highlight w:val="none"/>
        </w:rPr>
        <w:t>。</w:t>
      </w:r>
    </w:p>
    <w:p w14:paraId="1A93A1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napToGrid w:val="0"/>
          <w:color w:val="auto"/>
          <w:kern w:val="0"/>
          <w:sz w:val="24"/>
          <w:highlight w:val="none"/>
        </w:rPr>
      </w:pPr>
      <w:r>
        <w:rPr>
          <w:rFonts w:hint="eastAsia" w:ascii="宋体" w:hAnsi="宋体" w:eastAsia="宋体" w:cs="宋体"/>
          <w:b/>
          <w:color w:val="auto"/>
          <w:sz w:val="24"/>
          <w:highlight w:val="none"/>
        </w:rPr>
        <w:t>7.2</w:t>
      </w: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color w:val="auto"/>
          <w:sz w:val="24"/>
          <w:highlight w:val="none"/>
        </w:rPr>
        <w:t>补充》作为</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color w:val="auto"/>
          <w:sz w:val="24"/>
          <w:highlight w:val="none"/>
        </w:rPr>
        <w:t>的组成部分，对</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人具有同等约束力。如果</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color w:val="auto"/>
          <w:sz w:val="24"/>
          <w:highlight w:val="none"/>
        </w:rPr>
        <w:t>补充内容与此</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color w:val="auto"/>
          <w:sz w:val="24"/>
          <w:highlight w:val="none"/>
        </w:rPr>
        <w:t>补充发出之前的</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snapToGrid w:val="0"/>
          <w:color w:val="auto"/>
          <w:kern w:val="0"/>
          <w:sz w:val="24"/>
          <w:highlight w:val="none"/>
        </w:rPr>
        <w:t>等书面材料中相关内容相冲突，请</w:t>
      </w:r>
      <w:r>
        <w:rPr>
          <w:rFonts w:hint="eastAsia" w:ascii="宋体" w:hAnsi="宋体" w:cs="宋体"/>
          <w:snapToGrid w:val="0"/>
          <w:color w:val="auto"/>
          <w:kern w:val="0"/>
          <w:sz w:val="24"/>
          <w:highlight w:val="none"/>
          <w:lang w:val="en-US" w:eastAsia="zh-CN"/>
        </w:rPr>
        <w:t>投标</w:t>
      </w:r>
      <w:r>
        <w:rPr>
          <w:rFonts w:hint="eastAsia" w:ascii="宋体" w:hAnsi="宋体" w:eastAsia="宋体" w:cs="宋体"/>
          <w:snapToGrid w:val="0"/>
          <w:color w:val="auto"/>
          <w:kern w:val="0"/>
          <w:sz w:val="24"/>
          <w:highlight w:val="none"/>
        </w:rPr>
        <w:t>人执行</w:t>
      </w:r>
      <w:r>
        <w:rPr>
          <w:rFonts w:hint="eastAsia" w:ascii="宋体" w:hAnsi="宋体" w:eastAsia="宋体" w:cs="宋体"/>
          <w:color w:val="auto"/>
          <w:kern w:val="2"/>
          <w:sz w:val="24"/>
          <w:szCs w:val="24"/>
          <w:highlight w:val="none"/>
          <w:lang w:val="en-US" w:eastAsia="zh-CN" w:bidi="ar-SA"/>
        </w:rPr>
        <w:t>竞争性谈判文件</w:t>
      </w:r>
      <w:r>
        <w:rPr>
          <w:rFonts w:hint="eastAsia" w:ascii="宋体" w:hAnsi="宋体" w:eastAsia="宋体" w:cs="宋体"/>
          <w:snapToGrid w:val="0"/>
          <w:color w:val="auto"/>
          <w:kern w:val="0"/>
          <w:sz w:val="24"/>
          <w:highlight w:val="none"/>
        </w:rPr>
        <w:t>补充的相关内容，先前发出的文件等书面材料中相关内容自动废止。</w:t>
      </w:r>
    </w:p>
    <w:p w14:paraId="3ACE7FDA">
      <w:pPr>
        <w:pageBreakBefore w:val="0"/>
        <w:kinsoku/>
        <w:wordWrap/>
        <w:overflowPunct/>
        <w:topLinePunct w:val="0"/>
        <w:bidi w:val="0"/>
        <w:spacing w:line="360" w:lineRule="auto"/>
        <w:rPr>
          <w:rFonts w:hint="eastAsia" w:ascii="宋体" w:hAnsi="宋体" w:eastAsia="宋体" w:cs="宋体"/>
          <w:snapToGrid w:val="0"/>
          <w:color w:val="auto"/>
          <w:kern w:val="0"/>
          <w:sz w:val="24"/>
          <w:highlight w:val="none"/>
        </w:rPr>
      </w:pPr>
      <w:r>
        <w:rPr>
          <w:rFonts w:hint="eastAsia" w:ascii="宋体" w:hAnsi="宋体" w:eastAsia="宋体" w:cs="宋体"/>
          <w:b/>
          <w:snapToGrid w:val="0"/>
          <w:color w:val="auto"/>
          <w:kern w:val="0"/>
          <w:sz w:val="24"/>
          <w:highlight w:val="none"/>
        </w:rPr>
        <w:t>7.3</w:t>
      </w:r>
      <w:r>
        <w:rPr>
          <w:rFonts w:hint="eastAsia" w:ascii="宋体" w:hAnsi="宋体" w:eastAsia="宋体" w:cs="宋体"/>
          <w:snapToGrid w:val="0"/>
          <w:color w:val="auto"/>
          <w:kern w:val="0"/>
          <w:sz w:val="24"/>
          <w:highlight w:val="none"/>
        </w:rPr>
        <w:t xml:space="preserve"> 为使</w:t>
      </w:r>
      <w:r>
        <w:rPr>
          <w:rFonts w:hint="eastAsia" w:ascii="宋体" w:hAnsi="宋体" w:cs="宋体"/>
          <w:snapToGrid w:val="0"/>
          <w:color w:val="auto"/>
          <w:kern w:val="0"/>
          <w:sz w:val="24"/>
          <w:highlight w:val="none"/>
          <w:lang w:eastAsia="zh-CN"/>
        </w:rPr>
        <w:t>投标人</w:t>
      </w:r>
      <w:r>
        <w:rPr>
          <w:rFonts w:hint="eastAsia" w:ascii="宋体" w:hAnsi="宋体" w:eastAsia="宋体" w:cs="宋体"/>
          <w:snapToGrid w:val="0"/>
          <w:color w:val="auto"/>
          <w:kern w:val="0"/>
          <w:sz w:val="24"/>
          <w:highlight w:val="none"/>
        </w:rPr>
        <w:t>在编制</w:t>
      </w:r>
      <w:r>
        <w:rPr>
          <w:rFonts w:hint="eastAsia" w:ascii="宋体" w:hAnsi="宋体" w:eastAsia="宋体" w:cs="宋体"/>
          <w:snapToGrid w:val="0"/>
          <w:color w:val="auto"/>
          <w:kern w:val="0"/>
          <w:sz w:val="24"/>
          <w:highlight w:val="none"/>
          <w:lang w:eastAsia="zh-CN"/>
        </w:rPr>
        <w:t>谈判响应</w:t>
      </w:r>
      <w:r>
        <w:rPr>
          <w:rFonts w:hint="eastAsia" w:ascii="宋体" w:hAnsi="宋体" w:cs="宋体"/>
          <w:snapToGrid w:val="0"/>
          <w:color w:val="auto"/>
          <w:kern w:val="0"/>
          <w:sz w:val="24"/>
          <w:highlight w:val="none"/>
          <w:lang w:eastAsia="zh-CN"/>
        </w:rPr>
        <w:t>文件</w:t>
      </w:r>
      <w:r>
        <w:rPr>
          <w:rFonts w:hint="eastAsia" w:ascii="宋体" w:hAnsi="宋体" w:eastAsia="宋体" w:cs="宋体"/>
          <w:snapToGrid w:val="0"/>
          <w:color w:val="auto"/>
          <w:kern w:val="0"/>
          <w:sz w:val="24"/>
          <w:highlight w:val="none"/>
        </w:rPr>
        <w:t>时把《文件补充》内容考虑进去，</w:t>
      </w:r>
      <w:r>
        <w:rPr>
          <w:rFonts w:hint="eastAsia" w:ascii="宋体" w:hAnsi="宋体" w:cs="宋体"/>
          <w:snapToGrid w:val="0"/>
          <w:color w:val="auto"/>
          <w:kern w:val="0"/>
          <w:sz w:val="24"/>
          <w:highlight w:val="none"/>
          <w:lang w:val="en-US" w:eastAsia="zh-CN"/>
        </w:rPr>
        <w:t>采购</w:t>
      </w:r>
      <w:r>
        <w:rPr>
          <w:rFonts w:hint="eastAsia" w:ascii="宋体" w:hAnsi="宋体" w:eastAsia="宋体" w:cs="宋体"/>
          <w:snapToGrid w:val="0"/>
          <w:color w:val="auto"/>
          <w:kern w:val="0"/>
          <w:sz w:val="24"/>
          <w:highlight w:val="none"/>
        </w:rPr>
        <w:t>人可以相应延长</w:t>
      </w:r>
      <w:r>
        <w:rPr>
          <w:rFonts w:hint="eastAsia" w:ascii="宋体" w:hAnsi="宋体" w:cs="宋体"/>
          <w:snapToGrid w:val="0"/>
          <w:color w:val="auto"/>
          <w:kern w:val="0"/>
          <w:sz w:val="24"/>
          <w:highlight w:val="none"/>
          <w:lang w:val="en-US" w:eastAsia="zh-CN"/>
        </w:rPr>
        <w:t>谈判截止</w:t>
      </w:r>
      <w:r>
        <w:rPr>
          <w:rFonts w:hint="eastAsia" w:ascii="宋体" w:hAnsi="宋体" w:eastAsia="宋体" w:cs="宋体"/>
          <w:snapToGrid w:val="0"/>
          <w:color w:val="auto"/>
          <w:kern w:val="0"/>
          <w:sz w:val="24"/>
          <w:highlight w:val="none"/>
        </w:rPr>
        <w:t>日期，具体时间将在《文件补充》中写明。</w:t>
      </w:r>
    </w:p>
    <w:p w14:paraId="78B8E657">
      <w:pPr>
        <w:pStyle w:val="5"/>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snapToGrid w:val="0"/>
          <w:color w:val="auto"/>
          <w:kern w:val="0"/>
          <w:sz w:val="24"/>
          <w:szCs w:val="24"/>
          <w:highlight w:val="none"/>
          <w:lang w:val="en-US" w:eastAsia="zh-CN" w:bidi="ar-SA"/>
        </w:rPr>
        <w:t xml:space="preserve">7.4 </w:t>
      </w:r>
      <w:r>
        <w:rPr>
          <w:rFonts w:hint="eastAsia" w:ascii="宋体" w:hAnsi="宋体" w:eastAsia="宋体" w:cs="宋体"/>
          <w:color w:val="auto"/>
          <w:kern w:val="2"/>
          <w:sz w:val="24"/>
          <w:szCs w:val="24"/>
          <w:highlight w:val="none"/>
          <w:lang w:val="en-US" w:eastAsia="zh-CN" w:bidi="ar-SA"/>
        </w:rPr>
        <w:t>对于投标人澄清要求</w:t>
      </w:r>
      <w:r>
        <w:rPr>
          <w:rFonts w:hint="eastAsia" w:ascii="宋体" w:hAnsi="宋体" w:cs="宋体"/>
          <w:color w:val="auto"/>
          <w:kern w:val="2"/>
          <w:sz w:val="24"/>
          <w:szCs w:val="24"/>
          <w:highlight w:val="none"/>
          <w:lang w:val="en-US" w:eastAsia="zh-CN" w:bidi="ar-SA"/>
        </w:rPr>
        <w:t>有必要时</w:t>
      </w:r>
      <w:r>
        <w:rPr>
          <w:rFonts w:hint="eastAsia" w:ascii="宋体" w:hAnsi="宋体" w:eastAsia="宋体" w:cs="宋体"/>
          <w:color w:val="auto"/>
          <w:kern w:val="2"/>
          <w:sz w:val="24"/>
          <w:szCs w:val="24"/>
          <w:highlight w:val="none"/>
          <w:lang w:val="en-US" w:eastAsia="zh-CN" w:bidi="ar-SA"/>
        </w:rPr>
        <w:t>，或者竞争性谈判文件的修改补充文件，招标机构均将在本次竞争性谈判公告刊登的媒体（新疆政府采购（http://www.ccgp-xinjiang.gov.cn/）上予以公布。请各投标人注意！</w:t>
      </w:r>
    </w:p>
    <w:p w14:paraId="638ACB18">
      <w:pPr>
        <w:pStyle w:val="3"/>
        <w:pageBreakBefore w:val="0"/>
        <w:kinsoku/>
        <w:wordWrap/>
        <w:overflowPunct/>
        <w:topLinePunct w:val="0"/>
        <w:bidi w:val="0"/>
        <w:spacing w:line="360" w:lineRule="auto"/>
        <w:ind w:firstLine="3204" w:firstLineChars="1140"/>
        <w:rPr>
          <w:rFonts w:hint="eastAsia" w:ascii="宋体" w:hAnsi="宋体" w:eastAsia="宋体" w:cs="宋体"/>
          <w:snapToGrid w:val="0"/>
          <w:color w:val="auto"/>
          <w:kern w:val="0"/>
          <w:sz w:val="28"/>
          <w:highlight w:val="none"/>
        </w:rPr>
      </w:pPr>
      <w:bookmarkStart w:id="51" w:name="_Toc15024"/>
      <w:bookmarkStart w:id="52" w:name="_Toc30784"/>
      <w:r>
        <w:rPr>
          <w:rFonts w:hint="eastAsia" w:ascii="宋体" w:hAnsi="宋体" w:eastAsia="宋体" w:cs="宋体"/>
          <w:snapToGrid w:val="0"/>
          <w:color w:val="auto"/>
          <w:kern w:val="0"/>
          <w:sz w:val="28"/>
          <w:highlight w:val="none"/>
        </w:rPr>
        <w:t>三、</w:t>
      </w:r>
      <w:r>
        <w:rPr>
          <w:rFonts w:hint="eastAsia" w:ascii="宋体" w:hAnsi="宋体" w:cs="宋体"/>
          <w:snapToGrid w:val="0"/>
          <w:color w:val="auto"/>
          <w:kern w:val="0"/>
          <w:sz w:val="28"/>
          <w:highlight w:val="none"/>
          <w:lang w:eastAsia="zh-CN"/>
        </w:rPr>
        <w:t>谈判响应文件</w:t>
      </w:r>
      <w:r>
        <w:rPr>
          <w:rFonts w:hint="eastAsia" w:ascii="宋体" w:hAnsi="宋体" w:eastAsia="宋体" w:cs="宋体"/>
          <w:snapToGrid w:val="0"/>
          <w:color w:val="auto"/>
          <w:kern w:val="0"/>
          <w:sz w:val="28"/>
          <w:highlight w:val="none"/>
        </w:rPr>
        <w:t>的编制</w:t>
      </w:r>
      <w:bookmarkEnd w:id="51"/>
      <w:bookmarkEnd w:id="52"/>
    </w:p>
    <w:p w14:paraId="55ED429D">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w:t>
      </w:r>
      <w:r>
        <w:rPr>
          <w:rFonts w:hint="eastAsia" w:ascii="宋体" w:hAnsi="宋体" w:cs="宋体"/>
          <w:b/>
          <w:color w:val="auto"/>
          <w:sz w:val="24"/>
          <w:highlight w:val="none"/>
          <w:lang w:eastAsia="zh-CN"/>
        </w:rPr>
        <w:t>谈判响应文件</w:t>
      </w:r>
      <w:r>
        <w:rPr>
          <w:rFonts w:hint="eastAsia" w:ascii="宋体" w:hAnsi="宋体" w:eastAsia="宋体" w:cs="宋体"/>
          <w:b/>
          <w:color w:val="auto"/>
          <w:sz w:val="24"/>
          <w:highlight w:val="none"/>
        </w:rPr>
        <w:t>的编写</w:t>
      </w:r>
    </w:p>
    <w:p w14:paraId="545C3F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eastAsia="zh-CN"/>
        </w:rPr>
      </w:pPr>
      <w:r>
        <w:rPr>
          <w:rFonts w:hint="eastAsia" w:ascii="宋体" w:hAnsi="宋体" w:eastAsia="宋体" w:cs="宋体"/>
          <w:b w:val="0"/>
          <w:bCs/>
          <w:color w:val="auto"/>
          <w:sz w:val="24"/>
          <w:highlight w:val="none"/>
        </w:rPr>
        <w:t xml:space="preserve">8.1 </w:t>
      </w:r>
      <w:r>
        <w:rPr>
          <w:rFonts w:hint="eastAsia" w:ascii="宋体" w:hAnsi="宋体" w:cs="宋体"/>
          <w:b w:val="0"/>
          <w:bCs/>
          <w:color w:val="auto"/>
          <w:sz w:val="24"/>
          <w:highlight w:val="none"/>
          <w:lang w:eastAsia="zh-CN"/>
        </w:rPr>
        <w:t>报价人</w:t>
      </w:r>
      <w:r>
        <w:rPr>
          <w:rFonts w:hint="eastAsia" w:ascii="宋体" w:hAnsi="宋体" w:eastAsia="宋体" w:cs="宋体"/>
          <w:b w:val="0"/>
          <w:bCs/>
          <w:color w:val="auto"/>
          <w:sz w:val="24"/>
          <w:highlight w:val="none"/>
        </w:rPr>
        <w:t>应</w:t>
      </w:r>
      <w:r>
        <w:rPr>
          <w:rFonts w:hint="eastAsia" w:ascii="宋体" w:hAnsi="宋体" w:eastAsia="宋体" w:cs="宋体"/>
          <w:color w:val="auto"/>
          <w:sz w:val="24"/>
          <w:highlight w:val="none"/>
        </w:rPr>
        <w:t>仔细阅读</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文件，了解文件的要求。在充分理解</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文件提出的技术要求、服务和商务条件后，编制</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采用电子</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lang w:eastAsia="zh-CN"/>
        </w:rPr>
        <w:t>。</w:t>
      </w:r>
    </w:p>
    <w:p w14:paraId="53BC33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8.2 电子谈判响应文件使用新疆政府采购网提供的谈判响应文件制作工具以及采购文件要求进行制作编制。谈判响应文件制作时，不同内容按标签提示制作导入，按照采购文件中明确的谈判响应文件目录和格式进行编制，保证目录清晰、内容完整。</w:t>
      </w:r>
    </w:p>
    <w:p w14:paraId="0B0875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kern w:val="0"/>
          <w:sz w:val="24"/>
          <w:szCs w:val="24"/>
          <w:highlight w:val="none"/>
        </w:rPr>
      </w:pPr>
      <w:r>
        <w:rPr>
          <w:rFonts w:hint="eastAsia" w:ascii="宋体" w:hAnsi="宋体" w:cs="宋体"/>
          <w:color w:val="auto"/>
          <w:sz w:val="24"/>
          <w:highlight w:val="none"/>
          <w:lang w:val="en-US" w:eastAsia="zh-CN"/>
        </w:rPr>
        <w:t>8.3</w:t>
      </w:r>
      <w:r>
        <w:rPr>
          <w:rFonts w:hint="eastAsia" w:ascii="宋体" w:hAnsi="宋体" w:cs="宋体"/>
          <w:color w:val="auto"/>
          <w:kern w:val="0"/>
          <w:sz w:val="24"/>
          <w:szCs w:val="24"/>
          <w:highlight w:val="none"/>
        </w:rPr>
        <w:t>电子</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须使用投标人公章的电子签章以及法定代表人的电子签章。若无电子签章</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未按照谈判文件要求签署、盖章的，</w:t>
      </w:r>
      <w:r>
        <w:rPr>
          <w:rFonts w:hint="eastAsia" w:ascii="宋体" w:hAnsi="宋体" w:cs="宋体"/>
          <w:color w:val="auto"/>
          <w:kern w:val="0"/>
          <w:sz w:val="24"/>
          <w:szCs w:val="24"/>
          <w:highlight w:val="none"/>
        </w:rPr>
        <w:t>则视为无效投标。</w:t>
      </w:r>
    </w:p>
    <w:p w14:paraId="1E33009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8.4电子招谈判响应文件具有法律效力，与其他形式的招谈判响应文件在内容和格式上等同，若谈判响应文件与采购文件要求不一致，其内容影响中标结果时，责任由投标人自行承担。投标人递交的电子谈判响应文件因投标人自身原因而导致无法导入电子辅助评标系统，该谈判响应文件视为无效谈判响应文件，将导致其投标被拒绝。</w:t>
      </w:r>
    </w:p>
    <w:p w14:paraId="0425493A">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w:t>
      </w:r>
      <w:r>
        <w:rPr>
          <w:rFonts w:hint="eastAsia" w:ascii="宋体" w:hAnsi="宋体" w:cs="宋体"/>
          <w:b/>
          <w:color w:val="auto"/>
          <w:sz w:val="24"/>
          <w:highlight w:val="none"/>
          <w:lang w:eastAsia="zh-CN"/>
        </w:rPr>
        <w:t>谈判及报价</w:t>
      </w:r>
      <w:r>
        <w:rPr>
          <w:rFonts w:hint="eastAsia" w:ascii="宋体" w:hAnsi="宋体" w:eastAsia="宋体" w:cs="宋体"/>
          <w:b/>
          <w:color w:val="auto"/>
          <w:sz w:val="24"/>
          <w:highlight w:val="none"/>
        </w:rPr>
        <w:t>语言</w:t>
      </w:r>
    </w:p>
    <w:p w14:paraId="5226D8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 xml:space="preserve">9.1 </w:t>
      </w:r>
      <w:r>
        <w:rPr>
          <w:rFonts w:hint="eastAsia" w:ascii="宋体" w:hAnsi="宋体" w:cs="宋体"/>
          <w:b w:val="0"/>
          <w:bCs/>
          <w:color w:val="auto"/>
          <w:sz w:val="24"/>
          <w:highlight w:val="none"/>
          <w:lang w:eastAsia="zh-CN"/>
        </w:rPr>
        <w:t>报价人</w:t>
      </w:r>
      <w:r>
        <w:rPr>
          <w:rFonts w:hint="eastAsia" w:ascii="宋体" w:hAnsi="宋体" w:eastAsia="宋体" w:cs="宋体"/>
          <w:color w:val="auto"/>
          <w:sz w:val="24"/>
          <w:highlight w:val="none"/>
        </w:rPr>
        <w:t>的</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以及</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与</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机构就有关</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活动的所有来往函电均应使用中文。如果</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或与</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有关的其他文件、信件及来往函电以其他语言书写，</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应将其译成中文。</w:t>
      </w:r>
    </w:p>
    <w:p w14:paraId="02E71540">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 xml:space="preserve">9.2 </w:t>
      </w:r>
      <w:r>
        <w:rPr>
          <w:rFonts w:hint="eastAsia" w:ascii="宋体" w:hAnsi="宋体" w:cs="宋体"/>
          <w:b w:val="0"/>
          <w:bCs/>
          <w:color w:val="auto"/>
          <w:sz w:val="24"/>
          <w:highlight w:val="none"/>
          <w:lang w:eastAsia="zh-CN"/>
        </w:rPr>
        <w:t>谈判</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中使用的计量单位除</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文件中有特殊规定外，一律使用法定计量单位。</w:t>
      </w:r>
    </w:p>
    <w:p w14:paraId="542D1E11">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w:t>
      </w:r>
      <w:r>
        <w:rPr>
          <w:rFonts w:hint="eastAsia" w:ascii="宋体" w:hAnsi="宋体" w:cs="宋体"/>
          <w:b/>
          <w:color w:val="auto"/>
          <w:sz w:val="24"/>
          <w:highlight w:val="none"/>
          <w:lang w:eastAsia="zh-CN"/>
        </w:rPr>
        <w:t>谈判响应文件</w:t>
      </w:r>
      <w:r>
        <w:rPr>
          <w:rFonts w:hint="eastAsia" w:ascii="宋体" w:hAnsi="宋体" w:eastAsia="宋体" w:cs="宋体"/>
          <w:b/>
          <w:color w:val="auto"/>
          <w:sz w:val="24"/>
          <w:highlight w:val="none"/>
        </w:rPr>
        <w:t>构成</w:t>
      </w:r>
    </w:p>
    <w:p w14:paraId="1BB048B2">
      <w:pPr>
        <w:pageBreakBefore w:val="0"/>
        <w:kinsoku/>
        <w:wordWrap/>
        <w:overflowPunct/>
        <w:topLinePunct w:val="0"/>
        <w:bidi w:val="0"/>
        <w:spacing w:line="360" w:lineRule="auto"/>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val="en-US" w:eastAsia="zh-CN"/>
        </w:rPr>
        <w:t>10.1本项目采用不见面电子标，</w:t>
      </w:r>
      <w:r>
        <w:rPr>
          <w:rFonts w:hint="eastAsia" w:ascii="宋体" w:hAnsi="宋体" w:cs="宋体"/>
          <w:b/>
          <w:color w:val="auto"/>
          <w:sz w:val="24"/>
          <w:szCs w:val="24"/>
          <w:highlight w:val="none"/>
        </w:rPr>
        <w:t>电子</w:t>
      </w:r>
      <w:r>
        <w:rPr>
          <w:rFonts w:hint="eastAsia" w:ascii="宋体" w:hAnsi="宋体" w:cs="宋体"/>
          <w:b/>
          <w:color w:val="auto"/>
          <w:sz w:val="24"/>
          <w:szCs w:val="24"/>
          <w:highlight w:val="none"/>
          <w:lang w:eastAsia="zh-CN"/>
        </w:rPr>
        <w:t>响应文件</w:t>
      </w:r>
      <w:r>
        <w:rPr>
          <w:rFonts w:hint="eastAsia" w:ascii="宋体" w:hAnsi="宋体" w:cs="宋体"/>
          <w:b/>
          <w:color w:val="auto"/>
          <w:sz w:val="24"/>
          <w:szCs w:val="24"/>
          <w:highlight w:val="none"/>
        </w:rPr>
        <w:t>按政采云平台供应商电子招投标操作指南</w:t>
      </w:r>
      <w:r>
        <w:rPr>
          <w:rFonts w:hint="eastAsia" w:ascii="宋体" w:hAnsi="宋体" w:cs="宋体"/>
          <w:b/>
          <w:color w:val="auto"/>
          <w:sz w:val="24"/>
          <w:szCs w:val="24"/>
          <w:highlight w:val="none"/>
          <w:lang w:eastAsia="zh-CN"/>
        </w:rPr>
        <w:t>编制</w:t>
      </w:r>
      <w:r>
        <w:rPr>
          <w:rFonts w:hint="eastAsia" w:ascii="宋体" w:hAnsi="宋体" w:cs="宋体"/>
          <w:b/>
          <w:color w:val="auto"/>
          <w:sz w:val="24"/>
          <w:szCs w:val="24"/>
          <w:highlight w:val="none"/>
        </w:rPr>
        <w:t>。根据</w:t>
      </w:r>
      <w:r>
        <w:rPr>
          <w:rFonts w:hint="eastAsia" w:ascii="宋体" w:hAnsi="宋体" w:cs="宋体"/>
          <w:b/>
          <w:color w:val="auto"/>
          <w:sz w:val="24"/>
          <w:szCs w:val="24"/>
          <w:highlight w:val="none"/>
          <w:lang w:eastAsia="zh-CN"/>
        </w:rPr>
        <w:t>谈判文件</w:t>
      </w:r>
      <w:r>
        <w:rPr>
          <w:rFonts w:hint="eastAsia" w:ascii="宋体" w:hAnsi="宋体" w:cs="宋体"/>
          <w:b/>
          <w:color w:val="auto"/>
          <w:sz w:val="24"/>
          <w:szCs w:val="24"/>
          <w:highlight w:val="none"/>
        </w:rPr>
        <w:t>合格供应商的资格要求、</w:t>
      </w:r>
      <w:r>
        <w:rPr>
          <w:rFonts w:hint="eastAsia" w:ascii="宋体" w:hAnsi="宋体" w:cs="宋体"/>
          <w:b/>
          <w:color w:val="auto"/>
          <w:sz w:val="24"/>
          <w:szCs w:val="24"/>
          <w:highlight w:val="none"/>
          <w:lang w:eastAsia="zh-CN"/>
        </w:rPr>
        <w:t>响应文件</w:t>
      </w:r>
      <w:r>
        <w:rPr>
          <w:rFonts w:hint="eastAsia" w:ascii="宋体" w:hAnsi="宋体" w:cs="宋体"/>
          <w:b/>
          <w:color w:val="auto"/>
          <w:sz w:val="24"/>
          <w:szCs w:val="24"/>
          <w:highlight w:val="none"/>
        </w:rPr>
        <w:t>的编制及</w:t>
      </w:r>
      <w:r>
        <w:rPr>
          <w:rFonts w:hint="eastAsia" w:ascii="宋体" w:hAnsi="宋体" w:cs="宋体"/>
          <w:b/>
          <w:color w:val="auto"/>
          <w:sz w:val="24"/>
          <w:szCs w:val="24"/>
          <w:highlight w:val="none"/>
          <w:lang w:val="en-US" w:eastAsia="zh-CN"/>
        </w:rPr>
        <w:t>资格评审、响应性评审</w:t>
      </w:r>
      <w:r>
        <w:rPr>
          <w:rFonts w:hint="eastAsia" w:ascii="宋体" w:hAnsi="宋体" w:cs="宋体"/>
          <w:b/>
          <w:color w:val="auto"/>
          <w:sz w:val="24"/>
          <w:szCs w:val="24"/>
          <w:highlight w:val="none"/>
        </w:rPr>
        <w:t>等内容一一关联</w:t>
      </w:r>
      <w:r>
        <w:rPr>
          <w:rFonts w:hint="eastAsia" w:ascii="宋体" w:hAnsi="宋体" w:cs="宋体"/>
          <w:b/>
          <w:color w:val="auto"/>
          <w:sz w:val="24"/>
          <w:szCs w:val="24"/>
          <w:highlight w:val="none"/>
          <w:lang w:eastAsia="zh-CN"/>
        </w:rPr>
        <w:t>响应文件</w:t>
      </w:r>
      <w:r>
        <w:rPr>
          <w:rFonts w:hint="eastAsia" w:ascii="宋体" w:hAnsi="宋体" w:cs="宋体"/>
          <w:b/>
          <w:color w:val="auto"/>
          <w:sz w:val="24"/>
          <w:szCs w:val="24"/>
          <w:highlight w:val="none"/>
        </w:rPr>
        <w:t>按统一格式、顺序编写。</w:t>
      </w:r>
      <w:r>
        <w:rPr>
          <w:rFonts w:hint="eastAsia" w:ascii="宋体" w:hAnsi="宋体" w:cs="宋体"/>
          <w:b/>
          <w:color w:val="auto"/>
          <w:sz w:val="24"/>
          <w:highlight w:val="none"/>
          <w:lang w:eastAsia="zh-CN"/>
        </w:rPr>
        <w:t>详见谈判响应文件格式。</w:t>
      </w:r>
    </w:p>
    <w:p w14:paraId="7742DE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、报价</w:t>
      </w:r>
    </w:p>
    <w:p w14:paraId="1E8B85A6">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 xml:space="preserve">11.1 </w:t>
      </w:r>
      <w:r>
        <w:rPr>
          <w:rFonts w:hint="eastAsia" w:ascii="宋体" w:hAnsi="宋体" w:cs="宋体"/>
          <w:b w:val="0"/>
          <w:bCs w:val="0"/>
          <w:color w:val="auto"/>
          <w:sz w:val="24"/>
          <w:szCs w:val="24"/>
          <w:highlight w:val="none"/>
        </w:rPr>
        <w:t>投标</w:t>
      </w:r>
      <w:r>
        <w:rPr>
          <w:rFonts w:hint="eastAsia" w:ascii="宋体" w:hAnsi="宋体" w:cs="宋体"/>
          <w:b w:val="0"/>
          <w:bCs w:val="0"/>
          <w:color w:val="auto"/>
          <w:sz w:val="24"/>
          <w:szCs w:val="24"/>
          <w:highlight w:val="none"/>
          <w:lang w:eastAsia="zh-CN"/>
        </w:rPr>
        <w:t>总</w:t>
      </w:r>
      <w:r>
        <w:rPr>
          <w:rFonts w:hint="eastAsia" w:ascii="宋体" w:hAnsi="宋体" w:cs="宋体"/>
          <w:b w:val="0"/>
          <w:bCs w:val="0"/>
          <w:color w:val="auto"/>
          <w:sz w:val="24"/>
          <w:szCs w:val="24"/>
          <w:highlight w:val="none"/>
        </w:rPr>
        <w:t>报价高于或等于</w:t>
      </w:r>
      <w:r>
        <w:rPr>
          <w:rFonts w:hint="eastAsia" w:ascii="宋体" w:hAnsi="宋体" w:cs="宋体"/>
          <w:b w:val="0"/>
          <w:bCs w:val="0"/>
          <w:color w:val="auto"/>
          <w:sz w:val="24"/>
          <w:szCs w:val="24"/>
          <w:highlight w:val="none"/>
          <w:lang w:eastAsia="zh-CN"/>
        </w:rPr>
        <w:t>最高限价</w:t>
      </w:r>
      <w:r>
        <w:rPr>
          <w:rFonts w:hint="eastAsia" w:ascii="宋体" w:hAnsi="宋体" w:cs="宋体"/>
          <w:b w:val="0"/>
          <w:bCs w:val="0"/>
          <w:color w:val="auto"/>
          <w:sz w:val="24"/>
          <w:szCs w:val="24"/>
          <w:highlight w:val="none"/>
        </w:rPr>
        <w:t>金额的，其报价无效，不进入评标阶段。</w:t>
      </w:r>
    </w:p>
    <w:p w14:paraId="753B52F8">
      <w:pP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11.2供应商应在投标的投价表上标明单价和总价。单价和总价要相符。（一）响应文件中开标一览表（报价表）内容与响应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供应商应在投标报价表中标明其提供的所有服务及其相关工作范围内所在费用的总价，不接受有任何选择性询价报价。</w:t>
      </w:r>
      <w:r>
        <w:rPr>
          <w:rFonts w:hint="eastAsia" w:ascii="宋体" w:hAnsi="宋体" w:cs="宋体"/>
          <w:color w:val="auto"/>
          <w:sz w:val="24"/>
          <w:highlight w:val="none"/>
        </w:rPr>
        <w:t>投标人如果不同意上述修改原则，其投标将被拒绝。投标人应在投标报价表中标明其提供的所有</w:t>
      </w:r>
      <w:r>
        <w:rPr>
          <w:rFonts w:hint="eastAsia" w:ascii="宋体" w:hAnsi="宋体" w:cs="宋体"/>
          <w:color w:val="auto"/>
          <w:sz w:val="24"/>
          <w:highlight w:val="none"/>
          <w:lang w:eastAsia="zh-CN"/>
        </w:rPr>
        <w:t>服务</w:t>
      </w:r>
      <w:r>
        <w:rPr>
          <w:rFonts w:hint="eastAsia" w:ascii="宋体" w:hAnsi="宋体" w:cs="宋体"/>
          <w:color w:val="auto"/>
          <w:sz w:val="24"/>
          <w:highlight w:val="none"/>
        </w:rPr>
        <w:t>及其相关工作范围内所有费用的总价，招标方不接受任何有选择性的报价。</w:t>
      </w:r>
    </w:p>
    <w:p w14:paraId="1A3C7438">
      <w:pPr>
        <w:spacing w:line="44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 xml:space="preserve">.3 </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人如果免费提供某项产品、部件或服务，除在价格栏中填写“0”外，还必须在备注栏中声明免费或赠送。</w:t>
      </w:r>
    </w:p>
    <w:p w14:paraId="7AFCE395">
      <w:pPr>
        <w:spacing w:line="440" w:lineRule="exac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.4 投标报价时应注意包括下列几项费用：</w:t>
      </w:r>
    </w:p>
    <w:p w14:paraId="5F062193">
      <w:pPr>
        <w:numPr>
          <w:ilvl w:val="0"/>
          <w:numId w:val="3"/>
        </w:numPr>
        <w:spacing w:line="480" w:lineRule="exact"/>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报价应包括</w:t>
      </w:r>
      <w:r>
        <w:rPr>
          <w:rFonts w:hint="eastAsia" w:ascii="宋体" w:hAnsi="宋体" w:cs="宋体"/>
          <w:color w:val="auto"/>
          <w:sz w:val="24"/>
          <w:szCs w:val="24"/>
          <w:highlight w:val="none"/>
          <w:lang w:val="en-US" w:eastAsia="zh-CN"/>
        </w:rPr>
        <w:t>本次</w:t>
      </w:r>
      <w:r>
        <w:rPr>
          <w:rFonts w:hint="eastAsia" w:ascii="宋体" w:hAnsi="宋体" w:cs="宋体"/>
          <w:color w:val="auto"/>
          <w:sz w:val="24"/>
          <w:szCs w:val="24"/>
          <w:highlight w:val="none"/>
        </w:rPr>
        <w:t>采购</w:t>
      </w:r>
      <w:r>
        <w:rPr>
          <w:rFonts w:hint="eastAsia" w:ascii="宋体" w:hAnsi="宋体" w:cs="宋体"/>
          <w:color w:val="auto"/>
          <w:sz w:val="24"/>
          <w:szCs w:val="24"/>
          <w:highlight w:val="none"/>
          <w:lang w:val="en-US" w:eastAsia="zh-CN"/>
        </w:rPr>
        <w:t>服务活动中全部费用（包括但不限于活动全程费用、保险、</w:t>
      </w:r>
      <w:r>
        <w:rPr>
          <w:rFonts w:hint="eastAsia" w:ascii="宋体" w:hAnsi="宋体" w:cs="宋体"/>
          <w:color w:val="auto"/>
          <w:sz w:val="24"/>
          <w:szCs w:val="24"/>
          <w:highlight w:val="none"/>
        </w:rPr>
        <w:t>验收、开具发票和相关售后等服务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；不接受备选投标方案和多个报价。</w:t>
      </w:r>
    </w:p>
    <w:p w14:paraId="225D9189">
      <w:pPr>
        <w:numPr>
          <w:ilvl w:val="0"/>
          <w:numId w:val="3"/>
        </w:numPr>
        <w:spacing w:line="480" w:lineRule="exact"/>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 xml:space="preserve"> 算术性修正。算术性修正是指对招标响应文件的报价明细进行校核，并对其算术上和运算上的差错给予修正。修正的原则如下：</w:t>
      </w:r>
    </w:p>
    <w:p w14:paraId="3D451F55">
      <w:pPr>
        <w:numPr>
          <w:ilvl w:val="0"/>
          <w:numId w:val="3"/>
        </w:numPr>
        <w:spacing w:line="480" w:lineRule="exact"/>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当以数字表示的金额与文字表示的金额有差异时，以文字表示的金额为准；</w:t>
      </w:r>
    </w:p>
    <w:p w14:paraId="71F76709">
      <w:pPr>
        <w:numPr>
          <w:ilvl w:val="0"/>
          <w:numId w:val="3"/>
        </w:numPr>
        <w:spacing w:line="480" w:lineRule="exact"/>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当单价与数量相乘不等于合价时，以单价计算为准。如果单价有明显的小数点位置差错，应以标出的合价为准，同时对单价予以修正；</w:t>
      </w:r>
    </w:p>
    <w:p w14:paraId="3D141DD3">
      <w:pPr>
        <w:numPr>
          <w:ilvl w:val="0"/>
          <w:numId w:val="3"/>
        </w:numPr>
        <w:spacing w:line="480" w:lineRule="exact"/>
        <w:ind w:left="425" w:leftChars="0" w:hanging="425" w:firstLineChars="0"/>
        <w:rPr>
          <w:rFonts w:ascii="宋体" w:hAnsi="宋体" w:cs="宋体"/>
          <w:color w:val="auto"/>
          <w:sz w:val="24"/>
          <w:szCs w:val="24"/>
          <w:highlight w:val="none"/>
        </w:rPr>
      </w:pPr>
      <w:r>
        <w:rPr>
          <w:rFonts w:hint="eastAsia" w:ascii="宋体" w:hAnsi="宋体" w:cs="宋体"/>
          <w:color w:val="auto"/>
          <w:sz w:val="24"/>
          <w:szCs w:val="24"/>
          <w:highlight w:val="none"/>
        </w:rPr>
        <w:t>当各明细部分的价格累计不等于合价时，应以各明细的累计计数为准，修正合价。</w:t>
      </w:r>
    </w:p>
    <w:p w14:paraId="24703C46">
      <w:pPr>
        <w:numPr>
          <w:ilvl w:val="0"/>
          <w:numId w:val="3"/>
        </w:numPr>
        <w:spacing w:line="480" w:lineRule="exact"/>
        <w:ind w:left="425" w:leftChars="0" w:hanging="425" w:firstLineChars="0"/>
        <w:rPr>
          <w:rFonts w:hint="eastAsia" w:ascii="宋体" w:hAnsi="宋体" w:cs="宋体"/>
          <w:color w:val="auto"/>
          <w:sz w:val="24"/>
          <w:highlight w:val="none"/>
        </w:rPr>
      </w:pPr>
      <w:r>
        <w:rPr>
          <w:rFonts w:hint="eastAsia" w:ascii="宋体" w:hAnsi="宋体" w:cs="宋体"/>
          <w:color w:val="auto"/>
          <w:sz w:val="24"/>
          <w:szCs w:val="24"/>
          <w:highlight w:val="none"/>
        </w:rPr>
        <w:t>按以上原则对算术性差错修正，应取得供应商的同意，并确认修正后最终招标报价。如果供应商拒绝确认，则其招标响应文件将不予以评审并按废标处理，没收其投标担保。</w:t>
      </w:r>
    </w:p>
    <w:p w14:paraId="7C09E68A">
      <w:pPr>
        <w:pStyle w:val="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11.5异常低价审查</w:t>
      </w:r>
    </w:p>
    <w:p w14:paraId="60B14B98">
      <w:pPr>
        <w:pStyle w:val="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（一）政府采购评审中出现下列情形之一的，评审委员会应当启动异常低价投标（响应）审查程序： </w:t>
      </w:r>
    </w:p>
    <w:p w14:paraId="37920514">
      <w:pPr>
        <w:pStyle w:val="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1.投标（响应）报价低于全部通过符合性审查供应商投标（响应）报价平均值50%的，即投标（响应）报价&lt;全部通过符合性审查供应商投标（响应）报价平均值×50%； </w:t>
      </w:r>
    </w:p>
    <w:p w14:paraId="41CA31BE">
      <w:pPr>
        <w:pStyle w:val="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2.投标（响应）报价低于通过符合性审查的次低报价供应商投标（响应）报价50%的，即投标（响应）报价&lt;通过符合性审查的次低报价供应商投标（响应）报价×50%； </w:t>
      </w:r>
    </w:p>
    <w:p w14:paraId="381DA143">
      <w:pPr>
        <w:pStyle w:val="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3.投标（响应）报价低于采购项目最高限价45%的，即投标（响应）报价&lt;采购项目最高限价×45%； </w:t>
      </w:r>
    </w:p>
    <w:p w14:paraId="0EDA9282">
      <w:pPr>
        <w:pStyle w:val="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4.评审委员会基于专业判断，认为供应商报价过低，有可能影响产品质量或者不能诚信履约的其他情形。</w:t>
      </w:r>
    </w:p>
    <w:p w14:paraId="36B0537F">
      <w:pPr>
        <w:pStyle w:val="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采购人可以结合具体项目实际情况，提高上述第1项至第3项中</w:t>
      </w:r>
    </w:p>
    <w:p w14:paraId="03A6E158">
      <w:pPr>
        <w:pStyle w:val="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启动异常低价投标（响应）审查的数值标准，但是最高不得超过65%。 相关法律法规对供应商报价有规定的，从其规定。 </w:t>
      </w:r>
    </w:p>
    <w:p w14:paraId="7BD8ADAC">
      <w:pPr>
        <w:pStyle w:val="6"/>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759F1350">
      <w:pPr>
        <w:pStyle w:val="6"/>
        <w:ind w:firstLine="480" w:firstLineChars="200"/>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F0C8A93">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w:t>
      </w:r>
      <w:r>
        <w:rPr>
          <w:rFonts w:hint="eastAsia" w:ascii="宋体" w:hAnsi="宋体" w:cs="宋体"/>
          <w:b/>
          <w:color w:val="auto"/>
          <w:sz w:val="24"/>
          <w:highlight w:val="none"/>
          <w:lang w:val="en-US" w:eastAsia="zh-CN"/>
        </w:rPr>
        <w:t>报价</w:t>
      </w:r>
      <w:r>
        <w:rPr>
          <w:rFonts w:hint="eastAsia" w:ascii="宋体" w:hAnsi="宋体" w:eastAsia="宋体" w:cs="宋体"/>
          <w:b/>
          <w:color w:val="auto"/>
          <w:sz w:val="24"/>
          <w:highlight w:val="none"/>
        </w:rPr>
        <w:t>货币</w:t>
      </w:r>
    </w:p>
    <w:p w14:paraId="0ED35B86">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12.1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应以人民币报价。</w:t>
      </w:r>
    </w:p>
    <w:p w14:paraId="35931B87">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13、证明</w:t>
      </w:r>
      <w:r>
        <w:rPr>
          <w:rFonts w:hint="eastAsia" w:ascii="宋体" w:hAnsi="宋体" w:cs="宋体"/>
          <w:b/>
          <w:color w:val="auto"/>
          <w:sz w:val="24"/>
          <w:highlight w:val="none"/>
          <w:lang w:eastAsia="zh-CN"/>
        </w:rPr>
        <w:t>报价人</w:t>
      </w:r>
      <w:r>
        <w:rPr>
          <w:rFonts w:hint="eastAsia" w:ascii="宋体" w:hAnsi="宋体" w:eastAsia="宋体" w:cs="宋体"/>
          <w:b/>
          <w:color w:val="auto"/>
          <w:sz w:val="24"/>
          <w:highlight w:val="none"/>
        </w:rPr>
        <w:t>资格的文件</w:t>
      </w:r>
    </w:p>
    <w:p w14:paraId="5F9E044A">
      <w:pPr>
        <w:pageBreakBefore w:val="0"/>
        <w:kinsoku/>
        <w:wordWrap/>
        <w:overflowPunct/>
        <w:topLinePunct w:val="0"/>
        <w:bidi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b w:val="0"/>
          <w:bCs/>
          <w:color w:val="auto"/>
          <w:sz w:val="24"/>
          <w:highlight w:val="none"/>
        </w:rPr>
        <w:t xml:space="preserve">13.1 </w:t>
      </w:r>
      <w:r>
        <w:rPr>
          <w:rFonts w:hint="eastAsia" w:ascii="宋体" w:hAnsi="宋体" w:cs="宋体"/>
          <w:b w:val="0"/>
          <w:bCs/>
          <w:color w:val="auto"/>
          <w:sz w:val="24"/>
          <w:highlight w:val="none"/>
          <w:lang w:eastAsia="zh-CN"/>
        </w:rPr>
        <w:t>报</w:t>
      </w:r>
      <w:r>
        <w:rPr>
          <w:rFonts w:hint="eastAsia" w:ascii="宋体" w:hAnsi="宋体" w:cs="宋体"/>
          <w:color w:val="auto"/>
          <w:sz w:val="24"/>
          <w:highlight w:val="none"/>
          <w:lang w:eastAsia="zh-CN"/>
        </w:rPr>
        <w:t>价人</w:t>
      </w:r>
      <w:r>
        <w:rPr>
          <w:rFonts w:hint="eastAsia" w:ascii="宋体" w:hAnsi="宋体" w:eastAsia="宋体" w:cs="宋体"/>
          <w:color w:val="auto"/>
          <w:sz w:val="24"/>
          <w:highlight w:val="none"/>
        </w:rPr>
        <w:t>应提交证明其有资格参加</w:t>
      </w: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和一旦</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则有能力履行合同的文件，并作为其</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的一部分。</w:t>
      </w:r>
    </w:p>
    <w:p w14:paraId="1609587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w:t>
      </w:r>
      <w:r>
        <w:rPr>
          <w:rFonts w:hint="eastAsia" w:ascii="宋体" w:hAnsi="宋体" w:cs="宋体"/>
          <w:b/>
          <w:color w:val="auto"/>
          <w:sz w:val="24"/>
          <w:highlight w:val="none"/>
          <w:lang w:eastAsia="zh-CN"/>
        </w:rPr>
        <w:t>报价人</w:t>
      </w:r>
      <w:r>
        <w:rPr>
          <w:rFonts w:hint="eastAsia" w:ascii="宋体" w:hAnsi="宋体" w:eastAsia="宋体" w:cs="宋体"/>
          <w:b/>
          <w:color w:val="auto"/>
          <w:sz w:val="24"/>
          <w:highlight w:val="none"/>
        </w:rPr>
        <w:t>应逐条详细阅读</w:t>
      </w:r>
      <w:r>
        <w:rPr>
          <w:rFonts w:hint="eastAsia" w:ascii="宋体" w:hAnsi="宋体" w:cs="宋体"/>
          <w:b/>
          <w:color w:val="auto"/>
          <w:sz w:val="24"/>
          <w:highlight w:val="none"/>
          <w:lang w:eastAsia="zh-CN"/>
        </w:rPr>
        <w:t>谈判</w:t>
      </w:r>
      <w:r>
        <w:rPr>
          <w:rFonts w:hint="eastAsia" w:ascii="宋体" w:hAnsi="宋体" w:eastAsia="宋体" w:cs="宋体"/>
          <w:b/>
          <w:color w:val="auto"/>
          <w:sz w:val="24"/>
          <w:highlight w:val="none"/>
        </w:rPr>
        <w:t>文件有关要求，表明所提供的服务是否对文件做出实质性响应。</w:t>
      </w:r>
    </w:p>
    <w:p w14:paraId="58AAF8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w:t>
      </w:r>
      <w:r>
        <w:rPr>
          <w:rFonts w:hint="eastAsia" w:ascii="宋体" w:hAnsi="宋体" w:cs="宋体"/>
          <w:b/>
          <w:color w:val="auto"/>
          <w:sz w:val="24"/>
          <w:highlight w:val="none"/>
          <w:lang w:eastAsia="zh-CN"/>
        </w:rPr>
        <w:t>谈判响应文件</w:t>
      </w:r>
      <w:r>
        <w:rPr>
          <w:rFonts w:hint="eastAsia" w:ascii="宋体" w:hAnsi="宋体" w:eastAsia="宋体" w:cs="宋体"/>
          <w:b/>
          <w:color w:val="auto"/>
          <w:sz w:val="24"/>
          <w:highlight w:val="none"/>
        </w:rPr>
        <w:t>的有效期</w:t>
      </w:r>
    </w:p>
    <w:p w14:paraId="6A0F863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15.1 </w:t>
      </w:r>
      <w:r>
        <w:rPr>
          <w:rFonts w:hint="eastAsia" w:ascii="宋体" w:hAnsi="宋体" w:cs="宋体"/>
          <w:b w:val="0"/>
          <w:bCs/>
          <w:color w:val="auto"/>
          <w:sz w:val="24"/>
          <w:highlight w:val="none"/>
          <w:lang w:eastAsia="zh-CN"/>
        </w:rPr>
        <w:t>谈判响应文件</w:t>
      </w:r>
      <w:r>
        <w:rPr>
          <w:rFonts w:hint="eastAsia" w:ascii="宋体" w:hAnsi="宋体" w:eastAsia="宋体" w:cs="宋体"/>
          <w:b w:val="0"/>
          <w:bCs/>
          <w:color w:val="auto"/>
          <w:sz w:val="24"/>
          <w:highlight w:val="none"/>
        </w:rPr>
        <w:t>从实质</w:t>
      </w:r>
      <w:r>
        <w:rPr>
          <w:rFonts w:hint="eastAsia" w:ascii="宋体" w:hAnsi="宋体" w:cs="宋体"/>
          <w:b w:val="0"/>
          <w:bCs/>
          <w:color w:val="auto"/>
          <w:sz w:val="24"/>
          <w:highlight w:val="none"/>
          <w:lang w:eastAsia="zh-CN"/>
        </w:rPr>
        <w:t>谈判</w:t>
      </w:r>
      <w:r>
        <w:rPr>
          <w:rFonts w:hint="eastAsia" w:ascii="宋体" w:hAnsi="宋体" w:eastAsia="宋体" w:cs="宋体"/>
          <w:b w:val="0"/>
          <w:bCs/>
          <w:color w:val="auto"/>
          <w:sz w:val="24"/>
          <w:highlight w:val="none"/>
        </w:rPr>
        <w:t xml:space="preserve">之日起 </w:t>
      </w:r>
      <w:r>
        <w:rPr>
          <w:rFonts w:hint="eastAsia" w:ascii="宋体" w:hAnsi="宋体" w:cs="宋体"/>
          <w:b w:val="0"/>
          <w:bCs/>
          <w:color w:val="auto"/>
          <w:sz w:val="24"/>
          <w:highlight w:val="none"/>
          <w:lang w:val="en-US" w:eastAsia="zh-CN"/>
        </w:rPr>
        <w:t>90</w:t>
      </w:r>
      <w:r>
        <w:rPr>
          <w:rFonts w:hint="eastAsia" w:ascii="宋体" w:hAnsi="宋体" w:eastAsia="宋体" w:cs="宋体"/>
          <w:b w:val="0"/>
          <w:bCs/>
          <w:color w:val="auto"/>
          <w:sz w:val="24"/>
          <w:highlight w:val="none"/>
        </w:rPr>
        <w:t xml:space="preserve"> 天内有效。</w:t>
      </w:r>
    </w:p>
    <w:p w14:paraId="7E924A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15.2 如</w:t>
      </w:r>
      <w:r>
        <w:rPr>
          <w:rFonts w:hint="eastAsia" w:ascii="宋体" w:hAnsi="宋体" w:eastAsia="宋体" w:cs="宋体"/>
          <w:color w:val="auto"/>
          <w:sz w:val="24"/>
          <w:highlight w:val="none"/>
        </w:rPr>
        <w:t>遇特殊情况，在原</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有效期届满之前，</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人可与</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协商延长</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的有效期，并经</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确认。</w:t>
      </w:r>
    </w:p>
    <w:p w14:paraId="73484B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color w:val="auto"/>
          <w:highlight w:val="none"/>
        </w:rPr>
      </w:pPr>
      <w:r>
        <w:rPr>
          <w:rFonts w:hint="eastAsia" w:ascii="宋体" w:hAnsi="宋体" w:eastAsia="宋体" w:cs="宋体"/>
          <w:b/>
          <w:color w:val="auto"/>
          <w:sz w:val="24"/>
          <w:highlight w:val="none"/>
        </w:rPr>
        <w:t>16、</w:t>
      </w:r>
      <w:r>
        <w:rPr>
          <w:rFonts w:hint="eastAsia" w:ascii="宋体" w:hAnsi="宋体" w:cs="宋体"/>
          <w:b/>
          <w:color w:val="auto"/>
          <w:sz w:val="24"/>
          <w:highlight w:val="none"/>
          <w:lang w:eastAsia="zh-CN"/>
        </w:rPr>
        <w:t>谈判响应文件</w:t>
      </w:r>
      <w:r>
        <w:rPr>
          <w:rFonts w:hint="eastAsia" w:ascii="宋体" w:hAnsi="宋体" w:eastAsia="宋体" w:cs="宋体"/>
          <w:b/>
          <w:color w:val="auto"/>
          <w:sz w:val="24"/>
          <w:highlight w:val="none"/>
        </w:rPr>
        <w:t>的份数</w:t>
      </w:r>
    </w:p>
    <w:p w14:paraId="42846A4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16.1</w:t>
      </w:r>
      <w:r>
        <w:rPr>
          <w:rFonts w:hint="eastAsia" w:ascii="宋体" w:hAnsi="宋体" w:cs="宋体"/>
          <w:b w:val="0"/>
          <w:bCs/>
          <w:color w:val="auto"/>
          <w:sz w:val="24"/>
          <w:highlight w:val="none"/>
          <w:lang w:val="en-US" w:eastAsia="zh-CN"/>
        </w:rPr>
        <w:t xml:space="preserve"> 无需提交纸质版响应文件</w:t>
      </w:r>
      <w:r>
        <w:rPr>
          <w:rFonts w:hint="eastAsia" w:ascii="宋体" w:hAnsi="宋体" w:eastAsia="宋体" w:cs="宋体"/>
          <w:color w:val="auto"/>
          <w:sz w:val="24"/>
          <w:highlight w:val="none"/>
          <w:lang w:val="en-US" w:eastAsia="zh-CN"/>
        </w:rPr>
        <w:t>。</w:t>
      </w:r>
    </w:p>
    <w:p w14:paraId="3B4ABF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w:t>
      </w:r>
      <w:r>
        <w:rPr>
          <w:rFonts w:hint="eastAsia" w:ascii="宋体" w:hAnsi="宋体" w:cs="宋体"/>
          <w:b/>
          <w:color w:val="auto"/>
          <w:sz w:val="24"/>
          <w:highlight w:val="none"/>
          <w:lang w:val="en-US" w:eastAsia="zh-CN"/>
        </w:rPr>
        <w:t>谈判</w:t>
      </w:r>
      <w:r>
        <w:rPr>
          <w:rFonts w:hint="eastAsia" w:ascii="宋体" w:hAnsi="宋体" w:eastAsia="宋体" w:cs="宋体"/>
          <w:b/>
          <w:color w:val="auto"/>
          <w:sz w:val="24"/>
          <w:highlight w:val="none"/>
        </w:rPr>
        <w:t>保证金</w:t>
      </w:r>
    </w:p>
    <w:p w14:paraId="544A7E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17.1 </w:t>
      </w:r>
      <w:r>
        <w:rPr>
          <w:rFonts w:hint="eastAsia" w:ascii="宋体" w:hAnsi="宋体" w:cs="宋体"/>
          <w:b w:val="0"/>
          <w:bCs/>
          <w:color w:val="auto"/>
          <w:sz w:val="24"/>
          <w:highlight w:val="none"/>
          <w:lang w:val="en-US" w:eastAsia="zh-CN"/>
        </w:rPr>
        <w:t>谈判</w:t>
      </w:r>
      <w:r>
        <w:rPr>
          <w:rFonts w:hint="eastAsia" w:ascii="宋体" w:hAnsi="宋体" w:eastAsia="宋体" w:cs="宋体"/>
          <w:b w:val="0"/>
          <w:bCs/>
          <w:color w:val="auto"/>
          <w:sz w:val="24"/>
          <w:highlight w:val="none"/>
        </w:rPr>
        <w:t>保证金数额详见投标须知前附表第1</w:t>
      </w:r>
      <w:r>
        <w:rPr>
          <w:rFonts w:hint="eastAsia" w:ascii="宋体" w:hAnsi="宋体" w:cs="宋体"/>
          <w:b w:val="0"/>
          <w:bCs/>
          <w:color w:val="auto"/>
          <w:sz w:val="24"/>
          <w:highlight w:val="none"/>
          <w:lang w:val="en-US" w:eastAsia="zh-CN"/>
        </w:rPr>
        <w:t>3</w:t>
      </w:r>
      <w:r>
        <w:rPr>
          <w:rFonts w:hint="eastAsia" w:ascii="宋体" w:hAnsi="宋体" w:eastAsia="宋体" w:cs="宋体"/>
          <w:b w:val="0"/>
          <w:bCs/>
          <w:color w:val="auto"/>
          <w:sz w:val="24"/>
          <w:highlight w:val="none"/>
        </w:rPr>
        <w:t>条。</w:t>
      </w:r>
    </w:p>
    <w:p w14:paraId="7C17517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17.2 </w:t>
      </w:r>
      <w:r>
        <w:rPr>
          <w:rFonts w:hint="eastAsia" w:ascii="宋体" w:hAnsi="宋体" w:cs="宋体"/>
          <w:b w:val="0"/>
          <w:bCs/>
          <w:color w:val="auto"/>
          <w:sz w:val="24"/>
          <w:highlight w:val="none"/>
          <w:lang w:val="en-US" w:eastAsia="zh-CN"/>
        </w:rPr>
        <w:t>谈判</w:t>
      </w:r>
      <w:r>
        <w:rPr>
          <w:rFonts w:hint="eastAsia" w:ascii="宋体" w:hAnsi="宋体" w:eastAsia="宋体" w:cs="宋体"/>
          <w:b w:val="0"/>
          <w:bCs/>
          <w:color w:val="auto"/>
          <w:sz w:val="24"/>
          <w:highlight w:val="none"/>
        </w:rPr>
        <w:t>保证金用于应对本次因</w:t>
      </w:r>
      <w:r>
        <w:rPr>
          <w:rFonts w:hint="eastAsia" w:ascii="宋体" w:hAnsi="宋体" w:cs="宋体"/>
          <w:b w:val="0"/>
          <w:bCs/>
          <w:color w:val="auto"/>
          <w:sz w:val="24"/>
          <w:highlight w:val="none"/>
          <w:lang w:eastAsia="zh-CN"/>
        </w:rPr>
        <w:t>报价人</w:t>
      </w:r>
      <w:r>
        <w:rPr>
          <w:rFonts w:hint="eastAsia" w:ascii="宋体" w:hAnsi="宋体" w:eastAsia="宋体" w:cs="宋体"/>
          <w:b w:val="0"/>
          <w:bCs/>
          <w:color w:val="auto"/>
          <w:sz w:val="24"/>
          <w:highlight w:val="none"/>
        </w:rPr>
        <w:t>违规、违约而产生的风险。</w:t>
      </w:r>
    </w:p>
    <w:p w14:paraId="6EB247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color w:val="auto"/>
          <w:sz w:val="24"/>
          <w:highlight w:val="none"/>
          <w:u w:val="single"/>
        </w:rPr>
      </w:pPr>
      <w:r>
        <w:rPr>
          <w:rFonts w:hint="eastAsia" w:ascii="宋体" w:hAnsi="宋体" w:eastAsia="宋体" w:cs="宋体"/>
          <w:b w:val="0"/>
          <w:bCs/>
          <w:color w:val="auto"/>
          <w:sz w:val="24"/>
          <w:highlight w:val="none"/>
        </w:rPr>
        <w:t xml:space="preserve">17.3 </w:t>
      </w:r>
      <w:r>
        <w:rPr>
          <w:rFonts w:hint="eastAsia" w:ascii="宋体" w:hAnsi="宋体" w:cs="宋体"/>
          <w:b w:val="0"/>
          <w:bCs/>
          <w:color w:val="auto"/>
          <w:sz w:val="24"/>
          <w:highlight w:val="none"/>
          <w:lang w:val="en-US" w:eastAsia="zh-CN"/>
        </w:rPr>
        <w:t>谈判</w:t>
      </w:r>
      <w:r>
        <w:rPr>
          <w:rFonts w:hint="eastAsia" w:ascii="宋体" w:hAnsi="宋体" w:eastAsia="宋体" w:cs="宋体"/>
          <w:b w:val="0"/>
          <w:bCs/>
          <w:color w:val="auto"/>
          <w:sz w:val="24"/>
          <w:highlight w:val="none"/>
        </w:rPr>
        <w:t>保证金须以单位名义缴纳，未</w:t>
      </w:r>
      <w:r>
        <w:rPr>
          <w:rFonts w:hint="eastAsia" w:ascii="宋体" w:hAnsi="宋体" w:cs="宋体"/>
          <w:b w:val="0"/>
          <w:bCs/>
          <w:color w:val="auto"/>
          <w:sz w:val="24"/>
          <w:highlight w:val="none"/>
          <w:lang w:eastAsia="zh-CN"/>
        </w:rPr>
        <w:t>成交</w:t>
      </w:r>
      <w:r>
        <w:rPr>
          <w:rFonts w:hint="eastAsia" w:ascii="宋体" w:hAnsi="宋体" w:eastAsia="宋体" w:cs="宋体"/>
          <w:b w:val="0"/>
          <w:bCs/>
          <w:color w:val="auto"/>
          <w:sz w:val="24"/>
          <w:highlight w:val="none"/>
        </w:rPr>
        <w:t>单位的</w:t>
      </w:r>
      <w:r>
        <w:rPr>
          <w:rFonts w:hint="eastAsia" w:ascii="宋体" w:hAnsi="宋体" w:cs="宋体"/>
          <w:b w:val="0"/>
          <w:bCs/>
          <w:color w:val="auto"/>
          <w:sz w:val="24"/>
          <w:highlight w:val="none"/>
          <w:lang w:val="en-US" w:eastAsia="zh-CN"/>
        </w:rPr>
        <w:t>谈判</w:t>
      </w:r>
      <w:r>
        <w:rPr>
          <w:rFonts w:hint="eastAsia" w:ascii="宋体" w:hAnsi="宋体" w:eastAsia="宋体" w:cs="宋体"/>
          <w:b w:val="0"/>
          <w:bCs/>
          <w:color w:val="auto"/>
          <w:sz w:val="24"/>
          <w:highlight w:val="none"/>
        </w:rPr>
        <w:t>保证金，退还给原缴纳单位。</w:t>
      </w:r>
      <w:r>
        <w:rPr>
          <w:rFonts w:hint="eastAsia" w:ascii="宋体" w:hAnsi="宋体" w:cs="宋体"/>
          <w:b w:val="0"/>
          <w:bCs/>
          <w:color w:val="auto"/>
          <w:sz w:val="24"/>
          <w:highlight w:val="none"/>
          <w:lang w:val="en-US" w:eastAsia="zh-CN"/>
        </w:rPr>
        <w:t>谈判</w:t>
      </w:r>
      <w:r>
        <w:rPr>
          <w:rFonts w:hint="eastAsia" w:ascii="宋体" w:hAnsi="宋体" w:eastAsia="宋体" w:cs="宋体"/>
          <w:b w:val="0"/>
          <w:bCs/>
          <w:color w:val="auto"/>
          <w:sz w:val="24"/>
          <w:highlight w:val="none"/>
        </w:rPr>
        <w:t>保证金应于</w:t>
      </w:r>
      <w:r>
        <w:rPr>
          <w:rFonts w:hint="eastAsia" w:ascii="宋体" w:hAnsi="宋体" w:cs="宋体"/>
          <w:b w:val="0"/>
          <w:bCs/>
          <w:color w:val="auto"/>
          <w:sz w:val="24"/>
          <w:highlight w:val="none"/>
          <w:lang w:eastAsia="zh-CN"/>
        </w:rPr>
        <w:t>谈判时间前</w:t>
      </w:r>
      <w:r>
        <w:rPr>
          <w:rFonts w:hint="eastAsia" w:ascii="宋体" w:hAnsi="宋体" w:eastAsia="宋体" w:cs="宋体"/>
          <w:b w:val="0"/>
          <w:bCs/>
          <w:color w:val="auto"/>
          <w:sz w:val="24"/>
          <w:highlight w:val="none"/>
        </w:rPr>
        <w:t>存入指定账户（开户信息：见【</w:t>
      </w:r>
      <w:r>
        <w:rPr>
          <w:rFonts w:hint="eastAsia" w:ascii="宋体" w:hAnsi="宋体" w:cs="宋体"/>
          <w:b w:val="0"/>
          <w:bCs/>
          <w:color w:val="auto"/>
          <w:sz w:val="24"/>
          <w:highlight w:val="none"/>
          <w:lang w:eastAsia="zh-CN"/>
        </w:rPr>
        <w:t>报价</w:t>
      </w:r>
      <w:r>
        <w:rPr>
          <w:rFonts w:hint="eastAsia" w:ascii="宋体" w:hAnsi="宋体" w:eastAsia="宋体" w:cs="宋体"/>
          <w:b w:val="0"/>
          <w:bCs/>
          <w:color w:val="auto"/>
          <w:sz w:val="24"/>
          <w:highlight w:val="none"/>
        </w:rPr>
        <w:t>须知前附表】）。对未按要求提交</w:t>
      </w:r>
      <w:r>
        <w:rPr>
          <w:rFonts w:hint="eastAsia" w:ascii="宋体" w:hAnsi="宋体" w:cs="宋体"/>
          <w:b w:val="0"/>
          <w:bCs/>
          <w:color w:val="auto"/>
          <w:sz w:val="24"/>
          <w:highlight w:val="none"/>
          <w:lang w:val="en-US" w:eastAsia="zh-CN"/>
        </w:rPr>
        <w:t>谈判</w:t>
      </w:r>
      <w:r>
        <w:rPr>
          <w:rFonts w:hint="eastAsia" w:ascii="宋体" w:hAnsi="宋体" w:eastAsia="宋体" w:cs="宋体"/>
          <w:b w:val="0"/>
          <w:bCs/>
          <w:color w:val="auto"/>
          <w:sz w:val="24"/>
          <w:highlight w:val="none"/>
        </w:rPr>
        <w:t>保证金的</w:t>
      </w:r>
      <w:r>
        <w:rPr>
          <w:rFonts w:hint="eastAsia" w:ascii="宋体" w:hAnsi="宋体" w:cs="宋体"/>
          <w:b w:val="0"/>
          <w:bCs/>
          <w:color w:val="auto"/>
          <w:sz w:val="24"/>
          <w:highlight w:val="none"/>
          <w:lang w:val="en-US" w:eastAsia="zh-CN"/>
        </w:rPr>
        <w:t>谈判响应文件</w:t>
      </w:r>
      <w:r>
        <w:rPr>
          <w:rFonts w:hint="eastAsia" w:ascii="宋体" w:hAnsi="宋体" w:eastAsia="宋体" w:cs="宋体"/>
          <w:b w:val="0"/>
          <w:bCs/>
          <w:color w:val="auto"/>
          <w:sz w:val="24"/>
          <w:highlight w:val="none"/>
        </w:rPr>
        <w:t>，</w:t>
      </w:r>
      <w:r>
        <w:rPr>
          <w:rFonts w:hint="eastAsia" w:ascii="宋体" w:hAnsi="宋体" w:cs="宋体"/>
          <w:b w:val="0"/>
          <w:bCs/>
          <w:color w:val="auto"/>
          <w:sz w:val="24"/>
          <w:highlight w:val="none"/>
          <w:lang w:val="en-US" w:eastAsia="zh-CN"/>
        </w:rPr>
        <w:t>谈判小组</w:t>
      </w:r>
      <w:r>
        <w:rPr>
          <w:rFonts w:hint="eastAsia" w:ascii="宋体" w:hAnsi="宋体" w:eastAsia="宋体" w:cs="宋体"/>
          <w:b w:val="0"/>
          <w:bCs/>
          <w:color w:val="auto"/>
          <w:sz w:val="24"/>
          <w:highlight w:val="none"/>
        </w:rPr>
        <w:t>将视为不响应</w:t>
      </w:r>
      <w:r>
        <w:rPr>
          <w:rFonts w:hint="eastAsia" w:ascii="宋体" w:hAnsi="宋体" w:cs="宋体"/>
          <w:b w:val="0"/>
          <w:bCs/>
          <w:color w:val="auto"/>
          <w:sz w:val="24"/>
          <w:highlight w:val="none"/>
          <w:lang w:val="en-US" w:eastAsia="zh-CN"/>
        </w:rPr>
        <w:t>谈判文件</w:t>
      </w:r>
      <w:r>
        <w:rPr>
          <w:rFonts w:hint="eastAsia" w:ascii="宋体" w:hAnsi="宋体" w:eastAsia="宋体" w:cs="宋体"/>
          <w:b w:val="0"/>
          <w:bCs/>
          <w:color w:val="auto"/>
          <w:sz w:val="24"/>
          <w:highlight w:val="none"/>
        </w:rPr>
        <w:t>予以拒绝。</w:t>
      </w:r>
    </w:p>
    <w:p w14:paraId="63077E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17.4 在</w:t>
      </w:r>
      <w:r>
        <w:rPr>
          <w:rFonts w:hint="eastAsia" w:ascii="宋体" w:hAnsi="宋体" w:cs="宋体"/>
          <w:b w:val="0"/>
          <w:bCs/>
          <w:color w:val="auto"/>
          <w:sz w:val="24"/>
          <w:highlight w:val="none"/>
          <w:lang w:val="en-US" w:eastAsia="zh-CN"/>
        </w:rPr>
        <w:t>采购</w:t>
      </w:r>
      <w:r>
        <w:rPr>
          <w:rFonts w:hint="eastAsia" w:ascii="宋体" w:hAnsi="宋体" w:eastAsia="宋体" w:cs="宋体"/>
          <w:b w:val="0"/>
          <w:bCs/>
          <w:color w:val="auto"/>
          <w:sz w:val="24"/>
          <w:highlight w:val="none"/>
        </w:rPr>
        <w:t>方规定的</w:t>
      </w:r>
      <w:r>
        <w:rPr>
          <w:rFonts w:hint="eastAsia" w:ascii="宋体" w:hAnsi="宋体" w:cs="宋体"/>
          <w:b w:val="0"/>
          <w:bCs/>
          <w:color w:val="auto"/>
          <w:sz w:val="24"/>
          <w:highlight w:val="none"/>
          <w:lang w:val="en-US" w:eastAsia="zh-CN"/>
        </w:rPr>
        <w:t>报价</w:t>
      </w:r>
      <w:r>
        <w:rPr>
          <w:rFonts w:hint="eastAsia" w:ascii="宋体" w:hAnsi="宋体" w:eastAsia="宋体" w:cs="宋体"/>
          <w:b w:val="0"/>
          <w:bCs/>
          <w:color w:val="auto"/>
          <w:sz w:val="24"/>
          <w:highlight w:val="none"/>
        </w:rPr>
        <w:t>有效期满之前，</w:t>
      </w:r>
      <w:r>
        <w:rPr>
          <w:rFonts w:hint="eastAsia" w:ascii="宋体" w:hAnsi="宋体" w:cs="宋体"/>
          <w:b w:val="0"/>
          <w:bCs/>
          <w:color w:val="auto"/>
          <w:sz w:val="24"/>
          <w:highlight w:val="none"/>
          <w:lang w:val="en-US" w:eastAsia="zh-CN"/>
        </w:rPr>
        <w:t>采购</w:t>
      </w:r>
      <w:r>
        <w:rPr>
          <w:rFonts w:hint="eastAsia" w:ascii="宋体" w:hAnsi="宋体" w:eastAsia="宋体" w:cs="宋体"/>
          <w:b w:val="0"/>
          <w:bCs/>
          <w:color w:val="auto"/>
          <w:sz w:val="24"/>
          <w:highlight w:val="none"/>
        </w:rPr>
        <w:t>方将以书面形式发出《</w:t>
      </w:r>
      <w:r>
        <w:rPr>
          <w:rFonts w:hint="eastAsia" w:ascii="宋体" w:hAnsi="宋体" w:cs="宋体"/>
          <w:b w:val="0"/>
          <w:bCs/>
          <w:color w:val="auto"/>
          <w:sz w:val="24"/>
          <w:highlight w:val="none"/>
          <w:lang w:eastAsia="zh-CN"/>
        </w:rPr>
        <w:t>成交</w:t>
      </w:r>
      <w:r>
        <w:rPr>
          <w:rFonts w:hint="eastAsia" w:ascii="宋体" w:hAnsi="宋体" w:eastAsia="宋体" w:cs="宋体"/>
          <w:b w:val="0"/>
          <w:bCs/>
          <w:color w:val="auto"/>
          <w:sz w:val="24"/>
          <w:highlight w:val="none"/>
        </w:rPr>
        <w:t>通知书》，《</w:t>
      </w:r>
      <w:r>
        <w:rPr>
          <w:rFonts w:hint="eastAsia" w:ascii="宋体" w:hAnsi="宋体" w:cs="宋体"/>
          <w:b w:val="0"/>
          <w:bCs/>
          <w:color w:val="auto"/>
          <w:sz w:val="24"/>
          <w:highlight w:val="none"/>
          <w:lang w:eastAsia="zh-CN"/>
        </w:rPr>
        <w:t>成交</w:t>
      </w:r>
      <w:r>
        <w:rPr>
          <w:rFonts w:hint="eastAsia" w:ascii="宋体" w:hAnsi="宋体" w:eastAsia="宋体" w:cs="宋体"/>
          <w:b w:val="0"/>
          <w:bCs/>
          <w:color w:val="auto"/>
          <w:sz w:val="24"/>
          <w:highlight w:val="none"/>
        </w:rPr>
        <w:t>通知书》一经发出即发生法律效力。</w:t>
      </w:r>
    </w:p>
    <w:p w14:paraId="2B1353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17.</w:t>
      </w:r>
      <w:r>
        <w:rPr>
          <w:rFonts w:hint="eastAsia" w:ascii="宋体" w:hAnsi="宋体" w:cs="宋体"/>
          <w:b w:val="0"/>
          <w:bCs/>
          <w:color w:val="auto"/>
          <w:sz w:val="24"/>
          <w:highlight w:val="none"/>
          <w:lang w:val="en-US" w:eastAsia="zh-CN"/>
        </w:rPr>
        <w:t>5</w:t>
      </w:r>
      <w:r>
        <w:rPr>
          <w:rFonts w:hint="eastAsia" w:ascii="宋体" w:hAnsi="宋体" w:eastAsia="宋体" w:cs="宋体"/>
          <w:b w:val="0"/>
          <w:bCs/>
          <w:color w:val="auto"/>
          <w:sz w:val="24"/>
          <w:highlight w:val="none"/>
        </w:rPr>
        <w:t>发</w:t>
      </w:r>
      <w:r>
        <w:rPr>
          <w:rFonts w:hint="eastAsia" w:ascii="宋体" w:hAnsi="宋体" w:eastAsia="宋体" w:cs="宋体"/>
          <w:color w:val="auto"/>
          <w:sz w:val="24"/>
          <w:highlight w:val="none"/>
        </w:rPr>
        <w:t>生以下情况，</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保证金可能被没收：</w:t>
      </w:r>
    </w:p>
    <w:p w14:paraId="17BFF9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.1 投标人在投标有效期内撤回</w:t>
      </w:r>
      <w:r>
        <w:rPr>
          <w:rFonts w:hint="eastAsia" w:ascii="宋体" w:hAnsi="宋体" w:cs="宋体"/>
          <w:color w:val="auto"/>
          <w:sz w:val="24"/>
          <w:highlight w:val="none"/>
          <w:lang w:eastAsia="zh-CN"/>
        </w:rPr>
        <w:t>响应文件</w:t>
      </w:r>
      <w:r>
        <w:rPr>
          <w:rFonts w:hint="eastAsia" w:ascii="宋体" w:hAnsi="宋体" w:eastAsia="宋体" w:cs="宋体"/>
          <w:color w:val="auto"/>
          <w:sz w:val="24"/>
          <w:highlight w:val="none"/>
        </w:rPr>
        <w:t>的；</w:t>
      </w:r>
    </w:p>
    <w:p w14:paraId="25D15F9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投标人在投标过程中弄虚作假，提供虚假材料的；</w:t>
      </w:r>
    </w:p>
    <w:p w14:paraId="702523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中标人无正当理由不与招标人签订合同的；</w:t>
      </w:r>
    </w:p>
    <w:p w14:paraId="2C55A5A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其他严重扰乱招投标程序的；</w:t>
      </w:r>
    </w:p>
    <w:p w14:paraId="3B8CFA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投标人在投标过程中有</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违反有关法律法规行为的。</w:t>
      </w:r>
    </w:p>
    <w:p w14:paraId="29570F15">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18</w:t>
      </w:r>
      <w:r>
        <w:rPr>
          <w:rFonts w:hint="eastAsia" w:ascii="宋体" w:hAnsi="宋体" w:eastAsia="宋体" w:cs="宋体"/>
          <w:b/>
          <w:color w:val="auto"/>
          <w:sz w:val="24"/>
          <w:highlight w:val="none"/>
        </w:rPr>
        <w:t>、</w:t>
      </w:r>
      <w:r>
        <w:rPr>
          <w:rFonts w:hint="eastAsia" w:ascii="宋体" w:hAnsi="宋体" w:cs="宋体"/>
          <w:b/>
          <w:color w:val="auto"/>
          <w:sz w:val="24"/>
          <w:highlight w:val="none"/>
          <w:lang w:eastAsia="zh-CN"/>
        </w:rPr>
        <w:t>谈判响应文件</w:t>
      </w:r>
      <w:r>
        <w:rPr>
          <w:rFonts w:hint="eastAsia" w:ascii="宋体" w:hAnsi="宋体" w:eastAsia="宋体" w:cs="宋体"/>
          <w:b/>
          <w:color w:val="auto"/>
          <w:sz w:val="24"/>
          <w:highlight w:val="none"/>
        </w:rPr>
        <w:t>的修改和撤销</w:t>
      </w:r>
    </w:p>
    <w:p w14:paraId="08FD0CA2">
      <w:pPr>
        <w:pageBreakBefore w:val="0"/>
        <w:kinsoku/>
        <w:wordWrap/>
        <w:overflowPunct/>
        <w:topLinePunct w:val="0"/>
        <w:bidi w:val="0"/>
        <w:spacing w:line="360" w:lineRule="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18</w:t>
      </w:r>
      <w:r>
        <w:rPr>
          <w:rFonts w:hint="eastAsia" w:ascii="宋体" w:hAnsi="宋体" w:eastAsia="宋体" w:cs="宋体"/>
          <w:b w:val="0"/>
          <w:bCs/>
          <w:color w:val="auto"/>
          <w:sz w:val="24"/>
          <w:highlight w:val="none"/>
        </w:rPr>
        <w:t>.1 投标人在递交</w:t>
      </w:r>
      <w:r>
        <w:rPr>
          <w:rFonts w:hint="eastAsia" w:ascii="宋体" w:hAnsi="宋体" w:eastAsia="宋体" w:cs="宋体"/>
          <w:b w:val="0"/>
          <w:bCs/>
          <w:color w:val="auto"/>
          <w:sz w:val="24"/>
          <w:highlight w:val="none"/>
          <w:lang w:eastAsia="zh-CN"/>
        </w:rPr>
        <w:t>谈判响应文件</w:t>
      </w:r>
      <w:r>
        <w:rPr>
          <w:rFonts w:hint="eastAsia" w:ascii="宋体" w:hAnsi="宋体" w:eastAsia="宋体" w:cs="宋体"/>
          <w:b w:val="0"/>
          <w:bCs/>
          <w:color w:val="auto"/>
          <w:sz w:val="24"/>
          <w:highlight w:val="none"/>
        </w:rPr>
        <w:t>后，可以修改或撤回其投标，但这种修改和撤回，必须在规定的投标截止时间前。在投标截止时间后，投标人不得要求修改或撤回其</w:t>
      </w:r>
      <w:r>
        <w:rPr>
          <w:rFonts w:hint="eastAsia" w:ascii="宋体" w:hAnsi="宋体" w:eastAsia="宋体" w:cs="宋体"/>
          <w:b w:val="0"/>
          <w:bCs/>
          <w:color w:val="auto"/>
          <w:sz w:val="24"/>
          <w:highlight w:val="none"/>
          <w:lang w:eastAsia="zh-CN"/>
        </w:rPr>
        <w:t>谈判响应文件</w:t>
      </w:r>
      <w:r>
        <w:rPr>
          <w:rFonts w:hint="eastAsia" w:ascii="宋体" w:hAnsi="宋体" w:eastAsia="宋体" w:cs="宋体"/>
          <w:b w:val="0"/>
          <w:bCs/>
          <w:color w:val="auto"/>
          <w:sz w:val="24"/>
          <w:highlight w:val="none"/>
        </w:rPr>
        <w:t>。</w:t>
      </w:r>
    </w:p>
    <w:p w14:paraId="00A9343B">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val="0"/>
          <w:bCs/>
          <w:color w:val="auto"/>
          <w:sz w:val="24"/>
          <w:highlight w:val="none"/>
          <w:lang w:val="en-US" w:eastAsia="zh-CN"/>
        </w:rPr>
        <w:t>18</w:t>
      </w:r>
      <w:r>
        <w:rPr>
          <w:rFonts w:hint="eastAsia" w:ascii="宋体" w:hAnsi="宋体" w:eastAsia="宋体" w:cs="宋体"/>
          <w:b w:val="0"/>
          <w:bCs/>
          <w:color w:val="auto"/>
          <w:sz w:val="24"/>
          <w:highlight w:val="none"/>
        </w:rPr>
        <w:t>.2 若供应商在规定的时间内（“投标人须知前附表”的中规定）未能解密的，也将被视为供应</w:t>
      </w:r>
      <w:r>
        <w:rPr>
          <w:rFonts w:hint="eastAsia" w:ascii="宋体" w:hAnsi="宋体" w:eastAsia="宋体" w:cs="宋体"/>
          <w:color w:val="auto"/>
          <w:sz w:val="24"/>
          <w:highlight w:val="none"/>
        </w:rPr>
        <w:t>商对其</w:t>
      </w:r>
      <w:r>
        <w:rPr>
          <w:rFonts w:hint="eastAsia" w:ascii="宋体" w:hAnsi="宋体" w:eastAsia="宋体" w:cs="宋体"/>
          <w:color w:val="auto"/>
          <w:sz w:val="24"/>
          <w:highlight w:val="none"/>
          <w:lang w:eastAsia="zh-CN"/>
        </w:rPr>
        <w:t>谈判响应文件</w:t>
      </w:r>
      <w:r>
        <w:rPr>
          <w:rFonts w:hint="eastAsia" w:ascii="宋体" w:hAnsi="宋体" w:eastAsia="宋体" w:cs="宋体"/>
          <w:color w:val="auto"/>
          <w:sz w:val="24"/>
          <w:highlight w:val="none"/>
        </w:rPr>
        <w:t>的撤回</w:t>
      </w:r>
      <w:r>
        <w:rPr>
          <w:rFonts w:hint="eastAsia" w:ascii="宋体" w:hAnsi="宋体" w:eastAsia="宋体" w:cs="宋体"/>
          <w:color w:val="auto"/>
          <w:sz w:val="24"/>
          <w:highlight w:val="none"/>
          <w:lang w:eastAsia="zh-CN"/>
        </w:rPr>
        <w:t>。</w:t>
      </w:r>
    </w:p>
    <w:p w14:paraId="5C4E1BBD">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19、</w:t>
      </w:r>
      <w:r>
        <w:rPr>
          <w:rFonts w:hint="eastAsia" w:ascii="宋体" w:hAnsi="宋体" w:cs="宋体"/>
          <w:b/>
          <w:color w:val="auto"/>
          <w:sz w:val="24"/>
          <w:highlight w:val="none"/>
          <w:lang w:eastAsia="zh-CN"/>
        </w:rPr>
        <w:t>谈判响应文件</w:t>
      </w:r>
      <w:r>
        <w:rPr>
          <w:rFonts w:hint="eastAsia" w:ascii="宋体" w:hAnsi="宋体" w:eastAsia="宋体" w:cs="宋体"/>
          <w:b/>
          <w:color w:val="auto"/>
          <w:sz w:val="24"/>
          <w:highlight w:val="none"/>
        </w:rPr>
        <w:t>的澄清</w:t>
      </w:r>
    </w:p>
    <w:p w14:paraId="181909F0">
      <w:pPr>
        <w:pageBreakBefore w:val="0"/>
        <w:kinsoku/>
        <w:wordWrap/>
        <w:overflowPunct/>
        <w:topLinePunct w:val="0"/>
        <w:bidi w:val="0"/>
        <w:spacing w:line="360" w:lineRule="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19</w:t>
      </w:r>
      <w:r>
        <w:rPr>
          <w:rFonts w:hint="eastAsia" w:ascii="宋体" w:hAnsi="宋体" w:eastAsia="宋体" w:cs="宋体"/>
          <w:b w:val="0"/>
          <w:bCs/>
          <w:color w:val="auto"/>
          <w:sz w:val="24"/>
          <w:highlight w:val="none"/>
        </w:rPr>
        <w:t xml:space="preserve">.1 </w:t>
      </w:r>
      <w:r>
        <w:rPr>
          <w:rFonts w:hint="eastAsia" w:ascii="宋体" w:hAnsi="宋体" w:cs="宋体"/>
          <w:b w:val="0"/>
          <w:bCs/>
          <w:color w:val="auto"/>
          <w:sz w:val="24"/>
          <w:highlight w:val="none"/>
          <w:lang w:val="en-US" w:eastAsia="zh-CN"/>
        </w:rPr>
        <w:t>谈判小组</w:t>
      </w:r>
      <w:r>
        <w:rPr>
          <w:rFonts w:hint="eastAsia" w:ascii="宋体" w:hAnsi="宋体" w:eastAsia="宋体" w:cs="宋体"/>
          <w:b w:val="0"/>
          <w:bCs/>
          <w:color w:val="auto"/>
          <w:sz w:val="24"/>
          <w:highlight w:val="none"/>
        </w:rPr>
        <w:t>在</w:t>
      </w:r>
      <w:r>
        <w:rPr>
          <w:rFonts w:hint="eastAsia" w:ascii="宋体" w:hAnsi="宋体" w:cs="宋体"/>
          <w:b w:val="0"/>
          <w:bCs/>
          <w:color w:val="auto"/>
          <w:sz w:val="24"/>
          <w:highlight w:val="none"/>
          <w:lang w:val="en-US" w:eastAsia="zh-CN"/>
        </w:rPr>
        <w:t>谈判</w:t>
      </w:r>
      <w:r>
        <w:rPr>
          <w:rFonts w:hint="eastAsia" w:ascii="宋体" w:hAnsi="宋体" w:eastAsia="宋体" w:cs="宋体"/>
          <w:b w:val="0"/>
          <w:bCs/>
          <w:color w:val="auto"/>
          <w:sz w:val="24"/>
          <w:highlight w:val="none"/>
        </w:rPr>
        <w:t>过程中有权随时请</w:t>
      </w:r>
      <w:r>
        <w:rPr>
          <w:rFonts w:hint="eastAsia" w:ascii="宋体" w:hAnsi="宋体" w:cs="宋体"/>
          <w:b w:val="0"/>
          <w:bCs/>
          <w:color w:val="auto"/>
          <w:sz w:val="24"/>
          <w:highlight w:val="none"/>
          <w:lang w:eastAsia="zh-CN"/>
        </w:rPr>
        <w:t>报价人</w:t>
      </w:r>
      <w:r>
        <w:rPr>
          <w:rFonts w:hint="eastAsia" w:ascii="宋体" w:hAnsi="宋体" w:eastAsia="宋体" w:cs="宋体"/>
          <w:b w:val="0"/>
          <w:bCs/>
          <w:color w:val="auto"/>
          <w:sz w:val="24"/>
          <w:highlight w:val="none"/>
        </w:rPr>
        <w:t>就</w:t>
      </w:r>
      <w:r>
        <w:rPr>
          <w:rFonts w:hint="eastAsia" w:ascii="宋体" w:hAnsi="宋体" w:cs="宋体"/>
          <w:b w:val="0"/>
          <w:bCs/>
          <w:color w:val="auto"/>
          <w:sz w:val="24"/>
          <w:highlight w:val="none"/>
          <w:lang w:eastAsia="zh-CN"/>
        </w:rPr>
        <w:t>谈判响应文件</w:t>
      </w:r>
      <w:r>
        <w:rPr>
          <w:rFonts w:hint="eastAsia" w:ascii="宋体" w:hAnsi="宋体" w:eastAsia="宋体" w:cs="宋体"/>
          <w:b w:val="0"/>
          <w:bCs/>
          <w:color w:val="auto"/>
          <w:sz w:val="24"/>
          <w:highlight w:val="none"/>
        </w:rPr>
        <w:t>中含混之处加以澄清或答疑。</w:t>
      </w:r>
    </w:p>
    <w:p w14:paraId="5FC40FE6">
      <w:pPr>
        <w:pageBreakBefore w:val="0"/>
        <w:kinsoku/>
        <w:wordWrap/>
        <w:overflowPunct/>
        <w:topLinePunct w:val="0"/>
        <w:bidi w:val="0"/>
        <w:spacing w:line="360" w:lineRule="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19.</w:t>
      </w:r>
      <w:r>
        <w:rPr>
          <w:rFonts w:hint="eastAsia" w:ascii="宋体" w:hAnsi="宋体" w:eastAsia="宋体" w:cs="宋体"/>
          <w:b w:val="0"/>
          <w:bCs/>
          <w:color w:val="auto"/>
          <w:sz w:val="24"/>
          <w:highlight w:val="none"/>
        </w:rPr>
        <w:t xml:space="preserve">2 </w:t>
      </w:r>
      <w:r>
        <w:rPr>
          <w:rFonts w:hint="eastAsia" w:ascii="宋体" w:hAnsi="宋体" w:cs="宋体"/>
          <w:b w:val="0"/>
          <w:bCs/>
          <w:color w:val="auto"/>
          <w:sz w:val="24"/>
          <w:highlight w:val="none"/>
          <w:lang w:eastAsia="zh-CN"/>
        </w:rPr>
        <w:t>报价人</w:t>
      </w:r>
      <w:r>
        <w:rPr>
          <w:rFonts w:hint="eastAsia" w:ascii="宋体" w:hAnsi="宋体" w:eastAsia="宋体" w:cs="宋体"/>
          <w:b w:val="0"/>
          <w:bCs/>
          <w:color w:val="auto"/>
          <w:sz w:val="24"/>
          <w:highlight w:val="none"/>
        </w:rPr>
        <w:t>对要求澄清的问题应明确答复，并应有法人授权代表的签署。</w:t>
      </w:r>
    </w:p>
    <w:p w14:paraId="50D62CB4">
      <w:pPr>
        <w:pageBreakBefore w:val="0"/>
        <w:kinsoku/>
        <w:wordWrap/>
        <w:overflowPunct/>
        <w:topLinePunct w:val="0"/>
        <w:bidi w:val="0"/>
        <w:spacing w:line="360" w:lineRule="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19.</w:t>
      </w:r>
      <w:r>
        <w:rPr>
          <w:rFonts w:hint="eastAsia" w:ascii="宋体" w:hAnsi="宋体" w:eastAsia="宋体" w:cs="宋体"/>
          <w:b w:val="0"/>
          <w:bCs/>
          <w:color w:val="auto"/>
          <w:sz w:val="24"/>
          <w:highlight w:val="none"/>
        </w:rPr>
        <w:t xml:space="preserve">3 </w:t>
      </w:r>
      <w:r>
        <w:rPr>
          <w:rFonts w:hint="eastAsia" w:ascii="宋体" w:hAnsi="宋体" w:cs="宋体"/>
          <w:b w:val="0"/>
          <w:bCs/>
          <w:color w:val="auto"/>
          <w:sz w:val="24"/>
          <w:highlight w:val="none"/>
          <w:lang w:eastAsia="zh-CN"/>
        </w:rPr>
        <w:t>报价人</w:t>
      </w:r>
      <w:r>
        <w:rPr>
          <w:rFonts w:hint="eastAsia" w:ascii="宋体" w:hAnsi="宋体" w:eastAsia="宋体" w:cs="宋体"/>
          <w:b w:val="0"/>
          <w:bCs/>
          <w:color w:val="auto"/>
          <w:sz w:val="24"/>
          <w:highlight w:val="none"/>
        </w:rPr>
        <w:t>的澄清文件是</w:t>
      </w:r>
      <w:r>
        <w:rPr>
          <w:rFonts w:hint="eastAsia" w:ascii="宋体" w:hAnsi="宋体" w:cs="宋体"/>
          <w:b w:val="0"/>
          <w:bCs/>
          <w:color w:val="auto"/>
          <w:sz w:val="24"/>
          <w:highlight w:val="none"/>
          <w:lang w:eastAsia="zh-CN"/>
        </w:rPr>
        <w:t>谈判响应文件</w:t>
      </w:r>
      <w:r>
        <w:rPr>
          <w:rFonts w:hint="eastAsia" w:ascii="宋体" w:hAnsi="宋体" w:eastAsia="宋体" w:cs="宋体"/>
          <w:b w:val="0"/>
          <w:bCs/>
          <w:color w:val="auto"/>
          <w:sz w:val="24"/>
          <w:highlight w:val="none"/>
        </w:rPr>
        <w:t>的组成部分，并取代</w:t>
      </w:r>
      <w:r>
        <w:rPr>
          <w:rFonts w:hint="eastAsia" w:ascii="宋体" w:hAnsi="宋体" w:cs="宋体"/>
          <w:b w:val="0"/>
          <w:bCs/>
          <w:color w:val="auto"/>
          <w:sz w:val="24"/>
          <w:highlight w:val="none"/>
          <w:lang w:eastAsia="zh-CN"/>
        </w:rPr>
        <w:t>谈判响应文件</w:t>
      </w:r>
      <w:r>
        <w:rPr>
          <w:rFonts w:hint="eastAsia" w:ascii="宋体" w:hAnsi="宋体" w:eastAsia="宋体" w:cs="宋体"/>
          <w:b w:val="0"/>
          <w:bCs/>
          <w:color w:val="auto"/>
          <w:sz w:val="24"/>
          <w:highlight w:val="none"/>
        </w:rPr>
        <w:t>中被澄清的部分。</w:t>
      </w:r>
    </w:p>
    <w:p w14:paraId="49728FB3">
      <w:pPr>
        <w:pageBreakBefore w:val="0"/>
        <w:kinsoku/>
        <w:wordWrap/>
        <w:overflowPunct/>
        <w:topLinePunct w:val="0"/>
        <w:bidi w:val="0"/>
        <w:spacing w:line="360" w:lineRule="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19.</w:t>
      </w:r>
      <w:r>
        <w:rPr>
          <w:rFonts w:hint="eastAsia" w:ascii="宋体" w:hAnsi="宋体" w:eastAsia="宋体" w:cs="宋体"/>
          <w:b w:val="0"/>
          <w:bCs/>
          <w:color w:val="auto"/>
          <w:sz w:val="24"/>
          <w:highlight w:val="none"/>
        </w:rPr>
        <w:t xml:space="preserve">4 </w:t>
      </w:r>
      <w:r>
        <w:rPr>
          <w:rFonts w:hint="eastAsia" w:ascii="宋体" w:hAnsi="宋体" w:cs="宋体"/>
          <w:b w:val="0"/>
          <w:bCs/>
          <w:color w:val="auto"/>
          <w:sz w:val="24"/>
          <w:highlight w:val="none"/>
          <w:lang w:eastAsia="zh-CN"/>
        </w:rPr>
        <w:t>谈判响应文件</w:t>
      </w:r>
      <w:r>
        <w:rPr>
          <w:rFonts w:hint="eastAsia" w:ascii="宋体" w:hAnsi="宋体" w:eastAsia="宋体" w:cs="宋体"/>
          <w:b w:val="0"/>
          <w:bCs/>
          <w:color w:val="auto"/>
          <w:sz w:val="24"/>
          <w:highlight w:val="none"/>
        </w:rPr>
        <w:t>的澄清不得改变</w:t>
      </w:r>
      <w:r>
        <w:rPr>
          <w:rFonts w:hint="eastAsia" w:ascii="宋体" w:hAnsi="宋体" w:cs="宋体"/>
          <w:b w:val="0"/>
          <w:bCs/>
          <w:color w:val="auto"/>
          <w:sz w:val="24"/>
          <w:highlight w:val="none"/>
          <w:lang w:val="en-US" w:eastAsia="zh-CN"/>
        </w:rPr>
        <w:t>报价</w:t>
      </w:r>
      <w:r>
        <w:rPr>
          <w:rFonts w:hint="eastAsia" w:ascii="宋体" w:hAnsi="宋体" w:eastAsia="宋体" w:cs="宋体"/>
          <w:b w:val="0"/>
          <w:bCs/>
          <w:color w:val="auto"/>
          <w:sz w:val="24"/>
          <w:highlight w:val="none"/>
        </w:rPr>
        <w:t>的实质内容。</w:t>
      </w:r>
    </w:p>
    <w:p w14:paraId="366CA2CD">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val="0"/>
          <w:bCs/>
          <w:color w:val="auto"/>
          <w:sz w:val="24"/>
          <w:highlight w:val="none"/>
          <w:lang w:val="en-US" w:eastAsia="zh-CN"/>
        </w:rPr>
        <w:t>19.</w:t>
      </w:r>
      <w:r>
        <w:rPr>
          <w:rFonts w:hint="eastAsia" w:ascii="宋体" w:hAnsi="宋体" w:eastAsia="宋体" w:cs="宋体"/>
          <w:b w:val="0"/>
          <w:bCs/>
          <w:color w:val="auto"/>
          <w:sz w:val="24"/>
          <w:highlight w:val="none"/>
        </w:rPr>
        <w:t xml:space="preserve">5 </w:t>
      </w:r>
      <w:r>
        <w:rPr>
          <w:rFonts w:hint="eastAsia" w:ascii="宋体" w:hAnsi="宋体" w:eastAsia="宋体" w:cs="宋体"/>
          <w:color w:val="auto"/>
          <w:sz w:val="24"/>
          <w:highlight w:val="none"/>
        </w:rPr>
        <w:t>如果</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在</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中未对文件中的条款或参数要求提出偏离意见或澄清将视同</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同意</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文件的全部或部分要求。</w:t>
      </w:r>
    </w:p>
    <w:p w14:paraId="687CEECB">
      <w:pPr>
        <w:pStyle w:val="3"/>
        <w:pageBreakBefore w:val="0"/>
        <w:kinsoku/>
        <w:wordWrap/>
        <w:overflowPunct/>
        <w:topLinePunct w:val="0"/>
        <w:bidi w:val="0"/>
        <w:spacing w:line="360" w:lineRule="auto"/>
        <w:ind w:firstLine="3204" w:firstLineChars="1140"/>
        <w:rPr>
          <w:rFonts w:hint="eastAsia" w:ascii="宋体" w:hAnsi="宋体" w:cs="宋体"/>
          <w:b/>
          <w:color w:val="auto"/>
          <w:sz w:val="24"/>
          <w:highlight w:val="none"/>
          <w:lang w:val="en-US" w:eastAsia="zh-CN"/>
        </w:rPr>
      </w:pPr>
      <w:bookmarkStart w:id="53" w:name="_Toc27628"/>
      <w:bookmarkStart w:id="54" w:name="_Toc16246"/>
      <w:bookmarkStart w:id="55" w:name="_Toc11985"/>
      <w:bookmarkStart w:id="56" w:name="_Toc20020"/>
      <w:r>
        <w:rPr>
          <w:rFonts w:hint="eastAsia" w:ascii="宋体" w:hAnsi="宋体" w:eastAsia="宋体" w:cs="宋体"/>
          <w:color w:val="auto"/>
          <w:sz w:val="28"/>
          <w:highlight w:val="none"/>
        </w:rPr>
        <w:t>四、</w:t>
      </w:r>
      <w:r>
        <w:rPr>
          <w:rFonts w:hint="eastAsia" w:ascii="宋体" w:hAnsi="宋体" w:cs="宋体"/>
          <w:color w:val="auto"/>
          <w:sz w:val="28"/>
          <w:highlight w:val="none"/>
          <w:lang w:eastAsia="zh-CN"/>
        </w:rPr>
        <w:t>谈判响应文件</w:t>
      </w:r>
      <w:r>
        <w:rPr>
          <w:rFonts w:hint="eastAsia" w:ascii="宋体" w:hAnsi="宋体" w:eastAsia="宋体" w:cs="宋体"/>
          <w:color w:val="auto"/>
          <w:sz w:val="28"/>
          <w:highlight w:val="none"/>
        </w:rPr>
        <w:t>递交</w:t>
      </w:r>
      <w:bookmarkEnd w:id="53"/>
      <w:bookmarkEnd w:id="54"/>
    </w:p>
    <w:p w14:paraId="5CD8DD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20、谈判响应文件的签署、递交、准备和解密时间要求：</w:t>
      </w:r>
    </w:p>
    <w:p w14:paraId="3840ECE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20.</w:t>
      </w:r>
      <w:r>
        <w:rPr>
          <w:rFonts w:hint="eastAsia" w:ascii="宋体" w:hAnsi="宋体" w:eastAsia="宋体" w:cs="宋体"/>
          <w:b/>
          <w:bCs/>
          <w:color w:val="auto"/>
          <w:kern w:val="2"/>
          <w:sz w:val="24"/>
          <w:szCs w:val="24"/>
          <w:highlight w:val="none"/>
          <w:lang w:val="en-US" w:eastAsia="zh-CN" w:bidi="ar-SA"/>
        </w:rPr>
        <w:t>1</w:t>
      </w:r>
      <w:bookmarkStart w:id="57" w:name="_Toc25982"/>
      <w:bookmarkStart w:id="58" w:name="_Toc503212216"/>
      <w:bookmarkStart w:id="59" w:name="_Toc521014784"/>
      <w:bookmarkStart w:id="60" w:name="_Toc4584"/>
      <w:bookmarkStart w:id="61" w:name="_Toc27912"/>
      <w:r>
        <w:rPr>
          <w:rFonts w:hint="eastAsia" w:ascii="宋体" w:hAnsi="宋体" w:eastAsia="宋体" w:cs="宋体"/>
          <w:b/>
          <w:bCs/>
          <w:color w:val="auto"/>
          <w:kern w:val="2"/>
          <w:sz w:val="24"/>
          <w:szCs w:val="24"/>
          <w:highlight w:val="none"/>
          <w:lang w:val="en-US" w:eastAsia="zh-CN" w:bidi="ar-SA"/>
        </w:rPr>
        <w:t>谈判响应文件的签署和</w:t>
      </w:r>
      <w:bookmarkEnd w:id="57"/>
      <w:bookmarkEnd w:id="58"/>
      <w:bookmarkEnd w:id="59"/>
      <w:bookmarkEnd w:id="60"/>
      <w:r>
        <w:rPr>
          <w:rFonts w:hint="eastAsia" w:ascii="宋体" w:hAnsi="宋体" w:eastAsia="宋体" w:cs="宋体"/>
          <w:b/>
          <w:bCs/>
          <w:color w:val="auto"/>
          <w:kern w:val="2"/>
          <w:sz w:val="24"/>
          <w:szCs w:val="24"/>
          <w:highlight w:val="none"/>
          <w:lang w:val="en-US" w:eastAsia="zh-CN" w:bidi="ar-SA"/>
        </w:rPr>
        <w:t>递交</w:t>
      </w:r>
      <w:bookmarkEnd w:id="61"/>
    </w:p>
    <w:p w14:paraId="491D5EE6">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20.1</w:t>
      </w:r>
      <w:r>
        <w:rPr>
          <w:rFonts w:hint="eastAsia" w:ascii="宋体" w:hAnsi="宋体" w:eastAsia="宋体" w:cs="宋体"/>
          <w:color w:val="auto"/>
          <w:kern w:val="2"/>
          <w:sz w:val="24"/>
          <w:szCs w:val="24"/>
          <w:highlight w:val="none"/>
          <w:lang w:val="en-US" w:eastAsia="zh-CN" w:bidi="ar-SA"/>
        </w:rPr>
        <w:t>.1投标人应通过电子谈判响应文件制作工具严格按谈判文件要求制作谈判响应文件，在投标截止时间前完成上传经过数字证书</w:t>
      </w:r>
      <w:r>
        <w:rPr>
          <w:rFonts w:hint="eastAsia" w:ascii="宋体" w:hAnsi="宋体" w:cs="宋体"/>
          <w:color w:val="auto"/>
          <w:sz w:val="24"/>
          <w:szCs w:val="24"/>
          <w:highlight w:val="none"/>
          <w:lang w:eastAsia="zh-CN"/>
        </w:rPr>
        <w:t>逐页</w:t>
      </w:r>
      <w:r>
        <w:rPr>
          <w:rFonts w:hint="eastAsia" w:ascii="宋体" w:hAnsi="宋体" w:eastAsia="宋体" w:cs="宋体"/>
          <w:color w:val="auto"/>
          <w:kern w:val="2"/>
          <w:sz w:val="24"/>
          <w:szCs w:val="24"/>
          <w:highlight w:val="none"/>
          <w:lang w:val="en-US" w:eastAsia="zh-CN" w:bidi="ar-SA"/>
        </w:rPr>
        <w:t>电子签章并加密的谈判响应文件（加密和解密须用同一把数字证书）。投标人在投标截止时间前，可以对其所递交的谈判响应文件进行修改并重新上传，但以投标截止时间前最后一次上传的谈判响应文件为有效谈判响应文件。</w:t>
      </w:r>
    </w:p>
    <w:p w14:paraId="2041099B">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.1.2投标截止时间以政采云平台显示的时间为准，逾期系统将自动关闭，未完成上传的谈判响应文件视为逾期送达，将被拒绝。</w:t>
      </w:r>
    </w:p>
    <w:p w14:paraId="4E67A53D">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.1.3投标人应于投标截止之前（ 投标人须自行考虑网络延迟风险提前上传）将电子谈判响应文件上传到“政采云”平台。应按照本项目谈判文件和政采云平台的要求编制、加密传输谈判响应文件。供应商在使用系统进行投标的过程中遇到涉及平台使用的任何问题，可致电政采云平台技术支持热线咨询，联系方式：</w:t>
      </w:r>
      <w:r>
        <w:rPr>
          <w:rFonts w:hint="eastAsia" w:ascii="宋体" w:hAnsi="宋体" w:cs="宋体"/>
          <w:color w:val="auto"/>
          <w:kern w:val="2"/>
          <w:sz w:val="24"/>
          <w:szCs w:val="24"/>
          <w:highlight w:val="none"/>
          <w:lang w:val="en-US" w:eastAsia="zh-CN" w:bidi="ar-SA"/>
        </w:rPr>
        <w:t>95763</w:t>
      </w:r>
      <w:r>
        <w:rPr>
          <w:rFonts w:hint="eastAsia" w:ascii="宋体" w:hAnsi="宋体" w:eastAsia="宋体" w:cs="宋体"/>
          <w:color w:val="auto"/>
          <w:kern w:val="2"/>
          <w:sz w:val="24"/>
          <w:szCs w:val="24"/>
          <w:highlight w:val="none"/>
          <w:lang w:val="en-US" w:eastAsia="zh-CN" w:bidi="ar-SA"/>
        </w:rPr>
        <w:t>。</w:t>
      </w:r>
    </w:p>
    <w:p w14:paraId="684227B6">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.1.4谈判响应文件须由投标人在规定位置盖章并由法定代表人或法定代表人的授权委托人签署，投标人应写全称。</w:t>
      </w:r>
    </w:p>
    <w:p w14:paraId="62F57DFA">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.1.5本项目采用不见面开标</w:t>
      </w:r>
    </w:p>
    <w:p w14:paraId="14C534A2">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0"/>
          <w:sz w:val="24"/>
          <w:szCs w:val="24"/>
          <w:highlight w:val="none"/>
          <w:lang w:val="en-US" w:eastAsia="zh-CN"/>
        </w:rPr>
        <w:t>20</w:t>
      </w:r>
      <w:r>
        <w:rPr>
          <w:rFonts w:hint="eastAsia" w:ascii="宋体" w:hAnsi="宋体" w:eastAsia="宋体" w:cs="宋体"/>
          <w:b/>
          <w:bCs/>
          <w:color w:val="auto"/>
          <w:kern w:val="2"/>
          <w:sz w:val="24"/>
          <w:szCs w:val="24"/>
          <w:highlight w:val="none"/>
          <w:lang w:val="en-US" w:eastAsia="zh-CN" w:bidi="ar-SA"/>
        </w:rPr>
        <w:t>.2谈判响应文件的递交、解密</w:t>
      </w:r>
    </w:p>
    <w:p w14:paraId="526BD47E">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20</w:t>
      </w:r>
      <w:r>
        <w:rPr>
          <w:rFonts w:hint="eastAsia" w:ascii="宋体" w:hAnsi="宋体" w:eastAsia="宋体" w:cs="宋体"/>
          <w:b w:val="0"/>
          <w:bCs w:val="0"/>
          <w:color w:val="auto"/>
          <w:kern w:val="2"/>
          <w:sz w:val="24"/>
          <w:szCs w:val="24"/>
          <w:highlight w:val="none"/>
          <w:lang w:val="en-US" w:eastAsia="zh-CN" w:bidi="ar-SA"/>
        </w:rPr>
        <w:t>.2.1</w:t>
      </w:r>
      <w:r>
        <w:rPr>
          <w:rFonts w:hint="eastAsia" w:ascii="宋体" w:hAnsi="宋体" w:cs="宋体"/>
          <w:color w:val="auto"/>
          <w:kern w:val="0"/>
          <w:sz w:val="24"/>
          <w:szCs w:val="24"/>
          <w:highlight w:val="none"/>
          <w:lang w:eastAsia="zh-CN"/>
        </w:rPr>
        <w:t>谈判响应文件</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lang w:val="en-US" w:eastAsia="zh-CN"/>
        </w:rPr>
        <w:t>递交</w:t>
      </w:r>
      <w:r>
        <w:rPr>
          <w:rFonts w:hint="eastAsia" w:ascii="宋体" w:hAnsi="宋体" w:eastAsia="宋体" w:cs="宋体"/>
          <w:color w:val="auto"/>
          <w:kern w:val="2"/>
          <w:sz w:val="24"/>
          <w:szCs w:val="24"/>
          <w:highlight w:val="none"/>
          <w:lang w:val="en-US" w:eastAsia="zh-CN" w:bidi="ar-SA"/>
        </w:rPr>
        <w:t>本项目实行网上投标，采用电子</w:t>
      </w:r>
      <w:r>
        <w:rPr>
          <w:rFonts w:hint="eastAsia" w:ascii="宋体" w:hAnsi="宋体" w:cs="宋体"/>
          <w:color w:val="auto"/>
          <w:kern w:val="2"/>
          <w:sz w:val="24"/>
          <w:szCs w:val="24"/>
          <w:highlight w:val="none"/>
          <w:lang w:val="en-US" w:eastAsia="zh-CN" w:bidi="ar-SA"/>
        </w:rPr>
        <w:t>响应文件</w:t>
      </w:r>
      <w:r>
        <w:rPr>
          <w:rFonts w:hint="eastAsia" w:ascii="宋体" w:hAnsi="宋体" w:eastAsia="宋体" w:cs="宋体"/>
          <w:color w:val="auto"/>
          <w:kern w:val="2"/>
          <w:sz w:val="24"/>
          <w:szCs w:val="24"/>
          <w:highlight w:val="none"/>
          <w:lang w:val="en-US" w:eastAsia="zh-CN" w:bidi="ar-SA"/>
        </w:rPr>
        <w:t>。若供应商参与投标，自行承担投标一切费用。</w:t>
      </w:r>
    </w:p>
    <w:p w14:paraId="5E6D21BE">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.2.2各供应商应在开标前应确保成为新疆维吾尔自治区政府采购网正式注册入库供应商，并完成CA数字证书申领。因未注册入库、未办理CA数字证书等原因造成无法投标或投标失败等后果由供应商自行承担。</w:t>
      </w:r>
    </w:p>
    <w:p w14:paraId="1062F00D">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2.3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14:paraId="111EF66B">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.2.4供应商将政采云电子交易客户端下载、安装完成后，可通过账号密码或CA登录客户端进行</w:t>
      </w:r>
      <w:r>
        <w:rPr>
          <w:rFonts w:hint="eastAsia" w:ascii="宋体" w:hAnsi="宋体" w:cs="宋体"/>
          <w:color w:val="auto"/>
          <w:kern w:val="2"/>
          <w:sz w:val="24"/>
          <w:szCs w:val="24"/>
          <w:highlight w:val="none"/>
          <w:lang w:val="en-US" w:eastAsia="zh-CN" w:bidi="ar-SA"/>
        </w:rPr>
        <w:t>响应文件</w:t>
      </w:r>
      <w:r>
        <w:rPr>
          <w:rFonts w:hint="eastAsia" w:ascii="宋体" w:hAnsi="宋体" w:eastAsia="宋体" w:cs="宋体"/>
          <w:color w:val="auto"/>
          <w:kern w:val="2"/>
          <w:sz w:val="24"/>
          <w:szCs w:val="24"/>
          <w:highlight w:val="none"/>
          <w:lang w:val="en-US" w:eastAsia="zh-CN" w:bidi="ar-SA"/>
        </w:rPr>
        <w:t>制作。在使用政采云投标客户端时，建议使用WIN7及以上操作系统。客户端请至新疆政府采购网（http://www.ccgp-xinjiang.gov.cn/）下载专区查看，如有问题可拨打政采云客户服务热线</w:t>
      </w:r>
      <w:r>
        <w:rPr>
          <w:rFonts w:hint="eastAsia" w:ascii="宋体" w:hAnsi="宋体" w:cs="宋体"/>
          <w:color w:val="auto"/>
          <w:kern w:val="2"/>
          <w:sz w:val="24"/>
          <w:szCs w:val="24"/>
          <w:highlight w:val="none"/>
          <w:lang w:val="en-US" w:eastAsia="zh-CN" w:bidi="ar-SA"/>
        </w:rPr>
        <w:t>95763</w:t>
      </w:r>
      <w:r>
        <w:rPr>
          <w:rFonts w:hint="eastAsia" w:ascii="宋体" w:hAnsi="宋体" w:eastAsia="宋体" w:cs="宋体"/>
          <w:color w:val="auto"/>
          <w:kern w:val="2"/>
          <w:sz w:val="24"/>
          <w:szCs w:val="24"/>
          <w:highlight w:val="none"/>
          <w:lang w:val="en-US" w:eastAsia="zh-CN" w:bidi="ar-SA"/>
        </w:rPr>
        <w:t>进行咨询。</w:t>
      </w:r>
    </w:p>
    <w:p w14:paraId="32C8FA5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.2.5投标人应于投标截止时间前将电子响应文件上传到“政采云”平台。应按照本项目</w:t>
      </w:r>
      <w:r>
        <w:rPr>
          <w:rFonts w:hint="eastAsia" w:ascii="宋体" w:hAnsi="宋体" w:cs="宋体"/>
          <w:color w:val="auto"/>
          <w:kern w:val="2"/>
          <w:sz w:val="24"/>
          <w:szCs w:val="24"/>
          <w:highlight w:val="none"/>
          <w:lang w:val="en-US" w:eastAsia="zh-CN" w:bidi="ar-SA"/>
        </w:rPr>
        <w:t>谈判文件</w:t>
      </w:r>
      <w:r>
        <w:rPr>
          <w:rFonts w:hint="eastAsia" w:ascii="宋体" w:hAnsi="宋体" w:eastAsia="宋体" w:cs="宋体"/>
          <w:color w:val="auto"/>
          <w:kern w:val="2"/>
          <w:sz w:val="24"/>
          <w:szCs w:val="24"/>
          <w:highlight w:val="none"/>
          <w:lang w:val="en-US" w:eastAsia="zh-CN" w:bidi="ar-SA"/>
        </w:rPr>
        <w:t>和政采云的要求编制、加密传输响应文件。供应商在使用系统进行投标的过程中遇到涉及平台使用的任何问题，可致电政采云平台技术支持热线咨询，联系方式：</w:t>
      </w:r>
      <w:r>
        <w:rPr>
          <w:rFonts w:hint="eastAsia" w:ascii="宋体" w:hAnsi="宋体" w:cs="宋体"/>
          <w:color w:val="auto"/>
          <w:kern w:val="2"/>
          <w:sz w:val="24"/>
          <w:szCs w:val="24"/>
          <w:highlight w:val="none"/>
          <w:lang w:val="en-US" w:eastAsia="zh-CN" w:bidi="ar-SA"/>
        </w:rPr>
        <w:t>95763</w:t>
      </w:r>
      <w:r>
        <w:rPr>
          <w:rFonts w:hint="eastAsia" w:ascii="宋体" w:hAnsi="宋体" w:eastAsia="宋体" w:cs="宋体"/>
          <w:color w:val="auto"/>
          <w:kern w:val="2"/>
          <w:sz w:val="24"/>
          <w:szCs w:val="24"/>
          <w:highlight w:val="none"/>
          <w:lang w:val="en-US" w:eastAsia="zh-CN" w:bidi="ar-SA"/>
        </w:rPr>
        <w:t>。</w:t>
      </w:r>
    </w:p>
    <w:p w14:paraId="08E2863C">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.2.6规定的解密时限为：</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0分钟内，若供应商在规定时间内未能解密的，视为供应商对其</w:t>
      </w:r>
      <w:r>
        <w:rPr>
          <w:rFonts w:hint="eastAsia" w:ascii="宋体" w:hAnsi="宋体" w:cs="宋体"/>
          <w:color w:val="auto"/>
          <w:kern w:val="2"/>
          <w:sz w:val="24"/>
          <w:szCs w:val="24"/>
          <w:highlight w:val="none"/>
          <w:lang w:val="en-US" w:eastAsia="zh-CN" w:bidi="ar-SA"/>
        </w:rPr>
        <w:t>响应文件</w:t>
      </w:r>
      <w:r>
        <w:rPr>
          <w:rFonts w:hint="eastAsia" w:ascii="宋体" w:hAnsi="宋体" w:eastAsia="宋体" w:cs="宋体"/>
          <w:color w:val="auto"/>
          <w:kern w:val="2"/>
          <w:sz w:val="24"/>
          <w:szCs w:val="24"/>
          <w:highlight w:val="none"/>
          <w:lang w:val="en-US" w:eastAsia="zh-CN" w:bidi="ar-SA"/>
        </w:rPr>
        <w:t>的撤回。</w:t>
      </w:r>
    </w:p>
    <w:p w14:paraId="0E9E327B">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.2.7因系统（非投标供应商行为）的原因，造成投标供应商未能在规定的解密时限内解密的，请及时与招标代理机构或与新疆政府采购网投标客户端进行联系。</w:t>
      </w:r>
    </w:p>
    <w:p w14:paraId="21DD70D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highlight w:val="none"/>
          <w:lang w:val="en-US" w:eastAsia="zh-CN"/>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.2.8谈判响应文件未按规定上传的，视为其自动放弃投标。</w:t>
      </w:r>
    </w:p>
    <w:p w14:paraId="2C45FA8A">
      <w:pPr>
        <w:pStyle w:val="3"/>
        <w:pageBreakBefore w:val="0"/>
        <w:kinsoku/>
        <w:wordWrap/>
        <w:overflowPunct/>
        <w:topLinePunct w:val="0"/>
        <w:bidi w:val="0"/>
        <w:spacing w:line="360" w:lineRule="auto"/>
        <w:ind w:firstLine="3626" w:firstLineChars="1290"/>
        <w:rPr>
          <w:rFonts w:hint="eastAsia" w:ascii="宋体" w:hAnsi="宋体" w:eastAsia="宋体" w:cs="宋体"/>
          <w:color w:val="auto"/>
          <w:sz w:val="28"/>
          <w:highlight w:val="none"/>
          <w:lang w:val="en-US"/>
        </w:rPr>
      </w:pPr>
      <w:r>
        <w:rPr>
          <w:rFonts w:hint="eastAsia" w:ascii="宋体" w:hAnsi="宋体" w:eastAsia="宋体" w:cs="宋体"/>
          <w:color w:val="auto"/>
          <w:sz w:val="28"/>
          <w:highlight w:val="none"/>
        </w:rPr>
        <w:t>五、</w:t>
      </w:r>
      <w:bookmarkEnd w:id="55"/>
      <w:bookmarkEnd w:id="56"/>
      <w:r>
        <w:rPr>
          <w:rFonts w:hint="eastAsia" w:ascii="宋体" w:hAnsi="宋体" w:cs="宋体"/>
          <w:color w:val="auto"/>
          <w:sz w:val="28"/>
          <w:highlight w:val="none"/>
          <w:lang w:val="en-US" w:eastAsia="zh-CN"/>
        </w:rPr>
        <w:t>开标</w:t>
      </w:r>
    </w:p>
    <w:p w14:paraId="477FB198">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cs="宋体"/>
          <w:b/>
          <w:color w:val="auto"/>
          <w:sz w:val="24"/>
          <w:highlight w:val="none"/>
          <w:lang w:val="en-US" w:eastAsia="zh-CN"/>
        </w:rPr>
        <w:t>开标</w:t>
      </w:r>
    </w:p>
    <w:p w14:paraId="7395A4D8">
      <w:pPr>
        <w:pageBreakBefore w:val="0"/>
        <w:kinsoku/>
        <w:wordWrap/>
        <w:overflowPunct/>
        <w:topLinePunct w:val="0"/>
        <w:bidi w:val="0"/>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val="en-US" w:eastAsia="zh-CN"/>
        </w:rPr>
        <w:t>1</w:t>
      </w:r>
      <w:r>
        <w:rPr>
          <w:rFonts w:hint="eastAsia" w:ascii="宋体" w:hAnsi="宋体" w:eastAsia="宋体" w:cs="宋体"/>
          <w:b w:val="0"/>
          <w:bCs/>
          <w:color w:val="auto"/>
          <w:sz w:val="24"/>
          <w:highlight w:val="none"/>
        </w:rPr>
        <w:t>.1 本次采用不见面方式网上开标。</w:t>
      </w:r>
    </w:p>
    <w:p w14:paraId="10594025">
      <w:pPr>
        <w:pageBreakBefore w:val="0"/>
        <w:kinsoku/>
        <w:wordWrap/>
        <w:overflowPunct/>
        <w:topLinePunct w:val="0"/>
        <w:bidi w:val="0"/>
        <w:spacing w:line="360" w:lineRule="auto"/>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val="en-US" w:eastAsia="zh-CN"/>
        </w:rPr>
        <w:t>1</w:t>
      </w:r>
      <w:r>
        <w:rPr>
          <w:rFonts w:hint="eastAsia" w:ascii="宋体" w:hAnsi="宋体" w:eastAsia="宋体" w:cs="宋体"/>
          <w:b w:val="0"/>
          <w:bCs/>
          <w:color w:val="auto"/>
          <w:sz w:val="24"/>
          <w:highlight w:val="none"/>
        </w:rPr>
        <w:t>.2 开标由招标代理机构主持，招标人、投标人和有关方面代表参加</w:t>
      </w:r>
      <w:r>
        <w:rPr>
          <w:rFonts w:hint="eastAsia" w:ascii="宋体" w:hAnsi="宋体" w:cs="宋体"/>
          <w:b w:val="0"/>
          <w:bCs/>
          <w:color w:val="auto"/>
          <w:sz w:val="24"/>
          <w:highlight w:val="none"/>
          <w:lang w:eastAsia="zh-CN"/>
        </w:rPr>
        <w:t>。</w:t>
      </w:r>
    </w:p>
    <w:p w14:paraId="15C0CF70">
      <w:pPr>
        <w:pageBreakBefore w:val="0"/>
        <w:kinsoku/>
        <w:wordWrap/>
        <w:overflowPunct/>
        <w:topLinePunct w:val="0"/>
        <w:bidi w:val="0"/>
        <w:spacing w:line="360" w:lineRule="auto"/>
        <w:rPr>
          <w:rFonts w:hint="eastAsia" w:ascii="宋体" w:hAnsi="宋体" w:cs="宋体"/>
          <w:b w:val="0"/>
          <w:bCs/>
          <w:color w:val="auto"/>
          <w:kern w:val="0"/>
          <w:sz w:val="24"/>
          <w:szCs w:val="24"/>
          <w:highlight w:val="none"/>
        </w:rPr>
      </w:pP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val="en-US" w:eastAsia="zh-CN"/>
        </w:rPr>
        <w:t>1</w:t>
      </w:r>
      <w:r>
        <w:rPr>
          <w:rFonts w:hint="eastAsia" w:ascii="宋体" w:hAnsi="宋体" w:eastAsia="宋体" w:cs="宋体"/>
          <w:b w:val="0"/>
          <w:bCs/>
          <w:color w:val="auto"/>
          <w:sz w:val="24"/>
          <w:highlight w:val="none"/>
        </w:rPr>
        <w:t xml:space="preserve">.3 </w:t>
      </w:r>
      <w:r>
        <w:rPr>
          <w:rFonts w:hint="eastAsia" w:ascii="宋体" w:hAnsi="宋体" w:cs="宋体"/>
          <w:b w:val="0"/>
          <w:bCs/>
          <w:color w:val="auto"/>
          <w:kern w:val="0"/>
          <w:sz w:val="24"/>
          <w:szCs w:val="24"/>
          <w:highlight w:val="none"/>
        </w:rPr>
        <w:t>招标人在规定的投标截止时间（开标时间）和投标人须知前附表规定的地点开标。投标人的法定代表人或其委托代理人无需到达开标现场，仅需在任意地点通过</w:t>
      </w:r>
      <w:r>
        <w:rPr>
          <w:rFonts w:hint="eastAsia" w:ascii="宋体" w:hAnsi="宋体" w:cs="宋体"/>
          <w:b w:val="0"/>
          <w:bCs/>
          <w:color w:val="auto"/>
          <w:kern w:val="0"/>
          <w:sz w:val="24"/>
          <w:szCs w:val="24"/>
          <w:highlight w:val="none"/>
          <w:lang w:val="en-US" w:eastAsia="zh-CN"/>
        </w:rPr>
        <w:t>政采云</w:t>
      </w:r>
      <w:r>
        <w:rPr>
          <w:rFonts w:hint="eastAsia" w:ascii="宋体" w:hAnsi="宋体" w:cs="宋体"/>
          <w:b w:val="0"/>
          <w:bCs/>
          <w:color w:val="auto"/>
          <w:kern w:val="0"/>
          <w:sz w:val="24"/>
          <w:szCs w:val="24"/>
          <w:highlight w:val="none"/>
        </w:rPr>
        <w:t>不见面开标系统，使用CA密钥完成远程解密、提疑澄清、开标唱标、结果公布等交互环节。</w:t>
      </w:r>
    </w:p>
    <w:p w14:paraId="500C9F00">
      <w:pPr>
        <w:pageBreakBefore w:val="0"/>
        <w:kinsoku/>
        <w:wordWrap/>
        <w:overflowPunct/>
        <w:topLinePunct w:val="0"/>
        <w:bidi w:val="0"/>
        <w:spacing w:line="360" w:lineRule="auto"/>
        <w:rPr>
          <w:rFonts w:hint="eastAsia" w:ascii="宋体" w:hAnsi="宋体" w:cs="宋体"/>
          <w:b w:val="0"/>
          <w:bCs/>
          <w:color w:val="auto"/>
          <w:kern w:val="0"/>
          <w:sz w:val="24"/>
          <w:szCs w:val="24"/>
          <w:highlight w:val="none"/>
        </w:rPr>
      </w:pPr>
      <w:r>
        <w:rPr>
          <w:rFonts w:hint="eastAsia" w:ascii="宋体" w:hAnsi="宋体" w:cs="宋体"/>
          <w:b w:val="0"/>
          <w:bCs/>
          <w:color w:val="auto"/>
          <w:kern w:val="0"/>
          <w:sz w:val="24"/>
          <w:szCs w:val="24"/>
          <w:highlight w:val="none"/>
          <w:lang w:val="en-US" w:eastAsia="zh-CN"/>
        </w:rPr>
        <w:t>21.4</w:t>
      </w:r>
      <w:r>
        <w:rPr>
          <w:rFonts w:hint="eastAsia" w:ascii="宋体" w:hAnsi="宋体" w:cs="宋体"/>
          <w:b w:val="0"/>
          <w:bCs/>
          <w:color w:val="auto"/>
          <w:kern w:val="0"/>
          <w:sz w:val="24"/>
          <w:szCs w:val="24"/>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664662C9">
      <w:pPr>
        <w:pageBreakBefore w:val="0"/>
        <w:kinsoku/>
        <w:wordWrap/>
        <w:overflowPunct/>
        <w:topLinePunct w:val="0"/>
        <w:bidi w:val="0"/>
        <w:spacing w:line="360" w:lineRule="auto"/>
        <w:rPr>
          <w:rFonts w:hint="eastAsia" w:ascii="宋体" w:hAnsi="宋体" w:cs="宋体"/>
          <w:b w:val="0"/>
          <w:bCs/>
          <w:color w:val="auto"/>
          <w:kern w:val="0"/>
          <w:sz w:val="24"/>
          <w:szCs w:val="24"/>
          <w:highlight w:val="none"/>
        </w:rPr>
      </w:pPr>
      <w:r>
        <w:rPr>
          <w:rFonts w:hint="eastAsia" w:ascii="宋体" w:hAnsi="宋体" w:cs="宋体"/>
          <w:b w:val="0"/>
          <w:bCs/>
          <w:color w:val="auto"/>
          <w:kern w:val="0"/>
          <w:sz w:val="24"/>
          <w:szCs w:val="24"/>
          <w:highlight w:val="none"/>
          <w:lang w:val="en-US" w:eastAsia="zh-CN"/>
        </w:rPr>
        <w:t>21.5</w:t>
      </w:r>
      <w:r>
        <w:rPr>
          <w:rFonts w:hint="eastAsia" w:ascii="宋体" w:hAnsi="宋体" w:cs="宋体"/>
          <w:b w:val="0"/>
          <w:bCs/>
          <w:color w:val="auto"/>
          <w:kern w:val="0"/>
          <w:sz w:val="24"/>
          <w:szCs w:val="24"/>
          <w:highlight w:val="none"/>
        </w:rPr>
        <w:t>开标时，由采购代理机构工作人员当众在不见面开标大厅解密，宣布投标人名称、</w:t>
      </w:r>
      <w:r>
        <w:rPr>
          <w:rFonts w:hint="eastAsia" w:ascii="宋体" w:hAnsi="宋体" w:cs="宋体"/>
          <w:b w:val="0"/>
          <w:bCs/>
          <w:color w:val="auto"/>
          <w:kern w:val="0"/>
          <w:sz w:val="24"/>
          <w:szCs w:val="24"/>
          <w:highlight w:val="none"/>
          <w:lang w:eastAsia="zh-CN"/>
        </w:rPr>
        <w:t>谈判文件</w:t>
      </w:r>
      <w:r>
        <w:rPr>
          <w:rFonts w:hint="eastAsia" w:ascii="宋体" w:hAnsi="宋体" w:cs="宋体"/>
          <w:b w:val="0"/>
          <w:bCs/>
          <w:color w:val="auto"/>
          <w:kern w:val="0"/>
          <w:sz w:val="24"/>
          <w:szCs w:val="24"/>
          <w:highlight w:val="none"/>
        </w:rPr>
        <w:t>规定的需要宣布的其他内容。投标人不足3家的，不得开标。</w:t>
      </w:r>
    </w:p>
    <w:p w14:paraId="00BFDD99">
      <w:pPr>
        <w:pageBreakBefore w:val="0"/>
        <w:kinsoku/>
        <w:wordWrap/>
        <w:overflowPunct/>
        <w:topLinePunct w:val="0"/>
        <w:bidi w:val="0"/>
        <w:spacing w:line="360" w:lineRule="auto"/>
        <w:rPr>
          <w:rFonts w:hint="eastAsia" w:ascii="宋体" w:hAnsi="宋体" w:cs="宋体"/>
          <w:b w:val="0"/>
          <w:bCs/>
          <w:color w:val="auto"/>
          <w:kern w:val="0"/>
          <w:sz w:val="24"/>
          <w:szCs w:val="24"/>
          <w:highlight w:val="none"/>
        </w:rPr>
      </w:pPr>
      <w:r>
        <w:rPr>
          <w:rFonts w:hint="eastAsia" w:ascii="宋体" w:hAnsi="宋体" w:cs="宋体"/>
          <w:b w:val="0"/>
          <w:bCs/>
          <w:color w:val="auto"/>
          <w:kern w:val="0"/>
          <w:sz w:val="24"/>
          <w:szCs w:val="24"/>
          <w:highlight w:val="none"/>
          <w:lang w:val="en-US" w:eastAsia="zh-CN"/>
        </w:rPr>
        <w:t>21.6</w:t>
      </w:r>
      <w:r>
        <w:rPr>
          <w:rFonts w:hint="eastAsia" w:ascii="宋体" w:hAnsi="宋体" w:cs="宋体"/>
          <w:b w:val="0"/>
          <w:bCs/>
          <w:color w:val="auto"/>
          <w:kern w:val="0"/>
          <w:sz w:val="24"/>
          <w:szCs w:val="24"/>
          <w:highlight w:val="none"/>
        </w:rPr>
        <w:t xml:space="preserve">开标时，投标报价以系统显示投标报价为准。 </w:t>
      </w:r>
    </w:p>
    <w:p w14:paraId="47797F4B">
      <w:pPr>
        <w:pageBreakBefore w:val="0"/>
        <w:kinsoku/>
        <w:wordWrap/>
        <w:overflowPunct/>
        <w:topLinePunct w:val="0"/>
        <w:bidi w:val="0"/>
        <w:spacing w:line="360" w:lineRule="auto"/>
        <w:rPr>
          <w:rFonts w:hint="eastAsia" w:ascii="宋体" w:hAnsi="宋体" w:cs="宋体"/>
          <w:b w:val="0"/>
          <w:bCs/>
          <w:color w:val="auto"/>
          <w:kern w:val="0"/>
          <w:sz w:val="24"/>
          <w:szCs w:val="24"/>
          <w:highlight w:val="none"/>
        </w:rPr>
      </w:pPr>
      <w:r>
        <w:rPr>
          <w:rFonts w:hint="eastAsia" w:ascii="宋体" w:hAnsi="宋体" w:cs="宋体"/>
          <w:b w:val="0"/>
          <w:bCs/>
          <w:color w:val="auto"/>
          <w:kern w:val="0"/>
          <w:sz w:val="24"/>
          <w:szCs w:val="24"/>
          <w:highlight w:val="none"/>
          <w:lang w:val="en-US" w:eastAsia="zh-CN"/>
        </w:rPr>
        <w:t>21.7</w:t>
      </w:r>
      <w:r>
        <w:rPr>
          <w:rFonts w:hint="eastAsia" w:ascii="宋体" w:hAnsi="宋体" w:cs="宋体"/>
          <w:b w:val="0"/>
          <w:bCs/>
          <w:color w:val="auto"/>
          <w:kern w:val="0"/>
          <w:sz w:val="24"/>
          <w:szCs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386CD0E">
      <w:pPr>
        <w:pageBreakBefore w:val="0"/>
        <w:kinsoku/>
        <w:wordWrap/>
        <w:overflowPunct/>
        <w:topLinePunct w:val="0"/>
        <w:bidi w:val="0"/>
        <w:spacing w:line="360" w:lineRule="auto"/>
        <w:rPr>
          <w:rFonts w:hint="eastAsia" w:ascii="宋体" w:hAnsi="宋体" w:cs="宋体"/>
          <w:color w:val="auto"/>
          <w:kern w:val="0"/>
          <w:sz w:val="24"/>
          <w:szCs w:val="24"/>
          <w:highlight w:val="none"/>
        </w:rPr>
      </w:pPr>
      <w:r>
        <w:rPr>
          <w:rFonts w:hint="eastAsia" w:ascii="宋体" w:hAnsi="宋体" w:cs="宋体"/>
          <w:b w:val="0"/>
          <w:bCs/>
          <w:color w:val="auto"/>
          <w:kern w:val="0"/>
          <w:sz w:val="24"/>
          <w:szCs w:val="24"/>
          <w:highlight w:val="none"/>
          <w:lang w:val="en-US" w:eastAsia="zh-CN"/>
        </w:rPr>
        <w:t>21.8</w:t>
      </w:r>
      <w:r>
        <w:rPr>
          <w:rFonts w:hint="eastAsia" w:ascii="宋体" w:hAnsi="宋体" w:cs="宋体"/>
          <w:color w:val="auto"/>
          <w:kern w:val="0"/>
          <w:sz w:val="24"/>
          <w:szCs w:val="24"/>
          <w:highlight w:val="none"/>
        </w:rPr>
        <w:t>投标人代表在开标过程中未提出异议的，视为认可本次开标及开标过程的全部事宜。</w:t>
      </w:r>
    </w:p>
    <w:p w14:paraId="6A710C4B">
      <w:pPr>
        <w:keepNext w:val="0"/>
        <w:keepLines w:val="0"/>
        <w:pageBreakBefore w:val="0"/>
        <w:widowControl/>
        <w:kinsoku w:val="0"/>
        <w:wordWrap/>
        <w:overflowPunct/>
        <w:topLinePunct w:val="0"/>
        <w:autoSpaceDE w:val="0"/>
        <w:autoSpaceDN w:val="0"/>
        <w:bidi w:val="0"/>
        <w:adjustRightInd w:val="0"/>
        <w:snapToGrid w:val="0"/>
        <w:spacing w:before="139" w:line="240" w:lineRule="auto"/>
        <w:ind w:right="92"/>
        <w:textAlignment w:val="baseline"/>
        <w:rPr>
          <w:rFonts w:hint="eastAsia" w:ascii="宋体" w:hAnsi="宋体" w:eastAsia="宋体" w:cs="宋体"/>
          <w:b/>
          <w:bCs/>
          <w:color w:val="auto"/>
          <w:sz w:val="24"/>
          <w:szCs w:val="24"/>
          <w:highlight w:val="none"/>
        </w:rPr>
      </w:pPr>
      <w:r>
        <w:rPr>
          <w:rFonts w:hint="eastAsia" w:ascii="宋体" w:hAnsi="宋体" w:cs="宋体"/>
          <w:b/>
          <w:bCs/>
          <w:color w:val="auto"/>
          <w:kern w:val="0"/>
          <w:sz w:val="24"/>
          <w:szCs w:val="24"/>
          <w:highlight w:val="none"/>
          <w:lang w:val="en-US" w:eastAsia="zh-CN"/>
        </w:rPr>
        <w:t xml:space="preserve">21.9 </w:t>
      </w:r>
      <w:r>
        <w:rPr>
          <w:rFonts w:hint="eastAsia" w:ascii="宋体" w:hAnsi="宋体" w:eastAsia="宋体" w:cs="宋体"/>
          <w:b/>
          <w:bCs/>
          <w:color w:val="auto"/>
          <w:sz w:val="24"/>
          <w:szCs w:val="24"/>
          <w:highlight w:val="none"/>
        </w:rPr>
        <w:t>投标人信用信息及查询</w:t>
      </w:r>
    </w:p>
    <w:p w14:paraId="6D9B2445">
      <w:pPr>
        <w:keepNext w:val="0"/>
        <w:keepLines w:val="0"/>
        <w:pageBreakBefore w:val="0"/>
        <w:widowControl/>
        <w:kinsoku w:val="0"/>
        <w:wordWrap/>
        <w:overflowPunct/>
        <w:topLinePunct w:val="0"/>
        <w:autoSpaceDE w:val="0"/>
        <w:autoSpaceDN w:val="0"/>
        <w:bidi w:val="0"/>
        <w:adjustRightInd w:val="0"/>
        <w:snapToGrid w:val="0"/>
        <w:spacing w:before="184" w:line="240" w:lineRule="auto"/>
        <w:ind w:left="653" w:hanging="613"/>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val="en-US" w:eastAsia="zh-CN"/>
        </w:rPr>
        <w:t>1</w:t>
      </w:r>
      <w:r>
        <w:rPr>
          <w:rFonts w:hint="eastAsia" w:ascii="宋体" w:hAnsi="宋体" w:eastAsia="宋体" w:cs="宋体"/>
          <w:color w:val="auto"/>
          <w:spacing w:val="-5"/>
          <w:sz w:val="24"/>
          <w:szCs w:val="24"/>
          <w:highlight w:val="none"/>
        </w:rPr>
        <w:t>. 信用信息查询渠道及使用规则</w:t>
      </w:r>
    </w:p>
    <w:p w14:paraId="28144BF0">
      <w:pPr>
        <w:keepNext w:val="0"/>
        <w:keepLines w:val="0"/>
        <w:pageBreakBefore w:val="0"/>
        <w:widowControl/>
        <w:kinsoku w:val="0"/>
        <w:wordWrap/>
        <w:overflowPunct/>
        <w:topLinePunct w:val="0"/>
        <w:autoSpaceDE w:val="0"/>
        <w:autoSpaceDN w:val="0"/>
        <w:bidi w:val="0"/>
        <w:adjustRightInd w:val="0"/>
        <w:snapToGrid w:val="0"/>
        <w:spacing w:before="184" w:line="240" w:lineRule="auto"/>
        <w:ind w:left="653" w:hanging="6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2"/>
          <w:sz w:val="24"/>
          <w:szCs w:val="24"/>
          <w:highlight w:val="none"/>
        </w:rPr>
        <w:t xml:space="preserve"> 按照《关于在政府采购活动中查询及使用信用记录有关问题的通知》的要求， 参与政</w:t>
      </w:r>
      <w:r>
        <w:rPr>
          <w:rFonts w:hint="eastAsia" w:ascii="宋体" w:hAnsi="宋体" w:eastAsia="宋体" w:cs="宋体"/>
          <w:color w:val="auto"/>
          <w:sz w:val="24"/>
          <w:szCs w:val="24"/>
          <w:highlight w:val="none"/>
        </w:rPr>
        <w:t xml:space="preserve"> </w:t>
      </w:r>
    </w:p>
    <w:p w14:paraId="7031253A">
      <w:pPr>
        <w:keepNext w:val="0"/>
        <w:keepLines w:val="0"/>
        <w:pageBreakBefore w:val="0"/>
        <w:widowControl/>
        <w:kinsoku w:val="0"/>
        <w:wordWrap/>
        <w:overflowPunct/>
        <w:topLinePunct w:val="0"/>
        <w:autoSpaceDE w:val="0"/>
        <w:autoSpaceDN w:val="0"/>
        <w:bidi w:val="0"/>
        <w:adjustRightInd w:val="0"/>
        <w:snapToGrid w:val="0"/>
        <w:spacing w:before="184" w:line="240" w:lineRule="auto"/>
        <w:ind w:left="653" w:hanging="613"/>
        <w:textAlignment w:val="baseline"/>
        <w:rPr>
          <w:rFonts w:hint="eastAsia" w:ascii="宋体" w:hAnsi="宋体" w:eastAsia="宋体" w:cs="宋体"/>
          <w:color w:val="auto"/>
          <w:spacing w:val="-5"/>
          <w:sz w:val="24"/>
          <w:szCs w:val="24"/>
          <w:highlight w:val="none"/>
        </w:rPr>
      </w:pPr>
      <w:r>
        <w:rPr>
          <w:rFonts w:hint="eastAsia" w:ascii="宋体" w:hAnsi="宋体" w:eastAsia="宋体" w:cs="宋体"/>
          <w:color w:val="auto"/>
          <w:spacing w:val="-18"/>
          <w:sz w:val="24"/>
          <w:szCs w:val="24"/>
          <w:highlight w:val="none"/>
        </w:rPr>
        <w:t>府采</w:t>
      </w:r>
      <w:r>
        <w:rPr>
          <w:rFonts w:hint="eastAsia" w:ascii="宋体" w:hAnsi="宋体" w:eastAsia="宋体" w:cs="宋体"/>
          <w:color w:val="auto"/>
          <w:spacing w:val="-16"/>
          <w:sz w:val="24"/>
          <w:szCs w:val="24"/>
          <w:highlight w:val="none"/>
        </w:rPr>
        <w:t>购</w:t>
      </w:r>
      <w:r>
        <w:rPr>
          <w:rFonts w:hint="eastAsia" w:ascii="宋体" w:hAnsi="宋体" w:eastAsia="宋体" w:cs="宋体"/>
          <w:color w:val="auto"/>
          <w:spacing w:val="-9"/>
          <w:sz w:val="24"/>
          <w:szCs w:val="24"/>
          <w:highlight w:val="none"/>
        </w:rPr>
        <w:t>的投标人， 信用记录的查询渠道为“信用中国”网站(www.creditchina.gov.cn)、</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中国</w:t>
      </w:r>
    </w:p>
    <w:p w14:paraId="3D51B730">
      <w:pPr>
        <w:keepNext w:val="0"/>
        <w:keepLines w:val="0"/>
        <w:pageBreakBefore w:val="0"/>
        <w:widowControl/>
        <w:kinsoku w:val="0"/>
        <w:wordWrap/>
        <w:overflowPunct/>
        <w:topLinePunct w:val="0"/>
        <w:autoSpaceDE w:val="0"/>
        <w:autoSpaceDN w:val="0"/>
        <w:bidi w:val="0"/>
        <w:adjustRightInd w:val="0"/>
        <w:snapToGrid w:val="0"/>
        <w:spacing w:before="184" w:line="240" w:lineRule="auto"/>
        <w:ind w:left="653" w:hanging="6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 xml:space="preserve">政府采购网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5"/>
          <w:sz w:val="24"/>
          <w:szCs w:val="24"/>
          <w:highlight w:val="none"/>
        </w:rPr>
        <w:t>(www.ccgp.gov.</w:t>
      </w:r>
      <w:r>
        <w:rPr>
          <w:rFonts w:hint="eastAsia" w:ascii="宋体" w:hAnsi="宋体" w:eastAsia="宋体" w:cs="宋体"/>
          <w:color w:val="auto"/>
          <w:spacing w:val="-5"/>
          <w:sz w:val="24"/>
          <w:szCs w:val="24"/>
          <w:highlight w:val="none"/>
        </w:rPr>
        <w:fldChar w:fldCharType="end"/>
      </w:r>
      <w:r>
        <w:rPr>
          <w:rFonts w:hint="eastAsia" w:ascii="宋体" w:hAnsi="宋体" w:eastAsia="宋体" w:cs="宋体"/>
          <w:color w:val="auto"/>
          <w:spacing w:val="-5"/>
          <w:sz w:val="24"/>
          <w:szCs w:val="24"/>
          <w:highlight w:val="none"/>
        </w:rPr>
        <w:t>c</w:t>
      </w:r>
      <w:r>
        <w:rPr>
          <w:rFonts w:hint="eastAsia" w:ascii="宋体" w:hAnsi="宋体" w:eastAsia="宋体" w:cs="宋体"/>
          <w:color w:val="auto"/>
          <w:spacing w:val="-3"/>
          <w:sz w:val="24"/>
          <w:szCs w:val="24"/>
          <w:highlight w:val="none"/>
        </w:rPr>
        <w:t>n</w:t>
      </w:r>
      <w:r>
        <w:rPr>
          <w:rFonts w:hint="eastAsia" w:ascii="宋体" w:hAnsi="宋体" w:eastAsia="宋体" w:cs="宋体"/>
          <w:color w:val="auto"/>
          <w:spacing w:val="-5"/>
          <w:sz w:val="24"/>
          <w:szCs w:val="24"/>
          <w:highlight w:val="none"/>
        </w:rPr>
        <w:t>)。</w:t>
      </w:r>
    </w:p>
    <w:p w14:paraId="4767C7DC">
      <w:pPr>
        <w:keepNext w:val="0"/>
        <w:keepLines w:val="0"/>
        <w:pageBreakBefore w:val="0"/>
        <w:widowControl/>
        <w:kinsoku w:val="0"/>
        <w:wordWrap/>
        <w:overflowPunct/>
        <w:topLinePunct w:val="0"/>
        <w:autoSpaceDE w:val="0"/>
        <w:autoSpaceDN w:val="0"/>
        <w:bidi w:val="0"/>
        <w:adjustRightInd w:val="0"/>
        <w:snapToGrid w:val="0"/>
        <w:spacing w:before="76" w:line="240" w:lineRule="auto"/>
        <w:ind w:left="657" w:right="93" w:hanging="6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.2 列入失信被执行人、重大税收违法案件当事人名单</w:t>
      </w:r>
      <w:r>
        <w:rPr>
          <w:rFonts w:hint="eastAsia" w:ascii="宋体" w:hAnsi="宋体" w:eastAsia="宋体" w:cs="宋体"/>
          <w:color w:val="auto"/>
          <w:sz w:val="24"/>
          <w:szCs w:val="24"/>
          <w:highlight w:val="none"/>
        </w:rPr>
        <w:t xml:space="preserve">、政府采购严重违法失信行为记录 </w:t>
      </w:r>
    </w:p>
    <w:p w14:paraId="0C09A24A">
      <w:pPr>
        <w:keepNext w:val="0"/>
        <w:keepLines w:val="0"/>
        <w:pageBreakBefore w:val="0"/>
        <w:widowControl/>
        <w:kinsoku w:val="0"/>
        <w:wordWrap/>
        <w:overflowPunct/>
        <w:topLinePunct w:val="0"/>
        <w:autoSpaceDE w:val="0"/>
        <w:autoSpaceDN w:val="0"/>
        <w:bidi w:val="0"/>
        <w:adjustRightInd w:val="0"/>
        <w:snapToGrid w:val="0"/>
        <w:spacing w:before="76" w:line="240" w:lineRule="auto"/>
        <w:ind w:left="657" w:right="93" w:hanging="6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名单的供应商，代理采购机</w:t>
      </w:r>
      <w:r>
        <w:rPr>
          <w:rFonts w:hint="eastAsia" w:ascii="宋体" w:hAnsi="宋体" w:eastAsia="宋体" w:cs="宋体"/>
          <w:color w:val="auto"/>
          <w:spacing w:val="-1"/>
          <w:sz w:val="24"/>
          <w:szCs w:val="24"/>
          <w:highlight w:val="none"/>
        </w:rPr>
        <w:t>构</w:t>
      </w:r>
      <w:r>
        <w:rPr>
          <w:rFonts w:hint="eastAsia" w:ascii="宋体" w:hAnsi="宋体" w:eastAsia="宋体" w:cs="宋体"/>
          <w:color w:val="auto"/>
          <w:spacing w:val="-2"/>
          <w:sz w:val="24"/>
          <w:szCs w:val="24"/>
          <w:highlight w:val="none"/>
        </w:rPr>
        <w:t>拒绝</w:t>
      </w:r>
      <w:r>
        <w:rPr>
          <w:rFonts w:hint="eastAsia" w:ascii="宋体" w:hAnsi="宋体" w:eastAsia="宋体" w:cs="宋体"/>
          <w:color w:val="auto"/>
          <w:spacing w:val="-1"/>
          <w:sz w:val="24"/>
          <w:szCs w:val="24"/>
          <w:highlight w:val="none"/>
        </w:rPr>
        <w:t>其参与政府采购活动。</w:t>
      </w:r>
    </w:p>
    <w:p w14:paraId="4DE8F3D5">
      <w:pPr>
        <w:keepNext w:val="0"/>
        <w:keepLines w:val="0"/>
        <w:pageBreakBefore w:val="0"/>
        <w:widowControl/>
        <w:kinsoku w:val="0"/>
        <w:wordWrap/>
        <w:overflowPunct/>
        <w:topLinePunct w:val="0"/>
        <w:autoSpaceDE w:val="0"/>
        <w:autoSpaceDN w:val="0"/>
        <w:bidi w:val="0"/>
        <w:adjustRightInd w:val="0"/>
        <w:snapToGrid w:val="0"/>
        <w:spacing w:before="184" w:line="240" w:lineRule="auto"/>
        <w:ind w:left="653" w:right="93" w:hanging="6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.3 两个及以上自然人、法人或者其他组织组成联合体</w:t>
      </w:r>
      <w:r>
        <w:rPr>
          <w:rFonts w:hint="eastAsia" w:ascii="宋体" w:hAnsi="宋体" w:eastAsia="宋体" w:cs="宋体"/>
          <w:color w:val="auto"/>
          <w:sz w:val="24"/>
          <w:szCs w:val="24"/>
          <w:highlight w:val="none"/>
        </w:rPr>
        <w:t xml:space="preserve">，以一个供应商的身份共同参加政 </w:t>
      </w:r>
    </w:p>
    <w:p w14:paraId="688A0CC1">
      <w:pPr>
        <w:keepNext w:val="0"/>
        <w:keepLines w:val="0"/>
        <w:pageBreakBefore w:val="0"/>
        <w:widowControl/>
        <w:kinsoku w:val="0"/>
        <w:wordWrap/>
        <w:overflowPunct/>
        <w:topLinePunct w:val="0"/>
        <w:autoSpaceDE w:val="0"/>
        <w:autoSpaceDN w:val="0"/>
        <w:bidi w:val="0"/>
        <w:adjustRightInd w:val="0"/>
        <w:snapToGrid w:val="0"/>
        <w:spacing w:before="184" w:line="240" w:lineRule="auto"/>
        <w:ind w:left="653" w:right="93" w:hanging="613"/>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3"/>
          <w:sz w:val="24"/>
          <w:szCs w:val="24"/>
          <w:highlight w:val="none"/>
        </w:rPr>
        <w:t>府采购活动的， 应当对所有联合体成员进行信用记录查询，联合体成员存在不</w:t>
      </w:r>
      <w:r>
        <w:rPr>
          <w:rFonts w:hint="eastAsia" w:ascii="宋体" w:hAnsi="宋体" w:eastAsia="宋体" w:cs="宋体"/>
          <w:color w:val="auto"/>
          <w:spacing w:val="-2"/>
          <w:sz w:val="24"/>
          <w:szCs w:val="24"/>
          <w:highlight w:val="none"/>
        </w:rPr>
        <w:t>良</w:t>
      </w:r>
      <w:r>
        <w:rPr>
          <w:rFonts w:hint="eastAsia" w:ascii="宋体" w:hAnsi="宋体" w:eastAsia="宋体" w:cs="宋体"/>
          <w:color w:val="auto"/>
          <w:sz w:val="24"/>
          <w:szCs w:val="24"/>
          <w:highlight w:val="none"/>
        </w:rPr>
        <w:t xml:space="preserve">信用 </w:t>
      </w:r>
      <w:r>
        <w:rPr>
          <w:rFonts w:hint="eastAsia" w:ascii="宋体" w:hAnsi="宋体" w:eastAsia="宋体" w:cs="宋体"/>
          <w:color w:val="auto"/>
          <w:spacing w:val="-4"/>
          <w:sz w:val="24"/>
          <w:szCs w:val="24"/>
          <w:highlight w:val="none"/>
        </w:rPr>
        <w:t>记录</w:t>
      </w:r>
    </w:p>
    <w:p w14:paraId="2F6D1A63">
      <w:pPr>
        <w:keepNext w:val="0"/>
        <w:keepLines w:val="0"/>
        <w:pageBreakBefore w:val="0"/>
        <w:widowControl/>
        <w:kinsoku w:val="0"/>
        <w:wordWrap/>
        <w:overflowPunct/>
        <w:topLinePunct w:val="0"/>
        <w:autoSpaceDE w:val="0"/>
        <w:autoSpaceDN w:val="0"/>
        <w:bidi w:val="0"/>
        <w:adjustRightInd w:val="0"/>
        <w:snapToGrid w:val="0"/>
        <w:spacing w:before="184" w:line="240" w:lineRule="auto"/>
        <w:ind w:left="653" w:right="93" w:hanging="6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的</w:t>
      </w:r>
      <w:r>
        <w:rPr>
          <w:rFonts w:hint="eastAsia" w:ascii="宋体" w:hAnsi="宋体" w:eastAsia="宋体" w:cs="宋体"/>
          <w:color w:val="auto"/>
          <w:spacing w:val="-2"/>
          <w:sz w:val="24"/>
          <w:szCs w:val="24"/>
          <w:highlight w:val="none"/>
        </w:rPr>
        <w:t>，视同联合体存在不良信用信息。</w:t>
      </w:r>
    </w:p>
    <w:p w14:paraId="74D6D30A">
      <w:pPr>
        <w:keepNext w:val="0"/>
        <w:keepLines w:val="0"/>
        <w:pageBreakBefore w:val="0"/>
        <w:widowControl/>
        <w:kinsoku w:val="0"/>
        <w:wordWrap/>
        <w:overflowPunct/>
        <w:topLinePunct w:val="0"/>
        <w:autoSpaceDE w:val="0"/>
        <w:autoSpaceDN w:val="0"/>
        <w:bidi w:val="0"/>
        <w:adjustRightInd w:val="0"/>
        <w:snapToGrid w:val="0"/>
        <w:spacing w:before="182" w:line="240" w:lineRule="auto"/>
        <w:ind w:left="654" w:right="93" w:hanging="6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.4 投标人的信用记录，最终以评标时的“信用中国”</w:t>
      </w:r>
      <w:r>
        <w:rPr>
          <w:rFonts w:hint="eastAsia" w:ascii="宋体" w:hAnsi="宋体" w:eastAsia="宋体" w:cs="宋体"/>
          <w:color w:val="auto"/>
          <w:sz w:val="24"/>
          <w:szCs w:val="24"/>
          <w:highlight w:val="none"/>
        </w:rPr>
        <w:t xml:space="preserve">网站和“中国政府采购网”发布的 </w:t>
      </w:r>
    </w:p>
    <w:p w14:paraId="50302863">
      <w:pPr>
        <w:keepNext w:val="0"/>
        <w:keepLines w:val="0"/>
        <w:pageBreakBefore w:val="0"/>
        <w:widowControl/>
        <w:kinsoku w:val="0"/>
        <w:wordWrap/>
        <w:overflowPunct/>
        <w:topLinePunct w:val="0"/>
        <w:autoSpaceDE w:val="0"/>
        <w:autoSpaceDN w:val="0"/>
        <w:bidi w:val="0"/>
        <w:adjustRightInd w:val="0"/>
        <w:snapToGrid w:val="0"/>
        <w:spacing w:before="182" w:line="240" w:lineRule="auto"/>
        <w:ind w:left="654" w:right="93" w:hanging="6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信息为准。</w:t>
      </w:r>
    </w:p>
    <w:p w14:paraId="3268D970">
      <w:pPr>
        <w:keepNext w:val="0"/>
        <w:keepLines w:val="0"/>
        <w:pageBreakBefore w:val="0"/>
        <w:widowControl/>
        <w:kinsoku w:val="0"/>
        <w:wordWrap/>
        <w:overflowPunct/>
        <w:topLinePunct w:val="0"/>
        <w:autoSpaceDE w:val="0"/>
        <w:autoSpaceDN w:val="0"/>
        <w:bidi w:val="0"/>
        <w:adjustRightInd w:val="0"/>
        <w:snapToGrid w:val="0"/>
        <w:spacing w:before="182" w:line="240" w:lineRule="auto"/>
        <w:ind w:left="4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w:t>
      </w:r>
      <w:r>
        <w:rPr>
          <w:rFonts w:hint="eastAsia" w:ascii="宋体" w:hAnsi="宋体" w:eastAsia="宋体" w:cs="宋体"/>
          <w:color w:val="auto"/>
          <w:spacing w:val="1"/>
          <w:sz w:val="24"/>
          <w:szCs w:val="24"/>
          <w:highlight w:val="none"/>
        </w:rPr>
        <w:t>.5 在资格审查与评标工作未同日进行的特殊情形下，</w:t>
      </w:r>
      <w:r>
        <w:rPr>
          <w:rFonts w:hint="eastAsia" w:ascii="宋体" w:hAnsi="宋体" w:eastAsia="宋体" w:cs="宋体"/>
          <w:color w:val="auto"/>
          <w:sz w:val="24"/>
          <w:szCs w:val="24"/>
          <w:highlight w:val="none"/>
        </w:rPr>
        <w:t>代理采购机构工作人员在评标时对</w:t>
      </w:r>
    </w:p>
    <w:p w14:paraId="2E644B53">
      <w:pPr>
        <w:keepNext w:val="0"/>
        <w:keepLines w:val="0"/>
        <w:pageBreakBefore w:val="0"/>
        <w:widowControl/>
        <w:kinsoku w:val="0"/>
        <w:wordWrap/>
        <w:overflowPunct/>
        <w:topLinePunct w:val="0"/>
        <w:autoSpaceDE w:val="0"/>
        <w:autoSpaceDN w:val="0"/>
        <w:bidi w:val="0"/>
        <w:adjustRightInd w:val="0"/>
        <w:snapToGrid w:val="0"/>
        <w:spacing w:before="139" w:line="240" w:lineRule="auto"/>
        <w:ind w:right="92"/>
        <w:textAlignment w:val="baseline"/>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pacing w:val="1"/>
          <w:sz w:val="24"/>
          <w:szCs w:val="24"/>
          <w:highlight w:val="none"/>
        </w:rPr>
        <w:t>投标人的信用信息进</w:t>
      </w:r>
      <w:r>
        <w:rPr>
          <w:rFonts w:hint="eastAsia" w:ascii="宋体" w:hAnsi="宋体" w:eastAsia="宋体" w:cs="宋体"/>
          <w:color w:val="auto"/>
          <w:sz w:val="24"/>
          <w:szCs w:val="24"/>
          <w:highlight w:val="none"/>
        </w:rPr>
        <w:t xml:space="preserve">行复核，发现评标当日存在不良信用信息的，由评标委员会按照 </w:t>
      </w:r>
      <w:r>
        <w:rPr>
          <w:rFonts w:hint="eastAsia" w:ascii="宋体" w:hAnsi="宋体" w:eastAsia="宋体" w:cs="宋体"/>
          <w:color w:val="auto"/>
          <w:spacing w:val="-1"/>
          <w:sz w:val="24"/>
          <w:szCs w:val="24"/>
          <w:highlight w:val="none"/>
        </w:rPr>
        <w:t>符合性审查不合</w:t>
      </w:r>
      <w:r>
        <w:rPr>
          <w:rFonts w:hint="eastAsia" w:ascii="宋体" w:hAnsi="宋体" w:eastAsia="宋体" w:cs="宋体"/>
          <w:color w:val="auto"/>
          <w:sz w:val="24"/>
          <w:szCs w:val="24"/>
          <w:highlight w:val="none"/>
        </w:rPr>
        <w:t>格作无效投标处理。</w:t>
      </w:r>
    </w:p>
    <w:p w14:paraId="6160E860">
      <w:pPr>
        <w:pageBreakBefore w:val="0"/>
        <w:numPr>
          <w:ilvl w:val="0"/>
          <w:numId w:val="0"/>
        </w:numPr>
        <w:kinsoku/>
        <w:wordWrap/>
        <w:overflowPunct/>
        <w:topLinePunct w:val="0"/>
        <w:bidi w:val="0"/>
        <w:spacing w:line="360" w:lineRule="auto"/>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22、谈判小组</w:t>
      </w:r>
    </w:p>
    <w:p w14:paraId="74C79AA5">
      <w:pPr>
        <w:pageBreakBefore w:val="0"/>
        <w:numPr>
          <w:ilvl w:val="0"/>
          <w:numId w:val="0"/>
        </w:numPr>
        <w:kinsoku/>
        <w:wordWrap/>
        <w:overflowPunct/>
        <w:topLinePunct w:val="0"/>
        <w:bidi w:val="0"/>
        <w:spacing w:line="360" w:lineRule="auto"/>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22.1评审办法：按《中国政府采购法》，结合本项目的特点，本次评标采用经评审的最低投标价法。评标委员会对满足谈判文件实质性要求的响应文件进行谈判，本次招标采用竞争性谈判方式，根据招标人需求，可以进行二次或二次以上报价，按投标人最终报价从低到高顺序排列，依次推荐为第一名、第二名和第三名中标候选人。</w:t>
      </w:r>
    </w:p>
    <w:p w14:paraId="1483F677">
      <w:pPr>
        <w:pageBreakBefore w:val="0"/>
        <w:numPr>
          <w:ilvl w:val="0"/>
          <w:numId w:val="0"/>
        </w:numPr>
        <w:kinsoku/>
        <w:wordWrap/>
        <w:overflowPunct/>
        <w:topLinePunct w:val="0"/>
        <w:bidi w:val="0"/>
        <w:spacing w:line="360" w:lineRule="auto"/>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22.2项目谈判小组按照政府采购法相关规定组成。招标代理机构根据有关法律法规和本采购文件的规定，结合采购项目的特点组建谈判小组，对谈判响应文件进行评估和比较。谈判小组由3人组成，</w:t>
      </w:r>
      <w:r>
        <w:rPr>
          <w:rFonts w:hint="eastAsia" w:ascii="宋体" w:hAnsi="宋体" w:eastAsia="宋体" w:cs="宋体"/>
          <w:color w:val="auto"/>
          <w:sz w:val="24"/>
          <w:szCs w:val="22"/>
          <w:highlight w:val="none"/>
          <w:lang w:val="en-US" w:eastAsia="zh-CN"/>
        </w:rPr>
        <w:t>由招标代理在开标前48小时在新疆政府采购专家库中随机抽取此次评标专家。</w:t>
      </w:r>
    </w:p>
    <w:p w14:paraId="652192A1">
      <w:pPr>
        <w:pageBreakBefore w:val="0"/>
        <w:kinsoku/>
        <w:wordWrap/>
        <w:overflowPunct/>
        <w:topLinePunct w:val="0"/>
        <w:bidi w:val="0"/>
        <w:spacing w:line="360" w:lineRule="auto"/>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22.3谈判开始时</w:t>
      </w:r>
      <w:r>
        <w:rPr>
          <w:rFonts w:hint="eastAsia" w:ascii="宋体" w:hAnsi="宋体" w:eastAsia="宋体" w:cs="宋体"/>
          <w:b w:val="0"/>
          <w:bCs w:val="0"/>
          <w:color w:val="auto"/>
          <w:sz w:val="24"/>
          <w:highlight w:val="none"/>
        </w:rPr>
        <w:t>，</w:t>
      </w:r>
      <w:r>
        <w:rPr>
          <w:rFonts w:hint="eastAsia" w:ascii="宋体" w:hAnsi="宋体" w:cs="宋体"/>
          <w:b w:val="0"/>
          <w:bCs w:val="0"/>
          <w:color w:val="auto"/>
          <w:sz w:val="24"/>
          <w:highlight w:val="none"/>
          <w:lang w:val="en-US" w:eastAsia="zh-CN"/>
        </w:rPr>
        <w:t>谈判小组</w:t>
      </w:r>
      <w:r>
        <w:rPr>
          <w:rFonts w:hint="eastAsia" w:ascii="宋体" w:hAnsi="宋体" w:eastAsia="宋体" w:cs="宋体"/>
          <w:b w:val="0"/>
          <w:bCs w:val="0"/>
          <w:color w:val="auto"/>
          <w:sz w:val="24"/>
          <w:highlight w:val="none"/>
        </w:rPr>
        <w:t>对各</w:t>
      </w:r>
      <w:r>
        <w:rPr>
          <w:rFonts w:hint="eastAsia" w:ascii="宋体" w:hAnsi="宋体" w:cs="宋体"/>
          <w:b w:val="0"/>
          <w:bCs w:val="0"/>
          <w:color w:val="auto"/>
          <w:sz w:val="24"/>
          <w:highlight w:val="none"/>
          <w:lang w:val="en-US" w:eastAsia="zh-CN"/>
        </w:rPr>
        <w:t>谈判响应文件</w:t>
      </w:r>
      <w:r>
        <w:rPr>
          <w:rFonts w:hint="eastAsia" w:ascii="宋体" w:hAnsi="宋体" w:eastAsia="宋体" w:cs="宋体"/>
          <w:b w:val="0"/>
          <w:bCs w:val="0"/>
          <w:color w:val="auto"/>
          <w:sz w:val="24"/>
          <w:highlight w:val="none"/>
        </w:rPr>
        <w:t>的内容进行全面审查，并确认</w:t>
      </w:r>
      <w:r>
        <w:rPr>
          <w:rFonts w:hint="eastAsia" w:ascii="宋体" w:hAnsi="宋体" w:cs="宋体"/>
          <w:b w:val="0"/>
          <w:bCs w:val="0"/>
          <w:color w:val="auto"/>
          <w:sz w:val="24"/>
          <w:highlight w:val="none"/>
          <w:lang w:val="en-US" w:eastAsia="zh-CN"/>
        </w:rPr>
        <w:t>谈判响应文件</w:t>
      </w:r>
      <w:r>
        <w:rPr>
          <w:rFonts w:hint="eastAsia" w:ascii="宋体" w:hAnsi="宋体" w:eastAsia="宋体" w:cs="宋体"/>
          <w:b w:val="0"/>
          <w:bCs w:val="0"/>
          <w:color w:val="auto"/>
          <w:sz w:val="24"/>
          <w:highlight w:val="none"/>
        </w:rPr>
        <w:t>是否符合或实质上响应了</w:t>
      </w:r>
      <w:r>
        <w:rPr>
          <w:rFonts w:hint="eastAsia" w:ascii="宋体" w:hAnsi="宋体" w:cs="宋体"/>
          <w:b w:val="0"/>
          <w:bCs w:val="0"/>
          <w:color w:val="auto"/>
          <w:sz w:val="24"/>
          <w:highlight w:val="none"/>
          <w:lang w:val="en-US" w:eastAsia="zh-CN"/>
        </w:rPr>
        <w:t>谈判</w:t>
      </w:r>
      <w:r>
        <w:rPr>
          <w:rFonts w:hint="eastAsia" w:ascii="宋体" w:hAnsi="宋体" w:eastAsia="宋体" w:cs="宋体"/>
          <w:b w:val="0"/>
          <w:bCs w:val="0"/>
          <w:color w:val="auto"/>
          <w:sz w:val="24"/>
          <w:highlight w:val="none"/>
        </w:rPr>
        <w:t>文件的有关要求，只有实质上响应了</w:t>
      </w:r>
      <w:r>
        <w:rPr>
          <w:rFonts w:hint="eastAsia" w:ascii="宋体" w:hAnsi="宋体" w:cs="宋体"/>
          <w:b w:val="0"/>
          <w:bCs w:val="0"/>
          <w:color w:val="auto"/>
          <w:sz w:val="24"/>
          <w:highlight w:val="none"/>
          <w:lang w:val="en-US" w:eastAsia="zh-CN"/>
        </w:rPr>
        <w:t>谈判</w:t>
      </w:r>
      <w:r>
        <w:rPr>
          <w:rFonts w:hint="eastAsia" w:ascii="宋体" w:hAnsi="宋体" w:eastAsia="宋体" w:cs="宋体"/>
          <w:b w:val="0"/>
          <w:bCs w:val="0"/>
          <w:color w:val="auto"/>
          <w:sz w:val="24"/>
          <w:highlight w:val="none"/>
        </w:rPr>
        <w:t>文件的</w:t>
      </w:r>
      <w:r>
        <w:rPr>
          <w:rFonts w:hint="eastAsia" w:ascii="宋体" w:hAnsi="宋体" w:cs="宋体"/>
          <w:b w:val="0"/>
          <w:bCs w:val="0"/>
          <w:color w:val="auto"/>
          <w:sz w:val="24"/>
          <w:highlight w:val="none"/>
          <w:lang w:val="en-US" w:eastAsia="zh-CN"/>
        </w:rPr>
        <w:t>谈判响应文件</w:t>
      </w:r>
      <w:r>
        <w:rPr>
          <w:rFonts w:hint="eastAsia" w:ascii="宋体" w:hAnsi="宋体" w:eastAsia="宋体" w:cs="宋体"/>
          <w:b w:val="0"/>
          <w:bCs w:val="0"/>
          <w:color w:val="auto"/>
          <w:sz w:val="24"/>
          <w:highlight w:val="none"/>
        </w:rPr>
        <w:t>才能被</w:t>
      </w:r>
      <w:r>
        <w:rPr>
          <w:rFonts w:hint="eastAsia" w:ascii="宋体" w:hAnsi="宋体" w:cs="宋体"/>
          <w:b w:val="0"/>
          <w:bCs w:val="0"/>
          <w:color w:val="auto"/>
          <w:sz w:val="24"/>
          <w:highlight w:val="none"/>
          <w:lang w:val="en-US" w:eastAsia="zh-CN"/>
        </w:rPr>
        <w:t>采购</w:t>
      </w:r>
      <w:r>
        <w:rPr>
          <w:rFonts w:hint="eastAsia" w:ascii="宋体" w:hAnsi="宋体" w:eastAsia="宋体" w:cs="宋体"/>
          <w:b w:val="0"/>
          <w:bCs w:val="0"/>
          <w:color w:val="auto"/>
          <w:sz w:val="24"/>
          <w:highlight w:val="none"/>
        </w:rPr>
        <w:t>人接受。</w:t>
      </w:r>
    </w:p>
    <w:p w14:paraId="1F7182D4">
      <w:pPr>
        <w:pageBreakBefore w:val="0"/>
        <w:kinsoku/>
        <w:wordWrap/>
        <w:overflowPunct/>
        <w:topLinePunct w:val="0"/>
        <w:bidi w:val="0"/>
        <w:spacing w:line="360" w:lineRule="auto"/>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22.4</w:t>
      </w:r>
      <w:r>
        <w:rPr>
          <w:rFonts w:hint="eastAsia" w:ascii="宋体" w:hAnsi="宋体" w:eastAsia="宋体" w:cs="宋体"/>
          <w:b w:val="0"/>
          <w:bCs w:val="0"/>
          <w:color w:val="auto"/>
          <w:sz w:val="24"/>
          <w:highlight w:val="none"/>
        </w:rPr>
        <w:t>如果</w:t>
      </w:r>
      <w:r>
        <w:rPr>
          <w:rFonts w:hint="eastAsia" w:ascii="宋体" w:hAnsi="宋体" w:cs="宋体"/>
          <w:b w:val="0"/>
          <w:bCs w:val="0"/>
          <w:color w:val="auto"/>
          <w:sz w:val="24"/>
          <w:highlight w:val="none"/>
          <w:lang w:eastAsia="zh-CN"/>
        </w:rPr>
        <w:t>谈判响应文件</w:t>
      </w:r>
      <w:r>
        <w:rPr>
          <w:rFonts w:hint="eastAsia" w:ascii="宋体" w:hAnsi="宋体" w:eastAsia="宋体" w:cs="宋体"/>
          <w:b w:val="0"/>
          <w:bCs w:val="0"/>
          <w:color w:val="auto"/>
          <w:sz w:val="24"/>
          <w:highlight w:val="none"/>
        </w:rPr>
        <w:t>实质上不响应文件的要求，</w:t>
      </w:r>
      <w:r>
        <w:rPr>
          <w:rFonts w:hint="eastAsia" w:ascii="宋体" w:hAnsi="宋体" w:cs="宋体"/>
          <w:b w:val="0"/>
          <w:bCs w:val="0"/>
          <w:color w:val="auto"/>
          <w:sz w:val="24"/>
          <w:highlight w:val="none"/>
          <w:lang w:val="en-US" w:eastAsia="zh-CN"/>
        </w:rPr>
        <w:t>采购</w:t>
      </w:r>
      <w:r>
        <w:rPr>
          <w:rFonts w:hint="eastAsia" w:ascii="宋体" w:hAnsi="宋体" w:eastAsia="宋体" w:cs="宋体"/>
          <w:b w:val="0"/>
          <w:bCs w:val="0"/>
          <w:color w:val="auto"/>
          <w:sz w:val="24"/>
          <w:highlight w:val="none"/>
        </w:rPr>
        <w:t>人将予以否决，并且不允许通过修正或撤销其不符合要求的差异或意见保留，使之成为具有响应性的投标。无效</w:t>
      </w:r>
      <w:r>
        <w:rPr>
          <w:rFonts w:hint="eastAsia" w:ascii="宋体" w:hAnsi="宋体" w:cs="宋体"/>
          <w:b w:val="0"/>
          <w:bCs w:val="0"/>
          <w:color w:val="auto"/>
          <w:sz w:val="24"/>
          <w:highlight w:val="none"/>
          <w:lang w:val="en-US" w:eastAsia="zh-CN"/>
        </w:rPr>
        <w:t>报价</w:t>
      </w:r>
      <w:r>
        <w:rPr>
          <w:rFonts w:hint="eastAsia" w:ascii="宋体" w:hAnsi="宋体" w:eastAsia="宋体" w:cs="宋体"/>
          <w:b w:val="0"/>
          <w:bCs w:val="0"/>
          <w:color w:val="auto"/>
          <w:sz w:val="24"/>
          <w:highlight w:val="none"/>
        </w:rPr>
        <w:t>的确定按国家计委等七部委发布的《评标委员会和评标方法暂行规定》和本</w:t>
      </w:r>
      <w:r>
        <w:rPr>
          <w:rFonts w:hint="eastAsia" w:ascii="宋体" w:hAnsi="宋体" w:cs="宋体"/>
          <w:b w:val="0"/>
          <w:bCs w:val="0"/>
          <w:color w:val="auto"/>
          <w:sz w:val="24"/>
          <w:highlight w:val="none"/>
          <w:lang w:val="en-US" w:eastAsia="zh-CN"/>
        </w:rPr>
        <w:t>谈判</w:t>
      </w:r>
      <w:r>
        <w:rPr>
          <w:rFonts w:hint="eastAsia" w:ascii="宋体" w:hAnsi="宋体" w:eastAsia="宋体" w:cs="宋体"/>
          <w:b w:val="0"/>
          <w:bCs w:val="0"/>
          <w:color w:val="auto"/>
          <w:sz w:val="24"/>
          <w:highlight w:val="none"/>
        </w:rPr>
        <w:t>文件的规定执行。</w:t>
      </w:r>
    </w:p>
    <w:p w14:paraId="2407007A">
      <w:pPr>
        <w:pageBreakBefore w:val="0"/>
        <w:kinsoku/>
        <w:wordWrap/>
        <w:overflowPunct/>
        <w:topLinePunct w:val="0"/>
        <w:bidi w:val="0"/>
        <w:spacing w:line="36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22.</w:t>
      </w:r>
      <w:r>
        <w:rPr>
          <w:rFonts w:hint="eastAsia" w:ascii="宋体" w:hAnsi="宋体" w:cs="宋体"/>
          <w:b w:val="0"/>
          <w:bCs w:val="0"/>
          <w:color w:val="auto"/>
          <w:sz w:val="24"/>
          <w:highlight w:val="none"/>
          <w:lang w:val="en-US" w:eastAsia="zh-CN"/>
        </w:rPr>
        <w:t>5谈判小组将与进入谈判的报价人依照递交谈判响应文件顺序分别进行一对一谈判。</w:t>
      </w:r>
    </w:p>
    <w:p w14:paraId="643809BF">
      <w:pPr>
        <w:pageBreakBefore w:val="0"/>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eastAsia="宋体" w:cs="宋体"/>
          <w:b w:val="0"/>
          <w:bCs w:val="0"/>
          <w:color w:val="auto"/>
          <w:sz w:val="24"/>
          <w:highlight w:val="none"/>
        </w:rPr>
        <w:t>22.</w:t>
      </w:r>
      <w:r>
        <w:rPr>
          <w:rFonts w:hint="eastAsia" w:ascii="宋体" w:hAnsi="宋体" w:cs="宋体"/>
          <w:b w:val="0"/>
          <w:bCs w:val="0"/>
          <w:color w:val="auto"/>
          <w:sz w:val="24"/>
          <w:highlight w:val="none"/>
          <w:lang w:val="en-US" w:eastAsia="zh-CN"/>
        </w:rPr>
        <w:t>6谈</w:t>
      </w:r>
      <w:r>
        <w:rPr>
          <w:rFonts w:hint="eastAsia" w:ascii="宋体" w:hAnsi="宋体" w:cs="宋体"/>
          <w:b w:val="0"/>
          <w:bCs/>
          <w:color w:val="auto"/>
          <w:sz w:val="24"/>
          <w:highlight w:val="none"/>
          <w:lang w:val="en-US" w:eastAsia="zh-CN"/>
        </w:rPr>
        <w:t>判小组可要求报价人就谈判中的具体问题作出书面回答或承诺，报价人提交的书面回答或承诺应由受托人的签字或盖章，并将作为其谈判响应文件的一部分。谈判次数及每个报价人的谈判时间将由谈判小组根据具体谈判情况确定。在谈判中，谈判小组可以对谈判文件进行调整，但将告知每个参与谈判的报价人。</w:t>
      </w:r>
    </w:p>
    <w:p w14:paraId="3D926289">
      <w:pPr>
        <w:pageBreakBefore w:val="0"/>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22.7在每一轮谈判结束后，谈判小组可能会对谈判文件中有关内容进行调整。任何调整的部分谈判小组将会在下一轮谈判前及报价人提交最终承诺报价前，以书面方式告知每个参加谈判的报价人，该调整构成谈判文件的一部分。</w:t>
      </w:r>
    </w:p>
    <w:p w14:paraId="65CF0155">
      <w:pPr>
        <w:pageBreakBefore w:val="0"/>
        <w:kinsoku/>
        <w:wordWrap/>
        <w:overflowPunct/>
        <w:topLinePunct w:val="0"/>
        <w:bidi w:val="0"/>
        <w:spacing w:line="360" w:lineRule="auto"/>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23、谈判原则</w:t>
      </w:r>
    </w:p>
    <w:p w14:paraId="29B5230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由谈判小组结合谈判响应文件及最终承诺，在符合采购需求、质量和服务相等的前提下，推荐提出最低报价的供应商作为成交供应商。</w:t>
      </w:r>
    </w:p>
    <w:p w14:paraId="0D36070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23.1报价人在谈判响应文件及最终承诺中应对服务方案要求作出完全性、真实性的响应。</w:t>
      </w:r>
    </w:p>
    <w:p w14:paraId="4C46245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23.2报价人应有能力保证服务方案计划的实施。</w:t>
      </w:r>
    </w:p>
    <w:p w14:paraId="58A3ECD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23.3最终报价</w:t>
      </w:r>
    </w:p>
    <w:p w14:paraId="2464A43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在谈判小组谈判结束后，根据报价人报价及谈判情况要求所有参加谈判的报价人在规定时间内同时提交最终报价。</w:t>
      </w:r>
    </w:p>
    <w:p w14:paraId="58CD5CEA">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textAlignment w:val="auto"/>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电子招投标的应急措施</w:t>
      </w:r>
    </w:p>
    <w:p w14:paraId="548ED9F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电子开标、评标如出现下列原因，导致系统无法正常运行或无法正常评标时，应采取应急措施。</w:t>
      </w:r>
    </w:p>
    <w:p w14:paraId="7D6C4D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（1）系统服务器发生故障，无法访问或无法使用系统；</w:t>
      </w:r>
    </w:p>
    <w:p w14:paraId="1F9A96A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（2）系统的软件或数据库出现错误，不能进行正常操作；</w:t>
      </w:r>
    </w:p>
    <w:p w14:paraId="51F0ACE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（3）系统发现有安全漏洞，有潜在的泄密危险；</w:t>
      </w:r>
    </w:p>
    <w:p w14:paraId="40697A0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（4）病毒发作或受到外来病毒的攻击；</w:t>
      </w:r>
    </w:p>
    <w:p w14:paraId="6BB6D82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（5）出现其他不可抗拒的客观原因造成开评标系统无法正常使用。</w:t>
      </w:r>
    </w:p>
    <w:p w14:paraId="7EE801A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出现上述情况时，应对未开标的暂停开标。已在系统内开标、评标的立即停止。采取应急措施时，必须对原有资料及信息作出妥善保密处理。</w:t>
      </w:r>
    </w:p>
    <w:p w14:paraId="42A7086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bCs w:val="0"/>
          <w:color w:val="auto"/>
          <w:sz w:val="24"/>
          <w:highlight w:val="none"/>
          <w:lang w:val="en-US" w:eastAsia="zh-CN"/>
        </w:rPr>
        <w:t>25</w:t>
      </w:r>
      <w:bookmarkStart w:id="62" w:name="_Toc28760"/>
      <w:bookmarkStart w:id="63" w:name="_Toc17523"/>
      <w:r>
        <w:rPr>
          <w:rFonts w:hint="eastAsia" w:ascii="宋体" w:hAnsi="宋体" w:cs="宋体"/>
          <w:b/>
          <w:bCs w:val="0"/>
          <w:color w:val="auto"/>
          <w:sz w:val="24"/>
          <w:highlight w:val="none"/>
          <w:lang w:val="en-US" w:eastAsia="zh-CN"/>
        </w:rPr>
        <w:t>、</w:t>
      </w:r>
      <w:r>
        <w:rPr>
          <w:rFonts w:hint="eastAsia" w:ascii="宋体" w:hAnsi="宋体" w:eastAsia="宋体" w:cs="宋体"/>
          <w:b/>
          <w:bCs w:val="0"/>
          <w:color w:val="auto"/>
          <w:sz w:val="24"/>
          <w:highlight w:val="none"/>
          <w:lang w:val="en-US" w:eastAsia="zh-CN"/>
        </w:rPr>
        <w:t>投标人确保资格文件真实性</w:t>
      </w:r>
    </w:p>
    <w:p w14:paraId="0D3E0CD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25.1投标人应保证</w:t>
      </w:r>
      <w:r>
        <w:rPr>
          <w:rFonts w:hint="eastAsia" w:ascii="宋体" w:hAnsi="宋体" w:cs="宋体"/>
          <w:b w:val="0"/>
          <w:bCs/>
          <w:color w:val="auto"/>
          <w:sz w:val="24"/>
          <w:highlight w:val="none"/>
          <w:lang w:val="en-US" w:eastAsia="zh-CN"/>
        </w:rPr>
        <w:t>响应文件</w:t>
      </w:r>
      <w:r>
        <w:rPr>
          <w:rFonts w:hint="eastAsia" w:ascii="宋体" w:hAnsi="宋体" w:eastAsia="宋体" w:cs="宋体"/>
          <w:b w:val="0"/>
          <w:bCs/>
          <w:color w:val="auto"/>
          <w:sz w:val="24"/>
          <w:highlight w:val="none"/>
          <w:lang w:val="en-US" w:eastAsia="zh-CN"/>
        </w:rPr>
        <w:t>中提供的相关资格证明文件的真实性。如发现投标人以不真实、虚假资格文件骗取中标，招标人有权取消其中标资格，没收其投标保证金不予退还，并上报相关监督机构予以处罚。未中标的投标人，招标人有权没收其投标保证金不予退还，并上报相关监督机构予以处罚。</w:t>
      </w:r>
    </w:p>
    <w:p w14:paraId="54CDB35A">
      <w:pPr>
        <w:pStyle w:val="3"/>
        <w:jc w:val="center"/>
        <w:rPr>
          <w:rFonts w:hint="eastAsia"/>
          <w:color w:val="auto"/>
          <w:sz w:val="28"/>
          <w:szCs w:val="28"/>
          <w:highlight w:val="none"/>
          <w:lang w:val="en-US" w:eastAsia="zh-CN"/>
        </w:rPr>
      </w:pPr>
      <w:r>
        <w:rPr>
          <w:rFonts w:hint="eastAsia"/>
          <w:color w:val="auto"/>
          <w:sz w:val="28"/>
          <w:szCs w:val="28"/>
          <w:highlight w:val="none"/>
          <w:lang w:val="en-US" w:eastAsia="zh-CN"/>
        </w:rPr>
        <w:t>六、成交</w:t>
      </w:r>
      <w:bookmarkEnd w:id="62"/>
      <w:bookmarkEnd w:id="63"/>
    </w:p>
    <w:p w14:paraId="2124199A">
      <w:pPr>
        <w:pageBreakBefore w:val="0"/>
        <w:numPr>
          <w:ilvl w:val="0"/>
          <w:numId w:val="0"/>
        </w:numPr>
        <w:kinsoku/>
        <w:wordWrap/>
        <w:overflowPunct/>
        <w:topLinePunct w:val="0"/>
        <w:bidi w:val="0"/>
        <w:spacing w:line="360" w:lineRule="auto"/>
        <w:rPr>
          <w:rFonts w:hint="eastAsia" w:ascii="宋体" w:hAnsi="宋体" w:cs="宋体"/>
          <w:b/>
          <w:bCs w:val="0"/>
          <w:color w:val="auto"/>
          <w:sz w:val="24"/>
          <w:highlight w:val="none"/>
          <w:lang w:val="en-US" w:eastAsia="zh-CN"/>
        </w:rPr>
      </w:pPr>
      <w:r>
        <w:rPr>
          <w:rFonts w:hint="eastAsia" w:ascii="宋体" w:hAnsi="宋体" w:cs="宋体"/>
          <w:b/>
          <w:bCs w:val="0"/>
          <w:color w:val="auto"/>
          <w:sz w:val="24"/>
          <w:highlight w:val="none"/>
          <w:lang w:val="en-US" w:eastAsia="zh-CN"/>
        </w:rPr>
        <w:t>26、成交通知书</w:t>
      </w:r>
    </w:p>
    <w:p w14:paraId="34B98CAC">
      <w:pPr>
        <w:pageBreakBefore w:val="0"/>
        <w:numPr>
          <w:ilvl w:val="0"/>
          <w:numId w:val="0"/>
        </w:numP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bCs w:val="0"/>
          <w:color w:val="auto"/>
          <w:sz w:val="24"/>
          <w:highlight w:val="none"/>
          <w:lang w:val="en-US" w:eastAsia="zh-CN"/>
        </w:rPr>
        <w:t>26.1</w:t>
      </w:r>
      <w:r>
        <w:rPr>
          <w:rFonts w:hint="eastAsia" w:ascii="宋体" w:hAnsi="宋体" w:cs="宋体"/>
          <w:b w:val="0"/>
          <w:bCs/>
          <w:color w:val="auto"/>
          <w:sz w:val="24"/>
          <w:highlight w:val="none"/>
          <w:lang w:val="en-US" w:eastAsia="zh-CN"/>
        </w:rPr>
        <w:t>成交人确定后，招标代理机构将向成交人发出成交通知书。</w:t>
      </w:r>
    </w:p>
    <w:p w14:paraId="586399EF">
      <w:pPr>
        <w:pageBreakBefore w:val="0"/>
        <w:numPr>
          <w:ilvl w:val="0"/>
          <w:numId w:val="0"/>
        </w:numPr>
        <w:kinsoku/>
        <w:wordWrap/>
        <w:overflowPunct/>
        <w:topLinePunct w:val="0"/>
        <w:bidi w:val="0"/>
        <w:spacing w:line="360" w:lineRule="auto"/>
        <w:rPr>
          <w:rFonts w:hint="eastAsia" w:ascii="宋体" w:hAnsi="宋体" w:cs="宋体"/>
          <w:b w:val="0"/>
          <w:bCs/>
          <w:color w:val="auto"/>
          <w:sz w:val="24"/>
          <w:highlight w:val="none"/>
          <w:lang w:val="en-US" w:eastAsia="zh-CN"/>
        </w:rPr>
      </w:pPr>
      <w:r>
        <w:rPr>
          <w:rFonts w:hint="eastAsia" w:ascii="宋体" w:hAnsi="宋体" w:cs="宋体"/>
          <w:b/>
          <w:bCs w:val="0"/>
          <w:color w:val="auto"/>
          <w:sz w:val="24"/>
          <w:highlight w:val="none"/>
          <w:lang w:val="en-US" w:eastAsia="zh-CN"/>
        </w:rPr>
        <w:t>26.2</w:t>
      </w:r>
      <w:r>
        <w:rPr>
          <w:rFonts w:hint="eastAsia" w:ascii="宋体" w:hAnsi="宋体" w:cs="宋体"/>
          <w:b w:val="0"/>
          <w:bCs/>
          <w:color w:val="auto"/>
          <w:sz w:val="24"/>
          <w:highlight w:val="none"/>
          <w:lang w:val="en-US" w:eastAsia="zh-CN"/>
        </w:rPr>
        <w:t>成交通知书是合同的一个组成部分。</w:t>
      </w:r>
    </w:p>
    <w:p w14:paraId="0A949397">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lang w:eastAsia="zh-CN"/>
        </w:rPr>
        <w:t>成交</w:t>
      </w:r>
      <w:r>
        <w:rPr>
          <w:rFonts w:hint="eastAsia" w:ascii="宋体" w:hAnsi="宋体" w:eastAsia="宋体" w:cs="宋体"/>
          <w:b/>
          <w:color w:val="auto"/>
          <w:sz w:val="24"/>
          <w:highlight w:val="none"/>
        </w:rPr>
        <w:t>通知</w:t>
      </w:r>
    </w:p>
    <w:p w14:paraId="5CCAD78A">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7.1</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公示期：</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结果公示</w:t>
      </w:r>
      <w:r>
        <w:rPr>
          <w:rFonts w:hint="eastAsia" w:ascii="宋体" w:hAnsi="宋体" w:cs="宋体"/>
          <w:color w:val="auto"/>
          <w:sz w:val="24"/>
          <w:highlight w:val="none"/>
          <w:lang w:eastAsia="zh-CN"/>
        </w:rPr>
        <w:t>一</w:t>
      </w:r>
      <w:r>
        <w:rPr>
          <w:rFonts w:hint="eastAsia" w:ascii="宋体" w:hAnsi="宋体" w:eastAsia="宋体" w:cs="宋体"/>
          <w:color w:val="auto"/>
          <w:sz w:val="24"/>
          <w:highlight w:val="none"/>
        </w:rPr>
        <w:t>个工作日。</w:t>
      </w:r>
    </w:p>
    <w:p w14:paraId="3149B79A">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7.2</w:t>
      </w:r>
      <w:r>
        <w:rPr>
          <w:rFonts w:hint="eastAsia" w:ascii="宋体" w:hAnsi="宋体" w:eastAsia="宋体" w:cs="宋体"/>
          <w:color w:val="auto"/>
          <w:sz w:val="24"/>
          <w:highlight w:val="none"/>
        </w:rPr>
        <w:t>代理机构根据</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结果，在</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有效期届满前，以书面形式向</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单位发出</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通知书。</w:t>
      </w:r>
    </w:p>
    <w:p w14:paraId="25282809">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7.3</w:t>
      </w:r>
      <w:r>
        <w:rPr>
          <w:rFonts w:hint="eastAsia" w:ascii="宋体" w:hAnsi="宋体" w:eastAsia="宋体" w:cs="宋体"/>
          <w:color w:val="auto"/>
          <w:sz w:val="24"/>
          <w:highlight w:val="none"/>
        </w:rPr>
        <w:t>代理机构将</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结果及时通知未</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的</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无需解释</w:t>
      </w:r>
      <w:r>
        <w:rPr>
          <w:rFonts w:hint="eastAsia" w:ascii="宋体" w:hAnsi="宋体" w:eastAsia="宋体" w:cs="宋体"/>
          <w:color w:val="auto"/>
          <w:sz w:val="24"/>
          <w:highlight w:val="none"/>
          <w:lang w:eastAsia="zh-CN"/>
        </w:rPr>
        <w:t>未</w:t>
      </w:r>
      <w:r>
        <w:rPr>
          <w:rFonts w:hint="eastAsia" w:ascii="宋体" w:hAnsi="宋体" w:cs="宋体"/>
          <w:color w:val="auto"/>
          <w:sz w:val="24"/>
          <w:highlight w:val="none"/>
          <w:lang w:val="en-US" w:eastAsia="zh-CN"/>
        </w:rPr>
        <w:t>成交</w:t>
      </w:r>
      <w:r>
        <w:rPr>
          <w:rFonts w:hint="eastAsia" w:ascii="宋体" w:hAnsi="宋体" w:eastAsia="宋体" w:cs="宋体"/>
          <w:color w:val="auto"/>
          <w:sz w:val="24"/>
          <w:highlight w:val="none"/>
        </w:rPr>
        <w:t>原因。</w:t>
      </w:r>
    </w:p>
    <w:p w14:paraId="2CB4C81B">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8、</w:t>
      </w:r>
      <w:r>
        <w:rPr>
          <w:rFonts w:hint="eastAsia" w:ascii="宋体" w:hAnsi="宋体" w:eastAsia="宋体" w:cs="宋体"/>
          <w:b/>
          <w:color w:val="auto"/>
          <w:sz w:val="24"/>
          <w:highlight w:val="none"/>
        </w:rPr>
        <w:t>拒绝某些或所有投标的权利</w:t>
      </w:r>
    </w:p>
    <w:p w14:paraId="3FA8FFE1">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b w:val="0"/>
          <w:bCs/>
          <w:color w:val="auto"/>
          <w:sz w:val="24"/>
          <w:highlight w:val="none"/>
          <w:lang w:val="en-US" w:eastAsia="zh-CN"/>
        </w:rPr>
        <w:t>采购</w:t>
      </w:r>
      <w:r>
        <w:rPr>
          <w:rFonts w:hint="eastAsia" w:ascii="宋体" w:hAnsi="宋体" w:eastAsia="宋体" w:cs="宋体"/>
          <w:b w:val="0"/>
          <w:bCs/>
          <w:color w:val="auto"/>
          <w:sz w:val="24"/>
          <w:highlight w:val="none"/>
        </w:rPr>
        <w:t>人有</w:t>
      </w:r>
      <w:r>
        <w:rPr>
          <w:rFonts w:hint="eastAsia" w:ascii="宋体" w:hAnsi="宋体" w:eastAsia="宋体" w:cs="宋体"/>
          <w:color w:val="auto"/>
          <w:sz w:val="24"/>
          <w:highlight w:val="none"/>
        </w:rPr>
        <w:t>权在</w:t>
      </w:r>
      <w:r>
        <w:rPr>
          <w:rFonts w:hint="eastAsia" w:ascii="宋体" w:hAnsi="宋体" w:cs="宋体"/>
          <w:color w:val="auto"/>
          <w:sz w:val="24"/>
          <w:highlight w:val="none"/>
          <w:lang w:val="en-US" w:eastAsia="zh-CN"/>
        </w:rPr>
        <w:t>确定中标报价人</w:t>
      </w:r>
      <w:r>
        <w:rPr>
          <w:rFonts w:hint="eastAsia" w:ascii="宋体" w:hAnsi="宋体" w:eastAsia="宋体" w:cs="宋体"/>
          <w:color w:val="auto"/>
          <w:sz w:val="24"/>
          <w:highlight w:val="none"/>
        </w:rPr>
        <w:t>之前拒绝任何有不正当行为或扰乱正常工作的</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，由此对</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造成的损失不负任何责任，同时对此无需做出任何解释。</w:t>
      </w:r>
    </w:p>
    <w:p w14:paraId="419A7C87">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29、</w:t>
      </w:r>
      <w:r>
        <w:rPr>
          <w:rFonts w:hint="eastAsia" w:ascii="宋体" w:hAnsi="宋体" w:eastAsia="宋体" w:cs="宋体"/>
          <w:b/>
          <w:color w:val="auto"/>
          <w:sz w:val="24"/>
          <w:highlight w:val="none"/>
        </w:rPr>
        <w:t>付款方式：</w:t>
      </w:r>
      <w:r>
        <w:rPr>
          <w:rFonts w:hint="eastAsia" w:ascii="宋体" w:hAnsi="宋体" w:eastAsia="宋体" w:cs="宋体"/>
          <w:color w:val="auto"/>
          <w:sz w:val="24"/>
          <w:highlight w:val="none"/>
          <w:lang w:val="en-US" w:eastAsia="zh-CN"/>
        </w:rPr>
        <w:t>合同签订后预付工程款30％，其余款按工程进度付款</w:t>
      </w:r>
      <w:r>
        <w:rPr>
          <w:rFonts w:hint="default" w:ascii="宋体" w:hAnsi="宋体" w:eastAsia="宋体" w:cs="宋体"/>
          <w:b w:val="0"/>
          <w:bCs/>
          <w:color w:val="auto"/>
          <w:sz w:val="24"/>
          <w:highlight w:val="none"/>
          <w:lang w:val="en-US" w:eastAsia="zh-CN"/>
        </w:rPr>
        <w:t>。</w:t>
      </w:r>
    </w:p>
    <w:p w14:paraId="6ED616A8">
      <w:pPr>
        <w:keepNext w:val="0"/>
        <w:keepLines w:val="0"/>
        <w:pageBreakBefore w:val="0"/>
        <w:widowControl w:val="0"/>
        <w:kinsoku/>
        <w:wordWrap/>
        <w:overflowPunct/>
        <w:topLinePunct w:val="0"/>
        <w:autoSpaceDE/>
        <w:autoSpaceDN/>
        <w:bidi w:val="0"/>
        <w:adjustRightInd/>
        <w:snapToGrid/>
        <w:spacing w:line="520" w:lineRule="exact"/>
        <w:ind w:right="561"/>
        <w:textAlignment w:val="auto"/>
        <w:rPr>
          <w:rFonts w:hint="default" w:ascii="宋体" w:hAnsi="宋体" w:eastAsia="宋体" w:cs="宋体"/>
          <w:b w:val="0"/>
          <w:bCs/>
          <w:color w:val="auto"/>
          <w:sz w:val="24"/>
          <w:highlight w:val="none"/>
          <w:lang w:val="en-US" w:eastAsia="zh-CN"/>
        </w:rPr>
      </w:pPr>
      <w:bookmarkStart w:id="64" w:name="_Toc8527"/>
      <w:bookmarkStart w:id="65" w:name="_Toc19776"/>
      <w:r>
        <w:rPr>
          <w:rFonts w:hint="eastAsia" w:ascii="宋体" w:hAnsi="宋体" w:eastAsia="宋体" w:cs="宋体"/>
          <w:color w:val="auto"/>
          <w:sz w:val="24"/>
          <w:szCs w:val="24"/>
          <w:highlight w:val="none"/>
          <w:lang w:val="en-US" w:eastAsia="zh-CN"/>
        </w:rPr>
        <w:t xml:space="preserve"> </w:t>
      </w:r>
    </w:p>
    <w:p w14:paraId="418597F1">
      <w:pPr>
        <w:pStyle w:val="3"/>
        <w:jc w:val="center"/>
        <w:rPr>
          <w:rFonts w:hint="eastAsia"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七、合同签订</w:t>
      </w:r>
      <w:bookmarkEnd w:id="64"/>
      <w:bookmarkEnd w:id="65"/>
    </w:p>
    <w:p w14:paraId="47CCD579">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30</w:t>
      </w:r>
      <w:r>
        <w:rPr>
          <w:rFonts w:hint="eastAsia" w:ascii="宋体" w:hAnsi="宋体" w:eastAsia="宋体" w:cs="宋体"/>
          <w:b/>
          <w:color w:val="auto"/>
          <w:sz w:val="24"/>
          <w:highlight w:val="none"/>
        </w:rPr>
        <w:t>、签订合同</w:t>
      </w:r>
    </w:p>
    <w:p w14:paraId="0BFB2FF5">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30</w:t>
      </w:r>
      <w:r>
        <w:rPr>
          <w:rFonts w:hint="eastAsia" w:ascii="宋体" w:hAnsi="宋体" w:eastAsia="宋体" w:cs="宋体"/>
          <w:b/>
          <w:color w:val="auto"/>
          <w:sz w:val="24"/>
          <w:highlight w:val="none"/>
        </w:rPr>
        <w:t>.1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人和</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人在自</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通知书发出之日起</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日内，依据《中华人民共和国</w:t>
      </w:r>
      <w:r>
        <w:rPr>
          <w:rFonts w:hint="eastAsia" w:ascii="宋体" w:hAnsi="宋体" w:cs="宋体"/>
          <w:color w:val="auto"/>
          <w:sz w:val="24"/>
          <w:highlight w:val="none"/>
          <w:lang w:eastAsia="zh-CN"/>
        </w:rPr>
        <w:t>民典</w:t>
      </w:r>
      <w:r>
        <w:rPr>
          <w:rFonts w:hint="eastAsia" w:ascii="宋体" w:hAnsi="宋体" w:eastAsia="宋体" w:cs="宋体"/>
          <w:color w:val="auto"/>
          <w:sz w:val="24"/>
          <w:highlight w:val="none"/>
        </w:rPr>
        <w:t>法》</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有关法</w:t>
      </w:r>
      <w:r>
        <w:rPr>
          <w:rFonts w:hint="eastAsia" w:ascii="宋体" w:hAnsi="宋体" w:eastAsia="宋体" w:cs="宋体"/>
          <w:color w:val="auto"/>
          <w:sz w:val="24"/>
          <w:highlight w:val="none"/>
          <w:lang w:eastAsia="zh-CN"/>
        </w:rPr>
        <w:t>律法</w:t>
      </w:r>
      <w:r>
        <w:rPr>
          <w:rFonts w:hint="eastAsia" w:ascii="宋体" w:hAnsi="宋体" w:eastAsia="宋体" w:cs="宋体"/>
          <w:color w:val="auto"/>
          <w:sz w:val="24"/>
          <w:highlight w:val="none"/>
        </w:rPr>
        <w:t>规及</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lang w:eastAsia="zh-CN"/>
        </w:rPr>
        <w:t>内容</w:t>
      </w:r>
      <w:r>
        <w:rPr>
          <w:rFonts w:hint="eastAsia" w:ascii="宋体" w:hAnsi="宋体" w:eastAsia="宋体" w:cs="宋体"/>
          <w:color w:val="auto"/>
          <w:sz w:val="24"/>
          <w:highlight w:val="none"/>
        </w:rPr>
        <w:t>签订合同。</w:t>
      </w:r>
    </w:p>
    <w:p w14:paraId="4BFB5763">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30</w:t>
      </w:r>
      <w:r>
        <w:rPr>
          <w:rFonts w:hint="eastAsia" w:ascii="宋体" w:hAnsi="宋体" w:eastAsia="宋体" w:cs="宋体"/>
          <w:b/>
          <w:color w:val="auto"/>
          <w:sz w:val="24"/>
          <w:highlight w:val="none"/>
        </w:rPr>
        <w:t>.2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合同不得转让，合同分包需在</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中予以说明，并须经</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人同意。否则，</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人有权取消</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人的</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资格。</w:t>
      </w:r>
    </w:p>
    <w:p w14:paraId="785414EE">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30</w:t>
      </w:r>
      <w:r>
        <w:rPr>
          <w:rFonts w:hint="eastAsia" w:ascii="宋体" w:hAnsi="宋体" w:eastAsia="宋体" w:cs="宋体"/>
          <w:b/>
          <w:color w:val="auto"/>
          <w:sz w:val="24"/>
          <w:highlight w:val="none"/>
        </w:rPr>
        <w:t>.3</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人如遇</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人违约，可从候选</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人中重新选定</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人，并签订</w:t>
      </w:r>
      <w:r>
        <w:rPr>
          <w:rFonts w:hint="eastAsia" w:ascii="宋体" w:hAnsi="宋体" w:cs="宋体"/>
          <w:color w:val="auto"/>
          <w:sz w:val="24"/>
          <w:highlight w:val="none"/>
          <w:lang w:val="en-US" w:eastAsia="zh-CN"/>
        </w:rPr>
        <w:t>施工</w:t>
      </w:r>
      <w:r>
        <w:rPr>
          <w:rFonts w:hint="eastAsia" w:ascii="宋体" w:hAnsi="宋体" w:eastAsia="宋体" w:cs="宋体"/>
          <w:color w:val="auto"/>
          <w:sz w:val="24"/>
          <w:highlight w:val="none"/>
        </w:rPr>
        <w:t>合同。</w:t>
      </w:r>
    </w:p>
    <w:p w14:paraId="3FF7A218">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30</w:t>
      </w:r>
      <w:r>
        <w:rPr>
          <w:rFonts w:hint="eastAsia" w:ascii="宋体" w:hAnsi="宋体" w:eastAsia="宋体" w:cs="宋体"/>
          <w:b/>
          <w:color w:val="auto"/>
          <w:sz w:val="24"/>
          <w:highlight w:val="none"/>
        </w:rPr>
        <w:t>.4</w:t>
      </w:r>
      <w:r>
        <w:rPr>
          <w:rFonts w:hint="eastAsia" w:ascii="宋体" w:hAnsi="宋体" w:eastAsia="宋体" w:cs="宋体"/>
          <w:color w:val="auto"/>
          <w:sz w:val="24"/>
          <w:highlight w:val="none"/>
        </w:rPr>
        <w:t xml:space="preserve"> 合同的定制由</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人、代理机构三方参加，为确保合同双方的利益</w:t>
      </w:r>
      <w:r>
        <w:rPr>
          <w:rFonts w:hint="eastAsia" w:ascii="宋体" w:hAnsi="宋体" w:eastAsia="宋体" w:cs="宋体"/>
          <w:color w:val="auto"/>
          <w:sz w:val="24"/>
          <w:highlight w:val="none"/>
          <w:lang w:eastAsia="zh-CN"/>
        </w:rPr>
        <w:t>公平</w:t>
      </w:r>
      <w:r>
        <w:rPr>
          <w:rFonts w:hint="eastAsia" w:ascii="宋体" w:hAnsi="宋体" w:eastAsia="宋体" w:cs="宋体"/>
          <w:color w:val="auto"/>
          <w:sz w:val="24"/>
          <w:highlight w:val="none"/>
        </w:rPr>
        <w:t>均等，由代理机构在合同制订过程中进行协调。</w:t>
      </w:r>
    </w:p>
    <w:p w14:paraId="0C00C7B9">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30</w:t>
      </w:r>
      <w:r>
        <w:rPr>
          <w:rFonts w:hint="eastAsia" w:ascii="宋体" w:hAnsi="宋体" w:eastAsia="宋体" w:cs="宋体"/>
          <w:b/>
          <w:color w:val="auto"/>
          <w:sz w:val="24"/>
          <w:highlight w:val="none"/>
        </w:rPr>
        <w:t xml:space="preserve">.5 </w:t>
      </w:r>
      <w:r>
        <w:rPr>
          <w:rFonts w:hint="eastAsia" w:ascii="宋体" w:hAnsi="宋体" w:eastAsia="宋体" w:cs="宋体"/>
          <w:color w:val="auto"/>
          <w:sz w:val="24"/>
          <w:highlight w:val="none"/>
        </w:rPr>
        <w:t>合同经</w:t>
      </w:r>
      <w:r>
        <w:rPr>
          <w:rFonts w:hint="eastAsia" w:ascii="宋体" w:hAnsi="宋体" w:cs="宋体"/>
          <w:color w:val="auto"/>
          <w:sz w:val="24"/>
          <w:highlight w:val="none"/>
          <w:lang w:val="en-US" w:eastAsia="zh-CN"/>
        </w:rPr>
        <w:t>采购人成交人</w:t>
      </w:r>
      <w:r>
        <w:rPr>
          <w:rFonts w:hint="eastAsia" w:ascii="宋体" w:hAnsi="宋体" w:eastAsia="宋体" w:cs="宋体"/>
          <w:color w:val="auto"/>
          <w:sz w:val="24"/>
          <w:highlight w:val="none"/>
        </w:rPr>
        <w:t>双方签字盖章后即生效。</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成交人</w:t>
      </w:r>
      <w:r>
        <w:rPr>
          <w:rFonts w:hint="eastAsia" w:ascii="宋体" w:hAnsi="宋体" w:eastAsia="宋体" w:cs="宋体"/>
          <w:color w:val="auto"/>
          <w:sz w:val="24"/>
          <w:highlight w:val="none"/>
        </w:rPr>
        <w:t>双方亦可自愿申请公证。</w:t>
      </w:r>
    </w:p>
    <w:p w14:paraId="37B5A440">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31</w:t>
      </w:r>
      <w:r>
        <w:rPr>
          <w:rFonts w:hint="eastAsia" w:ascii="宋体" w:hAnsi="宋体" w:eastAsia="宋体" w:cs="宋体"/>
          <w:b/>
          <w:color w:val="auto"/>
          <w:sz w:val="24"/>
          <w:highlight w:val="none"/>
        </w:rPr>
        <w:t>、合同组成</w:t>
      </w:r>
    </w:p>
    <w:p w14:paraId="7AB4AD34">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31</w:t>
      </w:r>
      <w:r>
        <w:rPr>
          <w:rFonts w:hint="eastAsia" w:ascii="宋体" w:hAnsi="宋体" w:eastAsia="宋体" w:cs="宋体"/>
          <w:b/>
          <w:color w:val="auto"/>
          <w:sz w:val="24"/>
          <w:highlight w:val="none"/>
        </w:rPr>
        <w:t>.1</w:t>
      </w:r>
      <w:r>
        <w:rPr>
          <w:rFonts w:hint="eastAsia" w:ascii="宋体" w:hAnsi="宋体" w:eastAsia="宋体" w:cs="宋体"/>
          <w:color w:val="auto"/>
          <w:sz w:val="24"/>
          <w:highlight w:val="none"/>
        </w:rPr>
        <w:t xml:space="preserve"> 以下文件均为合同不可分割的部分：</w:t>
      </w:r>
    </w:p>
    <w:p w14:paraId="47BE3055">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.1.1 专用合同</w:t>
      </w:r>
    </w:p>
    <w:p w14:paraId="7269ACC6">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.1.2 合同条款</w:t>
      </w:r>
    </w:p>
    <w:p w14:paraId="78DF9C96">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 xml:space="preserve">.1.3 </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通知书</w:t>
      </w:r>
    </w:p>
    <w:p w14:paraId="4170F8C8">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 xml:space="preserve">.1.4 </w:t>
      </w:r>
      <w:r>
        <w:rPr>
          <w:rFonts w:hint="eastAsia" w:ascii="宋体" w:hAnsi="宋体" w:cs="宋体"/>
          <w:color w:val="auto"/>
          <w:sz w:val="24"/>
          <w:highlight w:val="none"/>
          <w:lang w:eastAsia="zh-CN"/>
        </w:rPr>
        <w:t>报价人谈判响应文件</w:t>
      </w:r>
    </w:p>
    <w:p w14:paraId="057707B1">
      <w:pPr>
        <w:pageBreakBefore w:val="0"/>
        <w:kinsoku/>
        <w:wordWrap/>
        <w:overflowPunct/>
        <w:topLinePunct w:val="0"/>
        <w:bidi w:val="0"/>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31</w:t>
      </w:r>
      <w:r>
        <w:rPr>
          <w:rFonts w:hint="eastAsia" w:ascii="宋体" w:hAnsi="宋体" w:cs="宋体"/>
          <w:color w:val="auto"/>
          <w:sz w:val="24"/>
          <w:highlight w:val="none"/>
          <w:lang w:eastAsia="zh-CN"/>
        </w:rPr>
        <w:t>.1.5 其它文件</w:t>
      </w:r>
    </w:p>
    <w:p w14:paraId="33A991E3">
      <w:pPr>
        <w:pageBreakBefore w:val="0"/>
        <w:kinsoku/>
        <w:wordWrap/>
        <w:overflowPunct/>
        <w:topLinePunct w:val="0"/>
        <w:bidi w:val="0"/>
        <w:spacing w:line="360" w:lineRule="auto"/>
        <w:rPr>
          <w:rFonts w:hint="eastAsia" w:ascii="宋体" w:hAnsi="宋体" w:cs="宋体"/>
          <w:b/>
          <w:bCs/>
          <w:color w:val="auto"/>
          <w:sz w:val="24"/>
          <w:highlight w:val="none"/>
          <w:lang w:eastAsia="zh-CN"/>
        </w:rPr>
      </w:pPr>
      <w:r>
        <w:rPr>
          <w:rFonts w:hint="eastAsia" w:ascii="宋体" w:hAnsi="宋体" w:cs="宋体"/>
          <w:b/>
          <w:bCs/>
          <w:color w:val="auto"/>
          <w:sz w:val="24"/>
          <w:highlight w:val="none"/>
          <w:lang w:val="en-US" w:eastAsia="zh-CN"/>
        </w:rPr>
        <w:t>32</w:t>
      </w:r>
      <w:r>
        <w:rPr>
          <w:rFonts w:hint="eastAsia" w:ascii="宋体" w:hAnsi="宋体" w:cs="宋体"/>
          <w:b/>
          <w:bCs/>
          <w:color w:val="auto"/>
          <w:sz w:val="24"/>
          <w:highlight w:val="none"/>
          <w:lang w:eastAsia="zh-CN"/>
        </w:rPr>
        <w:t>、履约保证金</w:t>
      </w:r>
    </w:p>
    <w:p w14:paraId="7F7A10E3">
      <w:pPr>
        <w:spacing w:line="460" w:lineRule="exact"/>
        <w:ind w:firstLine="480" w:firstLineChars="200"/>
        <w:rPr>
          <w:rFonts w:hint="eastAsia" w:ascii="宋体" w:hAnsi="宋体" w:eastAsia="宋体" w:cs="宋体"/>
          <w:color w:val="auto"/>
          <w:sz w:val="24"/>
          <w:szCs w:val="24"/>
          <w:highlight w:val="none"/>
        </w:rPr>
      </w:pPr>
      <w:bookmarkStart w:id="66" w:name="_Toc12603"/>
      <w:bookmarkStart w:id="67" w:name="_Toc14192"/>
      <w:r>
        <w:rPr>
          <w:rFonts w:hint="eastAsia" w:ascii="宋体" w:hAnsi="宋体" w:eastAsia="宋体" w:cs="宋体"/>
          <w:color w:val="auto"/>
          <w:sz w:val="24"/>
          <w:szCs w:val="24"/>
          <w:highlight w:val="none"/>
          <w:lang w:val="en-US" w:eastAsia="zh-CN"/>
        </w:rPr>
        <w:t>32.1</w:t>
      </w:r>
      <w:r>
        <w:rPr>
          <w:rFonts w:hint="eastAsia" w:ascii="宋体" w:hAnsi="宋体" w:eastAsia="宋体" w:cs="宋体"/>
          <w:color w:val="auto"/>
          <w:sz w:val="24"/>
          <w:szCs w:val="24"/>
          <w:highlight w:val="none"/>
        </w:rPr>
        <w:t xml:space="preserve"> 《中华人民共和国政府采购法实施条例》第四十八条　采购文件要求中标或者成交供应商提交履约保证金的，供应商应当以支票、汇票、本票或者金融机构、担保机构出具的保函等非现金形式提交。履约保证金的数额不得超过政府采购合同金额的10%。中标人与招标人签订合同前提交履约保证金，如中标人未按</w:t>
      </w:r>
      <w:r>
        <w:rPr>
          <w:rFonts w:hint="eastAsia" w:ascii="宋体" w:hAnsi="宋体" w:cs="宋体"/>
          <w:color w:val="auto"/>
          <w:sz w:val="24"/>
          <w:szCs w:val="24"/>
          <w:highlight w:val="none"/>
          <w:lang w:eastAsia="zh-CN"/>
        </w:rPr>
        <w:t>谈判文件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val="en-US" w:eastAsia="zh-CN"/>
        </w:rPr>
        <w:t>服务期限完成本次采购的服务活动</w:t>
      </w:r>
      <w:r>
        <w:rPr>
          <w:rFonts w:hint="eastAsia" w:ascii="宋体" w:hAnsi="宋体" w:eastAsia="宋体" w:cs="宋体"/>
          <w:color w:val="auto"/>
          <w:sz w:val="24"/>
          <w:szCs w:val="24"/>
          <w:highlight w:val="none"/>
        </w:rPr>
        <w:t>，则扣除履约保证金。</w:t>
      </w:r>
    </w:p>
    <w:p w14:paraId="3727EFA1">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32.2</w:t>
      </w:r>
      <w:r>
        <w:rPr>
          <w:rFonts w:hint="eastAsia" w:ascii="宋体" w:hAnsi="宋体" w:eastAsia="宋体" w:cs="宋体"/>
          <w:color w:val="auto"/>
          <w:sz w:val="24"/>
          <w:szCs w:val="24"/>
          <w:highlight w:val="none"/>
        </w:rPr>
        <w:t xml:space="preserve"> 履约保证金（无息）将在乙方履行完成合同所有义务后凭乙方的收款收据在五天内退返乙方。</w:t>
      </w:r>
    </w:p>
    <w:p w14:paraId="7E3B8C51">
      <w:pPr>
        <w:pStyle w:val="6"/>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 xml:space="preserve">    32.3本项目不收取履约保证金。</w:t>
      </w:r>
    </w:p>
    <w:p w14:paraId="49A56E0D">
      <w:pPr>
        <w:pStyle w:val="3"/>
        <w:jc w:val="center"/>
        <w:rPr>
          <w:rFonts w:hint="eastAsia" w:eastAsia="宋体" w:cs="Times New Roman"/>
          <w:color w:val="auto"/>
          <w:sz w:val="28"/>
          <w:szCs w:val="28"/>
          <w:highlight w:val="none"/>
          <w:lang w:val="en-US" w:eastAsia="zh-CN"/>
        </w:rPr>
      </w:pPr>
      <w:r>
        <w:rPr>
          <w:rFonts w:hint="eastAsia" w:eastAsia="宋体" w:cs="Times New Roman"/>
          <w:color w:val="auto"/>
          <w:sz w:val="28"/>
          <w:szCs w:val="28"/>
          <w:highlight w:val="none"/>
          <w:lang w:val="en-US" w:eastAsia="zh-CN"/>
        </w:rPr>
        <w:t>八、法律责任</w:t>
      </w:r>
    </w:p>
    <w:p w14:paraId="2F0EED99">
      <w:pPr>
        <w:numPr>
          <w:ilvl w:val="0"/>
          <w:numId w:val="5"/>
        </w:numPr>
        <w:spacing w:line="46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法律责任</w:t>
      </w:r>
    </w:p>
    <w:p w14:paraId="19857D8A">
      <w:pPr>
        <w:numPr>
          <w:ilvl w:val="0"/>
          <w:numId w:val="0"/>
        </w:numPr>
        <w:spacing w:line="46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33.1</w:t>
      </w:r>
      <w:r>
        <w:rPr>
          <w:rFonts w:hint="eastAsia" w:ascii="宋体" w:hAnsi="宋体" w:eastAsia="宋体" w:cs="宋体"/>
          <w:color w:val="auto"/>
          <w:kern w:val="2"/>
          <w:sz w:val="24"/>
          <w:szCs w:val="24"/>
          <w:highlight w:val="none"/>
          <w:lang w:val="en-US" w:eastAsia="zh-CN" w:bidi="ar-SA"/>
        </w:rPr>
        <w:tab/>
      </w:r>
      <w:r>
        <w:rPr>
          <w:rFonts w:hint="eastAsia" w:ascii="宋体" w:hAnsi="宋体" w:eastAsia="宋体" w:cs="宋体"/>
          <w:color w:val="auto"/>
          <w:kern w:val="2"/>
          <w:sz w:val="24"/>
          <w:szCs w:val="24"/>
          <w:highlight w:val="none"/>
          <w:lang w:val="en-US" w:eastAsia="zh-CN" w:bidi="ar-SA"/>
        </w:rPr>
        <w:t xml:space="preserve">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bookmarkStart w:id="68" w:name="_Toc13017"/>
    </w:p>
    <w:p w14:paraId="40FE7941">
      <w:pPr>
        <w:numPr>
          <w:ilvl w:val="0"/>
          <w:numId w:val="0"/>
        </w:numPr>
        <w:spacing w:line="460" w:lineRule="exact"/>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（一）提供虚假材料谋取中标的；</w:t>
      </w:r>
      <w:bookmarkEnd w:id="68"/>
      <w:r>
        <w:rPr>
          <w:rFonts w:hint="eastAsia" w:ascii="宋体" w:hAnsi="宋体" w:eastAsia="宋体" w:cs="宋体"/>
          <w:b w:val="0"/>
          <w:color w:val="auto"/>
          <w:kern w:val="2"/>
          <w:sz w:val="24"/>
          <w:szCs w:val="24"/>
          <w:highlight w:val="none"/>
          <w:lang w:val="en-US" w:eastAsia="zh-CN" w:bidi="ar-SA"/>
        </w:rPr>
        <w:t xml:space="preserve"> </w:t>
      </w:r>
      <w:bookmarkStart w:id="69" w:name="_Toc30614"/>
    </w:p>
    <w:p w14:paraId="1D241924">
      <w:pPr>
        <w:numPr>
          <w:ilvl w:val="0"/>
          <w:numId w:val="0"/>
        </w:numPr>
        <w:spacing w:line="460" w:lineRule="exact"/>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（二）采取不正当手段诋毁、排挤其他投标人的；</w:t>
      </w:r>
      <w:bookmarkEnd w:id="69"/>
      <w:bookmarkStart w:id="70" w:name="_Toc25332"/>
    </w:p>
    <w:p w14:paraId="72DCA365">
      <w:pPr>
        <w:numPr>
          <w:ilvl w:val="0"/>
          <w:numId w:val="0"/>
        </w:numPr>
        <w:spacing w:line="460" w:lineRule="exact"/>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（三）与招标人、采购人、其他投标人恶意串通的；</w:t>
      </w:r>
      <w:bookmarkEnd w:id="70"/>
      <w:r>
        <w:rPr>
          <w:rFonts w:hint="eastAsia" w:ascii="宋体" w:hAnsi="宋体" w:eastAsia="宋体" w:cs="宋体"/>
          <w:b w:val="0"/>
          <w:color w:val="auto"/>
          <w:kern w:val="2"/>
          <w:sz w:val="24"/>
          <w:szCs w:val="24"/>
          <w:highlight w:val="none"/>
          <w:lang w:val="en-US" w:eastAsia="zh-CN" w:bidi="ar-SA"/>
        </w:rPr>
        <w:t xml:space="preserve"> </w:t>
      </w:r>
      <w:bookmarkStart w:id="71" w:name="_Toc12806"/>
    </w:p>
    <w:p w14:paraId="7E1FAB01">
      <w:pPr>
        <w:numPr>
          <w:ilvl w:val="0"/>
          <w:numId w:val="0"/>
        </w:numPr>
        <w:spacing w:line="460" w:lineRule="exact"/>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（四）向招标人、采购人行贿或者提供其他不正当利益的；</w:t>
      </w:r>
      <w:bookmarkEnd w:id="71"/>
      <w:r>
        <w:rPr>
          <w:rFonts w:hint="eastAsia" w:ascii="宋体" w:hAnsi="宋体" w:eastAsia="宋体" w:cs="宋体"/>
          <w:b w:val="0"/>
          <w:color w:val="auto"/>
          <w:kern w:val="2"/>
          <w:sz w:val="24"/>
          <w:szCs w:val="24"/>
          <w:highlight w:val="none"/>
          <w:lang w:val="en-US" w:eastAsia="zh-CN" w:bidi="ar-SA"/>
        </w:rPr>
        <w:t xml:space="preserve"> </w:t>
      </w:r>
      <w:bookmarkStart w:id="72" w:name="_Toc6012"/>
    </w:p>
    <w:p w14:paraId="1AFAE488">
      <w:pPr>
        <w:numPr>
          <w:ilvl w:val="0"/>
          <w:numId w:val="0"/>
        </w:numPr>
        <w:spacing w:line="460" w:lineRule="exact"/>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（五）在招标过程中与招标人、采购人进行协商谈判、不按照谈判文件、响应文件订立合同，或者与采购人另行订立背离合同实质性内容的协议的；</w:t>
      </w:r>
      <w:bookmarkEnd w:id="72"/>
      <w:r>
        <w:rPr>
          <w:rFonts w:hint="eastAsia" w:ascii="宋体" w:hAnsi="宋体" w:eastAsia="宋体" w:cs="宋体"/>
          <w:b w:val="0"/>
          <w:color w:val="auto"/>
          <w:kern w:val="2"/>
          <w:sz w:val="24"/>
          <w:szCs w:val="24"/>
          <w:highlight w:val="none"/>
          <w:lang w:val="en-US" w:eastAsia="zh-CN" w:bidi="ar-SA"/>
        </w:rPr>
        <w:t xml:space="preserve"> </w:t>
      </w:r>
      <w:bookmarkStart w:id="73" w:name="_Toc7300"/>
    </w:p>
    <w:p w14:paraId="234C0340">
      <w:pPr>
        <w:numPr>
          <w:ilvl w:val="0"/>
          <w:numId w:val="0"/>
        </w:numPr>
        <w:spacing w:line="460" w:lineRule="exact"/>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（六）拒绝有关部门监督检查或者提供虚假情况的。</w:t>
      </w:r>
      <w:bookmarkEnd w:id="73"/>
      <w:r>
        <w:rPr>
          <w:rFonts w:hint="eastAsia" w:ascii="宋体" w:hAnsi="宋体" w:eastAsia="宋体" w:cs="宋体"/>
          <w:b w:val="0"/>
          <w:color w:val="auto"/>
          <w:kern w:val="2"/>
          <w:sz w:val="24"/>
          <w:szCs w:val="24"/>
          <w:highlight w:val="none"/>
          <w:lang w:val="en-US" w:eastAsia="zh-CN" w:bidi="ar-SA"/>
        </w:rPr>
        <w:t xml:space="preserve"> </w:t>
      </w:r>
      <w:bookmarkStart w:id="74" w:name="_Toc9438"/>
    </w:p>
    <w:p w14:paraId="02E11592">
      <w:pPr>
        <w:numPr>
          <w:ilvl w:val="0"/>
          <w:numId w:val="0"/>
        </w:numPr>
        <w:spacing w:line="460" w:lineRule="exact"/>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投标人有前款第（一）至（五）项情形之一的，中标无效。</w:t>
      </w:r>
      <w:bookmarkEnd w:id="74"/>
      <w:r>
        <w:rPr>
          <w:rFonts w:hint="eastAsia" w:ascii="宋体" w:hAnsi="宋体" w:eastAsia="宋体" w:cs="宋体"/>
          <w:b w:val="0"/>
          <w:color w:val="auto"/>
          <w:kern w:val="2"/>
          <w:sz w:val="24"/>
          <w:szCs w:val="24"/>
          <w:highlight w:val="none"/>
          <w:lang w:val="en-US" w:eastAsia="zh-CN" w:bidi="ar-SA"/>
        </w:rPr>
        <w:t xml:space="preserve"> </w:t>
      </w:r>
      <w:bookmarkStart w:id="75" w:name="_Toc24172"/>
    </w:p>
    <w:p w14:paraId="69CB1511">
      <w:pPr>
        <w:numPr>
          <w:ilvl w:val="0"/>
          <w:numId w:val="0"/>
        </w:numPr>
        <w:spacing w:line="460" w:lineRule="exact"/>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33.2</w:t>
      </w:r>
      <w:r>
        <w:rPr>
          <w:rFonts w:hint="eastAsia" w:ascii="宋体" w:hAnsi="宋体" w:eastAsia="宋体" w:cs="宋体"/>
          <w:b w:val="0"/>
          <w:color w:val="auto"/>
          <w:kern w:val="2"/>
          <w:sz w:val="24"/>
          <w:szCs w:val="24"/>
          <w:highlight w:val="none"/>
          <w:lang w:val="en-US" w:eastAsia="zh-CN" w:bidi="ar-SA"/>
        </w:rPr>
        <w:tab/>
      </w:r>
      <w:r>
        <w:rPr>
          <w:rFonts w:hint="eastAsia" w:ascii="宋体" w:hAnsi="宋体" w:eastAsia="宋体" w:cs="宋体"/>
          <w:b w:val="0"/>
          <w:color w:val="auto"/>
          <w:kern w:val="2"/>
          <w:sz w:val="24"/>
          <w:szCs w:val="24"/>
          <w:highlight w:val="none"/>
          <w:lang w:val="en-US" w:eastAsia="zh-CN" w:bidi="ar-SA"/>
        </w:rPr>
        <w:t>中标人有下列情形之一的，招标人不予退还其交纳的投标保证金；情节严重的，由财政部门将其列入不良行为记录名单，在一至三年内禁止参加政府采购活动，并予以通报：</w:t>
      </w:r>
      <w:bookmarkEnd w:id="75"/>
    </w:p>
    <w:p w14:paraId="6CB50EDB">
      <w:pPr>
        <w:pStyle w:val="2"/>
        <w:numPr>
          <w:ilvl w:val="0"/>
          <w:numId w:val="0"/>
        </w:numPr>
        <w:tabs>
          <w:tab w:val="left" w:pos="0"/>
        </w:tabs>
        <w:spacing w:line="400" w:lineRule="atLeast"/>
        <w:jc w:val="left"/>
        <w:rPr>
          <w:rFonts w:hint="eastAsia" w:ascii="宋体" w:hAnsi="宋体" w:eastAsia="宋体" w:cs="宋体"/>
          <w:b w:val="0"/>
          <w:color w:val="auto"/>
          <w:kern w:val="2"/>
          <w:sz w:val="24"/>
          <w:szCs w:val="24"/>
          <w:highlight w:val="none"/>
          <w:lang w:val="en-US" w:eastAsia="zh-CN" w:bidi="ar-SA"/>
        </w:rPr>
      </w:pPr>
      <w:bookmarkStart w:id="76" w:name="_Toc12064"/>
      <w:r>
        <w:rPr>
          <w:rFonts w:hint="eastAsia" w:ascii="宋体" w:hAnsi="宋体" w:eastAsia="宋体" w:cs="宋体"/>
          <w:b w:val="0"/>
          <w:color w:val="auto"/>
          <w:kern w:val="2"/>
          <w:sz w:val="24"/>
          <w:szCs w:val="24"/>
          <w:highlight w:val="none"/>
          <w:lang w:val="en-US" w:eastAsia="zh-CN" w:bidi="ar-SA"/>
        </w:rPr>
        <w:t>（一）中标后无正当理由不与采购人签订合同的；</w:t>
      </w:r>
      <w:bookmarkEnd w:id="76"/>
    </w:p>
    <w:p w14:paraId="33E4647B">
      <w:pPr>
        <w:pStyle w:val="2"/>
        <w:numPr>
          <w:ilvl w:val="0"/>
          <w:numId w:val="0"/>
        </w:numPr>
        <w:tabs>
          <w:tab w:val="left" w:pos="0"/>
        </w:tabs>
        <w:spacing w:line="400" w:lineRule="atLeast"/>
        <w:jc w:val="both"/>
        <w:rPr>
          <w:rFonts w:hint="eastAsia"/>
          <w:color w:val="auto"/>
          <w:highlight w:val="none"/>
          <w:lang w:val="en-US" w:eastAsia="zh-CN"/>
        </w:rPr>
      </w:pPr>
      <w:bookmarkStart w:id="77" w:name="_Toc10324"/>
      <w:r>
        <w:rPr>
          <w:rFonts w:hint="eastAsia" w:ascii="宋体" w:hAnsi="宋体" w:eastAsia="宋体" w:cs="宋体"/>
          <w:b w:val="0"/>
          <w:color w:val="auto"/>
          <w:kern w:val="2"/>
          <w:sz w:val="24"/>
          <w:szCs w:val="24"/>
          <w:highlight w:val="none"/>
          <w:lang w:val="en-US" w:eastAsia="zh-CN" w:bidi="ar-SA"/>
        </w:rPr>
        <w:t>（二）拒绝履行合同义务的。</w:t>
      </w:r>
      <w:bookmarkEnd w:id="77"/>
    </w:p>
    <w:p w14:paraId="281A9B1F">
      <w:pPr>
        <w:numPr>
          <w:ilvl w:val="0"/>
          <w:numId w:val="0"/>
        </w:numPr>
        <w:spacing w:line="460" w:lineRule="exact"/>
        <w:ind w:leftChars="0"/>
        <w:jc w:val="center"/>
        <w:rPr>
          <w:rFonts w:hint="eastAsia" w:ascii="Arial" w:hAnsi="Arial" w:eastAsia="宋体" w:cs="Times New Roman"/>
          <w:b/>
          <w:color w:val="auto"/>
          <w:kern w:val="2"/>
          <w:sz w:val="28"/>
          <w:szCs w:val="28"/>
          <w:highlight w:val="none"/>
          <w:lang w:val="en-US" w:eastAsia="zh-CN" w:bidi="ar-SA"/>
        </w:rPr>
      </w:pPr>
      <w:r>
        <w:rPr>
          <w:rFonts w:hint="eastAsia" w:ascii="Arial" w:hAnsi="Arial" w:eastAsia="宋体" w:cs="Times New Roman"/>
          <w:b/>
          <w:color w:val="auto"/>
          <w:kern w:val="2"/>
          <w:sz w:val="28"/>
          <w:szCs w:val="28"/>
          <w:highlight w:val="none"/>
          <w:lang w:val="en-US" w:eastAsia="zh-CN" w:bidi="ar-SA"/>
        </w:rPr>
        <w:t>九、质疑及答复</w:t>
      </w:r>
    </w:p>
    <w:p w14:paraId="4A3C14E7">
      <w:pPr>
        <w:numPr>
          <w:ilvl w:val="0"/>
          <w:numId w:val="6"/>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质疑的提出</w:t>
      </w:r>
      <w:r>
        <w:rPr>
          <w:rFonts w:hint="eastAsia" w:ascii="宋体" w:hAnsi="宋体" w:eastAsia="宋体" w:cs="宋体"/>
          <w:color w:val="auto"/>
          <w:kern w:val="2"/>
          <w:sz w:val="24"/>
          <w:szCs w:val="24"/>
          <w:highlight w:val="none"/>
          <w:lang w:val="en-US" w:eastAsia="zh-CN" w:bidi="ar-SA"/>
        </w:rPr>
        <w:tab/>
      </w:r>
    </w:p>
    <w:p w14:paraId="4FB34223">
      <w:pPr>
        <w:numPr>
          <w:ilvl w:val="0"/>
          <w:numId w:val="0"/>
        </w:numPr>
        <w:spacing w:line="46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34.1 本采购文件中所称质疑及答复，是指参加本次采购活动的供应商对政府采购活动中的采购文件、采购过程和中标结果向采购方提出质疑，采购方答复质疑的行为。</w:t>
      </w:r>
    </w:p>
    <w:p w14:paraId="18BE4E64">
      <w:pPr>
        <w:numPr>
          <w:ilvl w:val="0"/>
          <w:numId w:val="0"/>
        </w:numPr>
        <w:spacing w:line="46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34.2 供应商认为采购文件、采购过程和中标结果使自己的权益受到损害的，可以在知道或者应知其权益受到损害之日起7个工作日内，以书面形式向采购方提出质疑。</w:t>
      </w:r>
    </w:p>
    <w:p w14:paraId="2EB22BCF">
      <w:pPr>
        <w:numPr>
          <w:ilvl w:val="0"/>
          <w:numId w:val="0"/>
        </w:numPr>
        <w:spacing w:line="46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34.2.1供应商应知其权益受到损害之日，是指：</w:t>
      </w:r>
    </w:p>
    <w:p w14:paraId="2CEBC9F3">
      <w:pPr>
        <w:numPr>
          <w:ilvl w:val="0"/>
          <w:numId w:val="7"/>
        </w:numPr>
        <w:spacing w:line="460" w:lineRule="exact"/>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对可以质疑的采购文件提出质疑的，为收到采购文件之日或者采购文件公告期限届满之日；</w:t>
      </w:r>
    </w:p>
    <w:p w14:paraId="3A6733A9">
      <w:pPr>
        <w:numPr>
          <w:ilvl w:val="0"/>
          <w:numId w:val="7"/>
        </w:numPr>
        <w:spacing w:line="460" w:lineRule="exact"/>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对采购过程提出质疑的，为各采购程序环节结束之日；</w:t>
      </w:r>
    </w:p>
    <w:p w14:paraId="56B52990">
      <w:pPr>
        <w:numPr>
          <w:ilvl w:val="0"/>
          <w:numId w:val="7"/>
        </w:numPr>
        <w:spacing w:line="460" w:lineRule="exact"/>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对中标结果提出质疑的，为中标结果公告期限届满之日。</w:t>
      </w:r>
    </w:p>
    <w:p w14:paraId="66EBAF98">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34.3 对可以质疑的采购文件提出质疑的，质疑人为参与本项目的报价方或潜在报价方。可质疑的文件为采购公告以及采购文件（包括属于其组成部分的澄清、修改、补充文件和评审标准、合同文本等）。</w:t>
      </w:r>
    </w:p>
    <w:p w14:paraId="661FA676">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34.4 对采购过程和中标结果提出质疑的，质疑人为直接参与本项目的报价方。采购过程,即从采购项目信息公告发布起到中标结果公告止，包括采购文件的发出、提交响应文件、响应文件开启、评审等各个采购程序环节。</w:t>
      </w:r>
    </w:p>
    <w:p w14:paraId="0B333497">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34.5   提出质疑应当符合下列条件：</w:t>
      </w:r>
    </w:p>
    <w:p w14:paraId="0385B55A">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（一）质疑主体应当符合有关规定；</w:t>
      </w:r>
    </w:p>
    <w:p w14:paraId="4E7BC41E">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（二）在质疑法定期限内提出；</w:t>
      </w:r>
    </w:p>
    <w:p w14:paraId="40D7C161">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（三）属于可以提出质疑的政府采购事项受理范围和本项目采购人的管辖权范围；</w:t>
      </w:r>
    </w:p>
    <w:p w14:paraId="00597E78">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（四）政府采购法律、法规、规章规定的其他条件。</w:t>
      </w:r>
    </w:p>
    <w:p w14:paraId="34124A4F">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042C865B">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34.7 质疑人所提供的证明材料应当具有真实性、合法性以及与质疑事项的关联性和证明力，否则不能作为认定该质疑事项成立的依据。</w:t>
      </w:r>
    </w:p>
    <w:p w14:paraId="70FB5F44">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34.8 质疑人提出质疑时应当提交质疑函。质疑函包括下列内容：</w:t>
      </w:r>
    </w:p>
    <w:p w14:paraId="3B36A51E">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（一）提出质疑的质疑人的名称、地址、邮编、联系人及联系电话等；</w:t>
      </w:r>
    </w:p>
    <w:p w14:paraId="42A8DBA8">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（二）质疑项目的名称、编号；</w:t>
      </w:r>
    </w:p>
    <w:p w14:paraId="360975F2">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（三）质疑事项；</w:t>
      </w:r>
    </w:p>
    <w:p w14:paraId="135E3AFB">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（四）事实依据和证明材料；</w:t>
      </w:r>
    </w:p>
    <w:p w14:paraId="636D090F">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（五）法律依据；</w:t>
      </w:r>
    </w:p>
    <w:p w14:paraId="4C9EC391">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（六）提出质疑的日期；</w:t>
      </w:r>
    </w:p>
    <w:p w14:paraId="317A2BEB">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34.9  质疑函采用实名制。质疑人为自然人的应当由本人签字，并附有效身份证明文件；质疑人为法人或者非法人组织的应当由法定代表人或者负责人签字并加盖公章，并附有效身份证明文件。</w:t>
      </w:r>
    </w:p>
    <w:p w14:paraId="06180FA6">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34.10 质疑人可以委托代理人进行质疑。代理人应当提交授权委托书。授权委托书应当载明委托代理的具体权限、期限和相关事项。</w:t>
      </w:r>
    </w:p>
    <w:p w14:paraId="65D80911">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35、质疑的审查和受理</w:t>
      </w:r>
    </w:p>
    <w:p w14:paraId="1DF85302">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35.1 采购方在收到质疑函后应当及时审查是否符合质疑受理条件，对符合质疑受理条件的，及时予以受理。</w:t>
      </w:r>
    </w:p>
    <w:p w14:paraId="137CE511">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35.2对不符合质疑受理条件的，分别按照下列不同情形予以处理：</w:t>
      </w:r>
    </w:p>
    <w:p w14:paraId="7926FB9E">
      <w:pPr>
        <w:numPr>
          <w:ilvl w:val="0"/>
          <w:numId w:val="8"/>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质疑函内容不符合规定的，告知质疑人进行修改并重新提出质疑。修改后质疑事项仍不具体、不明确或者最终递交质疑函的时间超过质疑法定期限的，不予受理；</w:t>
      </w:r>
    </w:p>
    <w:p w14:paraId="2F632647">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质疑主体不符合有关规定的，告知质疑人不予受理；</w:t>
      </w:r>
    </w:p>
    <w:p w14:paraId="0917EA63">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（三）超过质疑法定期限提出质疑的，告知质疑人不予受理；</w:t>
      </w:r>
    </w:p>
    <w:p w14:paraId="6D22B02D">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（四）对不属于可以提出质疑的政府采购事项提出质疑的，告知质疑人不予受理；</w:t>
      </w:r>
    </w:p>
    <w:p w14:paraId="370E0455">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（五）质疑不属于本项目采购方管辖的，告知质疑人向有管辖权的采购人提出质疑；</w:t>
      </w:r>
    </w:p>
    <w:p w14:paraId="0BF56BE7">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（六）质疑不符合其他条件的，告知质疑人不予受理。</w:t>
      </w:r>
    </w:p>
    <w:p w14:paraId="67F4DEDA">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36、质疑的处理和答复。</w:t>
      </w:r>
    </w:p>
    <w:p w14:paraId="5318132D">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36.1 按照《政府采购质疑和投诉办法（财政部94号令）》处理及答复质疑。</w:t>
      </w:r>
    </w:p>
    <w:p w14:paraId="4B781308">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36.2 采购方受理质疑后，将及时把质疑函发送给被质疑人，并要求其在一定限期人提交书面答复，同时提供有关证据、依据和相关材料。</w:t>
      </w:r>
    </w:p>
    <w:p w14:paraId="12E0A92E">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36.3 对于质疑事项中涉及的问题较多、情况比较复杂的，为了全面查清事实、取得充分的证据，采购方认为有必要时，可以进行调查取证或者组织质证。</w:t>
      </w:r>
    </w:p>
    <w:p w14:paraId="5B51C2FA">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36.4对评审过程、中标结果提出质疑的，采购方可以组织原评审委员会协助答复质疑。</w:t>
      </w:r>
    </w:p>
    <w:p w14:paraId="636DC66F">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36.5质疑处理过程中，质疑人书面申请撤回质疑的，将终止质疑处理程序。</w:t>
      </w:r>
    </w:p>
    <w:p w14:paraId="52D8F4F8">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35.6质疑人拒绝配合采购方依法对质疑进行调查处理的，采购方将按质疑人自动撤回质疑处理；被质疑人拒绝配合采购方依法对质疑进行调查处理的，采购方将视同其认可质疑事项。</w:t>
      </w:r>
    </w:p>
    <w:p w14:paraId="4B9036EA">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36.7 采购方将在正式受理质疑后 7 个工作日内作出答复，但处理质疑需要进行调查取证、组织专家评审、质疑人及被质疑人提交或补正材料等所需时间，不计算在质疑处理期限内。</w:t>
      </w:r>
    </w:p>
    <w:p w14:paraId="2C03AC69">
      <w:pPr>
        <w:numPr>
          <w:ilvl w:val="0"/>
          <w:numId w:val="0"/>
        </w:numPr>
        <w:spacing w:line="460" w:lineRule="exact"/>
        <w:ind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36.8 采购方经调查、论证、核实，认定质疑不能成立的，继续开展采购活动；认定质疑成立的，按照以下情况处理：</w:t>
      </w:r>
    </w:p>
    <w:p w14:paraId="1EB32616">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（一）对采购文件提出的质疑未对中标结果构成影响的，继续开展采购活动；对中标结果构成影</w:t>
      </w:r>
      <w:r>
        <w:rPr>
          <w:rFonts w:hint="eastAsia" w:ascii="宋体" w:hAnsi="宋体" w:eastAsia="宋体" w:cs="宋体"/>
          <w:b w:val="0"/>
          <w:color w:val="auto"/>
          <w:kern w:val="2"/>
          <w:sz w:val="24"/>
          <w:szCs w:val="24"/>
          <w:highlight w:val="none"/>
          <w:lang w:val="en-US" w:eastAsia="zh-CN" w:bidi="ar-SA"/>
        </w:rPr>
        <w:t>响但依法通过澄清或者修改可以继续开展采购活动的，澄清或者修改采购文件后继续开展采购活动，否则应当修改采购文件后重新开展采购活动。</w:t>
      </w:r>
    </w:p>
    <w:p w14:paraId="1FF8EF20">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14:paraId="60B7AA30">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36.9 采购方将书面答复质疑，质疑答复包括下列内容：</w:t>
      </w:r>
    </w:p>
    <w:p w14:paraId="51A77A95">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（一）质疑人名称；</w:t>
      </w:r>
    </w:p>
    <w:p w14:paraId="2AD36159">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（二）收到质疑函的日期、质疑项目名称及编号;</w:t>
      </w:r>
    </w:p>
    <w:p w14:paraId="3E52C444">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（三）质疑事项、质疑答复的具体内容、事实依据和法律依据；</w:t>
      </w:r>
    </w:p>
    <w:p w14:paraId="2509D336">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（四）告知质疑人依法投诉的权利；</w:t>
      </w:r>
    </w:p>
    <w:p w14:paraId="31C4942B">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（五）质疑答复日期。</w:t>
      </w:r>
    </w:p>
    <w:p w14:paraId="15C15559">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36.10 投诉人有下列行为之一的，属于虚假、恶意投诉，由财政部门列入不良行为记录名单，禁止其1至3年内参加政府采购活动：</w:t>
      </w:r>
    </w:p>
    <w:p w14:paraId="01BCBD9C">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（一）捏造事实;</w:t>
      </w:r>
    </w:p>
    <w:p w14:paraId="6611240E">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（二）提供虚假材料;</w:t>
      </w:r>
    </w:p>
    <w:p w14:paraId="470078B1">
      <w:pPr>
        <w:numPr>
          <w:ilvl w:val="0"/>
          <w:numId w:val="0"/>
        </w:numPr>
        <w:spacing w:line="460" w:lineRule="exact"/>
        <w:ind w:leftChars="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（三）以非法手段取得证明材料。证据来源的合法性存在明显疑问，投诉人无法证明其取得方式合法的，视为以非法手段取得证明材料。</w:t>
      </w:r>
    </w:p>
    <w:p w14:paraId="13512408">
      <w:pPr>
        <w:pStyle w:val="3"/>
        <w:pageBreakBefore w:val="0"/>
        <w:kinsoku/>
        <w:wordWrap/>
        <w:overflowPunct/>
        <w:topLinePunct w:val="0"/>
        <w:bidi w:val="0"/>
        <w:spacing w:line="360" w:lineRule="auto"/>
        <w:ind w:firstLine="3626" w:firstLineChars="1290"/>
        <w:rPr>
          <w:rFonts w:hint="eastAsia" w:ascii="宋体" w:hAnsi="宋体" w:eastAsia="宋体" w:cs="宋体"/>
          <w:color w:val="auto"/>
          <w:sz w:val="28"/>
          <w:highlight w:val="none"/>
        </w:rPr>
      </w:pPr>
      <w:r>
        <w:rPr>
          <w:rFonts w:hint="eastAsia" w:ascii="宋体" w:hAnsi="宋体" w:cs="宋体"/>
          <w:color w:val="auto"/>
          <w:sz w:val="28"/>
          <w:highlight w:val="none"/>
          <w:lang w:val="en-US" w:eastAsia="zh-CN"/>
        </w:rPr>
        <w:t>十</w:t>
      </w:r>
      <w:r>
        <w:rPr>
          <w:rFonts w:hint="eastAsia" w:ascii="宋体" w:hAnsi="宋体" w:eastAsia="宋体" w:cs="宋体"/>
          <w:color w:val="auto"/>
          <w:sz w:val="28"/>
          <w:highlight w:val="none"/>
        </w:rPr>
        <w:t>、特别提示</w:t>
      </w:r>
      <w:bookmarkEnd w:id="66"/>
      <w:bookmarkEnd w:id="67"/>
    </w:p>
    <w:p w14:paraId="53047DAC">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37</w:t>
      </w:r>
      <w:r>
        <w:rPr>
          <w:rFonts w:hint="eastAsia" w:ascii="宋体" w:hAnsi="宋体" w:eastAsia="宋体" w:cs="宋体"/>
          <w:b/>
          <w:color w:val="auto"/>
          <w:sz w:val="24"/>
          <w:highlight w:val="none"/>
        </w:rPr>
        <w:t>、</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应认真研读</w:t>
      </w:r>
      <w:r>
        <w:rPr>
          <w:rFonts w:hint="eastAsia" w:ascii="宋体" w:hAnsi="宋体" w:cs="宋体"/>
          <w:color w:val="auto"/>
          <w:sz w:val="24"/>
          <w:highlight w:val="none"/>
          <w:lang w:eastAsia="zh-CN"/>
        </w:rPr>
        <w:t>谈判</w:t>
      </w:r>
      <w:r>
        <w:rPr>
          <w:rFonts w:hint="eastAsia" w:ascii="宋体" w:hAnsi="宋体" w:eastAsia="宋体" w:cs="宋体"/>
          <w:color w:val="auto"/>
          <w:sz w:val="24"/>
          <w:highlight w:val="none"/>
        </w:rPr>
        <w:t>文件，充分考虑文件中的</w:t>
      </w:r>
      <w:r>
        <w:rPr>
          <w:rFonts w:hint="eastAsia" w:ascii="宋体" w:hAnsi="宋体" w:eastAsia="宋体" w:cs="宋体"/>
          <w:color w:val="auto"/>
          <w:sz w:val="24"/>
          <w:highlight w:val="none"/>
          <w:lang w:eastAsia="zh-CN"/>
        </w:rPr>
        <w:t>所有</w:t>
      </w:r>
      <w:r>
        <w:rPr>
          <w:rFonts w:hint="eastAsia" w:ascii="宋体" w:hAnsi="宋体" w:eastAsia="宋体" w:cs="宋体"/>
          <w:color w:val="auto"/>
          <w:sz w:val="24"/>
          <w:highlight w:val="none"/>
        </w:rPr>
        <w:t>要求和合同条款后，编制</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w:t>
      </w:r>
    </w:p>
    <w:p w14:paraId="6414E26A">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3</w:t>
      </w:r>
      <w:r>
        <w:rPr>
          <w:rFonts w:hint="eastAsia" w:ascii="宋体" w:hAnsi="宋体" w:cs="宋体"/>
          <w:b/>
          <w:color w:val="auto"/>
          <w:sz w:val="24"/>
          <w:highlight w:val="none"/>
          <w:lang w:val="en-US" w:eastAsia="zh-CN"/>
        </w:rPr>
        <w:t>8</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如</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文件中提供的各类表格样式不适用，</w:t>
      </w:r>
      <w:r>
        <w:rPr>
          <w:rFonts w:hint="eastAsia" w:ascii="宋体" w:hAnsi="宋体" w:cs="宋体"/>
          <w:color w:val="auto"/>
          <w:sz w:val="24"/>
          <w:highlight w:val="none"/>
          <w:lang w:eastAsia="zh-CN"/>
        </w:rPr>
        <w:t>报价人</w:t>
      </w:r>
      <w:r>
        <w:rPr>
          <w:rFonts w:hint="eastAsia" w:ascii="宋体" w:hAnsi="宋体" w:eastAsia="宋体" w:cs="宋体"/>
          <w:color w:val="auto"/>
          <w:sz w:val="24"/>
          <w:highlight w:val="none"/>
        </w:rPr>
        <w:t>可另行设计表格样式，但力求内容完整，表达清晰、准确。</w:t>
      </w:r>
    </w:p>
    <w:p w14:paraId="44BDF3AA">
      <w:pPr>
        <w:pStyle w:val="3"/>
        <w:pageBreakBefore w:val="0"/>
        <w:kinsoku/>
        <w:wordWrap/>
        <w:overflowPunct/>
        <w:topLinePunct w:val="0"/>
        <w:bidi w:val="0"/>
        <w:spacing w:line="360" w:lineRule="auto"/>
        <w:ind w:firstLine="3626" w:firstLineChars="1290"/>
        <w:rPr>
          <w:rFonts w:hint="eastAsia" w:ascii="宋体" w:hAnsi="宋体" w:eastAsia="宋体" w:cs="宋体"/>
          <w:color w:val="auto"/>
          <w:sz w:val="28"/>
          <w:highlight w:val="none"/>
        </w:rPr>
      </w:pPr>
      <w:bookmarkStart w:id="78" w:name="_Toc21896"/>
      <w:bookmarkStart w:id="79" w:name="_Toc20146"/>
      <w:r>
        <w:rPr>
          <w:rFonts w:hint="eastAsia" w:ascii="宋体" w:hAnsi="宋体" w:cs="宋体"/>
          <w:color w:val="auto"/>
          <w:sz w:val="28"/>
          <w:highlight w:val="none"/>
          <w:lang w:val="en-US" w:eastAsia="zh-CN"/>
        </w:rPr>
        <w:t>十一</w:t>
      </w:r>
      <w:r>
        <w:rPr>
          <w:rFonts w:hint="eastAsia" w:ascii="宋体" w:hAnsi="宋体" w:eastAsia="宋体" w:cs="宋体"/>
          <w:color w:val="auto"/>
          <w:sz w:val="28"/>
          <w:highlight w:val="none"/>
        </w:rPr>
        <w:t>、其他事项</w:t>
      </w:r>
      <w:bookmarkEnd w:id="78"/>
      <w:bookmarkEnd w:id="79"/>
    </w:p>
    <w:p w14:paraId="6CFDD247">
      <w:pPr>
        <w:pageBreakBefore w:val="0"/>
        <w:kinsoku/>
        <w:wordWrap/>
        <w:overflowPunct/>
        <w:topLinePunct w:val="0"/>
        <w:bidi w:val="0"/>
        <w:spacing w:line="360" w:lineRule="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39</w:t>
      </w:r>
      <w:r>
        <w:rPr>
          <w:rFonts w:hint="eastAsia" w:ascii="宋体" w:hAnsi="宋体" w:eastAsia="宋体" w:cs="宋体"/>
          <w:b/>
          <w:color w:val="auto"/>
          <w:sz w:val="24"/>
          <w:highlight w:val="none"/>
        </w:rPr>
        <w:t>、</w:t>
      </w:r>
      <w:r>
        <w:rPr>
          <w:rFonts w:hint="eastAsia" w:ascii="宋体" w:hAnsi="宋体" w:cs="宋体"/>
          <w:b/>
          <w:color w:val="auto"/>
          <w:sz w:val="24"/>
          <w:highlight w:val="none"/>
          <w:lang w:eastAsia="zh-CN"/>
        </w:rPr>
        <w:t>成交</w:t>
      </w:r>
      <w:r>
        <w:rPr>
          <w:rFonts w:hint="eastAsia" w:ascii="宋体" w:hAnsi="宋体" w:eastAsia="宋体" w:cs="宋体"/>
          <w:b/>
          <w:color w:val="auto"/>
          <w:sz w:val="24"/>
          <w:highlight w:val="none"/>
        </w:rPr>
        <w:t>服务费</w:t>
      </w:r>
    </w:p>
    <w:p w14:paraId="447516D0">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39</w:t>
      </w:r>
      <w:r>
        <w:rPr>
          <w:rFonts w:hint="eastAsia" w:ascii="宋体" w:hAnsi="宋体" w:eastAsia="宋体" w:cs="宋体"/>
          <w:b/>
          <w:color w:val="auto"/>
          <w:sz w:val="24"/>
          <w:highlight w:val="none"/>
        </w:rPr>
        <w:t xml:space="preserve">.1 </w:t>
      </w:r>
      <w:r>
        <w:rPr>
          <w:rFonts w:hint="eastAsia" w:ascii="宋体" w:hAnsi="宋体" w:eastAsia="宋体" w:cs="宋体"/>
          <w:b w:val="0"/>
          <w:bCs/>
          <w:color w:val="auto"/>
          <w:sz w:val="24"/>
          <w:highlight w:val="none"/>
          <w:lang w:eastAsia="zh-CN"/>
        </w:rPr>
        <w:t>按照协商结果，</w:t>
      </w:r>
      <w:r>
        <w:rPr>
          <w:rFonts w:hint="eastAsia" w:ascii="宋体" w:hAnsi="宋体" w:cs="宋体"/>
          <w:color w:val="auto"/>
          <w:sz w:val="24"/>
          <w:highlight w:val="none"/>
          <w:lang w:val="en-US" w:eastAsia="zh-CN"/>
        </w:rPr>
        <w:t>招标代理费由中标单位支付</w:t>
      </w:r>
      <w:r>
        <w:rPr>
          <w:rFonts w:hint="eastAsia" w:ascii="宋体" w:hAnsi="宋体" w:eastAsia="宋体" w:cs="宋体"/>
          <w:color w:val="auto"/>
          <w:sz w:val="24"/>
          <w:highlight w:val="none"/>
        </w:rPr>
        <w:t>。</w:t>
      </w:r>
    </w:p>
    <w:p w14:paraId="5DE8E047">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39</w:t>
      </w:r>
      <w:r>
        <w:rPr>
          <w:rFonts w:hint="eastAsia" w:ascii="宋体" w:hAnsi="宋体" w:eastAsia="宋体" w:cs="宋体"/>
          <w:b/>
          <w:color w:val="auto"/>
          <w:sz w:val="24"/>
          <w:highlight w:val="none"/>
        </w:rPr>
        <w:t>.2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服务费：</w:t>
      </w:r>
      <w:r>
        <w:rPr>
          <w:rFonts w:hint="eastAsia" w:ascii="宋体" w:hAnsi="宋体" w:cs="宋体"/>
          <w:color w:val="auto"/>
          <w:kern w:val="0"/>
          <w:sz w:val="24"/>
          <w:szCs w:val="24"/>
          <w:highlight w:val="none"/>
          <w:lang w:val="en-US" w:eastAsia="zh-CN" w:bidi="ar"/>
        </w:rPr>
        <w:t>详见投标人须知前附表</w:t>
      </w:r>
      <w:r>
        <w:rPr>
          <w:rFonts w:hint="eastAsia" w:ascii="宋体" w:hAnsi="宋体" w:eastAsia="宋体" w:cs="宋体"/>
          <w:color w:val="auto"/>
          <w:sz w:val="24"/>
          <w:highlight w:val="none"/>
        </w:rPr>
        <w:t>。</w:t>
      </w:r>
    </w:p>
    <w:p w14:paraId="52051891">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cs="宋体"/>
          <w:b/>
          <w:color w:val="auto"/>
          <w:sz w:val="24"/>
          <w:highlight w:val="none"/>
          <w:lang w:val="en-US" w:eastAsia="zh-CN"/>
        </w:rPr>
        <w:t>40</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本文件</w:t>
      </w:r>
      <w:r>
        <w:rPr>
          <w:rFonts w:hint="eastAsia" w:ascii="宋体" w:hAnsi="宋体" w:eastAsia="宋体" w:cs="宋体"/>
          <w:color w:val="auto"/>
          <w:sz w:val="24"/>
          <w:highlight w:val="none"/>
          <w:lang w:eastAsia="zh-CN"/>
        </w:rPr>
        <w:t>依</w:t>
      </w:r>
      <w:r>
        <w:rPr>
          <w:rFonts w:hint="eastAsia" w:ascii="宋体" w:hAnsi="宋体" w:eastAsia="宋体" w:cs="宋体"/>
          <w:color w:val="auto"/>
          <w:sz w:val="24"/>
          <w:highlight w:val="none"/>
        </w:rPr>
        <w:t>据《中华人民共和国</w:t>
      </w:r>
      <w:r>
        <w:rPr>
          <w:rFonts w:hint="eastAsia" w:ascii="宋体" w:hAnsi="宋体" w:eastAsia="宋体" w:cs="宋体"/>
          <w:color w:val="auto"/>
          <w:sz w:val="24"/>
          <w:highlight w:val="none"/>
          <w:lang w:eastAsia="zh-CN"/>
        </w:rPr>
        <w:t>政府采购</w:t>
      </w:r>
      <w:r>
        <w:rPr>
          <w:rFonts w:hint="eastAsia" w:ascii="宋体" w:hAnsi="宋体" w:eastAsia="宋体" w:cs="宋体"/>
          <w:color w:val="auto"/>
          <w:sz w:val="24"/>
          <w:highlight w:val="none"/>
        </w:rPr>
        <w:t>法》</w:t>
      </w:r>
      <w:r>
        <w:rPr>
          <w:rFonts w:hint="eastAsia" w:ascii="宋体" w:hAnsi="宋体" w:eastAsia="宋体" w:cs="宋体"/>
          <w:color w:val="auto"/>
          <w:sz w:val="24"/>
          <w:highlight w:val="none"/>
          <w:lang w:eastAsia="zh-CN"/>
        </w:rPr>
        <w:t>等有关政府采购方面的法律法规文件</w:t>
      </w:r>
      <w:r>
        <w:rPr>
          <w:rFonts w:hint="eastAsia" w:ascii="宋体" w:hAnsi="宋体" w:eastAsia="宋体" w:cs="宋体"/>
          <w:color w:val="auto"/>
          <w:sz w:val="24"/>
          <w:highlight w:val="none"/>
        </w:rPr>
        <w:t>编制，解释权属</w:t>
      </w:r>
      <w:r>
        <w:rPr>
          <w:rFonts w:hint="eastAsia" w:ascii="宋体" w:hAnsi="宋体" w:cs="宋体"/>
          <w:color w:val="auto"/>
          <w:sz w:val="24"/>
          <w:highlight w:val="none"/>
          <w:lang w:eastAsia="zh-CN"/>
        </w:rPr>
        <w:t xml:space="preserve">安徽科睿工程项目管理有限公司 </w:t>
      </w:r>
      <w:r>
        <w:rPr>
          <w:rFonts w:hint="eastAsia" w:ascii="宋体" w:hAnsi="宋体" w:eastAsia="宋体" w:cs="宋体"/>
          <w:color w:val="auto"/>
          <w:sz w:val="24"/>
          <w:highlight w:val="none"/>
        </w:rPr>
        <w:t>。</w:t>
      </w:r>
    </w:p>
    <w:p w14:paraId="79D9BB72">
      <w:pPr>
        <w:pStyle w:val="24"/>
        <w:keepNext w:val="0"/>
        <w:keepLines w:val="0"/>
        <w:pageBreakBefore w:val="0"/>
        <w:widowControl w:val="0"/>
        <w:numPr>
          <w:ilvl w:val="0"/>
          <w:numId w:val="0"/>
        </w:numPr>
        <w:kinsoku/>
        <w:wordWrap/>
        <w:overflowPunct/>
        <w:topLinePunct w:val="0"/>
        <w:bidi w:val="0"/>
        <w:snapToGrid/>
        <w:spacing w:line="440" w:lineRule="exact"/>
        <w:jc w:val="both"/>
        <w:textAlignment w:val="auto"/>
        <w:rPr>
          <w:rFonts w:hint="eastAsia" w:ascii="宋体" w:hAnsi="Times New Roman" w:eastAsia="宋体" w:cs="宋体"/>
          <w:b/>
          <w:bCs/>
          <w:color w:val="auto"/>
          <w:sz w:val="36"/>
          <w:szCs w:val="36"/>
          <w:highlight w:val="none"/>
          <w:lang w:val="en-US" w:eastAsia="zh-CN"/>
        </w:rPr>
      </w:pPr>
      <w:bookmarkStart w:id="80" w:name="_Toc1354"/>
      <w:bookmarkStart w:id="81" w:name="_Toc23028"/>
      <w:bookmarkStart w:id="82" w:name="_Toc11658"/>
    </w:p>
    <w:p w14:paraId="0E89107F">
      <w:pPr>
        <w:pStyle w:val="24"/>
        <w:keepNext w:val="0"/>
        <w:keepLines w:val="0"/>
        <w:pageBreakBefore w:val="0"/>
        <w:widowControl w:val="0"/>
        <w:numPr>
          <w:ilvl w:val="0"/>
          <w:numId w:val="0"/>
        </w:numPr>
        <w:kinsoku/>
        <w:wordWrap/>
        <w:overflowPunct/>
        <w:topLinePunct w:val="0"/>
        <w:bidi w:val="0"/>
        <w:snapToGrid/>
        <w:spacing w:line="240" w:lineRule="auto"/>
        <w:jc w:val="center"/>
        <w:textAlignment w:val="auto"/>
        <w:rPr>
          <w:rFonts w:hint="eastAsia" w:ascii="宋体" w:hAnsi="Times New Roman" w:eastAsia="宋体" w:cs="宋体"/>
          <w:b/>
          <w:bCs/>
          <w:color w:val="auto"/>
          <w:sz w:val="36"/>
          <w:szCs w:val="36"/>
          <w:highlight w:val="none"/>
          <w:lang w:val="en-US" w:eastAsia="zh-CN"/>
        </w:rPr>
      </w:pPr>
    </w:p>
    <w:p w14:paraId="3583DF9C">
      <w:pPr>
        <w:pStyle w:val="24"/>
        <w:keepNext w:val="0"/>
        <w:keepLines w:val="0"/>
        <w:pageBreakBefore w:val="0"/>
        <w:widowControl w:val="0"/>
        <w:numPr>
          <w:ilvl w:val="0"/>
          <w:numId w:val="0"/>
        </w:numPr>
        <w:kinsoku/>
        <w:wordWrap/>
        <w:overflowPunct/>
        <w:topLinePunct w:val="0"/>
        <w:bidi w:val="0"/>
        <w:snapToGrid/>
        <w:spacing w:line="240" w:lineRule="auto"/>
        <w:jc w:val="center"/>
        <w:textAlignment w:val="auto"/>
        <w:rPr>
          <w:rFonts w:hint="eastAsia" w:ascii="宋体" w:hAnsi="Times New Roman" w:eastAsia="宋体" w:cs="宋体"/>
          <w:b/>
          <w:bCs/>
          <w:color w:val="auto"/>
          <w:sz w:val="36"/>
          <w:szCs w:val="36"/>
          <w:highlight w:val="none"/>
          <w:lang w:val="en-US" w:eastAsia="zh-CN"/>
        </w:rPr>
      </w:pPr>
    </w:p>
    <w:p w14:paraId="443B2FDF">
      <w:pPr>
        <w:pStyle w:val="24"/>
        <w:keepNext w:val="0"/>
        <w:keepLines w:val="0"/>
        <w:pageBreakBefore w:val="0"/>
        <w:widowControl w:val="0"/>
        <w:numPr>
          <w:ilvl w:val="0"/>
          <w:numId w:val="0"/>
        </w:numPr>
        <w:kinsoku/>
        <w:wordWrap/>
        <w:overflowPunct/>
        <w:topLinePunct w:val="0"/>
        <w:bidi w:val="0"/>
        <w:snapToGrid/>
        <w:spacing w:line="240" w:lineRule="auto"/>
        <w:jc w:val="center"/>
        <w:textAlignment w:val="auto"/>
        <w:rPr>
          <w:rFonts w:hint="eastAsia" w:ascii="宋体" w:hAnsi="Times New Roman" w:eastAsia="宋体" w:cs="宋体"/>
          <w:b/>
          <w:bCs/>
          <w:color w:val="auto"/>
          <w:sz w:val="36"/>
          <w:szCs w:val="36"/>
          <w:highlight w:val="none"/>
          <w:lang w:val="en-US" w:eastAsia="zh-CN"/>
        </w:rPr>
      </w:pPr>
    </w:p>
    <w:p w14:paraId="5612D29C">
      <w:pPr>
        <w:pStyle w:val="24"/>
        <w:keepNext w:val="0"/>
        <w:keepLines w:val="0"/>
        <w:pageBreakBefore w:val="0"/>
        <w:widowControl w:val="0"/>
        <w:numPr>
          <w:ilvl w:val="0"/>
          <w:numId w:val="0"/>
        </w:numPr>
        <w:kinsoku/>
        <w:wordWrap/>
        <w:overflowPunct/>
        <w:topLinePunct w:val="0"/>
        <w:bidi w:val="0"/>
        <w:snapToGrid/>
        <w:spacing w:line="240" w:lineRule="auto"/>
        <w:jc w:val="center"/>
        <w:textAlignment w:val="auto"/>
        <w:rPr>
          <w:rFonts w:hint="eastAsia" w:ascii="宋体" w:hAnsi="Times New Roman" w:eastAsia="宋体" w:cs="宋体"/>
          <w:b/>
          <w:bCs/>
          <w:color w:val="auto"/>
          <w:sz w:val="36"/>
          <w:szCs w:val="36"/>
          <w:highlight w:val="none"/>
          <w:lang w:val="en-US" w:eastAsia="zh-CN"/>
        </w:rPr>
      </w:pPr>
    </w:p>
    <w:p w14:paraId="17A28B64">
      <w:pPr>
        <w:pStyle w:val="24"/>
        <w:keepNext w:val="0"/>
        <w:keepLines w:val="0"/>
        <w:pageBreakBefore w:val="0"/>
        <w:widowControl w:val="0"/>
        <w:numPr>
          <w:ilvl w:val="0"/>
          <w:numId w:val="0"/>
        </w:numPr>
        <w:kinsoku/>
        <w:wordWrap/>
        <w:overflowPunct/>
        <w:topLinePunct w:val="0"/>
        <w:bidi w:val="0"/>
        <w:snapToGrid/>
        <w:spacing w:line="240" w:lineRule="auto"/>
        <w:jc w:val="center"/>
        <w:textAlignment w:val="auto"/>
        <w:rPr>
          <w:rFonts w:hint="eastAsia" w:ascii="宋体" w:hAnsi="Times New Roman" w:eastAsia="宋体" w:cs="宋体"/>
          <w:b/>
          <w:bCs/>
          <w:color w:val="auto"/>
          <w:sz w:val="36"/>
          <w:szCs w:val="36"/>
          <w:highlight w:val="none"/>
          <w:lang w:val="en-US" w:eastAsia="zh-CN"/>
        </w:rPr>
      </w:pPr>
    </w:p>
    <w:p w14:paraId="4A62C1DC">
      <w:pPr>
        <w:pStyle w:val="24"/>
        <w:keepNext w:val="0"/>
        <w:keepLines w:val="0"/>
        <w:pageBreakBefore w:val="0"/>
        <w:widowControl w:val="0"/>
        <w:numPr>
          <w:ilvl w:val="0"/>
          <w:numId w:val="0"/>
        </w:numPr>
        <w:kinsoku/>
        <w:wordWrap/>
        <w:overflowPunct/>
        <w:topLinePunct w:val="0"/>
        <w:bidi w:val="0"/>
        <w:snapToGrid/>
        <w:spacing w:line="240" w:lineRule="auto"/>
        <w:jc w:val="center"/>
        <w:textAlignment w:val="auto"/>
        <w:rPr>
          <w:rFonts w:hint="eastAsia" w:ascii="宋体" w:hAnsi="Times New Roman" w:eastAsia="宋体" w:cs="宋体"/>
          <w:b/>
          <w:bCs/>
          <w:color w:val="auto"/>
          <w:sz w:val="36"/>
          <w:szCs w:val="36"/>
          <w:highlight w:val="none"/>
          <w:lang w:val="en-US" w:eastAsia="zh-CN"/>
        </w:rPr>
      </w:pPr>
    </w:p>
    <w:p w14:paraId="189857CC">
      <w:pPr>
        <w:pStyle w:val="24"/>
        <w:keepNext w:val="0"/>
        <w:keepLines w:val="0"/>
        <w:pageBreakBefore w:val="0"/>
        <w:widowControl w:val="0"/>
        <w:numPr>
          <w:ilvl w:val="0"/>
          <w:numId w:val="0"/>
        </w:numPr>
        <w:kinsoku/>
        <w:wordWrap/>
        <w:overflowPunct/>
        <w:topLinePunct w:val="0"/>
        <w:bidi w:val="0"/>
        <w:snapToGrid/>
        <w:spacing w:line="240" w:lineRule="auto"/>
        <w:jc w:val="center"/>
        <w:textAlignment w:val="auto"/>
        <w:rPr>
          <w:rFonts w:hint="eastAsia" w:ascii="宋体" w:hAnsi="Times New Roman" w:eastAsia="宋体" w:cs="宋体"/>
          <w:b/>
          <w:bCs/>
          <w:color w:val="auto"/>
          <w:sz w:val="36"/>
          <w:szCs w:val="36"/>
          <w:highlight w:val="none"/>
          <w:lang w:val="en-US" w:eastAsia="zh-CN"/>
        </w:rPr>
      </w:pPr>
    </w:p>
    <w:p w14:paraId="754326F8">
      <w:pPr>
        <w:pStyle w:val="24"/>
        <w:keepNext w:val="0"/>
        <w:keepLines w:val="0"/>
        <w:pageBreakBefore w:val="0"/>
        <w:widowControl w:val="0"/>
        <w:numPr>
          <w:ilvl w:val="0"/>
          <w:numId w:val="0"/>
        </w:numPr>
        <w:kinsoku/>
        <w:wordWrap/>
        <w:overflowPunct/>
        <w:topLinePunct w:val="0"/>
        <w:bidi w:val="0"/>
        <w:snapToGrid/>
        <w:spacing w:line="240" w:lineRule="auto"/>
        <w:jc w:val="center"/>
        <w:textAlignment w:val="auto"/>
        <w:rPr>
          <w:rFonts w:hint="eastAsia" w:ascii="宋体" w:hAnsi="Times New Roman" w:eastAsia="宋体" w:cs="宋体"/>
          <w:b/>
          <w:bCs/>
          <w:color w:val="auto"/>
          <w:sz w:val="36"/>
          <w:szCs w:val="36"/>
          <w:highlight w:val="none"/>
          <w:lang w:val="en-US" w:eastAsia="zh-CN"/>
        </w:rPr>
      </w:pPr>
    </w:p>
    <w:p w14:paraId="1605177D">
      <w:pPr>
        <w:pStyle w:val="24"/>
        <w:keepNext w:val="0"/>
        <w:keepLines w:val="0"/>
        <w:pageBreakBefore w:val="0"/>
        <w:widowControl w:val="0"/>
        <w:numPr>
          <w:ilvl w:val="0"/>
          <w:numId w:val="0"/>
        </w:numPr>
        <w:kinsoku/>
        <w:wordWrap/>
        <w:overflowPunct/>
        <w:topLinePunct w:val="0"/>
        <w:bidi w:val="0"/>
        <w:snapToGrid/>
        <w:spacing w:line="240" w:lineRule="auto"/>
        <w:jc w:val="center"/>
        <w:textAlignment w:val="auto"/>
        <w:rPr>
          <w:rFonts w:hint="eastAsia" w:ascii="宋体" w:hAnsi="Times New Roman" w:eastAsia="宋体" w:cs="宋体"/>
          <w:b/>
          <w:bCs/>
          <w:color w:val="auto"/>
          <w:sz w:val="36"/>
          <w:szCs w:val="36"/>
          <w:highlight w:val="none"/>
          <w:lang w:val="en-US" w:eastAsia="zh-CN"/>
        </w:rPr>
      </w:pPr>
    </w:p>
    <w:p w14:paraId="580CCBC2">
      <w:pPr>
        <w:pStyle w:val="24"/>
        <w:keepNext w:val="0"/>
        <w:keepLines w:val="0"/>
        <w:pageBreakBefore w:val="0"/>
        <w:widowControl w:val="0"/>
        <w:numPr>
          <w:ilvl w:val="0"/>
          <w:numId w:val="0"/>
        </w:numPr>
        <w:kinsoku/>
        <w:wordWrap/>
        <w:overflowPunct/>
        <w:topLinePunct w:val="0"/>
        <w:bidi w:val="0"/>
        <w:snapToGrid/>
        <w:spacing w:line="240" w:lineRule="auto"/>
        <w:jc w:val="center"/>
        <w:textAlignment w:val="auto"/>
        <w:rPr>
          <w:rFonts w:hint="eastAsia" w:ascii="宋体" w:hAnsi="Times New Roman" w:eastAsia="宋体" w:cs="宋体"/>
          <w:b/>
          <w:bCs/>
          <w:color w:val="auto"/>
          <w:sz w:val="36"/>
          <w:szCs w:val="36"/>
          <w:highlight w:val="none"/>
          <w:lang w:val="en-US" w:eastAsia="zh-CN"/>
        </w:rPr>
      </w:pPr>
    </w:p>
    <w:p w14:paraId="695B7D86">
      <w:pPr>
        <w:pStyle w:val="24"/>
        <w:keepNext w:val="0"/>
        <w:keepLines w:val="0"/>
        <w:pageBreakBefore w:val="0"/>
        <w:widowControl w:val="0"/>
        <w:numPr>
          <w:ilvl w:val="0"/>
          <w:numId w:val="0"/>
        </w:numPr>
        <w:kinsoku/>
        <w:wordWrap/>
        <w:overflowPunct/>
        <w:topLinePunct w:val="0"/>
        <w:bidi w:val="0"/>
        <w:snapToGrid/>
        <w:spacing w:line="240" w:lineRule="auto"/>
        <w:jc w:val="center"/>
        <w:textAlignment w:val="auto"/>
        <w:rPr>
          <w:rFonts w:hint="eastAsia" w:ascii="宋体" w:hAnsi="Times New Roman" w:eastAsia="宋体" w:cs="宋体"/>
          <w:b/>
          <w:bCs/>
          <w:color w:val="auto"/>
          <w:sz w:val="36"/>
          <w:szCs w:val="36"/>
          <w:highlight w:val="none"/>
          <w:lang w:val="en-US" w:eastAsia="zh-CN"/>
        </w:rPr>
      </w:pPr>
    </w:p>
    <w:p w14:paraId="16A14A23">
      <w:pPr>
        <w:pStyle w:val="24"/>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宋体" w:hAnsi="Times New Roman" w:eastAsia="宋体" w:cs="宋体"/>
          <w:b/>
          <w:bCs/>
          <w:color w:val="auto"/>
          <w:sz w:val="36"/>
          <w:szCs w:val="36"/>
          <w:highlight w:val="none"/>
          <w:lang w:val="en-US" w:eastAsia="zh-CN"/>
        </w:rPr>
      </w:pPr>
    </w:p>
    <w:p w14:paraId="0A966CF4">
      <w:pPr>
        <w:keepNext w:val="0"/>
        <w:keepLines w:val="0"/>
        <w:pageBreakBefore w:val="0"/>
        <w:widowControl/>
        <w:kinsoku w:val="0"/>
        <w:wordWrap/>
        <w:overflowPunct/>
        <w:topLinePunct w:val="0"/>
        <w:autoSpaceDE w:val="0"/>
        <w:autoSpaceDN w:val="0"/>
        <w:bidi w:val="0"/>
        <w:adjustRightInd w:val="0"/>
        <w:snapToGrid w:val="0"/>
        <w:spacing w:before="34" w:line="288" w:lineRule="auto"/>
        <w:ind w:left="607" w:firstLine="723" w:firstLineChars="200"/>
        <w:jc w:val="center"/>
        <w:textAlignment w:val="baseline"/>
        <w:outlineLvl w:val="0"/>
        <w:rPr>
          <w:rFonts w:hint="eastAsia" w:ascii="宋体" w:hAnsi="宋体" w:eastAsia="宋体" w:cs="宋体"/>
          <w:b/>
          <w:bCs/>
          <w:color w:val="auto"/>
          <w:spacing w:val="-1"/>
          <w:sz w:val="32"/>
          <w:szCs w:val="32"/>
          <w:highlight w:val="none"/>
          <w:u w:val="none" w:color="auto"/>
          <w:lang w:eastAsia="zh-CN"/>
        </w:rPr>
      </w:pPr>
      <w:bookmarkStart w:id="83" w:name="_Toc21458"/>
      <w:r>
        <w:rPr>
          <w:rFonts w:hint="eastAsia" w:ascii="宋体" w:hAnsi="Times New Roman" w:eastAsia="宋体" w:cs="宋体"/>
          <w:b/>
          <w:bCs/>
          <w:color w:val="auto"/>
          <w:sz w:val="36"/>
          <w:szCs w:val="36"/>
          <w:highlight w:val="none"/>
          <w:lang w:val="en-US" w:eastAsia="zh-CN"/>
        </w:rPr>
        <w:t xml:space="preserve">第三章 </w:t>
      </w:r>
      <w:bookmarkEnd w:id="80"/>
      <w:bookmarkEnd w:id="81"/>
      <w:bookmarkEnd w:id="82"/>
      <w:bookmarkEnd w:id="83"/>
      <w:bookmarkStart w:id="84" w:name="_Toc501379478"/>
      <w:bookmarkStart w:id="85" w:name="_Toc18595"/>
      <w:bookmarkStart w:id="86" w:name="_Toc22992"/>
      <w:bookmarkStart w:id="87" w:name="_Toc31168"/>
      <w:bookmarkStart w:id="88" w:name="_Toc24429"/>
      <w:bookmarkStart w:id="89" w:name="_Toc381970843"/>
      <w:r>
        <w:rPr>
          <w:rFonts w:hint="eastAsia" w:ascii="宋体" w:hAnsi="宋体" w:eastAsia="宋体" w:cs="宋体"/>
          <w:b/>
          <w:bCs/>
          <w:color w:val="auto"/>
          <w:spacing w:val="-1"/>
          <w:sz w:val="32"/>
          <w:szCs w:val="32"/>
          <w:highlight w:val="none"/>
          <w:u w:val="none" w:color="auto"/>
          <w:lang w:eastAsia="zh-CN"/>
        </w:rPr>
        <w:t>采购需求及技术规格要求</w:t>
      </w:r>
    </w:p>
    <w:p w14:paraId="7F697625">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000000" w:themeColor="text1"/>
          <w:spacing w:val="-1"/>
          <w:sz w:val="24"/>
          <w:szCs w:val="24"/>
          <w:highlight w:val="none"/>
          <w:u w:val="none" w:color="auto"/>
          <w:lang w:eastAsia="zh-CN"/>
          <w14:textFill>
            <w14:solidFill>
              <w14:schemeClr w14:val="tx1"/>
            </w14:solidFill>
          </w14:textFill>
        </w:rPr>
      </w:pPr>
      <w:bookmarkStart w:id="90" w:name="_Toc9991"/>
      <w:r>
        <w:rPr>
          <w:rFonts w:hint="eastAsia" w:ascii="宋体" w:hAnsi="宋体" w:eastAsia="宋体" w:cs="宋体"/>
          <w:color w:val="000000" w:themeColor="text1"/>
          <w:spacing w:val="-1"/>
          <w:sz w:val="24"/>
          <w:szCs w:val="24"/>
          <w:highlight w:val="none"/>
          <w:u w:val="none" w:color="auto"/>
          <w:lang w:eastAsia="zh-CN"/>
          <w14:textFill>
            <w14:solidFill>
              <w14:schemeClr w14:val="tx1"/>
            </w14:solidFill>
          </w14:textFill>
        </w:rPr>
        <w:t>一、项目名称：</w:t>
      </w:r>
      <w:bookmarkEnd w:id="90"/>
      <w:bookmarkStart w:id="91" w:name="_Toc31793"/>
      <w:r>
        <w:rPr>
          <w:rFonts w:hint="eastAsia" w:ascii="宋体" w:hAnsi="宋体" w:cs="宋体"/>
          <w:b/>
          <w:bCs/>
          <w:color w:val="000000" w:themeColor="text1"/>
          <w:spacing w:val="-1"/>
          <w:sz w:val="24"/>
          <w:szCs w:val="24"/>
          <w:highlight w:val="none"/>
          <w:u w:val="none" w:color="auto"/>
          <w:lang w:eastAsia="zh-CN"/>
          <w14:textFill>
            <w14:solidFill>
              <w14:schemeClr w14:val="tx1"/>
            </w14:solidFill>
          </w14:textFill>
        </w:rPr>
        <w:t>温泉县乡镇运输服务站（乡镇综合运输服务站改造项目）</w:t>
      </w:r>
    </w:p>
    <w:p w14:paraId="01C39B16">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default" w:ascii="宋体" w:hAnsi="宋体" w:eastAsia="宋体" w:cs="宋体"/>
          <w:color w:val="000000" w:themeColor="text1"/>
          <w:spacing w:val="-1"/>
          <w:sz w:val="24"/>
          <w:szCs w:val="24"/>
          <w:highlight w:val="none"/>
          <w:u w:val="none" w:color="auto"/>
          <w:lang w:val="en-US" w:eastAsia="zh-CN"/>
          <w14:textFill>
            <w14:solidFill>
              <w14:schemeClr w14:val="tx1"/>
            </w14:solidFill>
          </w14:textFill>
        </w:rPr>
      </w:pPr>
      <w:r>
        <w:rPr>
          <w:rFonts w:hint="eastAsia" w:ascii="宋体" w:hAnsi="宋体" w:eastAsia="宋体" w:cs="宋体"/>
          <w:color w:val="000000" w:themeColor="text1"/>
          <w:spacing w:val="-1"/>
          <w:sz w:val="24"/>
          <w:szCs w:val="24"/>
          <w:highlight w:val="none"/>
          <w:u w:val="none" w:color="auto"/>
          <w:lang w:eastAsia="zh-CN"/>
          <w14:textFill>
            <w14:solidFill>
              <w14:schemeClr w14:val="tx1"/>
            </w14:solidFill>
          </w14:textFill>
        </w:rPr>
        <w:t>二、采购内容：</w:t>
      </w:r>
      <w:bookmarkEnd w:id="91"/>
      <w:r>
        <w:rPr>
          <w:rFonts w:hint="eastAsia" w:ascii="宋体" w:hAnsi="宋体" w:eastAsia="宋体" w:cs="宋体"/>
          <w:b/>
          <w:bCs/>
          <w:color w:val="000000" w:themeColor="text1"/>
          <w:kern w:val="2"/>
          <w:sz w:val="24"/>
          <w:szCs w:val="24"/>
          <w:highlight w:val="none"/>
          <w:shd w:val="clear" w:color="auto" w:fill="FFFFFF"/>
          <w:lang w:eastAsia="zh-CN"/>
          <w14:textFill>
            <w14:solidFill>
              <w14:schemeClr w14:val="tx1"/>
            </w14:solidFill>
          </w14:textFill>
        </w:rPr>
        <w:t>对乡镇综合运输服务站进行改造。（</w:t>
      </w:r>
      <w:r>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t>详见工程量清单</w:t>
      </w:r>
      <w:r>
        <w:rPr>
          <w:rFonts w:hint="eastAsia" w:ascii="宋体" w:hAnsi="宋体" w:eastAsia="宋体" w:cs="宋体"/>
          <w:b/>
          <w:bCs/>
          <w:color w:val="000000" w:themeColor="text1"/>
          <w:kern w:val="2"/>
          <w:sz w:val="24"/>
          <w:szCs w:val="24"/>
          <w:highlight w:val="none"/>
          <w:shd w:val="clear" w:color="auto" w:fill="FFFFFF"/>
          <w:lang w:eastAsia="zh-CN"/>
          <w14:textFill>
            <w14:solidFill>
              <w14:schemeClr w14:val="tx1"/>
            </w14:solidFill>
          </w14:textFill>
        </w:rPr>
        <w:t>）。</w:t>
      </w:r>
      <w:r>
        <w:rPr>
          <w:rFonts w:hint="eastAsia" w:ascii="宋体" w:hAnsi="宋体" w:eastAsia="宋体" w:cs="宋体"/>
          <w:b/>
          <w:bCs/>
          <w:color w:val="000000" w:themeColor="text1"/>
          <w:spacing w:val="-1"/>
          <w:sz w:val="24"/>
          <w:szCs w:val="24"/>
          <w:highlight w:val="none"/>
          <w:u w:val="none" w:color="auto"/>
          <w:lang w:val="en-US" w:eastAsia="zh-CN"/>
          <w14:textFill>
            <w14:solidFill>
              <w14:schemeClr w14:val="tx1"/>
            </w14:solidFill>
          </w14:textFill>
        </w:rPr>
        <w:t>工程量清单详见招标文件附件。</w:t>
      </w:r>
    </w:p>
    <w:p w14:paraId="3EF1A329">
      <w:pPr>
        <w:pStyle w:val="22"/>
        <w:spacing w:line="276" w:lineRule="auto"/>
        <w:ind w:firstLine="476" w:firstLineChars="200"/>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pPr>
      <w:bookmarkStart w:id="92" w:name="_Toc3477"/>
      <w:r>
        <w:rPr>
          <w:rFonts w:hint="eastAsia" w:ascii="宋体" w:hAnsi="宋体" w:eastAsia="宋体" w:cs="宋体"/>
          <w:color w:val="000000" w:themeColor="text1"/>
          <w:spacing w:val="-1"/>
          <w:sz w:val="24"/>
          <w:szCs w:val="24"/>
          <w:highlight w:val="none"/>
          <w:u w:val="none" w:color="auto"/>
          <w:lang w:eastAsia="zh-CN"/>
          <w14:textFill>
            <w14:solidFill>
              <w14:schemeClr w14:val="tx1"/>
            </w14:solidFill>
          </w14:textFill>
        </w:rPr>
        <w:t>三、工期：</w:t>
      </w:r>
      <w:bookmarkEnd w:id="92"/>
      <w:bookmarkStart w:id="93" w:name="_Toc30006"/>
      <w:r>
        <w:rPr>
          <w:rFonts w:hint="eastAsia" w:ascii="宋体" w:hAnsi="宋体" w:eastAsia="宋体" w:cs="宋体"/>
          <w:b/>
          <w:bCs/>
          <w:color w:val="000000" w:themeColor="text1"/>
          <w:kern w:val="2"/>
          <w:sz w:val="24"/>
          <w:szCs w:val="24"/>
          <w:highlight w:val="none"/>
          <w:shd w:val="clear" w:color="auto" w:fill="FFFFFF"/>
          <w:lang w:val="en-US" w:eastAsia="zh-CN"/>
          <w14:textFill>
            <w14:solidFill>
              <w14:schemeClr w14:val="tx1"/>
            </w14:solidFill>
          </w14:textFill>
        </w:rPr>
        <w:t>总工期90 日历日，计划开工日期 2026 年05月20日，计划竣工日期 2026 年08月18日。</w:t>
      </w:r>
    </w:p>
    <w:p w14:paraId="0235E096">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000000" w:themeColor="text1"/>
          <w:spacing w:val="-1"/>
          <w:sz w:val="24"/>
          <w:szCs w:val="24"/>
          <w:highlight w:val="none"/>
          <w:u w:val="none" w:color="auto"/>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u w:val="none" w:color="auto"/>
          <w:lang w:eastAsia="zh-CN"/>
          <w14:textFill>
            <w14:solidFill>
              <w14:schemeClr w14:val="tx1"/>
            </w14:solidFill>
          </w14:textFill>
        </w:rPr>
        <w:t>四、质量要求：</w:t>
      </w:r>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t>合格</w:t>
      </w:r>
      <w:r>
        <w:rPr>
          <w:rFonts w:hint="eastAsia" w:ascii="宋体" w:hAnsi="宋体" w:eastAsia="宋体" w:cs="宋体"/>
          <w:color w:val="000000" w:themeColor="text1"/>
          <w:spacing w:val="-1"/>
          <w:sz w:val="24"/>
          <w:szCs w:val="24"/>
          <w:highlight w:val="none"/>
          <w:u w:val="none" w:color="auto"/>
          <w:lang w:eastAsia="zh-CN"/>
          <w14:textFill>
            <w14:solidFill>
              <w14:schemeClr w14:val="tx1"/>
            </w14:solidFill>
          </w14:textFill>
        </w:rPr>
        <w:t>。</w:t>
      </w:r>
      <w:bookmarkEnd w:id="93"/>
    </w:p>
    <w:p w14:paraId="415EED79">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pPr>
      <w:bookmarkStart w:id="94" w:name="_Toc16281"/>
      <w:r>
        <w:rPr>
          <w:rFonts w:hint="eastAsia" w:ascii="宋体" w:hAnsi="宋体" w:eastAsia="宋体" w:cs="宋体"/>
          <w:color w:val="000000" w:themeColor="text1"/>
          <w:spacing w:val="-1"/>
          <w:sz w:val="24"/>
          <w:szCs w:val="24"/>
          <w:highlight w:val="none"/>
          <w:u w:val="none" w:color="auto"/>
          <w:lang w:eastAsia="zh-CN"/>
          <w14:textFill>
            <w14:solidFill>
              <w14:schemeClr w14:val="tx1"/>
            </w14:solidFill>
          </w14:textFill>
        </w:rPr>
        <w:t>五、</w:t>
      </w:r>
      <w:r>
        <w:rPr>
          <w:rFonts w:hint="eastAsia" w:ascii="宋体" w:hAnsi="宋体" w:eastAsia="宋体" w:cs="宋体"/>
          <w:b/>
          <w:bCs/>
          <w:color w:val="000000" w:themeColor="text1"/>
          <w:spacing w:val="-1"/>
          <w:sz w:val="24"/>
          <w:szCs w:val="24"/>
          <w:highlight w:val="none"/>
          <w:u w:val="none" w:color="auto"/>
          <w:lang w:val="en-US" w:eastAsia="zh-CN"/>
          <w14:textFill>
            <w14:solidFill>
              <w14:schemeClr w14:val="tx1"/>
            </w14:solidFill>
          </w14:textFill>
        </w:rPr>
        <w:t>签订合同后预付合同金额的 30%，按工程进度支付工程款</w:t>
      </w:r>
      <w:r>
        <w:rPr>
          <w:rFonts w:hint="eastAsia" w:ascii="宋体" w:hAnsi="宋体" w:eastAsia="宋体" w:cs="宋体"/>
          <w:b/>
          <w:bCs/>
          <w:color w:val="000000" w:themeColor="text1"/>
          <w:spacing w:val="-1"/>
          <w:sz w:val="24"/>
          <w:szCs w:val="24"/>
          <w:highlight w:val="none"/>
          <w:u w:val="none" w:color="auto"/>
          <w:lang w:eastAsia="zh-CN"/>
          <w14:textFill>
            <w14:solidFill>
              <w14:schemeClr w14:val="tx1"/>
            </w14:solidFill>
          </w14:textFill>
        </w:rPr>
        <w:t>。</w:t>
      </w:r>
      <w:bookmarkEnd w:id="94"/>
    </w:p>
    <w:p w14:paraId="227F8CB5">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95" w:name="_Toc7819"/>
      <w:bookmarkStart w:id="96" w:name="_Toc7899"/>
      <w:r>
        <w:rPr>
          <w:rFonts w:hint="eastAsia" w:ascii="宋体" w:hAnsi="宋体" w:eastAsia="宋体" w:cs="宋体"/>
          <w:color w:val="auto"/>
          <w:spacing w:val="-1"/>
          <w:sz w:val="24"/>
          <w:szCs w:val="24"/>
          <w:highlight w:val="none"/>
          <w:u w:val="none" w:color="auto"/>
          <w:lang w:eastAsia="zh-CN"/>
        </w:rPr>
        <w:t>六、质量要求和质量保修期：</w:t>
      </w:r>
      <w:bookmarkEnd w:id="95"/>
    </w:p>
    <w:p w14:paraId="3D6FB279">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97" w:name="_Toc16794"/>
      <w:r>
        <w:rPr>
          <w:rFonts w:hint="eastAsia" w:ascii="宋体" w:hAnsi="宋体" w:eastAsia="宋体" w:cs="宋体"/>
          <w:color w:val="auto"/>
          <w:spacing w:val="-1"/>
          <w:sz w:val="24"/>
          <w:szCs w:val="24"/>
          <w:highlight w:val="none"/>
          <w:u w:val="none" w:color="auto"/>
          <w:lang w:eastAsia="zh-CN"/>
        </w:rPr>
        <w:t>1、质量：符合国家有关施工质量验收标准的合格工程或合同约定。工程规范以现行的或承担具体施工任务期间国家和行业新颁布施行的规范、规程为准。</w:t>
      </w:r>
      <w:bookmarkEnd w:id="97"/>
    </w:p>
    <w:p w14:paraId="216D5806">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98" w:name="_Toc27180"/>
      <w:r>
        <w:rPr>
          <w:rFonts w:hint="eastAsia" w:ascii="宋体" w:hAnsi="宋体" w:eastAsia="宋体" w:cs="宋体"/>
          <w:color w:val="auto"/>
          <w:spacing w:val="-1"/>
          <w:sz w:val="24"/>
          <w:szCs w:val="24"/>
          <w:highlight w:val="none"/>
          <w:u w:val="none" w:color="auto"/>
          <w:lang w:eastAsia="zh-CN"/>
        </w:rPr>
        <w:t>2、材料、设备、施工须达到现行中华人民共和国以及省、自治区、直辖市或行业的工程建设标准、规范的要求及验收标准及有关规范为质量评定验收标准。</w:t>
      </w:r>
      <w:bookmarkEnd w:id="98"/>
    </w:p>
    <w:p w14:paraId="4150CC6A">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99" w:name="_Toc1769"/>
      <w:r>
        <w:rPr>
          <w:rFonts w:hint="eastAsia" w:ascii="宋体" w:hAnsi="宋体" w:eastAsia="宋体" w:cs="宋体"/>
          <w:color w:val="auto"/>
          <w:spacing w:val="-1"/>
          <w:sz w:val="24"/>
          <w:szCs w:val="24"/>
          <w:highlight w:val="none"/>
          <w:u w:val="none" w:color="auto"/>
          <w:lang w:eastAsia="zh-CN"/>
        </w:rPr>
        <w:t>3、质量保修期：按国家标准执行。</w:t>
      </w:r>
      <w:bookmarkEnd w:id="99"/>
    </w:p>
    <w:p w14:paraId="1CA80D04">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00" w:name="_Toc19017"/>
      <w:r>
        <w:rPr>
          <w:rFonts w:hint="eastAsia" w:ascii="宋体" w:hAnsi="宋体" w:eastAsia="宋体" w:cs="宋体"/>
          <w:color w:val="auto"/>
          <w:spacing w:val="-1"/>
          <w:sz w:val="24"/>
          <w:szCs w:val="24"/>
          <w:highlight w:val="none"/>
          <w:u w:val="none" w:color="auto"/>
          <w:lang w:eastAsia="zh-CN"/>
        </w:rPr>
        <w:t>4、质量保修响应时间：属于保修范围的项目，应在接到采购人通知后的24小时内内派人保修。如未能在规定时间内派人保修的，采购人可自行或委托第三方保修，费用由成交供应商支付。发生紧急抢修事故的，成交供应商在接到通知后，应立即到达事故现场抢修。</w:t>
      </w:r>
      <w:bookmarkEnd w:id="100"/>
    </w:p>
    <w:p w14:paraId="6E912471">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01" w:name="_Toc23696"/>
      <w:r>
        <w:rPr>
          <w:rFonts w:hint="eastAsia" w:ascii="宋体" w:hAnsi="宋体" w:eastAsia="宋体" w:cs="宋体"/>
          <w:color w:val="auto"/>
          <w:spacing w:val="-1"/>
          <w:sz w:val="24"/>
          <w:szCs w:val="24"/>
          <w:highlight w:val="none"/>
          <w:u w:val="none" w:color="auto"/>
          <w:lang w:eastAsia="zh-CN"/>
        </w:rPr>
        <w:t>七、验收：</w:t>
      </w:r>
      <w:bookmarkEnd w:id="101"/>
    </w:p>
    <w:p w14:paraId="4318E9A3">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02" w:name="_Toc21752"/>
      <w:r>
        <w:rPr>
          <w:rFonts w:hint="eastAsia" w:ascii="宋体" w:hAnsi="宋体" w:eastAsia="宋体" w:cs="宋体"/>
          <w:color w:val="auto"/>
          <w:spacing w:val="-1"/>
          <w:sz w:val="24"/>
          <w:szCs w:val="24"/>
          <w:highlight w:val="none"/>
          <w:u w:val="none" w:color="auto"/>
          <w:lang w:eastAsia="zh-CN"/>
        </w:rPr>
        <w:t>1、采购人在收到成交供应商提交的竣工报告后组织验收，并在验收后14天内予以认可或提出修改意见。验收不合格，成交供应商应按要求修改后再次提请采购人验收，并承担因自身原因造成修改的费用。</w:t>
      </w:r>
      <w:bookmarkEnd w:id="102"/>
    </w:p>
    <w:p w14:paraId="456EAF4E">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03" w:name="_Toc20665"/>
      <w:r>
        <w:rPr>
          <w:rFonts w:hint="eastAsia" w:ascii="宋体" w:hAnsi="宋体" w:eastAsia="宋体" w:cs="宋体"/>
          <w:color w:val="auto"/>
          <w:spacing w:val="-1"/>
          <w:sz w:val="24"/>
          <w:szCs w:val="24"/>
          <w:highlight w:val="none"/>
          <w:u w:val="none" w:color="auto"/>
          <w:lang w:eastAsia="zh-CN"/>
        </w:rPr>
        <w:t>2、采购人在收到成交供应商提交的竣工报告后不组织验收，或验收后不提出修改意见，视为竣工报告已被认可。</w:t>
      </w:r>
      <w:bookmarkEnd w:id="103"/>
    </w:p>
    <w:p w14:paraId="1FF59220">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04" w:name="_Toc5754"/>
      <w:r>
        <w:rPr>
          <w:rFonts w:hint="eastAsia" w:ascii="宋体" w:hAnsi="宋体" w:eastAsia="宋体" w:cs="宋体"/>
          <w:color w:val="auto"/>
          <w:spacing w:val="-1"/>
          <w:sz w:val="24"/>
          <w:szCs w:val="24"/>
          <w:highlight w:val="none"/>
          <w:u w:val="none" w:color="auto"/>
          <w:lang w:eastAsia="zh-CN"/>
        </w:rPr>
        <w:t>3、验收时如发现所交付的</w:t>
      </w:r>
      <w:r>
        <w:rPr>
          <w:rFonts w:hint="eastAsia" w:ascii="宋体" w:hAnsi="宋体" w:eastAsia="宋体" w:cs="宋体"/>
          <w:color w:val="auto"/>
          <w:spacing w:val="-1"/>
          <w:sz w:val="24"/>
          <w:szCs w:val="24"/>
          <w:highlight w:val="none"/>
          <w:u w:val="none" w:color="auto"/>
          <w:lang w:val="en-US" w:eastAsia="zh-CN"/>
        </w:rPr>
        <w:t>工程</w:t>
      </w:r>
      <w:r>
        <w:rPr>
          <w:rFonts w:hint="eastAsia" w:ascii="宋体" w:hAnsi="宋体" w:eastAsia="宋体" w:cs="宋体"/>
          <w:color w:val="auto"/>
          <w:spacing w:val="-1"/>
          <w:sz w:val="24"/>
          <w:szCs w:val="24"/>
          <w:highlight w:val="none"/>
          <w:u w:val="none" w:color="auto"/>
          <w:lang w:eastAsia="zh-CN"/>
        </w:rPr>
        <w:t>不符合招标文件规定之情形者，</w:t>
      </w:r>
      <w:bookmarkEnd w:id="104"/>
      <w:bookmarkStart w:id="105" w:name="_Toc8793"/>
      <w:r>
        <w:rPr>
          <w:rFonts w:hint="eastAsia" w:ascii="宋体" w:hAnsi="宋体" w:eastAsia="宋体" w:cs="宋体"/>
          <w:color w:val="auto"/>
          <w:spacing w:val="-1"/>
          <w:sz w:val="24"/>
          <w:szCs w:val="24"/>
          <w:highlight w:val="none"/>
          <w:u w:val="none" w:color="auto"/>
          <w:lang w:eastAsia="zh-CN"/>
        </w:rPr>
        <w:t>采购人应做出详尽的现场记录，或由用户和成交供应商双方签署备忘录。此现场记录或备忘录可用作补充、缺失和更换损坏部件的有效证据。由此产生的有关费用由成交供应商承担。</w:t>
      </w:r>
      <w:bookmarkEnd w:id="105"/>
    </w:p>
    <w:p w14:paraId="4EAD1036">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06" w:name="_Toc3779"/>
      <w:r>
        <w:rPr>
          <w:rFonts w:hint="eastAsia" w:ascii="宋体" w:hAnsi="宋体" w:eastAsia="宋体" w:cs="宋体"/>
          <w:color w:val="auto"/>
          <w:spacing w:val="-1"/>
          <w:sz w:val="24"/>
          <w:szCs w:val="24"/>
          <w:highlight w:val="none"/>
          <w:u w:val="none" w:color="auto"/>
          <w:lang w:eastAsia="zh-CN"/>
        </w:rPr>
        <w:t>4、竣工报告被认可，则表明已完成合同工程，并视为通过竣工验收，采购人应向成交供应商颁发工程竣工验收证书。</w:t>
      </w:r>
      <w:bookmarkEnd w:id="106"/>
    </w:p>
    <w:p w14:paraId="6E0A9A83">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07" w:name="_Toc25379"/>
      <w:r>
        <w:rPr>
          <w:rFonts w:hint="eastAsia" w:ascii="宋体" w:hAnsi="宋体" w:eastAsia="宋体" w:cs="宋体"/>
          <w:color w:val="auto"/>
          <w:spacing w:val="-1"/>
          <w:sz w:val="24"/>
          <w:szCs w:val="24"/>
          <w:highlight w:val="none"/>
          <w:u w:val="none" w:color="auto"/>
          <w:lang w:eastAsia="zh-CN"/>
        </w:rPr>
        <w:t>技术要求内容：（详见图纸和工程量清单）</w:t>
      </w:r>
      <w:bookmarkEnd w:id="107"/>
    </w:p>
    <w:p w14:paraId="5A272800">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08" w:name="_Toc31775"/>
      <w:r>
        <w:rPr>
          <w:rFonts w:hint="eastAsia" w:ascii="宋体" w:hAnsi="宋体" w:eastAsia="宋体" w:cs="宋体"/>
          <w:color w:val="auto"/>
          <w:spacing w:val="-1"/>
          <w:sz w:val="24"/>
          <w:szCs w:val="24"/>
          <w:highlight w:val="none"/>
          <w:u w:val="none" w:color="auto"/>
          <w:lang w:eastAsia="zh-CN"/>
        </w:rPr>
        <w:t>1、本工程完成必须符合国家和地方现行相关质量评定标准和施工技术规范、施工图设计要求。</w:t>
      </w:r>
      <w:bookmarkEnd w:id="108"/>
    </w:p>
    <w:p w14:paraId="1500C5A6">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09" w:name="bookmark15"/>
      <w:bookmarkEnd w:id="109"/>
      <w:bookmarkStart w:id="110" w:name="_Toc1542"/>
      <w:r>
        <w:rPr>
          <w:rFonts w:hint="eastAsia" w:ascii="宋体" w:hAnsi="宋体" w:eastAsia="宋体" w:cs="宋体"/>
          <w:color w:val="auto"/>
          <w:spacing w:val="-1"/>
          <w:sz w:val="24"/>
          <w:szCs w:val="24"/>
          <w:highlight w:val="none"/>
          <w:u w:val="none" w:color="auto"/>
          <w:lang w:eastAsia="zh-CN"/>
        </w:rPr>
        <w:t>2、本工程的材料检验和质量、工艺试验按国家、地方现行相关规定执行。</w:t>
      </w:r>
      <w:bookmarkEnd w:id="110"/>
    </w:p>
    <w:p w14:paraId="6637AAD6">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11" w:name="_Toc9935"/>
      <w:r>
        <w:rPr>
          <w:rFonts w:hint="eastAsia" w:ascii="宋体" w:hAnsi="宋体" w:eastAsia="宋体" w:cs="宋体"/>
          <w:color w:val="auto"/>
          <w:spacing w:val="-1"/>
          <w:sz w:val="24"/>
          <w:szCs w:val="24"/>
          <w:highlight w:val="none"/>
          <w:u w:val="none" w:color="auto"/>
          <w:lang w:eastAsia="zh-CN"/>
        </w:rPr>
        <w:t>工程量清单说明部分</w:t>
      </w:r>
      <w:bookmarkEnd w:id="111"/>
    </w:p>
    <w:p w14:paraId="746D5299">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12" w:name="_Toc5517"/>
      <w:r>
        <w:rPr>
          <w:rFonts w:hint="eastAsia" w:ascii="宋体" w:hAnsi="宋体" w:eastAsia="宋体" w:cs="宋体"/>
          <w:color w:val="auto"/>
          <w:spacing w:val="-1"/>
          <w:sz w:val="24"/>
          <w:szCs w:val="24"/>
          <w:highlight w:val="none"/>
          <w:u w:val="none" w:color="auto"/>
          <w:lang w:eastAsia="zh-CN"/>
        </w:rPr>
        <w:t>1. 工程量清单说明</w:t>
      </w:r>
      <w:bookmarkEnd w:id="112"/>
    </w:p>
    <w:p w14:paraId="68D4BFC5">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13" w:name="_Toc31652"/>
      <w:r>
        <w:rPr>
          <w:rFonts w:hint="eastAsia" w:ascii="宋体" w:hAnsi="宋体" w:eastAsia="宋体" w:cs="宋体"/>
          <w:color w:val="auto"/>
          <w:spacing w:val="-1"/>
          <w:sz w:val="24"/>
          <w:szCs w:val="24"/>
          <w:highlight w:val="none"/>
          <w:u w:val="none" w:color="auto"/>
          <w:lang w:eastAsia="zh-CN"/>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bookmarkEnd w:id="113"/>
    </w:p>
    <w:p w14:paraId="10C3C35F">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14" w:name="_Toc28636"/>
      <w:r>
        <w:rPr>
          <w:rFonts w:hint="eastAsia" w:ascii="宋体" w:hAnsi="宋体" w:eastAsia="宋体" w:cs="宋体"/>
          <w:color w:val="auto"/>
          <w:spacing w:val="-1"/>
          <w:sz w:val="24"/>
          <w:szCs w:val="24"/>
          <w:highlight w:val="none"/>
          <w:u w:val="none" w:color="auto"/>
          <w:lang w:eastAsia="zh-CN"/>
        </w:rPr>
        <w:t>1.2 本工程量清单应与招标文件中的供应商须知、通用合同条款、专用合同条款、技术标准和要求及图纸等一起阅读和理解。</w:t>
      </w:r>
      <w:bookmarkEnd w:id="114"/>
    </w:p>
    <w:p w14:paraId="212E3E19">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15" w:name="_Toc10089"/>
      <w:r>
        <w:rPr>
          <w:rFonts w:hint="eastAsia" w:ascii="宋体" w:hAnsi="宋体" w:eastAsia="宋体" w:cs="宋体"/>
          <w:color w:val="auto"/>
          <w:spacing w:val="-1"/>
          <w:sz w:val="24"/>
          <w:szCs w:val="24"/>
          <w:highlight w:val="none"/>
          <w:u w:val="none" w:color="auto"/>
          <w:lang w:eastAsia="zh-CN"/>
        </w:rPr>
        <w:t>1.3 本工程量清单仅是招标报价的共同基础，实际工程计量和工程价款的支付应遵循合同条款的约定和“技术要求 ”的有关规定。</w:t>
      </w:r>
      <w:bookmarkEnd w:id="115"/>
    </w:p>
    <w:p w14:paraId="677EA662">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16" w:name="_Toc27922"/>
      <w:r>
        <w:rPr>
          <w:rFonts w:hint="eastAsia" w:ascii="宋体" w:hAnsi="宋体" w:eastAsia="宋体" w:cs="宋体"/>
          <w:color w:val="auto"/>
          <w:spacing w:val="-1"/>
          <w:sz w:val="24"/>
          <w:szCs w:val="24"/>
          <w:highlight w:val="none"/>
          <w:u w:val="none" w:color="auto"/>
          <w:lang w:eastAsia="zh-CN"/>
        </w:rPr>
        <w:t>1.4 补充子目工程量计算规则及子目工作内容说明：</w:t>
      </w:r>
      <w:bookmarkEnd w:id="116"/>
    </w:p>
    <w:p w14:paraId="1A0BE755">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17" w:name="_Toc7256"/>
      <w:r>
        <w:rPr>
          <w:rFonts w:hint="eastAsia" w:ascii="宋体" w:hAnsi="宋体" w:eastAsia="宋体" w:cs="宋体"/>
          <w:color w:val="auto"/>
          <w:spacing w:val="-1"/>
          <w:sz w:val="24"/>
          <w:szCs w:val="24"/>
          <w:highlight w:val="none"/>
          <w:u w:val="none" w:color="auto"/>
          <w:lang w:eastAsia="zh-CN"/>
        </w:rPr>
        <w:t>1.5 本条第1.1款中约定的计量和计价规则适用于合同履约过程中工程量计量与价款支付、工程变更、索赔和工程结算。</w:t>
      </w:r>
      <w:bookmarkEnd w:id="117"/>
    </w:p>
    <w:p w14:paraId="5DAD4631">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18" w:name="_Toc32306"/>
      <w:r>
        <w:rPr>
          <w:rFonts w:hint="eastAsia" w:ascii="宋体" w:hAnsi="宋体" w:eastAsia="宋体" w:cs="宋体"/>
          <w:color w:val="auto"/>
          <w:spacing w:val="-1"/>
          <w:sz w:val="24"/>
          <w:szCs w:val="24"/>
          <w:highlight w:val="none"/>
          <w:u w:val="none" w:color="auto"/>
          <w:lang w:eastAsia="zh-CN"/>
        </w:rPr>
        <w:t>1.6 本条与下述第2条和第3条的说明内容是构成合同文件的已标价工程量清单的组成部分。</w:t>
      </w:r>
      <w:bookmarkEnd w:id="118"/>
    </w:p>
    <w:p w14:paraId="2FFA7ECB">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19" w:name="_Toc30802"/>
      <w:r>
        <w:rPr>
          <w:rFonts w:hint="eastAsia" w:ascii="宋体" w:hAnsi="宋体" w:eastAsia="宋体" w:cs="宋体"/>
          <w:color w:val="auto"/>
          <w:spacing w:val="-1"/>
          <w:sz w:val="24"/>
          <w:szCs w:val="24"/>
          <w:highlight w:val="none"/>
          <w:u w:val="none" w:color="auto"/>
          <w:lang w:eastAsia="zh-CN"/>
        </w:rPr>
        <w:t>1.7 子项特征描述中未表述清楚的，见施工图或以施工规范为准。</w:t>
      </w:r>
      <w:bookmarkEnd w:id="119"/>
    </w:p>
    <w:p w14:paraId="77A4CC64">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r>
        <w:rPr>
          <w:rFonts w:hint="eastAsia" w:ascii="宋体" w:hAnsi="宋体" w:eastAsia="宋体" w:cs="宋体"/>
          <w:color w:val="auto"/>
          <w:spacing w:val="-1"/>
          <w:sz w:val="24"/>
          <w:szCs w:val="24"/>
          <w:highlight w:val="none"/>
          <w:u w:val="none" w:color="auto"/>
          <w:lang w:eastAsia="zh-CN"/>
        </w:rPr>
        <w:t>2. 报价说明</w:t>
      </w:r>
    </w:p>
    <w:p w14:paraId="6BB50DB3">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20" w:name="_Toc20655"/>
      <w:r>
        <w:rPr>
          <w:rFonts w:hint="eastAsia" w:ascii="宋体" w:hAnsi="宋体" w:eastAsia="宋体" w:cs="宋体"/>
          <w:color w:val="auto"/>
          <w:spacing w:val="-1"/>
          <w:sz w:val="24"/>
          <w:szCs w:val="24"/>
          <w:highlight w:val="none"/>
          <w:u w:val="none" w:color="auto"/>
          <w:lang w:eastAsia="zh-CN"/>
        </w:rPr>
        <w:t>2.1 报价应根据招标文件中的有关计价要求，并按照下列依据自主报价。</w:t>
      </w:r>
      <w:bookmarkEnd w:id="120"/>
    </w:p>
    <w:p w14:paraId="010E1D29">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21" w:name="_Toc24154"/>
      <w:r>
        <w:rPr>
          <w:rFonts w:hint="eastAsia" w:ascii="宋体" w:hAnsi="宋体" w:eastAsia="宋体" w:cs="宋体"/>
          <w:color w:val="auto"/>
          <w:spacing w:val="-1"/>
          <w:sz w:val="24"/>
          <w:szCs w:val="24"/>
          <w:highlight w:val="none"/>
          <w:u w:val="none" w:color="auto"/>
          <w:lang w:eastAsia="zh-CN"/>
        </w:rPr>
        <w:t>(1) 本招标文件；</w:t>
      </w:r>
      <w:bookmarkEnd w:id="121"/>
    </w:p>
    <w:p w14:paraId="28637936">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22" w:name="_Toc20886"/>
      <w:r>
        <w:rPr>
          <w:rFonts w:hint="eastAsia" w:ascii="宋体" w:hAnsi="宋体" w:eastAsia="宋体" w:cs="宋体"/>
          <w:color w:val="auto"/>
          <w:spacing w:val="-1"/>
          <w:sz w:val="24"/>
          <w:szCs w:val="24"/>
          <w:highlight w:val="none"/>
          <w:u w:val="none" w:color="auto"/>
          <w:lang w:eastAsia="zh-CN"/>
        </w:rPr>
        <w:t>(2) 《建设工程工程量清单计价规范》GB50500-2013；</w:t>
      </w:r>
      <w:bookmarkEnd w:id="122"/>
    </w:p>
    <w:p w14:paraId="2156D217">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23" w:name="_Toc21013"/>
      <w:r>
        <w:rPr>
          <w:rFonts w:hint="eastAsia" w:ascii="宋体" w:hAnsi="宋体" w:eastAsia="宋体" w:cs="宋体"/>
          <w:color w:val="auto"/>
          <w:spacing w:val="-1"/>
          <w:sz w:val="24"/>
          <w:szCs w:val="24"/>
          <w:highlight w:val="none"/>
          <w:u w:val="none" w:color="auto"/>
          <w:lang w:eastAsia="zh-CN"/>
        </w:rPr>
        <w:t>(3) 国家或省级、行业建设主管部门颁发的计价办法；</w:t>
      </w:r>
      <w:bookmarkEnd w:id="123"/>
    </w:p>
    <w:p w14:paraId="6E09E982">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24" w:name="_Toc29999"/>
      <w:r>
        <w:rPr>
          <w:rFonts w:hint="eastAsia" w:ascii="宋体" w:hAnsi="宋体" w:eastAsia="宋体" w:cs="宋体"/>
          <w:color w:val="auto"/>
          <w:spacing w:val="-1"/>
          <w:sz w:val="24"/>
          <w:szCs w:val="24"/>
          <w:highlight w:val="none"/>
          <w:u w:val="none" w:color="auto"/>
          <w:lang w:eastAsia="zh-CN"/>
        </w:rPr>
        <w:t>(4) 企业定额，国家或省级、行业建设主管部门颁发的计价定额；</w:t>
      </w:r>
      <w:bookmarkEnd w:id="124"/>
    </w:p>
    <w:p w14:paraId="23EA5C0A">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25" w:name="_Toc17550"/>
      <w:r>
        <w:rPr>
          <w:rFonts w:hint="eastAsia" w:ascii="宋体" w:hAnsi="宋体" w:eastAsia="宋体" w:cs="宋体"/>
          <w:color w:val="auto"/>
          <w:spacing w:val="-1"/>
          <w:sz w:val="24"/>
          <w:szCs w:val="24"/>
          <w:highlight w:val="none"/>
          <w:u w:val="none" w:color="auto"/>
          <w:lang w:eastAsia="zh-CN"/>
        </w:rPr>
        <w:t>(5) 招标文件(包括工程量清单)的澄清、补充和修改文件；</w:t>
      </w:r>
      <w:bookmarkEnd w:id="125"/>
    </w:p>
    <w:p w14:paraId="2786DDC6">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26" w:name="_Toc31007"/>
      <w:r>
        <w:rPr>
          <w:rFonts w:hint="eastAsia" w:ascii="宋体" w:hAnsi="宋体" w:eastAsia="宋体" w:cs="宋体"/>
          <w:color w:val="auto"/>
          <w:spacing w:val="-1"/>
          <w:sz w:val="24"/>
          <w:szCs w:val="24"/>
          <w:highlight w:val="none"/>
          <w:u w:val="none" w:color="auto"/>
          <w:lang w:eastAsia="zh-CN"/>
        </w:rPr>
        <w:t>(6) 建设工程设计文件及相关资料；</w:t>
      </w:r>
      <w:bookmarkEnd w:id="126"/>
    </w:p>
    <w:p w14:paraId="472F34AC">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27" w:name="_Toc19795"/>
      <w:r>
        <w:rPr>
          <w:rFonts w:hint="eastAsia" w:ascii="宋体" w:hAnsi="宋体" w:eastAsia="宋体" w:cs="宋体"/>
          <w:color w:val="auto"/>
          <w:spacing w:val="-1"/>
          <w:sz w:val="24"/>
          <w:szCs w:val="24"/>
          <w:highlight w:val="none"/>
          <w:u w:val="none" w:color="auto"/>
          <w:lang w:eastAsia="zh-CN"/>
        </w:rPr>
        <w:t>(7) 施工现场情况、工程特点及拟定的施工组织设计或施工方案；</w:t>
      </w:r>
      <w:bookmarkEnd w:id="127"/>
    </w:p>
    <w:p w14:paraId="337EADC7">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28" w:name="_Toc11570"/>
      <w:r>
        <w:rPr>
          <w:rFonts w:hint="eastAsia" w:ascii="宋体" w:hAnsi="宋体" w:eastAsia="宋体" w:cs="宋体"/>
          <w:color w:val="auto"/>
          <w:spacing w:val="-1"/>
          <w:sz w:val="24"/>
          <w:szCs w:val="24"/>
          <w:highlight w:val="none"/>
          <w:u w:val="none" w:color="auto"/>
          <w:lang w:eastAsia="zh-CN"/>
        </w:rPr>
        <w:t>(8) 与建设项目相关的标准、规定等技术资料；</w:t>
      </w:r>
      <w:bookmarkEnd w:id="128"/>
    </w:p>
    <w:p w14:paraId="74CACB46">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bookmarkStart w:id="129" w:name="_Toc8595"/>
      <w:r>
        <w:rPr>
          <w:rFonts w:hint="eastAsia" w:ascii="宋体" w:hAnsi="宋体" w:eastAsia="宋体" w:cs="宋体"/>
          <w:color w:val="auto"/>
          <w:spacing w:val="-1"/>
          <w:sz w:val="24"/>
          <w:szCs w:val="24"/>
          <w:highlight w:val="none"/>
          <w:u w:val="none" w:color="auto"/>
          <w:lang w:eastAsia="zh-CN"/>
        </w:rPr>
        <w:t>(9) 市场价格信息或工程造价管理机构发布的工程造价信息。</w:t>
      </w:r>
      <w:bookmarkEnd w:id="129"/>
    </w:p>
    <w:p w14:paraId="01CE18F8">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r>
        <w:rPr>
          <w:rFonts w:hint="eastAsia" w:ascii="宋体" w:hAnsi="宋体" w:eastAsia="宋体" w:cs="宋体"/>
          <w:color w:val="auto"/>
          <w:spacing w:val="-1"/>
          <w:sz w:val="24"/>
          <w:szCs w:val="24"/>
          <w:highlight w:val="none"/>
          <w:u w:val="none" w:color="auto"/>
          <w:lang w:eastAsia="zh-CN"/>
        </w:rPr>
        <w:t>备注：</w:t>
      </w:r>
    </w:p>
    <w:p w14:paraId="574D290E">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r>
        <w:rPr>
          <w:rFonts w:hint="eastAsia" w:ascii="宋体" w:hAnsi="宋体" w:eastAsia="宋体" w:cs="宋体"/>
          <w:color w:val="auto"/>
          <w:spacing w:val="-1"/>
          <w:sz w:val="24"/>
          <w:szCs w:val="24"/>
          <w:highlight w:val="none"/>
          <w:u w:val="none" w:color="auto"/>
          <w:lang w:eastAsia="zh-CN"/>
        </w:rPr>
        <w:t>1、投标人提供虚假材料，骗取中标的，中标无效，给招标人造成损失的，依法承担赔偿责任；参加投标的供应商届时将计入不良行为记录名单。如发现中标人提供的材料虚假或对标书所要求说明的情况故意隐瞒或虚报，则招标采购单位有权取消其中标资格，没收其投标保证金，并另行决定排名居其后的中标候选人中标（在标书有效期内）或由招标代理机构组织重新招标。</w:t>
      </w:r>
    </w:p>
    <w:p w14:paraId="797D38FE">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r>
        <w:rPr>
          <w:rFonts w:hint="eastAsia" w:ascii="宋体" w:hAnsi="宋体" w:eastAsia="宋体" w:cs="宋体"/>
          <w:color w:val="auto"/>
          <w:spacing w:val="-1"/>
          <w:sz w:val="24"/>
          <w:szCs w:val="24"/>
          <w:highlight w:val="none"/>
          <w:u w:val="none" w:color="auto"/>
          <w:lang w:eastAsia="zh-CN"/>
        </w:rPr>
        <w:t>2、有关说明：</w:t>
      </w:r>
    </w:p>
    <w:p w14:paraId="6AF455BA">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r>
        <w:rPr>
          <w:rFonts w:hint="eastAsia" w:ascii="宋体" w:hAnsi="宋体" w:eastAsia="宋体" w:cs="宋体"/>
          <w:color w:val="auto"/>
          <w:spacing w:val="-1"/>
          <w:sz w:val="24"/>
          <w:szCs w:val="24"/>
          <w:highlight w:val="none"/>
          <w:u w:val="none" w:color="auto"/>
          <w:lang w:eastAsia="zh-CN"/>
        </w:rPr>
        <w:t>2.1投标报价为最终报价（须按人民币报价）。</w:t>
      </w:r>
    </w:p>
    <w:p w14:paraId="07D06244">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r>
        <w:rPr>
          <w:rFonts w:hint="eastAsia" w:ascii="宋体" w:hAnsi="宋体" w:eastAsia="宋体" w:cs="宋体"/>
          <w:color w:val="auto"/>
          <w:spacing w:val="-1"/>
          <w:sz w:val="24"/>
          <w:szCs w:val="24"/>
          <w:highlight w:val="none"/>
          <w:u w:val="none" w:color="auto"/>
          <w:lang w:eastAsia="zh-CN"/>
        </w:rPr>
        <w:t>（1）供应商应按照单价、总价分别报价，并提供相应的配置明细表。</w:t>
      </w:r>
    </w:p>
    <w:p w14:paraId="347C6779">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r>
        <w:rPr>
          <w:rFonts w:hint="eastAsia" w:ascii="宋体" w:hAnsi="宋体" w:eastAsia="宋体" w:cs="宋体"/>
          <w:color w:val="auto"/>
          <w:spacing w:val="-1"/>
          <w:sz w:val="24"/>
          <w:szCs w:val="24"/>
          <w:highlight w:val="none"/>
          <w:u w:val="none" w:color="auto"/>
          <w:lang w:eastAsia="zh-CN"/>
        </w:rPr>
        <w:t>（2）各项报价应包括拟提供货物的运输、安装、服务等全部费用。</w:t>
      </w:r>
    </w:p>
    <w:p w14:paraId="4B881E25">
      <w:pPr>
        <w:keepNext w:val="0"/>
        <w:keepLines w:val="0"/>
        <w:pageBreakBefore w:val="0"/>
        <w:widowControl/>
        <w:kinsoku w:val="0"/>
        <w:wordWrap/>
        <w:overflowPunct/>
        <w:topLinePunct w:val="0"/>
        <w:autoSpaceDE w:val="0"/>
        <w:autoSpaceDN w:val="0"/>
        <w:bidi w:val="0"/>
        <w:adjustRightInd w:val="0"/>
        <w:snapToGrid w:val="0"/>
        <w:spacing w:before="34" w:line="264" w:lineRule="auto"/>
        <w:ind w:firstLine="476" w:firstLineChars="200"/>
        <w:jc w:val="both"/>
        <w:textAlignment w:val="baseline"/>
        <w:outlineLvl w:val="1"/>
        <w:rPr>
          <w:rFonts w:hint="eastAsia" w:ascii="宋体" w:hAnsi="宋体" w:eastAsia="宋体" w:cs="宋体"/>
          <w:color w:val="auto"/>
          <w:spacing w:val="-1"/>
          <w:sz w:val="24"/>
          <w:szCs w:val="24"/>
          <w:highlight w:val="none"/>
          <w:u w:val="none" w:color="auto"/>
          <w:lang w:eastAsia="zh-CN"/>
        </w:rPr>
      </w:pPr>
      <w:r>
        <w:rPr>
          <w:rFonts w:hint="eastAsia" w:ascii="宋体" w:hAnsi="宋体" w:eastAsia="宋体" w:cs="宋体"/>
          <w:color w:val="auto"/>
          <w:spacing w:val="-1"/>
          <w:sz w:val="24"/>
          <w:szCs w:val="24"/>
          <w:highlight w:val="none"/>
          <w:u w:val="none" w:color="auto"/>
          <w:lang w:eastAsia="zh-CN"/>
        </w:rPr>
        <w:t>2.2凡涉及招标文件的补充说明或修正，均以招标代理机构在新疆政府采购网政采云平台（</w:t>
      </w:r>
      <w:r>
        <w:rPr>
          <w:rFonts w:hint="eastAsia" w:ascii="宋体" w:hAnsi="宋体" w:eastAsia="宋体" w:cs="宋体"/>
          <w:color w:val="auto"/>
          <w:spacing w:val="-1"/>
          <w:sz w:val="24"/>
          <w:szCs w:val="24"/>
          <w:highlight w:val="none"/>
          <w:u w:val="none" w:color="auto"/>
          <w:lang w:eastAsia="zh-CN"/>
        </w:rPr>
        <w:fldChar w:fldCharType="begin"/>
      </w:r>
      <w:r>
        <w:rPr>
          <w:rFonts w:hint="eastAsia" w:ascii="宋体" w:hAnsi="宋体" w:eastAsia="宋体" w:cs="宋体"/>
          <w:color w:val="auto"/>
          <w:spacing w:val="-1"/>
          <w:sz w:val="24"/>
          <w:szCs w:val="24"/>
          <w:highlight w:val="none"/>
          <w:u w:val="none" w:color="auto"/>
          <w:lang w:eastAsia="zh-CN"/>
        </w:rPr>
        <w:instrText xml:space="preserve"> HYPERLINK "http://www.ccgp-xinjiang.gov.cn/" </w:instrText>
      </w:r>
      <w:r>
        <w:rPr>
          <w:rFonts w:hint="eastAsia" w:ascii="宋体" w:hAnsi="宋体" w:eastAsia="宋体" w:cs="宋体"/>
          <w:color w:val="auto"/>
          <w:spacing w:val="-1"/>
          <w:sz w:val="24"/>
          <w:szCs w:val="24"/>
          <w:highlight w:val="none"/>
          <w:u w:val="none" w:color="auto"/>
          <w:lang w:eastAsia="zh-CN"/>
        </w:rPr>
        <w:fldChar w:fldCharType="separate"/>
      </w:r>
      <w:r>
        <w:rPr>
          <w:rFonts w:hint="eastAsia" w:ascii="宋体" w:hAnsi="宋体" w:eastAsia="宋体" w:cs="宋体"/>
          <w:color w:val="auto"/>
          <w:spacing w:val="-1"/>
          <w:sz w:val="24"/>
          <w:szCs w:val="24"/>
          <w:highlight w:val="none"/>
          <w:u w:val="none" w:color="auto"/>
          <w:lang w:eastAsia="zh-CN"/>
        </w:rPr>
        <w:t>http://www.ccgp-xinjiang.gov.cn/</w:t>
      </w:r>
      <w:r>
        <w:rPr>
          <w:rFonts w:hint="eastAsia" w:ascii="宋体" w:hAnsi="宋体" w:eastAsia="宋体" w:cs="宋体"/>
          <w:color w:val="auto"/>
          <w:spacing w:val="-1"/>
          <w:sz w:val="24"/>
          <w:szCs w:val="24"/>
          <w:highlight w:val="none"/>
          <w:u w:val="none" w:color="auto"/>
          <w:lang w:eastAsia="zh-CN"/>
        </w:rPr>
        <w:fldChar w:fldCharType="end"/>
      </w:r>
      <w:r>
        <w:rPr>
          <w:rFonts w:hint="eastAsia" w:ascii="宋体" w:hAnsi="宋体" w:eastAsia="宋体" w:cs="宋体"/>
          <w:color w:val="auto"/>
          <w:spacing w:val="-1"/>
          <w:sz w:val="24"/>
          <w:szCs w:val="24"/>
          <w:highlight w:val="none"/>
          <w:u w:val="none" w:color="auto"/>
          <w:lang w:eastAsia="zh-CN"/>
        </w:rPr>
        <w:t>）发布澄清文件为准。</w:t>
      </w:r>
    </w:p>
    <w:p w14:paraId="0E1971D0">
      <w:pPr>
        <w:rPr>
          <w:rFonts w:hint="eastAsia" w:ascii="宋体" w:hAnsi="宋体" w:eastAsia="宋体" w:cs="宋体"/>
          <w:b/>
          <w:bCs/>
          <w:color w:val="auto"/>
          <w:spacing w:val="6"/>
          <w:sz w:val="31"/>
          <w:szCs w:val="31"/>
          <w:highlight w:val="none"/>
          <w:lang w:eastAsia="zh-CN"/>
        </w:rPr>
      </w:pPr>
      <w:r>
        <w:rPr>
          <w:rFonts w:hint="eastAsia" w:ascii="宋体" w:hAnsi="宋体" w:eastAsia="宋体" w:cs="宋体"/>
          <w:b/>
          <w:bCs/>
          <w:color w:val="auto"/>
          <w:spacing w:val="6"/>
          <w:sz w:val="31"/>
          <w:szCs w:val="31"/>
          <w:highlight w:val="none"/>
        </w:rPr>
        <w:br w:type="page"/>
      </w:r>
      <w:bookmarkEnd w:id="96"/>
    </w:p>
    <w:p w14:paraId="3C811F54">
      <w:pPr>
        <w:pStyle w:val="24"/>
        <w:keepNext w:val="0"/>
        <w:keepLines w:val="0"/>
        <w:pageBreakBefore w:val="0"/>
        <w:widowControl w:val="0"/>
        <w:numPr>
          <w:ilvl w:val="0"/>
          <w:numId w:val="0"/>
        </w:numPr>
        <w:kinsoku/>
        <w:wordWrap/>
        <w:overflowPunct/>
        <w:topLinePunct w:val="0"/>
        <w:bidi w:val="0"/>
        <w:snapToGrid/>
        <w:spacing w:line="440" w:lineRule="exact"/>
        <w:jc w:val="center"/>
        <w:textAlignment w:val="auto"/>
        <w:outlineLvl w:val="0"/>
        <w:rPr>
          <w:rFonts w:hint="default" w:eastAsia="宋体"/>
          <w:b/>
          <w:bCs/>
          <w:color w:val="auto"/>
          <w:sz w:val="36"/>
          <w:szCs w:val="36"/>
          <w:highlight w:val="none"/>
          <w:lang w:val="en-US" w:eastAsia="zh-CN"/>
        </w:rPr>
      </w:pPr>
      <w:bookmarkStart w:id="130" w:name="_Toc2161"/>
      <w:r>
        <w:rPr>
          <w:rFonts w:hint="eastAsia"/>
          <w:b/>
          <w:bCs/>
          <w:color w:val="auto"/>
          <w:sz w:val="36"/>
          <w:szCs w:val="36"/>
          <w:highlight w:val="none"/>
        </w:rPr>
        <w:t>第</w:t>
      </w:r>
      <w:r>
        <w:rPr>
          <w:rFonts w:hint="eastAsia"/>
          <w:b/>
          <w:bCs/>
          <w:color w:val="auto"/>
          <w:sz w:val="36"/>
          <w:szCs w:val="36"/>
          <w:highlight w:val="none"/>
          <w:lang w:val="en-US" w:eastAsia="zh-CN"/>
        </w:rPr>
        <w:t>四</w:t>
      </w:r>
      <w:r>
        <w:rPr>
          <w:rFonts w:hint="eastAsia"/>
          <w:b/>
          <w:bCs/>
          <w:color w:val="auto"/>
          <w:sz w:val="36"/>
          <w:szCs w:val="36"/>
          <w:highlight w:val="none"/>
          <w:lang w:eastAsia="zh-CN"/>
        </w:rPr>
        <w:t>章</w:t>
      </w:r>
      <w:r>
        <w:rPr>
          <w:rFonts w:hint="eastAsia"/>
          <w:b/>
          <w:bCs/>
          <w:color w:val="auto"/>
          <w:sz w:val="36"/>
          <w:szCs w:val="36"/>
          <w:highlight w:val="none"/>
        </w:rPr>
        <w:t xml:space="preserve">  合同</w:t>
      </w:r>
      <w:r>
        <w:rPr>
          <w:rFonts w:hint="eastAsia"/>
          <w:b/>
          <w:bCs/>
          <w:color w:val="auto"/>
          <w:sz w:val="36"/>
          <w:szCs w:val="36"/>
          <w:highlight w:val="none"/>
          <w:lang w:val="en-US" w:eastAsia="zh-CN"/>
        </w:rPr>
        <w:t>文本（仅供参考）</w:t>
      </w:r>
      <w:bookmarkEnd w:id="130"/>
    </w:p>
    <w:p w14:paraId="3A0BBD46">
      <w:pPr>
        <w:pStyle w:val="25"/>
        <w:pageBreakBefore w:val="0"/>
        <w:widowControl w:val="0"/>
        <w:kinsoku/>
        <w:wordWrap/>
        <w:overflowPunct/>
        <w:topLinePunct w:val="0"/>
        <w:bidi w:val="0"/>
        <w:snapToGrid/>
        <w:spacing w:before="120" w:after="120" w:line="440" w:lineRule="exact"/>
        <w:ind w:firstLine="480" w:firstLineChars="200"/>
        <w:textAlignment w:val="auto"/>
        <w:rPr>
          <w:rStyle w:val="18"/>
          <w:rFonts w:ascii="宋体" w:hAnsi="宋体" w:eastAsia="宋体" w:cs="宋体"/>
          <w:b w:val="0"/>
          <w:color w:val="auto"/>
          <w:sz w:val="24"/>
          <w:szCs w:val="24"/>
          <w:highlight w:val="none"/>
        </w:rPr>
      </w:pPr>
      <w:bookmarkStart w:id="131" w:name="_Toc256000104"/>
      <w:bookmarkStart w:id="132" w:name="_Toc256000140"/>
      <w:r>
        <w:rPr>
          <w:rStyle w:val="18"/>
          <w:rFonts w:hint="eastAsia" w:ascii="宋体" w:hAnsi="宋体" w:eastAsia="宋体" w:cs="宋体"/>
          <w:b w:val="0"/>
          <w:color w:val="auto"/>
          <w:sz w:val="24"/>
          <w:szCs w:val="24"/>
          <w:highlight w:val="none"/>
        </w:rPr>
        <w:t>1. 一般约定</w:t>
      </w:r>
      <w:bookmarkEnd w:id="131"/>
    </w:p>
    <w:p w14:paraId="6E3690AD">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1.1 </w:t>
      </w:r>
      <w:r>
        <w:rPr>
          <w:rStyle w:val="18"/>
          <w:rFonts w:hint="eastAsia" w:ascii="宋体" w:hAnsi="宋体" w:eastAsia="宋体" w:cs="Times New Roman"/>
          <w:color w:val="auto"/>
          <w:sz w:val="24"/>
          <w:szCs w:val="24"/>
          <w:highlight w:val="none"/>
        </w:rPr>
        <w:t>词语定义</w:t>
      </w:r>
    </w:p>
    <w:p w14:paraId="3CFF96A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1.1.1</w:t>
      </w:r>
      <w:r>
        <w:rPr>
          <w:rStyle w:val="18"/>
          <w:rFonts w:hint="eastAsia" w:ascii="宋体" w:hAnsi="宋体" w:eastAsia="宋体" w:cs="Times New Roman"/>
          <w:color w:val="auto"/>
          <w:kern w:val="0"/>
          <w:sz w:val="24"/>
          <w:szCs w:val="24"/>
          <w:highlight w:val="none"/>
        </w:rPr>
        <w:t>合同</w:t>
      </w:r>
    </w:p>
    <w:p w14:paraId="33B8BE1C">
      <w:pPr>
        <w:pStyle w:val="26"/>
        <w:pageBreakBefore w:val="0"/>
        <w:widowControl w:val="0"/>
        <w:kinsoku/>
        <w:wordWrap/>
        <w:overflowPunct/>
        <w:topLinePunct w:val="0"/>
        <w:bidi w:val="0"/>
        <w:snapToGrid/>
        <w:spacing w:line="440" w:lineRule="exact"/>
        <w:ind w:left="907" w:leftChars="228" w:hanging="360" w:hangingChars="15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1.1.1.10</w:t>
      </w:r>
      <w:r>
        <w:rPr>
          <w:rStyle w:val="18"/>
          <w:rFonts w:hint="eastAsia" w:ascii="宋体" w:hAnsi="宋体" w:eastAsia="宋体" w:cs="Times New Roman"/>
          <w:color w:val="auto"/>
          <w:kern w:val="0"/>
          <w:sz w:val="24"/>
          <w:szCs w:val="24"/>
          <w:highlight w:val="none"/>
        </w:rPr>
        <w:t>其他合同文件包括：</w:t>
      </w:r>
      <w:bookmarkStart w:id="133" w:name="EBcadbf329698846f6b29edfc26dedf693"/>
      <w:r>
        <w:rPr>
          <w:rStyle w:val="18"/>
          <w:rFonts w:hint="eastAsia" w:ascii="宋体" w:hAnsi="宋体" w:eastAsia="宋体" w:cs="Times New Roman"/>
          <w:color w:val="auto"/>
          <w:kern w:val="0"/>
          <w:sz w:val="24"/>
          <w:szCs w:val="24"/>
          <w:highlight w:val="none"/>
        </w:rPr>
        <w:t>（1）中标通知书（如果有）；（2）投标函及其附录（如果有）；（3）专用合同条款及其附件；（4）通用合同条款；（5）技术标准和要求；（6）图纸；（7）已标价工程量清单或预算书；（8）其他合同文件。</w:t>
      </w:r>
      <w:bookmarkEnd w:id="133"/>
      <w:r>
        <w:rPr>
          <w:rStyle w:val="18"/>
          <w:rFonts w:ascii="宋体" w:hAnsi="宋体" w:eastAsia="宋体" w:cs="Times New Roman"/>
          <w:color w:val="auto"/>
          <w:kern w:val="0"/>
          <w:sz w:val="24"/>
          <w:szCs w:val="24"/>
          <w:highlight w:val="none"/>
        </w:rPr>
        <w:t xml:space="preserve"> </w:t>
      </w:r>
    </w:p>
    <w:p w14:paraId="64E0FAD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1.1.2 </w:t>
      </w:r>
      <w:r>
        <w:rPr>
          <w:rStyle w:val="18"/>
          <w:rFonts w:hint="eastAsia" w:ascii="宋体" w:hAnsi="宋体" w:eastAsia="宋体" w:cs="Times New Roman"/>
          <w:color w:val="auto"/>
          <w:sz w:val="24"/>
          <w:szCs w:val="24"/>
          <w:highlight w:val="none"/>
        </w:rPr>
        <w:t>合同当事人及其他相关方</w:t>
      </w:r>
    </w:p>
    <w:p w14:paraId="1784329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1.1.2.4</w:t>
      </w:r>
      <w:r>
        <w:rPr>
          <w:rStyle w:val="18"/>
          <w:rFonts w:hint="eastAsia" w:ascii="宋体" w:hAnsi="宋体" w:eastAsia="宋体" w:cs="Times New Roman"/>
          <w:color w:val="auto"/>
          <w:sz w:val="24"/>
          <w:szCs w:val="24"/>
          <w:highlight w:val="none"/>
        </w:rPr>
        <w:t>监理人：</w:t>
      </w:r>
    </w:p>
    <w:p w14:paraId="158DB9F2">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名</w:t>
      </w:r>
      <w:r>
        <w:rPr>
          <w:rStyle w:val="18"/>
          <w:rFonts w:ascii="宋体" w:hAnsi="宋体" w:eastAsia="宋体" w:cs="Times New Roman"/>
          <w:color w:val="auto"/>
          <w:sz w:val="24"/>
          <w:szCs w:val="24"/>
          <w:highlight w:val="none"/>
        </w:rPr>
        <w:t xml:space="preserve">    </w:t>
      </w:r>
      <w:r>
        <w:rPr>
          <w:rStyle w:val="18"/>
          <w:rFonts w:hint="eastAsia" w:ascii="宋体" w:hAnsi="宋体" w:eastAsia="宋体" w:cs="Times New Roman"/>
          <w:color w:val="auto"/>
          <w:sz w:val="24"/>
          <w:szCs w:val="24"/>
          <w:highlight w:val="none"/>
        </w:rPr>
        <w:t>称：</w:t>
      </w:r>
      <w:bookmarkStart w:id="134" w:name="EB77efdc944542484bacc0a25eeaab18e3"/>
      <w:bookmarkEnd w:id="134"/>
      <w:r>
        <w:rPr>
          <w:rStyle w:val="18"/>
          <w:rFonts w:hint="eastAsia" w:ascii="宋体" w:hAnsi="宋体" w:eastAsia="宋体" w:cs="Times New Roman"/>
          <w:color w:val="auto"/>
          <w:sz w:val="24"/>
          <w:szCs w:val="24"/>
          <w:highlight w:val="none"/>
        </w:rPr>
        <w:t>；</w:t>
      </w:r>
    </w:p>
    <w:p w14:paraId="030CAEB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资质类别和等级：</w:t>
      </w:r>
      <w:bookmarkStart w:id="135" w:name="EBb0f1feddd4c144989d7fd6ee5ec6d746"/>
      <w:bookmarkEnd w:id="135"/>
      <w:r>
        <w:rPr>
          <w:rStyle w:val="18"/>
          <w:rFonts w:hint="eastAsia" w:ascii="宋体" w:hAnsi="宋体" w:eastAsia="宋体" w:cs="Times New Roman"/>
          <w:color w:val="auto"/>
          <w:sz w:val="24"/>
          <w:szCs w:val="24"/>
          <w:highlight w:val="none"/>
        </w:rPr>
        <w:t>；</w:t>
      </w:r>
    </w:p>
    <w:p w14:paraId="52B2DE8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联系电话：</w:t>
      </w:r>
      <w:bookmarkStart w:id="136" w:name="EBfe533451a4a04b3b81a4d10d73c86459"/>
      <w:bookmarkEnd w:id="136"/>
      <w:r>
        <w:rPr>
          <w:rStyle w:val="18"/>
          <w:rFonts w:hint="eastAsia" w:ascii="宋体" w:hAnsi="宋体" w:eastAsia="宋体" w:cs="Times New Roman"/>
          <w:color w:val="auto"/>
          <w:sz w:val="24"/>
          <w:szCs w:val="24"/>
          <w:highlight w:val="none"/>
        </w:rPr>
        <w:t>；</w:t>
      </w:r>
    </w:p>
    <w:p w14:paraId="710540F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电子信箱：</w:t>
      </w:r>
      <w:bookmarkStart w:id="137" w:name="EB9f97863c8e334ad8bc4af4ea3b12963c"/>
      <w:bookmarkEnd w:id="137"/>
      <w:r>
        <w:rPr>
          <w:rStyle w:val="18"/>
          <w:rFonts w:hint="eastAsia" w:ascii="宋体" w:hAnsi="宋体" w:eastAsia="宋体" w:cs="Times New Roman"/>
          <w:color w:val="auto"/>
          <w:sz w:val="24"/>
          <w:szCs w:val="24"/>
          <w:highlight w:val="none"/>
        </w:rPr>
        <w:t>；</w:t>
      </w:r>
    </w:p>
    <w:p w14:paraId="78767BD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通信地址：</w:t>
      </w:r>
      <w:bookmarkStart w:id="138" w:name="EBb5e681d01738464cb4b18cbe2d30564a"/>
      <w:bookmarkEnd w:id="138"/>
      <w:r>
        <w:rPr>
          <w:rStyle w:val="18"/>
          <w:rFonts w:hint="eastAsia" w:ascii="宋体" w:hAnsi="宋体" w:eastAsia="宋体" w:cs="Times New Roman"/>
          <w:color w:val="auto"/>
          <w:sz w:val="24"/>
          <w:szCs w:val="24"/>
          <w:highlight w:val="none"/>
        </w:rPr>
        <w:t>。</w:t>
      </w:r>
    </w:p>
    <w:p w14:paraId="0B43D2C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1.1.2.5 </w:t>
      </w:r>
      <w:r>
        <w:rPr>
          <w:rStyle w:val="18"/>
          <w:rFonts w:hint="eastAsia" w:ascii="宋体" w:hAnsi="宋体" w:eastAsia="宋体" w:cs="Times New Roman"/>
          <w:color w:val="auto"/>
          <w:sz w:val="24"/>
          <w:szCs w:val="24"/>
          <w:highlight w:val="none"/>
        </w:rPr>
        <w:t>设计人：</w:t>
      </w:r>
    </w:p>
    <w:p w14:paraId="2667E9A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名</w:t>
      </w:r>
      <w:r>
        <w:rPr>
          <w:rStyle w:val="18"/>
          <w:rFonts w:ascii="宋体" w:hAnsi="宋体" w:eastAsia="宋体" w:cs="Times New Roman"/>
          <w:color w:val="auto"/>
          <w:sz w:val="24"/>
          <w:szCs w:val="24"/>
          <w:highlight w:val="none"/>
        </w:rPr>
        <w:t xml:space="preserve">    </w:t>
      </w:r>
      <w:r>
        <w:rPr>
          <w:rStyle w:val="18"/>
          <w:rFonts w:hint="eastAsia" w:ascii="宋体" w:hAnsi="宋体" w:eastAsia="宋体" w:cs="Times New Roman"/>
          <w:color w:val="auto"/>
          <w:sz w:val="24"/>
          <w:szCs w:val="24"/>
          <w:highlight w:val="none"/>
        </w:rPr>
        <w:t>称：</w:t>
      </w:r>
      <w:bookmarkStart w:id="139" w:name="EBd2f8978d5ea74338b62f68d6a15ae07b"/>
      <w:bookmarkEnd w:id="139"/>
      <w:r>
        <w:rPr>
          <w:rStyle w:val="18"/>
          <w:rFonts w:hint="eastAsia" w:ascii="宋体" w:hAnsi="宋体" w:eastAsia="宋体" w:cs="Times New Roman"/>
          <w:color w:val="auto"/>
          <w:sz w:val="24"/>
          <w:szCs w:val="24"/>
          <w:highlight w:val="none"/>
        </w:rPr>
        <w:t>；</w:t>
      </w:r>
    </w:p>
    <w:p w14:paraId="0D0E21A2">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资质类别和等级：</w:t>
      </w:r>
      <w:bookmarkStart w:id="140" w:name="EB8e248ca3f5314cc283c1fc0eeb80c938"/>
      <w:bookmarkEnd w:id="140"/>
      <w:r>
        <w:rPr>
          <w:rStyle w:val="18"/>
          <w:rFonts w:hint="eastAsia" w:ascii="宋体" w:hAnsi="宋体" w:eastAsia="宋体" w:cs="Times New Roman"/>
          <w:color w:val="auto"/>
          <w:sz w:val="24"/>
          <w:szCs w:val="24"/>
          <w:highlight w:val="none"/>
        </w:rPr>
        <w:t>；</w:t>
      </w:r>
    </w:p>
    <w:p w14:paraId="0083E6C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联系电话：</w:t>
      </w:r>
      <w:bookmarkStart w:id="141" w:name="EBf7163d4718b849cfa143fc10da2d1490"/>
      <w:bookmarkEnd w:id="141"/>
      <w:r>
        <w:rPr>
          <w:rStyle w:val="18"/>
          <w:rFonts w:hint="eastAsia" w:ascii="宋体" w:hAnsi="宋体" w:eastAsia="宋体" w:cs="Times New Roman"/>
          <w:color w:val="auto"/>
          <w:sz w:val="24"/>
          <w:szCs w:val="24"/>
          <w:highlight w:val="none"/>
        </w:rPr>
        <w:t>；</w:t>
      </w:r>
    </w:p>
    <w:p w14:paraId="403D715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电子信箱：</w:t>
      </w:r>
      <w:bookmarkStart w:id="142" w:name="EBe97152b8116b46399d9297a21ff731af"/>
      <w:bookmarkEnd w:id="142"/>
      <w:r>
        <w:rPr>
          <w:rStyle w:val="18"/>
          <w:rFonts w:hint="eastAsia" w:ascii="宋体" w:hAnsi="宋体" w:eastAsia="宋体" w:cs="Times New Roman"/>
          <w:color w:val="auto"/>
          <w:sz w:val="24"/>
          <w:szCs w:val="24"/>
          <w:highlight w:val="none"/>
        </w:rPr>
        <w:t>；</w:t>
      </w:r>
    </w:p>
    <w:p w14:paraId="2E610E7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通信地址：</w:t>
      </w:r>
      <w:bookmarkStart w:id="143" w:name="EB4cac4d6a3a71419dbe791f205a61febe"/>
      <w:bookmarkEnd w:id="143"/>
      <w:r>
        <w:rPr>
          <w:rStyle w:val="18"/>
          <w:rFonts w:hint="eastAsia" w:ascii="宋体" w:hAnsi="宋体" w:eastAsia="宋体" w:cs="Times New Roman"/>
          <w:color w:val="auto"/>
          <w:sz w:val="24"/>
          <w:szCs w:val="24"/>
          <w:highlight w:val="none"/>
        </w:rPr>
        <w:t>。</w:t>
      </w:r>
    </w:p>
    <w:p w14:paraId="0C70CC7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1.1.3 </w:t>
      </w:r>
      <w:r>
        <w:rPr>
          <w:rStyle w:val="18"/>
          <w:rFonts w:hint="eastAsia" w:ascii="宋体" w:hAnsi="宋体" w:eastAsia="宋体" w:cs="Times New Roman"/>
          <w:color w:val="auto"/>
          <w:sz w:val="24"/>
          <w:szCs w:val="24"/>
          <w:highlight w:val="none"/>
        </w:rPr>
        <w:t>工程和设备</w:t>
      </w:r>
    </w:p>
    <w:p w14:paraId="22A6E44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1.1.3.7 </w:t>
      </w:r>
      <w:r>
        <w:rPr>
          <w:rStyle w:val="18"/>
          <w:rFonts w:hint="eastAsia" w:ascii="宋体" w:hAnsi="宋体" w:eastAsia="宋体" w:cs="Times New Roman"/>
          <w:color w:val="auto"/>
          <w:sz w:val="24"/>
          <w:szCs w:val="24"/>
          <w:highlight w:val="none"/>
        </w:rPr>
        <w:t>作为施工现场组成部分的其他场所包括：</w:t>
      </w:r>
      <w:bookmarkStart w:id="144" w:name="EB756ebf11505a49b5b1b5a07c94eaf3af"/>
      <w:bookmarkEnd w:id="144"/>
      <w:r>
        <w:rPr>
          <w:rStyle w:val="18"/>
          <w:rFonts w:hint="eastAsia" w:ascii="宋体" w:hAnsi="宋体" w:eastAsia="宋体" w:cs="Times New Roman"/>
          <w:color w:val="auto"/>
          <w:sz w:val="24"/>
          <w:szCs w:val="24"/>
          <w:highlight w:val="none"/>
        </w:rPr>
        <w:t>。</w:t>
      </w:r>
    </w:p>
    <w:p w14:paraId="15EC07A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 xml:space="preserve">1.1.3.9 </w:t>
      </w:r>
      <w:r>
        <w:rPr>
          <w:rStyle w:val="18"/>
          <w:rFonts w:hint="eastAsia" w:ascii="宋体" w:hAnsi="宋体" w:eastAsia="宋体" w:cs="Times New Roman"/>
          <w:color w:val="auto"/>
          <w:kern w:val="0"/>
          <w:sz w:val="24"/>
          <w:szCs w:val="24"/>
          <w:highlight w:val="none"/>
        </w:rPr>
        <w:t>永久占地包括：</w:t>
      </w:r>
      <w:bookmarkStart w:id="145" w:name="EB6e59b18771b844ee81e26eb9152effbf"/>
      <w:bookmarkEnd w:id="145"/>
      <w:r>
        <w:rPr>
          <w:rStyle w:val="18"/>
          <w:rFonts w:hint="eastAsia" w:ascii="宋体" w:hAnsi="宋体" w:eastAsia="宋体" w:cs="Times New Roman"/>
          <w:color w:val="auto"/>
          <w:kern w:val="0"/>
          <w:sz w:val="24"/>
          <w:szCs w:val="24"/>
          <w:highlight w:val="none"/>
        </w:rPr>
        <w:t>。</w:t>
      </w:r>
    </w:p>
    <w:p w14:paraId="0E39EB4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kern w:val="0"/>
          <w:sz w:val="24"/>
          <w:szCs w:val="24"/>
          <w:highlight w:val="none"/>
        </w:rPr>
        <w:t xml:space="preserve">1.1.3.10 </w:t>
      </w:r>
      <w:r>
        <w:rPr>
          <w:rStyle w:val="18"/>
          <w:rFonts w:hint="eastAsia" w:ascii="宋体" w:hAnsi="宋体" w:eastAsia="宋体" w:cs="Times New Roman"/>
          <w:color w:val="auto"/>
          <w:kern w:val="0"/>
          <w:sz w:val="24"/>
          <w:szCs w:val="24"/>
          <w:highlight w:val="none"/>
        </w:rPr>
        <w:t>临时占地包括：</w:t>
      </w:r>
      <w:bookmarkStart w:id="146" w:name="EBfa34973413814446ab72edca7f13aa08"/>
      <w:bookmarkEnd w:id="146"/>
      <w:r>
        <w:rPr>
          <w:rStyle w:val="18"/>
          <w:rFonts w:hint="eastAsia" w:ascii="宋体" w:hAnsi="宋体" w:eastAsia="宋体" w:cs="Times New Roman"/>
          <w:color w:val="auto"/>
          <w:kern w:val="0"/>
          <w:sz w:val="24"/>
          <w:szCs w:val="24"/>
          <w:highlight w:val="none"/>
        </w:rPr>
        <w:t>。</w:t>
      </w:r>
    </w:p>
    <w:p w14:paraId="72239970">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1.3</w:t>
      </w:r>
      <w:r>
        <w:rPr>
          <w:rStyle w:val="18"/>
          <w:rFonts w:hint="eastAsia" w:ascii="宋体" w:hAnsi="宋体" w:eastAsia="宋体" w:cs="Times New Roman"/>
          <w:color w:val="auto"/>
          <w:sz w:val="24"/>
          <w:szCs w:val="24"/>
          <w:highlight w:val="none"/>
        </w:rPr>
        <w:t>法律</w:t>
      </w:r>
      <w:r>
        <w:rPr>
          <w:rStyle w:val="18"/>
          <w:rFonts w:ascii="宋体" w:hAnsi="宋体" w:eastAsia="宋体" w:cs="Times New Roman"/>
          <w:color w:val="auto"/>
          <w:sz w:val="24"/>
          <w:szCs w:val="24"/>
          <w:highlight w:val="none"/>
        </w:rPr>
        <w:t xml:space="preserve"> </w:t>
      </w:r>
    </w:p>
    <w:p w14:paraId="70D67159">
      <w:pPr>
        <w:pStyle w:val="26"/>
        <w:pageBreakBefore w:val="0"/>
        <w:widowControl w:val="0"/>
        <w:kinsoku/>
        <w:wordWrap/>
        <w:overflowPunct/>
        <w:topLinePunct w:val="0"/>
        <w:autoSpaceDE w:val="0"/>
        <w:autoSpaceDN w:val="0"/>
        <w:bidi w:val="0"/>
        <w:adjustRightInd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适用于合同的其他规范性文件：</w:t>
      </w:r>
      <w:bookmarkStart w:id="147" w:name="EBadf7da6ae3b84e348a2facda7db7bca0"/>
      <w:r>
        <w:rPr>
          <w:rStyle w:val="18"/>
          <w:rFonts w:hint="eastAsia" w:ascii="宋体" w:hAnsi="宋体" w:eastAsia="宋体" w:cs="Times New Roman"/>
          <w:color w:val="auto"/>
          <w:sz w:val="24"/>
          <w:szCs w:val="24"/>
          <w:highlight w:val="none"/>
        </w:rPr>
        <w:t>《中华人民共和国民法典》、《中华人民共和国建筑法》、《建设工程质量管理条例》、《建设工程安全生产管理条例》、《新疆维吾尔自治区建筑市场管理条例》等国家法规及自治区和地方的有关规定 。</w:t>
      </w:r>
      <w:bookmarkEnd w:id="147"/>
    </w:p>
    <w:p w14:paraId="11706CEC">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1.4 </w:t>
      </w:r>
      <w:r>
        <w:rPr>
          <w:rStyle w:val="18"/>
          <w:rFonts w:hint="eastAsia" w:ascii="宋体" w:hAnsi="宋体" w:eastAsia="宋体" w:cs="Times New Roman"/>
          <w:color w:val="auto"/>
          <w:sz w:val="24"/>
          <w:szCs w:val="24"/>
          <w:highlight w:val="none"/>
        </w:rPr>
        <w:t>标准和规范</w:t>
      </w:r>
    </w:p>
    <w:p w14:paraId="7CF6915D">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1.4.1</w:t>
      </w:r>
      <w:r>
        <w:rPr>
          <w:rStyle w:val="18"/>
          <w:rFonts w:hint="eastAsia" w:ascii="宋体" w:hAnsi="宋体" w:eastAsia="宋体" w:cs="Times New Roman"/>
          <w:color w:val="auto"/>
          <w:sz w:val="24"/>
          <w:szCs w:val="24"/>
          <w:highlight w:val="none"/>
        </w:rPr>
        <w:t>适用于工程的标准规范包括：</w:t>
      </w:r>
      <w:bookmarkStart w:id="148" w:name="EB83ba6d1a9f3647539daad25d728958e7"/>
      <w:r>
        <w:rPr>
          <w:rStyle w:val="18"/>
          <w:rFonts w:hint="eastAsia" w:ascii="宋体" w:hAnsi="宋体" w:eastAsia="宋体" w:cs="Times New Roman"/>
          <w:color w:val="auto"/>
          <w:sz w:val="24"/>
          <w:szCs w:val="24"/>
          <w:highlight w:val="none"/>
        </w:rPr>
        <w:t>现行国家及自治区的施工验收规范及质量评定标准。</w:t>
      </w:r>
      <w:bookmarkEnd w:id="148"/>
    </w:p>
    <w:p w14:paraId="773E6EF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 xml:space="preserve">1.4.2 </w:t>
      </w:r>
      <w:r>
        <w:rPr>
          <w:rStyle w:val="18"/>
          <w:rFonts w:hint="eastAsia" w:ascii="宋体" w:hAnsi="宋体" w:eastAsia="宋体" w:cs="Times New Roman"/>
          <w:color w:val="auto"/>
          <w:kern w:val="0"/>
          <w:sz w:val="24"/>
          <w:szCs w:val="24"/>
          <w:highlight w:val="none"/>
        </w:rPr>
        <w:t>发包人提供国外标准、规范的名称：</w:t>
      </w:r>
      <w:bookmarkStart w:id="149" w:name="EBe8ff597e056d42ed9cd45a4e015abffa"/>
      <w:bookmarkEnd w:id="149"/>
      <w:r>
        <w:rPr>
          <w:rStyle w:val="18"/>
          <w:rFonts w:hint="eastAsia" w:ascii="宋体" w:hAnsi="宋体" w:eastAsia="宋体" w:cs="Times New Roman"/>
          <w:color w:val="auto"/>
          <w:kern w:val="0"/>
          <w:sz w:val="24"/>
          <w:szCs w:val="24"/>
          <w:highlight w:val="none"/>
        </w:rPr>
        <w:t>；</w:t>
      </w:r>
    </w:p>
    <w:p w14:paraId="60447E5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发包人提供国外标准、规范的份数：</w:t>
      </w:r>
      <w:bookmarkStart w:id="150" w:name="EB5799ff4dac504cb3947174e090ce20ff"/>
      <w:bookmarkEnd w:id="150"/>
      <w:r>
        <w:rPr>
          <w:rStyle w:val="18"/>
          <w:rFonts w:hint="eastAsia" w:ascii="宋体" w:hAnsi="宋体" w:eastAsia="宋体" w:cs="Times New Roman"/>
          <w:color w:val="auto"/>
          <w:kern w:val="0"/>
          <w:sz w:val="24"/>
          <w:szCs w:val="24"/>
          <w:highlight w:val="none"/>
        </w:rPr>
        <w:t>；</w:t>
      </w:r>
    </w:p>
    <w:p w14:paraId="54F03A9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发包人提供国外标准、规范的名称：</w:t>
      </w:r>
      <w:bookmarkStart w:id="151" w:name="EBa1960edef3e843feb2526560a813da68"/>
      <w:bookmarkEnd w:id="151"/>
      <w:r>
        <w:rPr>
          <w:rStyle w:val="18"/>
          <w:rFonts w:hint="eastAsia" w:ascii="宋体" w:hAnsi="宋体" w:eastAsia="宋体" w:cs="Times New Roman"/>
          <w:color w:val="auto"/>
          <w:kern w:val="0"/>
          <w:sz w:val="24"/>
          <w:szCs w:val="24"/>
          <w:highlight w:val="none"/>
        </w:rPr>
        <w:t>。</w:t>
      </w:r>
    </w:p>
    <w:p w14:paraId="0D1CAE22">
      <w:pPr>
        <w:pStyle w:val="26"/>
        <w:pageBreakBefore w:val="0"/>
        <w:widowControl w:val="0"/>
        <w:kinsoku/>
        <w:wordWrap/>
        <w:overflowPunct/>
        <w:topLinePunct w:val="0"/>
        <w:bidi w:val="0"/>
        <w:snapToGrid/>
        <w:spacing w:line="440" w:lineRule="exact"/>
        <w:ind w:left="682" w:leftChars="284"/>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1.4.3</w:t>
      </w:r>
      <w:r>
        <w:rPr>
          <w:rStyle w:val="18"/>
          <w:rFonts w:hint="eastAsia" w:ascii="宋体" w:hAnsi="宋体" w:eastAsia="宋体" w:cs="Times New Roman"/>
          <w:color w:val="auto"/>
          <w:sz w:val="24"/>
          <w:szCs w:val="24"/>
          <w:highlight w:val="none"/>
        </w:rPr>
        <w:t>发包人对工程的技术标准和功能要求的特殊要求：</w:t>
      </w:r>
      <w:bookmarkStart w:id="152" w:name="EBb392b1e05d3c4df79e9a4c515aa6e28a"/>
      <w:bookmarkEnd w:id="152"/>
      <w:r>
        <w:rPr>
          <w:rStyle w:val="18"/>
          <w:rFonts w:hint="eastAsia" w:ascii="宋体" w:hAnsi="宋体" w:eastAsia="宋体" w:cs="Times New Roman"/>
          <w:color w:val="auto"/>
          <w:sz w:val="24"/>
          <w:szCs w:val="24"/>
          <w:highlight w:val="none"/>
        </w:rPr>
        <w:t>。</w:t>
      </w:r>
    </w:p>
    <w:p w14:paraId="7273A37D">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1.5 </w:t>
      </w:r>
      <w:r>
        <w:rPr>
          <w:rStyle w:val="18"/>
          <w:rFonts w:hint="eastAsia" w:ascii="宋体" w:hAnsi="宋体" w:eastAsia="宋体" w:cs="Times New Roman"/>
          <w:color w:val="auto"/>
          <w:sz w:val="24"/>
          <w:szCs w:val="24"/>
          <w:highlight w:val="none"/>
        </w:rPr>
        <w:t>合同文件的优先顺序</w:t>
      </w:r>
    </w:p>
    <w:p w14:paraId="0DACCA2E">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合同文件组成及优先顺序为：</w:t>
      </w:r>
      <w:bookmarkStart w:id="153" w:name="EB70386737e1424d298c794010b4a7535c"/>
      <w:r>
        <w:rPr>
          <w:rStyle w:val="18"/>
          <w:rFonts w:hint="eastAsia" w:ascii="宋体" w:hAnsi="宋体" w:eastAsia="宋体" w:cs="Times New Roman"/>
          <w:color w:val="auto"/>
          <w:sz w:val="24"/>
          <w:szCs w:val="24"/>
          <w:highlight w:val="none"/>
        </w:rPr>
        <w:t>执行通用合同条款1.5条。</w:t>
      </w:r>
      <w:bookmarkEnd w:id="153"/>
    </w:p>
    <w:p w14:paraId="67489E6F">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1.6 </w:t>
      </w:r>
      <w:r>
        <w:rPr>
          <w:rStyle w:val="18"/>
          <w:rFonts w:hint="eastAsia" w:ascii="宋体" w:hAnsi="宋体" w:eastAsia="宋体" w:cs="Times New Roman"/>
          <w:color w:val="auto"/>
          <w:sz w:val="24"/>
          <w:szCs w:val="24"/>
          <w:highlight w:val="none"/>
        </w:rPr>
        <w:t>图纸和承包人文件</w:t>
      </w:r>
      <w:r>
        <w:rPr>
          <w:rStyle w:val="18"/>
          <w:rFonts w:ascii="宋体" w:hAnsi="宋体" w:eastAsia="宋体" w:cs="Times New Roman"/>
          <w:color w:val="auto"/>
          <w:sz w:val="24"/>
          <w:szCs w:val="24"/>
          <w:highlight w:val="none"/>
        </w:rPr>
        <w:tab/>
      </w:r>
    </w:p>
    <w:p w14:paraId="43DCF732">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1.6.1 </w:t>
      </w:r>
      <w:r>
        <w:rPr>
          <w:rStyle w:val="18"/>
          <w:rFonts w:hint="eastAsia" w:ascii="宋体" w:hAnsi="宋体" w:eastAsia="宋体" w:cs="Times New Roman"/>
          <w:color w:val="auto"/>
          <w:sz w:val="24"/>
          <w:szCs w:val="24"/>
          <w:highlight w:val="none"/>
        </w:rPr>
        <w:t>图纸的提供</w:t>
      </w:r>
    </w:p>
    <w:p w14:paraId="6EC5298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发包人向承包人提供图纸的期限：</w:t>
      </w:r>
      <w:bookmarkStart w:id="154" w:name="EB2be9329136324daba9c911a5ba6badfe"/>
      <w:bookmarkEnd w:id="154"/>
      <w:r>
        <w:rPr>
          <w:rStyle w:val="18"/>
          <w:rFonts w:hint="eastAsia" w:ascii="宋体" w:hAnsi="宋体" w:eastAsia="宋体" w:cs="Times New Roman"/>
          <w:color w:val="auto"/>
          <w:sz w:val="24"/>
          <w:szCs w:val="24"/>
          <w:highlight w:val="none"/>
        </w:rPr>
        <w:t>；</w:t>
      </w:r>
    </w:p>
    <w:p w14:paraId="6374B97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发包人向承包人提供图纸的数量：</w:t>
      </w:r>
      <w:bookmarkStart w:id="155" w:name="EB3bc8c4fa14594e02814f4a8ead70bbad"/>
      <w:bookmarkEnd w:id="155"/>
      <w:r>
        <w:rPr>
          <w:rStyle w:val="18"/>
          <w:rFonts w:hint="eastAsia" w:ascii="宋体" w:hAnsi="宋体" w:eastAsia="宋体" w:cs="Times New Roman"/>
          <w:color w:val="auto"/>
          <w:sz w:val="24"/>
          <w:szCs w:val="24"/>
          <w:highlight w:val="none"/>
        </w:rPr>
        <w:t>；</w:t>
      </w:r>
    </w:p>
    <w:p w14:paraId="5663D0BE">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发包人向承包人提供图纸的内容：</w:t>
      </w:r>
      <w:bookmarkStart w:id="156" w:name="EB7e2d465b14f04b46b76cd153ae8d7147"/>
      <w:r>
        <w:rPr>
          <w:rStyle w:val="18"/>
          <w:rFonts w:hint="eastAsia" w:ascii="宋体" w:hAnsi="宋体" w:eastAsia="宋体" w:cs="Times New Roman"/>
          <w:color w:val="auto"/>
          <w:sz w:val="24"/>
          <w:szCs w:val="24"/>
          <w:highlight w:val="none"/>
        </w:rPr>
        <w:t>经审核过后的施工图全套。</w:t>
      </w:r>
      <w:bookmarkEnd w:id="156"/>
    </w:p>
    <w:p w14:paraId="3D3817B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1.6.4 </w:t>
      </w:r>
      <w:r>
        <w:rPr>
          <w:rStyle w:val="18"/>
          <w:rFonts w:hint="eastAsia" w:ascii="宋体" w:hAnsi="宋体" w:eastAsia="宋体" w:cs="Times New Roman"/>
          <w:color w:val="auto"/>
          <w:sz w:val="24"/>
          <w:szCs w:val="24"/>
          <w:highlight w:val="none"/>
        </w:rPr>
        <w:t>承包人文件</w:t>
      </w:r>
    </w:p>
    <w:p w14:paraId="718B9B2C">
      <w:pPr>
        <w:pStyle w:val="26"/>
        <w:pageBreakBefore w:val="0"/>
        <w:widowControl w:val="0"/>
        <w:kinsoku/>
        <w:wordWrap/>
        <w:overflowPunct/>
        <w:topLinePunct w:val="0"/>
        <w:bidi w:val="0"/>
        <w:snapToGrid/>
        <w:spacing w:line="440" w:lineRule="exact"/>
        <w:ind w:left="682" w:leftChars="284"/>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需要由承包人提供的文件，包括：</w:t>
      </w:r>
      <w:bookmarkStart w:id="157" w:name="EB604a1a826b9f492ba65caef202878810"/>
      <w:r>
        <w:rPr>
          <w:rStyle w:val="18"/>
          <w:rFonts w:hint="eastAsia" w:ascii="宋体" w:hAnsi="宋体" w:eastAsia="宋体" w:cs="Times New Roman"/>
          <w:color w:val="auto"/>
          <w:sz w:val="24"/>
          <w:szCs w:val="24"/>
          <w:highlight w:val="none"/>
        </w:rPr>
        <w:t>施工组织设计、安全管理细则、经济技术签证等资料文件；</w:t>
      </w:r>
      <w:bookmarkEnd w:id="157"/>
    </w:p>
    <w:p w14:paraId="0510DFA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承包人提供的文件的期限为：</w:t>
      </w:r>
      <w:bookmarkStart w:id="158" w:name="EBc5dba04f57e54251a1ab25e51078bc86"/>
      <w:r>
        <w:rPr>
          <w:rStyle w:val="18"/>
          <w:rFonts w:hint="eastAsia" w:ascii="宋体" w:hAnsi="宋体" w:eastAsia="宋体" w:cs="Times New Roman"/>
          <w:color w:val="auto"/>
          <w:sz w:val="24"/>
          <w:szCs w:val="24"/>
          <w:highlight w:val="none"/>
        </w:rPr>
        <w:t>工程开工前三日内</w:t>
      </w:r>
      <w:bookmarkEnd w:id="158"/>
      <w:r>
        <w:rPr>
          <w:rStyle w:val="18"/>
          <w:rFonts w:hint="eastAsia" w:ascii="宋体" w:hAnsi="宋体" w:eastAsia="宋体" w:cs="Times New Roman"/>
          <w:color w:val="auto"/>
          <w:sz w:val="24"/>
          <w:szCs w:val="24"/>
          <w:highlight w:val="none"/>
        </w:rPr>
        <w:t>；</w:t>
      </w:r>
    </w:p>
    <w:p w14:paraId="327A3CE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承包人提供的文件的数量为：</w:t>
      </w:r>
      <w:bookmarkStart w:id="159" w:name="EB7ffca52a4fe64b50b60e5b35b161c3f1"/>
      <w:r>
        <w:rPr>
          <w:rStyle w:val="18"/>
          <w:rFonts w:hint="eastAsia" w:ascii="宋体" w:hAnsi="宋体" w:eastAsia="宋体" w:cs="Times New Roman"/>
          <w:color w:val="auto"/>
          <w:sz w:val="24"/>
          <w:szCs w:val="24"/>
          <w:highlight w:val="none"/>
        </w:rPr>
        <w:t>3套</w:t>
      </w:r>
      <w:bookmarkEnd w:id="159"/>
      <w:r>
        <w:rPr>
          <w:rStyle w:val="18"/>
          <w:rFonts w:hint="eastAsia" w:ascii="宋体" w:hAnsi="宋体" w:eastAsia="宋体" w:cs="Times New Roman"/>
          <w:color w:val="auto"/>
          <w:sz w:val="24"/>
          <w:szCs w:val="24"/>
          <w:highlight w:val="none"/>
        </w:rPr>
        <w:t>；</w:t>
      </w:r>
    </w:p>
    <w:p w14:paraId="205C1F5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承包人提供的文件的形式为：</w:t>
      </w:r>
      <w:bookmarkStart w:id="160" w:name="EB4f62cbc36300485ba7b895c76bf383a2"/>
      <w:r>
        <w:rPr>
          <w:rStyle w:val="18"/>
          <w:rFonts w:hint="eastAsia" w:ascii="宋体" w:hAnsi="宋体" w:eastAsia="宋体" w:cs="Times New Roman"/>
          <w:color w:val="auto"/>
          <w:sz w:val="24"/>
          <w:szCs w:val="24"/>
          <w:highlight w:val="none"/>
        </w:rPr>
        <w:t>书面形式</w:t>
      </w:r>
      <w:bookmarkEnd w:id="160"/>
      <w:r>
        <w:rPr>
          <w:rStyle w:val="18"/>
          <w:rFonts w:hint="eastAsia" w:ascii="宋体" w:hAnsi="宋体" w:eastAsia="宋体" w:cs="Times New Roman"/>
          <w:color w:val="auto"/>
          <w:sz w:val="24"/>
          <w:szCs w:val="24"/>
          <w:highlight w:val="none"/>
        </w:rPr>
        <w:t>；</w:t>
      </w:r>
    </w:p>
    <w:p w14:paraId="78E40F62">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发包人审批承包人文件的期限：</w:t>
      </w:r>
      <w:bookmarkStart w:id="161" w:name="EB18f014326cb8404483a69d87ebe4e0f0"/>
      <w:r>
        <w:rPr>
          <w:rStyle w:val="18"/>
          <w:rFonts w:hint="eastAsia" w:ascii="宋体" w:hAnsi="宋体" w:eastAsia="宋体" w:cs="Times New Roman"/>
          <w:color w:val="auto"/>
          <w:sz w:val="24"/>
          <w:szCs w:val="24"/>
          <w:highlight w:val="none"/>
        </w:rPr>
        <w:t>合同生效7天内</w:t>
      </w:r>
      <w:bookmarkEnd w:id="161"/>
      <w:r>
        <w:rPr>
          <w:rStyle w:val="18"/>
          <w:rFonts w:hint="eastAsia" w:ascii="宋体" w:hAnsi="宋体" w:eastAsia="宋体" w:cs="Times New Roman"/>
          <w:color w:val="auto"/>
          <w:sz w:val="24"/>
          <w:szCs w:val="24"/>
          <w:highlight w:val="none"/>
        </w:rPr>
        <w:t>。</w:t>
      </w:r>
    </w:p>
    <w:p w14:paraId="35BFA3A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1.6.5 </w:t>
      </w:r>
      <w:r>
        <w:rPr>
          <w:rStyle w:val="18"/>
          <w:rFonts w:hint="eastAsia" w:ascii="宋体" w:hAnsi="宋体" w:eastAsia="宋体" w:cs="Times New Roman"/>
          <w:color w:val="auto"/>
          <w:sz w:val="24"/>
          <w:szCs w:val="24"/>
          <w:highlight w:val="none"/>
        </w:rPr>
        <w:t>现场图纸准备</w:t>
      </w:r>
    </w:p>
    <w:p w14:paraId="4A72E74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关于现场图纸准备的约定：</w:t>
      </w:r>
      <w:bookmarkStart w:id="162" w:name="EB688e8b7a5a2a45458ae2181ea7357e25"/>
      <w:r>
        <w:rPr>
          <w:rStyle w:val="18"/>
          <w:rFonts w:hint="eastAsia" w:ascii="宋体" w:hAnsi="宋体" w:eastAsia="宋体" w:cs="Times New Roman"/>
          <w:color w:val="auto"/>
          <w:sz w:val="24"/>
          <w:szCs w:val="24"/>
          <w:highlight w:val="none"/>
        </w:rPr>
        <w:t>按通用条款执行</w:t>
      </w:r>
      <w:bookmarkEnd w:id="162"/>
      <w:r>
        <w:rPr>
          <w:rStyle w:val="18"/>
          <w:rFonts w:hint="eastAsia" w:ascii="宋体" w:hAnsi="宋体" w:eastAsia="宋体" w:cs="Times New Roman"/>
          <w:color w:val="auto"/>
          <w:sz w:val="24"/>
          <w:szCs w:val="24"/>
          <w:highlight w:val="none"/>
        </w:rPr>
        <w:t>。</w:t>
      </w:r>
    </w:p>
    <w:p w14:paraId="3DDD911F">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1.7 </w:t>
      </w:r>
      <w:r>
        <w:rPr>
          <w:rStyle w:val="18"/>
          <w:rFonts w:hint="eastAsia" w:ascii="宋体" w:hAnsi="宋体" w:eastAsia="宋体" w:cs="Times New Roman"/>
          <w:color w:val="auto"/>
          <w:sz w:val="24"/>
          <w:szCs w:val="24"/>
          <w:highlight w:val="none"/>
        </w:rPr>
        <w:t>联络</w:t>
      </w:r>
    </w:p>
    <w:p w14:paraId="14A76DE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1.7.1</w:t>
      </w:r>
      <w:r>
        <w:rPr>
          <w:rStyle w:val="18"/>
          <w:rFonts w:hint="eastAsia" w:ascii="宋体" w:hAnsi="宋体" w:eastAsia="宋体" w:cs="Times New Roman"/>
          <w:color w:val="auto"/>
          <w:kern w:val="0"/>
          <w:sz w:val="24"/>
          <w:szCs w:val="24"/>
          <w:highlight w:val="none"/>
        </w:rPr>
        <w:t>发包人和承包人应当在</w:t>
      </w:r>
      <w:bookmarkStart w:id="163" w:name="EB7401239dad2240b2b90cac8b8da22e56"/>
      <w:bookmarkEnd w:id="163"/>
      <w:r>
        <w:rPr>
          <w:rStyle w:val="18"/>
          <w:rFonts w:hint="eastAsia" w:ascii="宋体" w:hAnsi="宋体" w:eastAsia="宋体" w:cs="Times New Roman"/>
          <w:color w:val="auto"/>
          <w:kern w:val="0"/>
          <w:sz w:val="24"/>
          <w:szCs w:val="24"/>
          <w:highlight w:val="none"/>
        </w:rPr>
        <w:t>天内将与合同有关的通知、批准、证明、证书、指示、指令、要求、请求、同意、意见、确定和决定等书面函件送达对方当事人。</w:t>
      </w:r>
    </w:p>
    <w:p w14:paraId="2A5DB37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 xml:space="preserve">1.7.2 </w:t>
      </w:r>
      <w:r>
        <w:rPr>
          <w:rStyle w:val="18"/>
          <w:rFonts w:hint="eastAsia" w:ascii="宋体" w:hAnsi="宋体" w:eastAsia="宋体" w:cs="Times New Roman"/>
          <w:color w:val="auto"/>
          <w:kern w:val="0"/>
          <w:sz w:val="24"/>
          <w:szCs w:val="24"/>
          <w:highlight w:val="none"/>
        </w:rPr>
        <w:t>发包人接收文件的地点：</w:t>
      </w:r>
      <w:bookmarkStart w:id="164" w:name="EBccf3140d4a31414ea7ac70b88aa096ec"/>
      <w:r>
        <w:rPr>
          <w:rStyle w:val="18"/>
          <w:rFonts w:hint="eastAsia" w:ascii="宋体" w:hAnsi="宋体" w:eastAsia="宋体" w:cs="Times New Roman"/>
          <w:color w:val="auto"/>
          <w:kern w:val="0"/>
          <w:sz w:val="24"/>
          <w:szCs w:val="24"/>
          <w:highlight w:val="none"/>
        </w:rPr>
        <w:t>发包方办公室</w:t>
      </w:r>
      <w:bookmarkEnd w:id="164"/>
      <w:r>
        <w:rPr>
          <w:rStyle w:val="18"/>
          <w:rFonts w:hint="eastAsia" w:ascii="宋体" w:hAnsi="宋体" w:eastAsia="宋体" w:cs="Times New Roman"/>
          <w:color w:val="auto"/>
          <w:kern w:val="0"/>
          <w:sz w:val="24"/>
          <w:szCs w:val="24"/>
          <w:highlight w:val="none"/>
        </w:rPr>
        <w:t>；</w:t>
      </w:r>
    </w:p>
    <w:p w14:paraId="154710E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发包人指定的接收人为：</w:t>
      </w:r>
      <w:bookmarkStart w:id="165" w:name="EB1beec5cc9f664cdeafdbbae2572bc3f7"/>
      <w:r>
        <w:rPr>
          <w:rStyle w:val="18"/>
          <w:rFonts w:hint="eastAsia" w:ascii="宋体" w:hAnsi="宋体" w:eastAsia="宋体" w:cs="Times New Roman"/>
          <w:color w:val="auto"/>
          <w:kern w:val="0"/>
          <w:sz w:val="24"/>
          <w:szCs w:val="24"/>
          <w:highlight w:val="none"/>
        </w:rPr>
        <w:t>甲方代表</w:t>
      </w:r>
      <w:bookmarkEnd w:id="165"/>
      <w:r>
        <w:rPr>
          <w:rStyle w:val="18"/>
          <w:rFonts w:hint="eastAsia" w:ascii="宋体" w:hAnsi="宋体" w:eastAsia="宋体" w:cs="Times New Roman"/>
          <w:color w:val="auto"/>
          <w:kern w:val="0"/>
          <w:sz w:val="24"/>
          <w:szCs w:val="24"/>
          <w:highlight w:val="none"/>
        </w:rPr>
        <w:t>。</w:t>
      </w:r>
    </w:p>
    <w:p w14:paraId="54361C6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承包人接收文件的地点：</w:t>
      </w:r>
      <w:bookmarkStart w:id="166" w:name="EBb46d6934827a4110b7b3b99b30e2eb75"/>
      <w:r>
        <w:rPr>
          <w:rStyle w:val="18"/>
          <w:rFonts w:hint="eastAsia" w:ascii="宋体" w:hAnsi="宋体" w:eastAsia="宋体" w:cs="Times New Roman"/>
          <w:color w:val="auto"/>
          <w:kern w:val="0"/>
          <w:sz w:val="24"/>
          <w:szCs w:val="24"/>
          <w:highlight w:val="none"/>
        </w:rPr>
        <w:t>施工现场</w:t>
      </w:r>
      <w:bookmarkEnd w:id="166"/>
      <w:r>
        <w:rPr>
          <w:rStyle w:val="18"/>
          <w:rFonts w:hint="eastAsia" w:ascii="宋体" w:hAnsi="宋体" w:eastAsia="宋体" w:cs="Times New Roman"/>
          <w:color w:val="auto"/>
          <w:kern w:val="0"/>
          <w:sz w:val="24"/>
          <w:szCs w:val="24"/>
          <w:highlight w:val="none"/>
        </w:rPr>
        <w:t>；</w:t>
      </w:r>
    </w:p>
    <w:p w14:paraId="3D4897C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承包人指定的接收人为：</w:t>
      </w:r>
      <w:bookmarkStart w:id="167" w:name="EB41e96ee2a4a64d17bcdc2fb0f8762c5f"/>
      <w:r>
        <w:rPr>
          <w:rStyle w:val="18"/>
          <w:rFonts w:hint="eastAsia" w:ascii="宋体" w:hAnsi="宋体" w:eastAsia="宋体" w:cs="Times New Roman"/>
          <w:color w:val="auto"/>
          <w:kern w:val="0"/>
          <w:sz w:val="24"/>
          <w:szCs w:val="24"/>
          <w:highlight w:val="none"/>
        </w:rPr>
        <w:t>项目负责人</w:t>
      </w:r>
      <w:bookmarkEnd w:id="167"/>
      <w:r>
        <w:rPr>
          <w:rStyle w:val="18"/>
          <w:rFonts w:hint="eastAsia" w:ascii="宋体" w:hAnsi="宋体" w:eastAsia="宋体" w:cs="Times New Roman"/>
          <w:color w:val="auto"/>
          <w:kern w:val="0"/>
          <w:sz w:val="24"/>
          <w:szCs w:val="24"/>
          <w:highlight w:val="none"/>
        </w:rPr>
        <w:t>。</w:t>
      </w:r>
    </w:p>
    <w:p w14:paraId="241C850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监理人接收文件的地点：</w:t>
      </w:r>
      <w:bookmarkStart w:id="168" w:name="EB4a4018fe5a834e0884b500eb71c6b219"/>
      <w:r>
        <w:rPr>
          <w:rStyle w:val="18"/>
          <w:rFonts w:hint="eastAsia" w:ascii="宋体" w:hAnsi="宋体" w:eastAsia="宋体" w:cs="Times New Roman"/>
          <w:color w:val="auto"/>
          <w:kern w:val="0"/>
          <w:sz w:val="24"/>
          <w:szCs w:val="24"/>
          <w:highlight w:val="none"/>
        </w:rPr>
        <w:t>施工现场</w:t>
      </w:r>
      <w:bookmarkEnd w:id="168"/>
      <w:r>
        <w:rPr>
          <w:rStyle w:val="18"/>
          <w:rFonts w:hint="eastAsia" w:ascii="宋体" w:hAnsi="宋体" w:eastAsia="宋体" w:cs="Times New Roman"/>
          <w:color w:val="auto"/>
          <w:kern w:val="0"/>
          <w:sz w:val="24"/>
          <w:szCs w:val="24"/>
          <w:highlight w:val="none"/>
        </w:rPr>
        <w:t>；</w:t>
      </w:r>
    </w:p>
    <w:p w14:paraId="21BFBFF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监理人指定的接收人为：</w:t>
      </w:r>
      <w:bookmarkStart w:id="169" w:name="EB51fc8f3ef7cb4a1bb0b6cd9cedcc0256"/>
      <w:r>
        <w:rPr>
          <w:rStyle w:val="18"/>
          <w:rFonts w:hint="eastAsia" w:ascii="宋体" w:hAnsi="宋体" w:eastAsia="宋体" w:cs="Times New Roman"/>
          <w:color w:val="auto"/>
          <w:kern w:val="0"/>
          <w:sz w:val="24"/>
          <w:szCs w:val="24"/>
          <w:highlight w:val="none"/>
        </w:rPr>
        <w:t>监理工程师</w:t>
      </w:r>
      <w:bookmarkEnd w:id="169"/>
      <w:r>
        <w:rPr>
          <w:rStyle w:val="18"/>
          <w:rFonts w:hint="eastAsia" w:ascii="宋体" w:hAnsi="宋体" w:eastAsia="宋体" w:cs="Times New Roman"/>
          <w:color w:val="auto"/>
          <w:kern w:val="0"/>
          <w:sz w:val="24"/>
          <w:szCs w:val="24"/>
          <w:highlight w:val="none"/>
        </w:rPr>
        <w:t>。</w:t>
      </w:r>
    </w:p>
    <w:p w14:paraId="0729CE3A">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1.10 </w:t>
      </w:r>
      <w:r>
        <w:rPr>
          <w:rStyle w:val="18"/>
          <w:rFonts w:hint="eastAsia" w:ascii="宋体" w:hAnsi="宋体" w:eastAsia="宋体" w:cs="Times New Roman"/>
          <w:color w:val="auto"/>
          <w:sz w:val="24"/>
          <w:szCs w:val="24"/>
          <w:highlight w:val="none"/>
        </w:rPr>
        <w:t>交通运输</w:t>
      </w:r>
    </w:p>
    <w:p w14:paraId="0A5B057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w:t>
      </w:r>
      <w:bookmarkStart w:id="170" w:name="_Toc303539100"/>
      <w:bookmarkStart w:id="171" w:name="_Toc304295521"/>
      <w:bookmarkStart w:id="172" w:name="_Toc300934943"/>
      <w:bookmarkStart w:id="173" w:name="_Toc318581155"/>
      <w:bookmarkStart w:id="174" w:name="_Toc312677986"/>
      <w:r>
        <w:rPr>
          <w:rStyle w:val="18"/>
          <w:rFonts w:ascii="宋体" w:hAnsi="宋体" w:eastAsia="宋体" w:cs="Times New Roman"/>
          <w:color w:val="auto"/>
          <w:sz w:val="24"/>
          <w:szCs w:val="24"/>
          <w:highlight w:val="none"/>
        </w:rPr>
        <w:t xml:space="preserve">.10.1 </w:t>
      </w:r>
      <w:r>
        <w:rPr>
          <w:rStyle w:val="18"/>
          <w:rFonts w:hint="eastAsia" w:ascii="宋体" w:hAnsi="宋体" w:eastAsia="宋体" w:cs="Times New Roman"/>
          <w:color w:val="auto"/>
          <w:sz w:val="24"/>
          <w:szCs w:val="24"/>
          <w:highlight w:val="none"/>
        </w:rPr>
        <w:t>出入现场的权利</w:t>
      </w:r>
    </w:p>
    <w:p w14:paraId="06F8D323">
      <w:pPr>
        <w:pStyle w:val="26"/>
        <w:pageBreakBefore w:val="0"/>
        <w:widowControl w:val="0"/>
        <w:kinsoku/>
        <w:wordWrap/>
        <w:overflowPunct/>
        <w:topLinePunct w:val="0"/>
        <w:bidi w:val="0"/>
        <w:snapToGrid/>
        <w:spacing w:line="440" w:lineRule="exact"/>
        <w:ind w:left="682" w:leftChars="284"/>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关于出入现场的权利的约定：</w:t>
      </w:r>
      <w:bookmarkStart w:id="175" w:name="EB3af8d9ffbc6c418c8d1c084d81285b52"/>
      <w:r>
        <w:rPr>
          <w:rStyle w:val="18"/>
          <w:rFonts w:hint="eastAsia" w:ascii="宋体" w:hAnsi="宋体" w:eastAsia="宋体" w:cs="Times New Roman"/>
          <w:color w:val="auto"/>
          <w:sz w:val="24"/>
          <w:szCs w:val="24"/>
          <w:highlight w:val="none"/>
        </w:rPr>
        <w:t>未经发承包人代表的同意，无关人员一律不得随意出入施工现场</w:t>
      </w:r>
      <w:bookmarkEnd w:id="175"/>
      <w:r>
        <w:rPr>
          <w:rStyle w:val="18"/>
          <w:rFonts w:hint="eastAsia" w:ascii="宋体" w:hAnsi="宋体" w:eastAsia="宋体" w:cs="Times New Roman"/>
          <w:color w:val="auto"/>
          <w:sz w:val="24"/>
          <w:szCs w:val="24"/>
          <w:highlight w:val="none"/>
        </w:rPr>
        <w:t>。</w:t>
      </w:r>
    </w:p>
    <w:bookmarkEnd w:id="170"/>
    <w:bookmarkEnd w:id="171"/>
    <w:bookmarkEnd w:id="172"/>
    <w:bookmarkEnd w:id="173"/>
    <w:bookmarkEnd w:id="174"/>
    <w:p w14:paraId="20CCA60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w:t>
      </w:r>
      <w:bookmarkStart w:id="176" w:name="_Toc312677987"/>
      <w:bookmarkStart w:id="177" w:name="_Toc318581156"/>
      <w:bookmarkStart w:id="178" w:name="_Toc300934944"/>
      <w:bookmarkStart w:id="179" w:name="_Toc304295522"/>
      <w:bookmarkStart w:id="180" w:name="_Toc303539101"/>
      <w:r>
        <w:rPr>
          <w:rStyle w:val="18"/>
          <w:rFonts w:ascii="宋体" w:hAnsi="宋体" w:eastAsia="宋体" w:cs="Times New Roman"/>
          <w:color w:val="auto"/>
          <w:sz w:val="24"/>
          <w:szCs w:val="24"/>
          <w:highlight w:val="none"/>
        </w:rPr>
        <w:t xml:space="preserve">.10.3 </w:t>
      </w:r>
      <w:r>
        <w:rPr>
          <w:rStyle w:val="18"/>
          <w:rFonts w:hint="eastAsia" w:ascii="宋体" w:hAnsi="宋体" w:eastAsia="宋体" w:cs="Times New Roman"/>
          <w:color w:val="auto"/>
          <w:sz w:val="24"/>
          <w:szCs w:val="24"/>
          <w:highlight w:val="none"/>
        </w:rPr>
        <w:t>场内交通</w:t>
      </w:r>
    </w:p>
    <w:p w14:paraId="13D1EB6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关于场外交通和场内交通的边界的约定：</w:t>
      </w:r>
      <w:bookmarkStart w:id="181" w:name="EBd2ba53a7a7be48d2bf6c51cf4362163f"/>
      <w:r>
        <w:rPr>
          <w:rStyle w:val="18"/>
          <w:rFonts w:hint="eastAsia" w:ascii="宋体" w:hAnsi="宋体" w:eastAsia="宋体" w:cs="Times New Roman"/>
          <w:color w:val="auto"/>
          <w:kern w:val="0"/>
          <w:sz w:val="24"/>
          <w:szCs w:val="24"/>
          <w:highlight w:val="none"/>
        </w:rPr>
        <w:t>以施工现场大门为界</w:t>
      </w:r>
      <w:bookmarkEnd w:id="181"/>
      <w:r>
        <w:rPr>
          <w:rStyle w:val="18"/>
          <w:rFonts w:hint="eastAsia" w:ascii="宋体" w:hAnsi="宋体" w:eastAsia="宋体" w:cs="Times New Roman"/>
          <w:color w:val="auto"/>
          <w:sz w:val="24"/>
          <w:szCs w:val="24"/>
          <w:highlight w:val="none"/>
        </w:rPr>
        <w:t>。</w:t>
      </w:r>
    </w:p>
    <w:p w14:paraId="44FBB6F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关于发包人向承包人免费提供满足工程施工需要的场内道路和交通设施的约定：</w:t>
      </w:r>
      <w:bookmarkStart w:id="182" w:name="EBbc179bf96b0f430da53b5510cf340f0a"/>
      <w:bookmarkEnd w:id="182"/>
      <w:r>
        <w:rPr>
          <w:rStyle w:val="18"/>
          <w:rFonts w:hint="eastAsia" w:ascii="宋体" w:hAnsi="宋体" w:eastAsia="宋体" w:cs="Times New Roman"/>
          <w:color w:val="auto"/>
          <w:sz w:val="24"/>
          <w:szCs w:val="24"/>
          <w:highlight w:val="none"/>
        </w:rPr>
        <w:t>。</w:t>
      </w:r>
      <w:bookmarkEnd w:id="176"/>
      <w:bookmarkEnd w:id="177"/>
      <w:bookmarkEnd w:id="178"/>
      <w:bookmarkEnd w:id="179"/>
      <w:bookmarkEnd w:id="180"/>
      <w:bookmarkStart w:id="183" w:name="_Toc318581157"/>
    </w:p>
    <w:p w14:paraId="11F5F4C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1.10.4</w:t>
      </w:r>
      <w:r>
        <w:rPr>
          <w:rStyle w:val="18"/>
          <w:rFonts w:hint="eastAsia" w:ascii="宋体" w:hAnsi="宋体" w:eastAsia="宋体" w:cs="Times New Roman"/>
          <w:color w:val="auto"/>
          <w:sz w:val="24"/>
          <w:szCs w:val="24"/>
          <w:highlight w:val="none"/>
        </w:rPr>
        <w:t>超大件和超重件的运输</w:t>
      </w:r>
    </w:p>
    <w:p w14:paraId="755BA42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运输超大件或超重件所需的道路和桥梁临时加固改造费用和其他有关费用由</w:t>
      </w:r>
      <w:bookmarkStart w:id="184" w:name="EB3d7a4607c44e4267b44fe0caf60eed23"/>
      <w:r>
        <w:rPr>
          <w:rStyle w:val="18"/>
          <w:rFonts w:hint="eastAsia" w:ascii="宋体" w:hAnsi="宋体" w:eastAsia="宋体" w:cs="Times New Roman"/>
          <w:color w:val="auto"/>
          <w:sz w:val="24"/>
          <w:szCs w:val="24"/>
          <w:highlight w:val="none"/>
        </w:rPr>
        <w:t>承包人</w:t>
      </w:r>
      <w:bookmarkEnd w:id="184"/>
      <w:r>
        <w:rPr>
          <w:rStyle w:val="18"/>
          <w:rFonts w:hint="eastAsia" w:ascii="宋体" w:hAnsi="宋体" w:eastAsia="宋体" w:cs="Times New Roman"/>
          <w:color w:val="auto"/>
          <w:sz w:val="24"/>
          <w:szCs w:val="24"/>
          <w:highlight w:val="none"/>
        </w:rPr>
        <w:t>承担。</w:t>
      </w:r>
    </w:p>
    <w:bookmarkEnd w:id="183"/>
    <w:p w14:paraId="7BCE054F">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1.11 </w:t>
      </w:r>
      <w:r>
        <w:rPr>
          <w:rStyle w:val="18"/>
          <w:rFonts w:hint="eastAsia" w:ascii="宋体" w:hAnsi="宋体" w:eastAsia="宋体" w:cs="Times New Roman"/>
          <w:color w:val="auto"/>
          <w:sz w:val="24"/>
          <w:szCs w:val="24"/>
          <w:highlight w:val="none"/>
        </w:rPr>
        <w:t>知识产权</w:t>
      </w:r>
    </w:p>
    <w:p w14:paraId="5752511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1.11.1</w:t>
      </w:r>
      <w:r>
        <w:rPr>
          <w:rStyle w:val="18"/>
          <w:rFonts w:hint="eastAsia" w:ascii="宋体" w:hAnsi="宋体" w:eastAsia="宋体" w:cs="Times New Roman"/>
          <w:color w:val="auto"/>
          <w:sz w:val="24"/>
          <w:szCs w:val="24"/>
          <w:highlight w:val="none"/>
        </w:rPr>
        <w:t>关于发包人提供给承包人的图纸、发包人为实施工程自行编制或委托编制的技术规范以及反映发包人关于合同要求或其他类似性质的文件的著作权的归属：</w:t>
      </w:r>
      <w:bookmarkStart w:id="185" w:name="EB8ecfcc47d210462f895d06cb00dc6e9b"/>
      <w:r>
        <w:rPr>
          <w:rStyle w:val="18"/>
          <w:rFonts w:hint="eastAsia" w:ascii="宋体" w:hAnsi="宋体" w:eastAsia="宋体" w:cs="Times New Roman"/>
          <w:color w:val="auto"/>
          <w:sz w:val="24"/>
          <w:szCs w:val="24"/>
          <w:highlight w:val="none"/>
        </w:rPr>
        <w:t>发包人</w:t>
      </w:r>
      <w:bookmarkEnd w:id="185"/>
      <w:r>
        <w:rPr>
          <w:rStyle w:val="18"/>
          <w:rFonts w:hint="eastAsia" w:ascii="宋体" w:hAnsi="宋体" w:eastAsia="宋体" w:cs="Times New Roman"/>
          <w:color w:val="auto"/>
          <w:sz w:val="24"/>
          <w:szCs w:val="24"/>
          <w:highlight w:val="none"/>
        </w:rPr>
        <w:t>。</w:t>
      </w:r>
    </w:p>
    <w:p w14:paraId="179F4231">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关于发包人提供的上述文件的使用限制的要求：</w:t>
      </w:r>
      <w:bookmarkStart w:id="186" w:name="EB22433a34a870429fba1d999872231612"/>
      <w:r>
        <w:rPr>
          <w:rStyle w:val="18"/>
          <w:rFonts w:hint="eastAsia" w:ascii="宋体" w:hAnsi="宋体" w:eastAsia="宋体" w:cs="Times New Roman"/>
          <w:color w:val="auto"/>
          <w:sz w:val="24"/>
          <w:szCs w:val="24"/>
          <w:highlight w:val="none"/>
        </w:rPr>
        <w:t>未经发包人书面同意，承包人不得为了合同以外的目的而复制、使用上述文件或将之提供给任何第三方</w:t>
      </w:r>
      <w:bookmarkEnd w:id="186"/>
      <w:r>
        <w:rPr>
          <w:rStyle w:val="18"/>
          <w:rFonts w:hint="eastAsia" w:ascii="宋体" w:hAnsi="宋体" w:eastAsia="宋体" w:cs="Times New Roman"/>
          <w:color w:val="auto"/>
          <w:sz w:val="24"/>
          <w:szCs w:val="24"/>
          <w:highlight w:val="none"/>
        </w:rPr>
        <w:t>。</w:t>
      </w:r>
    </w:p>
    <w:p w14:paraId="2D6FBCA6">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1.11.2 </w:t>
      </w:r>
      <w:r>
        <w:rPr>
          <w:rStyle w:val="18"/>
          <w:rFonts w:hint="eastAsia" w:ascii="宋体" w:hAnsi="宋体" w:eastAsia="宋体" w:cs="Times New Roman"/>
          <w:color w:val="auto"/>
          <w:sz w:val="24"/>
          <w:szCs w:val="24"/>
          <w:highlight w:val="none"/>
        </w:rPr>
        <w:t>关于承包人为实施工程所编制文件的著作权的归属：</w:t>
      </w:r>
      <w:bookmarkStart w:id="187" w:name="EBb1a526382e694caaa527ec4a6f2269d4"/>
      <w:r>
        <w:rPr>
          <w:rStyle w:val="18"/>
          <w:rFonts w:hint="eastAsia" w:ascii="宋体" w:hAnsi="宋体" w:eastAsia="宋体" w:cs="Times New Roman"/>
          <w:color w:val="auto"/>
          <w:sz w:val="24"/>
          <w:szCs w:val="24"/>
          <w:highlight w:val="none"/>
        </w:rPr>
        <w:t>除署名权以外的著作权属于发包人</w:t>
      </w:r>
      <w:bookmarkEnd w:id="187"/>
      <w:r>
        <w:rPr>
          <w:rStyle w:val="18"/>
          <w:rFonts w:hint="eastAsia" w:ascii="宋体" w:hAnsi="宋体" w:eastAsia="宋体" w:cs="Times New Roman"/>
          <w:color w:val="auto"/>
          <w:sz w:val="24"/>
          <w:szCs w:val="24"/>
          <w:highlight w:val="none"/>
        </w:rPr>
        <w:t>。</w:t>
      </w:r>
    </w:p>
    <w:p w14:paraId="030247DA">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关于承包人提供的上述文件的使用限制的要求：</w:t>
      </w:r>
      <w:bookmarkStart w:id="188" w:name="EBd93c26e3e9cb4a9d86e6ae66ca46b73f"/>
      <w:r>
        <w:rPr>
          <w:rStyle w:val="18"/>
          <w:rFonts w:hint="eastAsia" w:ascii="宋体" w:hAnsi="宋体" w:eastAsia="宋体" w:cs="Times New Roman"/>
          <w:color w:val="auto"/>
          <w:sz w:val="24"/>
          <w:szCs w:val="24"/>
          <w:highlight w:val="none"/>
        </w:rPr>
        <w:t>未经发包人书面同意，承包人不得为了合同以外的目的而复制、使用上述文件或将之提供给任何第三方</w:t>
      </w:r>
      <w:bookmarkEnd w:id="188"/>
      <w:r>
        <w:rPr>
          <w:rStyle w:val="18"/>
          <w:rFonts w:hint="eastAsia" w:ascii="宋体" w:hAnsi="宋体" w:eastAsia="宋体" w:cs="Times New Roman"/>
          <w:color w:val="auto"/>
          <w:sz w:val="24"/>
          <w:szCs w:val="24"/>
          <w:highlight w:val="none"/>
        </w:rPr>
        <w:t>。</w:t>
      </w:r>
    </w:p>
    <w:p w14:paraId="0E00CE0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sz w:val="24"/>
          <w:szCs w:val="24"/>
          <w:highlight w:val="none"/>
        </w:rPr>
        <w:t xml:space="preserve">1.11.4 </w:t>
      </w:r>
      <w:r>
        <w:rPr>
          <w:rStyle w:val="18"/>
          <w:rFonts w:hint="eastAsia" w:ascii="宋体" w:hAnsi="宋体" w:eastAsia="宋体" w:cs="Times New Roman"/>
          <w:color w:val="auto"/>
          <w:sz w:val="24"/>
          <w:szCs w:val="24"/>
          <w:highlight w:val="none"/>
        </w:rPr>
        <w:t>承包人在施工过程中所采用的专利、专有技术、技术秘密的使用费的承担方式：</w:t>
      </w:r>
      <w:bookmarkStart w:id="189" w:name="EB399b006797ff43a2887b7a0b89f97ab9"/>
      <w:r>
        <w:rPr>
          <w:rStyle w:val="18"/>
          <w:rFonts w:hint="eastAsia" w:ascii="宋体" w:hAnsi="宋体" w:eastAsia="宋体" w:cs="Times New Roman"/>
          <w:color w:val="auto"/>
          <w:sz w:val="24"/>
          <w:szCs w:val="24"/>
          <w:highlight w:val="none"/>
        </w:rPr>
        <w:t>由承包人负责，并承担相关费用</w:t>
      </w:r>
      <w:bookmarkEnd w:id="189"/>
      <w:r>
        <w:rPr>
          <w:rStyle w:val="18"/>
          <w:rFonts w:hint="eastAsia" w:ascii="宋体" w:hAnsi="宋体" w:eastAsia="宋体" w:cs="Times New Roman"/>
          <w:color w:val="auto"/>
          <w:kern w:val="0"/>
          <w:sz w:val="24"/>
          <w:szCs w:val="24"/>
          <w:highlight w:val="none"/>
        </w:rPr>
        <w:t>。</w:t>
      </w:r>
    </w:p>
    <w:p w14:paraId="45E1EC51">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1.13</w:t>
      </w:r>
      <w:r>
        <w:rPr>
          <w:rStyle w:val="18"/>
          <w:rFonts w:hint="eastAsia" w:ascii="宋体" w:hAnsi="宋体" w:eastAsia="宋体" w:cs="Times New Roman"/>
          <w:color w:val="auto"/>
          <w:sz w:val="24"/>
          <w:szCs w:val="24"/>
          <w:highlight w:val="none"/>
        </w:rPr>
        <w:t>工程量清单错误的修正</w:t>
      </w:r>
    </w:p>
    <w:p w14:paraId="0A5465C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sz w:val="24"/>
          <w:szCs w:val="24"/>
          <w:highlight w:val="none"/>
        </w:rPr>
        <w:t>出现工程量清单错误时，是否调整合同价格：</w:t>
      </w:r>
      <w:bookmarkStart w:id="190" w:name="EB63de0b6915304639afee1172db050f76"/>
      <w:r>
        <w:rPr>
          <w:rStyle w:val="18"/>
          <w:rFonts w:hint="eastAsia" w:ascii="宋体" w:hAnsi="宋体" w:eastAsia="宋体" w:cs="Times New Roman"/>
          <w:color w:val="auto"/>
          <w:sz w:val="24"/>
          <w:szCs w:val="24"/>
          <w:highlight w:val="none"/>
        </w:rPr>
        <w:t xml:space="preserve">可调整合同价格。     </w:t>
      </w:r>
    </w:p>
    <w:p w14:paraId="7789CE26">
      <w:pPr>
        <w:pStyle w:val="26"/>
        <w:pageBreakBefore w:val="0"/>
        <w:widowControl w:val="0"/>
        <w:kinsoku/>
        <w:wordWrap/>
        <w:overflowPunct/>
        <w:topLinePunct w:val="0"/>
        <w:bidi w:val="0"/>
        <w:snapToGrid/>
        <w:spacing w:line="440" w:lineRule="exact"/>
        <w:ind w:firstLine="480" w:firstLineChars="200"/>
        <w:textAlignment w:val="auto"/>
        <w:rPr>
          <w:rStyle w:val="18"/>
          <w:rFonts w:hint="eastAsia"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允许调整合同价格的工程量偏差范围：按本合同通用条款1.13条执行 。（1）工程量清单存在缺项、漏项的；（2）工程量清单偏差在±15%(含±15%）以内的不作调整，对工程量偏差超过±15%的做相应调整；（3）未按照国家现行计量规范强制性规定计量的</w:t>
      </w:r>
      <w:bookmarkEnd w:id="190"/>
    </w:p>
    <w:p w14:paraId="2B0D0CF4">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w:t>
      </w:r>
    </w:p>
    <w:p w14:paraId="2BDF7C49">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191" w:name="_Toc351203634"/>
      <w:r>
        <w:rPr>
          <w:rStyle w:val="18"/>
          <w:rFonts w:ascii="宋体" w:hAnsi="宋体" w:eastAsia="宋体" w:cs="Times New Roman"/>
          <w:b/>
          <w:color w:val="auto"/>
          <w:sz w:val="24"/>
          <w:szCs w:val="24"/>
          <w:highlight w:val="none"/>
        </w:rPr>
        <w:t>2</w:t>
      </w:r>
      <w:bookmarkStart w:id="192" w:name="_Toc296890985"/>
      <w:bookmarkStart w:id="193" w:name="_Toc292559867"/>
      <w:bookmarkStart w:id="194" w:name="_Toc296346658"/>
      <w:bookmarkStart w:id="195" w:name="_Toc297120457"/>
      <w:bookmarkStart w:id="196" w:name="_Toc292559362"/>
      <w:bookmarkStart w:id="197" w:name="_Toc296891197"/>
      <w:bookmarkStart w:id="198" w:name="_Toc296503157"/>
      <w:bookmarkStart w:id="199" w:name="_Toc297048343"/>
      <w:bookmarkStart w:id="200" w:name="_Toc296944496"/>
      <w:bookmarkStart w:id="201" w:name="_Toc296347156"/>
      <w:r>
        <w:rPr>
          <w:rStyle w:val="18"/>
          <w:rFonts w:ascii="宋体" w:hAnsi="宋体" w:eastAsia="宋体" w:cs="Times New Roman"/>
          <w:b/>
          <w:color w:val="auto"/>
          <w:sz w:val="24"/>
          <w:szCs w:val="24"/>
          <w:highlight w:val="none"/>
        </w:rPr>
        <w:t xml:space="preserve">. </w:t>
      </w:r>
      <w:r>
        <w:rPr>
          <w:rStyle w:val="18"/>
          <w:rFonts w:hint="eastAsia" w:ascii="宋体" w:hAnsi="宋体" w:eastAsia="宋体" w:cs="Times New Roman"/>
          <w:b/>
          <w:color w:val="auto"/>
          <w:sz w:val="24"/>
          <w:szCs w:val="24"/>
          <w:highlight w:val="none"/>
        </w:rPr>
        <w:t>发包人</w:t>
      </w:r>
      <w:bookmarkEnd w:id="191"/>
    </w:p>
    <w:bookmarkEnd w:id="192"/>
    <w:bookmarkEnd w:id="193"/>
    <w:bookmarkEnd w:id="194"/>
    <w:bookmarkEnd w:id="195"/>
    <w:bookmarkEnd w:id="196"/>
    <w:bookmarkEnd w:id="197"/>
    <w:bookmarkEnd w:id="198"/>
    <w:bookmarkEnd w:id="199"/>
    <w:bookmarkEnd w:id="200"/>
    <w:bookmarkEnd w:id="201"/>
    <w:p w14:paraId="3C8AC54F">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2.2 </w:t>
      </w:r>
      <w:r>
        <w:rPr>
          <w:rStyle w:val="18"/>
          <w:rFonts w:hint="eastAsia" w:ascii="宋体" w:hAnsi="宋体" w:eastAsia="宋体" w:cs="Times New Roman"/>
          <w:color w:val="auto"/>
          <w:sz w:val="24"/>
          <w:szCs w:val="24"/>
          <w:highlight w:val="none"/>
        </w:rPr>
        <w:t>发包人代表</w:t>
      </w:r>
    </w:p>
    <w:p w14:paraId="121E7E1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发包人代表：</w:t>
      </w:r>
    </w:p>
    <w:p w14:paraId="13F323F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姓</w:t>
      </w:r>
      <w:r>
        <w:rPr>
          <w:rStyle w:val="18"/>
          <w:rFonts w:ascii="宋体" w:hAnsi="宋体" w:eastAsia="宋体" w:cs="Times New Roman"/>
          <w:color w:val="auto"/>
          <w:sz w:val="24"/>
          <w:szCs w:val="24"/>
          <w:highlight w:val="none"/>
        </w:rPr>
        <w:t xml:space="preserve">    </w:t>
      </w:r>
      <w:r>
        <w:rPr>
          <w:rStyle w:val="18"/>
          <w:rFonts w:hint="eastAsia" w:ascii="宋体" w:hAnsi="宋体" w:eastAsia="宋体" w:cs="Times New Roman"/>
          <w:color w:val="auto"/>
          <w:sz w:val="24"/>
          <w:szCs w:val="24"/>
          <w:highlight w:val="none"/>
        </w:rPr>
        <w:t>名：</w:t>
      </w:r>
      <w:bookmarkStart w:id="202" w:name="EB13fff8e43e0e4de2acb355006e001bed"/>
      <w:bookmarkEnd w:id="202"/>
      <w:r>
        <w:rPr>
          <w:rStyle w:val="18"/>
          <w:rFonts w:hint="eastAsia" w:ascii="宋体" w:hAnsi="宋体" w:eastAsia="宋体" w:cs="Times New Roman"/>
          <w:color w:val="auto"/>
          <w:sz w:val="24"/>
          <w:szCs w:val="24"/>
          <w:highlight w:val="none"/>
        </w:rPr>
        <w:t>；</w:t>
      </w:r>
    </w:p>
    <w:p w14:paraId="36CA91C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身份证号：</w:t>
      </w:r>
      <w:bookmarkStart w:id="203" w:name="EBce3ea71e382a425f8005a63b7034e863"/>
      <w:bookmarkEnd w:id="203"/>
      <w:r>
        <w:rPr>
          <w:rStyle w:val="18"/>
          <w:rFonts w:hint="eastAsia" w:ascii="宋体" w:hAnsi="宋体" w:eastAsia="宋体" w:cs="Times New Roman"/>
          <w:color w:val="auto"/>
          <w:sz w:val="24"/>
          <w:szCs w:val="24"/>
          <w:highlight w:val="none"/>
        </w:rPr>
        <w:t>；</w:t>
      </w:r>
    </w:p>
    <w:p w14:paraId="3F590EB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职</w:t>
      </w:r>
      <w:r>
        <w:rPr>
          <w:rStyle w:val="18"/>
          <w:rFonts w:ascii="宋体" w:hAnsi="宋体" w:eastAsia="宋体" w:cs="Times New Roman"/>
          <w:color w:val="auto"/>
          <w:sz w:val="24"/>
          <w:szCs w:val="24"/>
          <w:highlight w:val="none"/>
        </w:rPr>
        <w:t xml:space="preserve">    </w:t>
      </w:r>
      <w:r>
        <w:rPr>
          <w:rStyle w:val="18"/>
          <w:rFonts w:hint="eastAsia" w:ascii="宋体" w:hAnsi="宋体" w:eastAsia="宋体" w:cs="Times New Roman"/>
          <w:color w:val="auto"/>
          <w:sz w:val="24"/>
          <w:szCs w:val="24"/>
          <w:highlight w:val="none"/>
        </w:rPr>
        <w:t>务：</w:t>
      </w:r>
      <w:bookmarkStart w:id="204" w:name="EB288b49759dad438eb255b6eae1344134"/>
      <w:bookmarkEnd w:id="204"/>
      <w:r>
        <w:rPr>
          <w:rStyle w:val="18"/>
          <w:rFonts w:hint="eastAsia" w:ascii="宋体" w:hAnsi="宋体" w:eastAsia="宋体" w:cs="Times New Roman"/>
          <w:color w:val="auto"/>
          <w:sz w:val="24"/>
          <w:szCs w:val="24"/>
          <w:highlight w:val="none"/>
        </w:rPr>
        <w:t>；</w:t>
      </w:r>
    </w:p>
    <w:p w14:paraId="024D43A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联系电话：</w:t>
      </w:r>
      <w:bookmarkStart w:id="205" w:name="EB65cff37265d54db3b12749725abc10c1"/>
      <w:bookmarkEnd w:id="205"/>
      <w:r>
        <w:rPr>
          <w:rStyle w:val="18"/>
          <w:rFonts w:hint="eastAsia" w:ascii="宋体" w:hAnsi="宋体" w:eastAsia="宋体" w:cs="Times New Roman"/>
          <w:color w:val="auto"/>
          <w:sz w:val="24"/>
          <w:szCs w:val="24"/>
          <w:highlight w:val="none"/>
        </w:rPr>
        <w:t>；</w:t>
      </w:r>
    </w:p>
    <w:p w14:paraId="5AEF6B6E">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电子信箱：</w:t>
      </w:r>
      <w:bookmarkStart w:id="206" w:name="EB162c7fee72b949c9870358b0f545ba74"/>
      <w:bookmarkEnd w:id="206"/>
      <w:r>
        <w:rPr>
          <w:rStyle w:val="18"/>
          <w:rFonts w:hint="eastAsia" w:ascii="宋体" w:hAnsi="宋体" w:eastAsia="宋体" w:cs="Times New Roman"/>
          <w:color w:val="auto"/>
          <w:sz w:val="24"/>
          <w:szCs w:val="24"/>
          <w:highlight w:val="none"/>
        </w:rPr>
        <w:t>；</w:t>
      </w:r>
    </w:p>
    <w:p w14:paraId="588F4B5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通信地址：</w:t>
      </w:r>
      <w:bookmarkStart w:id="207" w:name="EBf9b5c218aa6543bd9ae890584ed9f28d"/>
      <w:bookmarkEnd w:id="207"/>
      <w:r>
        <w:rPr>
          <w:rStyle w:val="18"/>
          <w:rFonts w:hint="eastAsia" w:ascii="宋体" w:hAnsi="宋体" w:eastAsia="宋体" w:cs="Times New Roman"/>
          <w:color w:val="auto"/>
          <w:sz w:val="24"/>
          <w:szCs w:val="24"/>
          <w:highlight w:val="none"/>
        </w:rPr>
        <w:t>。</w:t>
      </w:r>
    </w:p>
    <w:p w14:paraId="057A158B">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b/>
          <w:color w:val="auto"/>
          <w:sz w:val="24"/>
          <w:szCs w:val="24"/>
          <w:highlight w:val="none"/>
        </w:rPr>
      </w:pPr>
      <w:r>
        <w:rPr>
          <w:rStyle w:val="18"/>
          <w:rFonts w:hint="eastAsia" w:ascii="宋体" w:hAnsi="宋体" w:eastAsia="宋体" w:cs="Times New Roman"/>
          <w:color w:val="auto"/>
          <w:sz w:val="24"/>
          <w:szCs w:val="24"/>
          <w:highlight w:val="none"/>
        </w:rPr>
        <w:t>发包人对发包人代表的授权范围如下：</w:t>
      </w:r>
      <w:bookmarkStart w:id="208" w:name="EB7ba9e8bb74954235b8cf26714069d6e9"/>
      <w:r>
        <w:rPr>
          <w:rStyle w:val="18"/>
          <w:rFonts w:hint="eastAsia" w:ascii="宋体" w:hAnsi="宋体" w:eastAsia="宋体" w:cs="Times New Roman"/>
          <w:color w:val="auto"/>
          <w:sz w:val="24"/>
          <w:szCs w:val="24"/>
          <w:highlight w:val="none"/>
        </w:rPr>
        <w:t>管理、协调施工现场各项事宜，参与经济技术签证及工程量的确认</w:t>
      </w:r>
      <w:bookmarkEnd w:id="208"/>
      <w:r>
        <w:rPr>
          <w:rStyle w:val="18"/>
          <w:rFonts w:hint="eastAsia" w:ascii="宋体" w:hAnsi="宋体" w:eastAsia="宋体" w:cs="Times New Roman"/>
          <w:color w:val="auto"/>
          <w:sz w:val="24"/>
          <w:szCs w:val="24"/>
          <w:highlight w:val="none"/>
        </w:rPr>
        <w:t>。</w:t>
      </w:r>
    </w:p>
    <w:p w14:paraId="7416FEB9">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2.4 </w:t>
      </w:r>
      <w:r>
        <w:rPr>
          <w:rStyle w:val="18"/>
          <w:rFonts w:hint="eastAsia" w:ascii="宋体" w:hAnsi="宋体" w:eastAsia="宋体" w:cs="Times New Roman"/>
          <w:color w:val="auto"/>
          <w:sz w:val="24"/>
          <w:szCs w:val="24"/>
          <w:highlight w:val="none"/>
        </w:rPr>
        <w:t>施工现场、施工条件和基础资料的提供</w:t>
      </w:r>
    </w:p>
    <w:p w14:paraId="1F2F4B5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2.4.1 </w:t>
      </w:r>
      <w:r>
        <w:rPr>
          <w:rStyle w:val="18"/>
          <w:rFonts w:hint="eastAsia" w:ascii="宋体" w:hAnsi="宋体" w:eastAsia="宋体" w:cs="Times New Roman"/>
          <w:color w:val="auto"/>
          <w:sz w:val="24"/>
          <w:szCs w:val="24"/>
          <w:highlight w:val="none"/>
        </w:rPr>
        <w:t>提供施工现场</w:t>
      </w:r>
    </w:p>
    <w:p w14:paraId="1696FE7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关于发包人移交施工现场的期限要求：</w:t>
      </w:r>
      <w:bookmarkStart w:id="209" w:name="EBb211696159fc4cd6ae980912c64249bf"/>
      <w:r>
        <w:rPr>
          <w:rStyle w:val="18"/>
          <w:rFonts w:hint="eastAsia" w:ascii="宋体" w:hAnsi="宋体" w:eastAsia="宋体" w:cs="Times New Roman"/>
          <w:color w:val="auto"/>
          <w:sz w:val="24"/>
          <w:szCs w:val="24"/>
          <w:highlight w:val="none"/>
        </w:rPr>
        <w:t>执行通用条款约定</w:t>
      </w:r>
      <w:bookmarkEnd w:id="209"/>
      <w:r>
        <w:rPr>
          <w:rStyle w:val="18"/>
          <w:rFonts w:hint="eastAsia" w:ascii="宋体" w:hAnsi="宋体" w:eastAsia="宋体" w:cs="Times New Roman"/>
          <w:color w:val="auto"/>
          <w:sz w:val="24"/>
          <w:szCs w:val="24"/>
          <w:highlight w:val="none"/>
        </w:rPr>
        <w:t>。</w:t>
      </w:r>
    </w:p>
    <w:p w14:paraId="7F5903B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2.4.2 </w:t>
      </w:r>
      <w:r>
        <w:rPr>
          <w:rStyle w:val="18"/>
          <w:rFonts w:hint="eastAsia" w:ascii="宋体" w:hAnsi="宋体" w:eastAsia="宋体" w:cs="Times New Roman"/>
          <w:color w:val="auto"/>
          <w:sz w:val="24"/>
          <w:szCs w:val="24"/>
          <w:highlight w:val="none"/>
        </w:rPr>
        <w:t>提供施工条件</w:t>
      </w:r>
    </w:p>
    <w:p w14:paraId="1BE24C8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关于发包人应负责提供施工所需要的条件，包括：</w:t>
      </w:r>
      <w:bookmarkStart w:id="210" w:name="EB2e7982aef179421b9b444838909b459c"/>
      <w:r>
        <w:rPr>
          <w:rStyle w:val="18"/>
          <w:rFonts w:hint="eastAsia" w:ascii="宋体" w:hAnsi="宋体" w:eastAsia="宋体" w:cs="Times New Roman"/>
          <w:color w:val="auto"/>
          <w:sz w:val="24"/>
          <w:szCs w:val="24"/>
          <w:highlight w:val="none"/>
        </w:rPr>
        <w:t>执行通用条款约定</w:t>
      </w:r>
      <w:bookmarkEnd w:id="210"/>
      <w:r>
        <w:rPr>
          <w:rStyle w:val="18"/>
          <w:rFonts w:hint="eastAsia" w:ascii="宋体" w:hAnsi="宋体" w:eastAsia="宋体" w:cs="Times New Roman"/>
          <w:color w:val="auto"/>
          <w:sz w:val="24"/>
          <w:szCs w:val="24"/>
          <w:highlight w:val="none"/>
        </w:rPr>
        <w:t>。</w:t>
      </w:r>
    </w:p>
    <w:p w14:paraId="337F25F6">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2.5 </w:t>
      </w:r>
      <w:r>
        <w:rPr>
          <w:rStyle w:val="18"/>
          <w:rFonts w:hint="eastAsia" w:ascii="宋体" w:hAnsi="宋体" w:eastAsia="宋体" w:cs="Times New Roman"/>
          <w:color w:val="auto"/>
          <w:sz w:val="24"/>
          <w:szCs w:val="24"/>
          <w:highlight w:val="none"/>
        </w:rPr>
        <w:t>资金来源证明及支付担保</w:t>
      </w:r>
    </w:p>
    <w:p w14:paraId="46FF5BF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发包人提供资金来源证明的期限要求：</w:t>
      </w:r>
      <w:bookmarkStart w:id="211" w:name="EBd5638cfe5ca9461d9b25c9d3275baf8c"/>
      <w:r>
        <w:rPr>
          <w:rStyle w:val="18"/>
          <w:rFonts w:hint="eastAsia" w:ascii="宋体" w:hAnsi="宋体" w:eastAsia="宋体" w:cs="Times New Roman"/>
          <w:color w:val="auto"/>
          <w:sz w:val="24"/>
          <w:szCs w:val="24"/>
          <w:highlight w:val="none"/>
        </w:rPr>
        <w:t>执行通用条款约定</w:t>
      </w:r>
      <w:bookmarkEnd w:id="211"/>
      <w:r>
        <w:rPr>
          <w:rStyle w:val="18"/>
          <w:rFonts w:hint="eastAsia" w:ascii="宋体" w:hAnsi="宋体" w:eastAsia="宋体" w:cs="Times New Roman"/>
          <w:color w:val="auto"/>
          <w:sz w:val="24"/>
          <w:szCs w:val="24"/>
          <w:highlight w:val="none"/>
        </w:rPr>
        <w:t>。</w:t>
      </w:r>
    </w:p>
    <w:p w14:paraId="5204EC3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发包人是否提供支付担保：</w:t>
      </w:r>
      <w:bookmarkStart w:id="212" w:name="EB114b695d38a24cc59127816d2d2da371"/>
      <w:r>
        <w:rPr>
          <w:rStyle w:val="18"/>
          <w:rFonts w:hint="eastAsia" w:ascii="宋体" w:hAnsi="宋体" w:eastAsia="宋体" w:cs="Times New Roman"/>
          <w:color w:val="auto"/>
          <w:sz w:val="24"/>
          <w:szCs w:val="24"/>
          <w:highlight w:val="none"/>
        </w:rPr>
        <w:t>否</w:t>
      </w:r>
      <w:bookmarkEnd w:id="212"/>
      <w:r>
        <w:rPr>
          <w:rStyle w:val="18"/>
          <w:rFonts w:hint="eastAsia" w:ascii="宋体" w:hAnsi="宋体" w:eastAsia="宋体" w:cs="Times New Roman"/>
          <w:color w:val="auto"/>
          <w:sz w:val="24"/>
          <w:szCs w:val="24"/>
          <w:highlight w:val="none"/>
        </w:rPr>
        <w:t>。</w:t>
      </w:r>
    </w:p>
    <w:p w14:paraId="5783DED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发包人提供支付担保的形式：</w:t>
      </w:r>
      <w:bookmarkStart w:id="213" w:name="EBab1a59431d474775ba960a19ec571116"/>
      <w:r>
        <w:rPr>
          <w:rStyle w:val="18"/>
          <w:rFonts w:hint="eastAsia" w:ascii="宋体" w:hAnsi="宋体" w:eastAsia="宋体" w:cs="Times New Roman"/>
          <w:color w:val="auto"/>
          <w:sz w:val="24"/>
          <w:szCs w:val="24"/>
          <w:highlight w:val="none"/>
        </w:rPr>
        <w:t>/</w:t>
      </w:r>
      <w:bookmarkEnd w:id="213"/>
      <w:r>
        <w:rPr>
          <w:rStyle w:val="18"/>
          <w:rFonts w:hint="eastAsia" w:ascii="宋体" w:hAnsi="宋体" w:eastAsia="宋体" w:cs="Times New Roman"/>
          <w:color w:val="auto"/>
          <w:sz w:val="24"/>
          <w:szCs w:val="24"/>
          <w:highlight w:val="none"/>
        </w:rPr>
        <w:t>。</w:t>
      </w:r>
    </w:p>
    <w:p w14:paraId="43D6B5AC">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214" w:name="_Toc351203635"/>
      <w:r>
        <w:rPr>
          <w:rStyle w:val="18"/>
          <w:rFonts w:ascii="宋体" w:hAnsi="宋体" w:eastAsia="宋体" w:cs="Times New Roman"/>
          <w:b/>
          <w:color w:val="auto"/>
          <w:sz w:val="24"/>
          <w:szCs w:val="24"/>
          <w:highlight w:val="none"/>
        </w:rPr>
        <w:t>3</w:t>
      </w:r>
      <w:bookmarkStart w:id="215" w:name="_Toc296503158"/>
      <w:bookmarkStart w:id="216" w:name="_Toc296944497"/>
      <w:bookmarkStart w:id="217" w:name="_Toc292559868"/>
      <w:bookmarkStart w:id="218" w:name="_Toc296347157"/>
      <w:bookmarkStart w:id="219" w:name="_Toc296891198"/>
      <w:bookmarkStart w:id="220" w:name="_Toc292559363"/>
      <w:bookmarkStart w:id="221" w:name="_Toc297048344"/>
      <w:bookmarkStart w:id="222" w:name="_Toc297120458"/>
      <w:bookmarkStart w:id="223" w:name="_Toc296346659"/>
      <w:bookmarkStart w:id="224" w:name="_Toc296890986"/>
      <w:r>
        <w:rPr>
          <w:rStyle w:val="18"/>
          <w:rFonts w:ascii="宋体" w:hAnsi="宋体" w:eastAsia="宋体" w:cs="Times New Roman"/>
          <w:b/>
          <w:color w:val="auto"/>
          <w:sz w:val="24"/>
          <w:szCs w:val="24"/>
          <w:highlight w:val="none"/>
        </w:rPr>
        <w:t xml:space="preserve">. </w:t>
      </w:r>
      <w:r>
        <w:rPr>
          <w:rStyle w:val="18"/>
          <w:rFonts w:hint="eastAsia" w:ascii="宋体" w:hAnsi="宋体" w:eastAsia="宋体" w:cs="Times New Roman"/>
          <w:b/>
          <w:color w:val="auto"/>
          <w:sz w:val="24"/>
          <w:szCs w:val="24"/>
          <w:highlight w:val="none"/>
        </w:rPr>
        <w:t>承包人</w:t>
      </w:r>
      <w:bookmarkEnd w:id="214"/>
    </w:p>
    <w:bookmarkEnd w:id="215"/>
    <w:bookmarkEnd w:id="216"/>
    <w:bookmarkEnd w:id="217"/>
    <w:bookmarkEnd w:id="218"/>
    <w:bookmarkEnd w:id="219"/>
    <w:bookmarkEnd w:id="220"/>
    <w:bookmarkEnd w:id="221"/>
    <w:bookmarkEnd w:id="222"/>
    <w:bookmarkEnd w:id="223"/>
    <w:bookmarkEnd w:id="224"/>
    <w:p w14:paraId="4D7798E1">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3.1 </w:t>
      </w:r>
      <w:r>
        <w:rPr>
          <w:rStyle w:val="18"/>
          <w:rFonts w:hint="eastAsia" w:ascii="宋体" w:hAnsi="宋体" w:eastAsia="宋体" w:cs="Times New Roman"/>
          <w:color w:val="auto"/>
          <w:sz w:val="24"/>
          <w:szCs w:val="24"/>
          <w:highlight w:val="none"/>
        </w:rPr>
        <w:t>承包人的一般义务</w:t>
      </w:r>
    </w:p>
    <w:p w14:paraId="3114426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9</w:t>
      </w:r>
      <w:r>
        <w:rPr>
          <w:rStyle w:val="18"/>
          <w:rFonts w:hint="eastAsia" w:ascii="宋体" w:hAnsi="宋体" w:eastAsia="宋体" w:cs="Times New Roman"/>
          <w:color w:val="auto"/>
          <w:kern w:val="0"/>
          <w:sz w:val="24"/>
          <w:szCs w:val="24"/>
          <w:highlight w:val="none"/>
        </w:rPr>
        <w:t>）</w:t>
      </w:r>
      <w:r>
        <w:rPr>
          <w:rStyle w:val="18"/>
          <w:rFonts w:hint="eastAsia" w:ascii="宋体" w:hAnsi="宋体" w:eastAsia="宋体" w:cs="Times New Roman"/>
          <w:color w:val="auto"/>
          <w:sz w:val="24"/>
          <w:szCs w:val="24"/>
          <w:highlight w:val="none"/>
        </w:rPr>
        <w:t>承包人提交的竣工资料的内容：</w:t>
      </w:r>
      <w:bookmarkStart w:id="225" w:name="EBbbfa59216bd34ad08afbdda5c1c8cf14"/>
      <w:r>
        <w:rPr>
          <w:rStyle w:val="18"/>
          <w:rFonts w:hint="eastAsia" w:ascii="宋体" w:hAnsi="宋体" w:eastAsia="宋体" w:cs="Times New Roman"/>
          <w:color w:val="auto"/>
          <w:sz w:val="24"/>
          <w:szCs w:val="24"/>
          <w:highlight w:val="none"/>
        </w:rPr>
        <w:t>执行通用条款约定</w:t>
      </w:r>
      <w:bookmarkEnd w:id="225"/>
      <w:r>
        <w:rPr>
          <w:rStyle w:val="18"/>
          <w:rFonts w:hint="eastAsia" w:ascii="宋体" w:hAnsi="宋体" w:eastAsia="宋体" w:cs="Times New Roman"/>
          <w:color w:val="auto"/>
          <w:sz w:val="24"/>
          <w:szCs w:val="24"/>
          <w:highlight w:val="none"/>
        </w:rPr>
        <w:t>。</w:t>
      </w:r>
    </w:p>
    <w:p w14:paraId="2A880C1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承包人需要提交的竣工资料套数：</w:t>
      </w:r>
      <w:bookmarkStart w:id="226" w:name="EB987369ef6b7e495d9cd321a971aa9f57"/>
      <w:r>
        <w:rPr>
          <w:rStyle w:val="18"/>
          <w:rFonts w:hint="eastAsia" w:ascii="宋体" w:hAnsi="宋体" w:eastAsia="宋体" w:cs="Times New Roman"/>
          <w:color w:val="auto"/>
          <w:sz w:val="24"/>
          <w:szCs w:val="24"/>
          <w:highlight w:val="none"/>
        </w:rPr>
        <w:t>贰套</w:t>
      </w:r>
      <w:bookmarkEnd w:id="226"/>
      <w:r>
        <w:rPr>
          <w:rStyle w:val="18"/>
          <w:rFonts w:hint="eastAsia" w:ascii="宋体" w:hAnsi="宋体" w:eastAsia="宋体" w:cs="Times New Roman"/>
          <w:color w:val="auto"/>
          <w:sz w:val="24"/>
          <w:szCs w:val="24"/>
          <w:highlight w:val="none"/>
        </w:rPr>
        <w:t>。</w:t>
      </w:r>
    </w:p>
    <w:p w14:paraId="0B0A5380">
      <w:pPr>
        <w:pStyle w:val="26"/>
        <w:pageBreakBefore w:val="0"/>
        <w:widowControl w:val="0"/>
        <w:kinsoku/>
        <w:wordWrap/>
        <w:overflowPunct/>
        <w:topLinePunct w:val="0"/>
        <w:bidi w:val="0"/>
        <w:snapToGrid/>
        <w:spacing w:line="440" w:lineRule="exact"/>
        <w:ind w:left="730" w:leftChars="304"/>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承包人提交的竣工资料的费用承担：</w:t>
      </w:r>
      <w:bookmarkStart w:id="227" w:name="EBa52b0e642d4349ccad96bf2f3e3fd33c"/>
      <w:r>
        <w:rPr>
          <w:rStyle w:val="18"/>
          <w:rFonts w:hint="eastAsia" w:ascii="宋体" w:hAnsi="宋体" w:eastAsia="宋体" w:cs="Times New Roman"/>
          <w:color w:val="auto"/>
          <w:sz w:val="24"/>
          <w:szCs w:val="24"/>
          <w:highlight w:val="none"/>
        </w:rPr>
        <w:t>由承包人承担</w:t>
      </w:r>
      <w:bookmarkEnd w:id="227"/>
      <w:r>
        <w:rPr>
          <w:rStyle w:val="18"/>
          <w:rFonts w:hint="eastAsia" w:ascii="宋体" w:hAnsi="宋体" w:eastAsia="宋体" w:cs="Times New Roman"/>
          <w:color w:val="auto"/>
          <w:sz w:val="24"/>
          <w:szCs w:val="24"/>
          <w:highlight w:val="none"/>
        </w:rPr>
        <w:t>。</w:t>
      </w:r>
    </w:p>
    <w:p w14:paraId="24C3EE4B">
      <w:pPr>
        <w:pStyle w:val="26"/>
        <w:pageBreakBefore w:val="0"/>
        <w:widowControl w:val="0"/>
        <w:kinsoku/>
        <w:wordWrap/>
        <w:overflowPunct/>
        <w:topLinePunct w:val="0"/>
        <w:bidi w:val="0"/>
        <w:snapToGrid/>
        <w:spacing w:line="440" w:lineRule="exact"/>
        <w:ind w:left="730" w:leftChars="304"/>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承包人提交的竣工资料移交时间：</w:t>
      </w:r>
      <w:bookmarkStart w:id="228" w:name="EBc2d882e8827147a08f5742d6efc179bb"/>
      <w:r>
        <w:rPr>
          <w:rStyle w:val="18"/>
          <w:rFonts w:hint="eastAsia" w:ascii="宋体" w:hAnsi="宋体" w:eastAsia="宋体" w:cs="Times New Roman"/>
          <w:color w:val="auto"/>
          <w:sz w:val="24"/>
          <w:szCs w:val="24"/>
          <w:highlight w:val="none"/>
        </w:rPr>
        <w:t>工程竣工验收合格后14天内</w:t>
      </w:r>
      <w:bookmarkEnd w:id="228"/>
      <w:r>
        <w:rPr>
          <w:rStyle w:val="18"/>
          <w:rFonts w:hint="eastAsia" w:ascii="宋体" w:hAnsi="宋体" w:eastAsia="宋体" w:cs="Times New Roman"/>
          <w:color w:val="auto"/>
          <w:sz w:val="24"/>
          <w:szCs w:val="24"/>
          <w:highlight w:val="none"/>
        </w:rPr>
        <w:t>。</w:t>
      </w:r>
    </w:p>
    <w:p w14:paraId="3A29134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承包人提交的竣工资料形式要求：</w:t>
      </w:r>
      <w:bookmarkStart w:id="229" w:name="EB5c878847a8f84f9f98fb09ca910eb306"/>
      <w:r>
        <w:rPr>
          <w:rStyle w:val="18"/>
          <w:rFonts w:hint="eastAsia" w:ascii="宋体" w:hAnsi="宋体" w:eastAsia="宋体" w:cs="Times New Roman"/>
          <w:color w:val="auto"/>
          <w:sz w:val="24"/>
          <w:szCs w:val="24"/>
          <w:highlight w:val="none"/>
        </w:rPr>
        <w:t>已装订好的资料</w:t>
      </w:r>
      <w:bookmarkEnd w:id="229"/>
      <w:r>
        <w:rPr>
          <w:rStyle w:val="18"/>
          <w:rFonts w:hint="eastAsia" w:ascii="宋体" w:hAnsi="宋体" w:eastAsia="宋体" w:cs="Times New Roman"/>
          <w:color w:val="auto"/>
          <w:sz w:val="24"/>
          <w:szCs w:val="24"/>
          <w:highlight w:val="none"/>
        </w:rPr>
        <w:t>。</w:t>
      </w:r>
    </w:p>
    <w:p w14:paraId="15C0735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10</w:t>
      </w:r>
      <w:r>
        <w:rPr>
          <w:rStyle w:val="18"/>
          <w:rFonts w:hint="eastAsia" w:ascii="宋体" w:hAnsi="宋体" w:eastAsia="宋体" w:cs="Times New Roman"/>
          <w:color w:val="auto"/>
          <w:kern w:val="0"/>
          <w:sz w:val="24"/>
          <w:szCs w:val="24"/>
          <w:highlight w:val="none"/>
        </w:rPr>
        <w:t>）承包人应履行的其他义务：</w:t>
      </w:r>
      <w:bookmarkStart w:id="230" w:name="EB303fda07cb5d40848cf1fd065d3bbd4a"/>
      <w:bookmarkEnd w:id="230"/>
      <w:r>
        <w:rPr>
          <w:rStyle w:val="18"/>
          <w:rFonts w:hint="eastAsia" w:ascii="宋体" w:hAnsi="宋体" w:eastAsia="宋体" w:cs="Times New Roman"/>
          <w:color w:val="auto"/>
          <w:sz w:val="24"/>
          <w:szCs w:val="24"/>
          <w:highlight w:val="none"/>
        </w:rPr>
        <w:t>。</w:t>
      </w:r>
    </w:p>
    <w:p w14:paraId="158011BB">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3.2 </w:t>
      </w:r>
      <w:r>
        <w:rPr>
          <w:rStyle w:val="18"/>
          <w:rFonts w:hint="eastAsia" w:ascii="宋体" w:hAnsi="宋体" w:eastAsia="宋体" w:cs="Times New Roman"/>
          <w:color w:val="auto"/>
          <w:sz w:val="24"/>
          <w:szCs w:val="24"/>
          <w:highlight w:val="none"/>
        </w:rPr>
        <w:t>项目经理</w:t>
      </w:r>
    </w:p>
    <w:p w14:paraId="58D48B0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kern w:val="0"/>
          <w:sz w:val="24"/>
          <w:szCs w:val="24"/>
          <w:highlight w:val="none"/>
        </w:rPr>
        <w:t xml:space="preserve">3.2.1 </w:t>
      </w:r>
      <w:r>
        <w:rPr>
          <w:rStyle w:val="18"/>
          <w:rFonts w:hint="eastAsia" w:ascii="宋体" w:hAnsi="宋体" w:eastAsia="宋体" w:cs="Times New Roman"/>
          <w:color w:val="auto"/>
          <w:sz w:val="24"/>
          <w:szCs w:val="24"/>
          <w:highlight w:val="none"/>
        </w:rPr>
        <w:t>项目经理：</w:t>
      </w:r>
      <w:bookmarkStart w:id="231" w:name="EB9b7740abc5484a269b8d6b9f1374a890"/>
      <w:bookmarkEnd w:id="231"/>
    </w:p>
    <w:p w14:paraId="2CF68C1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姓</w:t>
      </w:r>
      <w:r>
        <w:rPr>
          <w:rStyle w:val="18"/>
          <w:rFonts w:ascii="宋体" w:hAnsi="宋体" w:eastAsia="宋体" w:cs="Times New Roman"/>
          <w:color w:val="auto"/>
          <w:sz w:val="24"/>
          <w:szCs w:val="24"/>
          <w:highlight w:val="none"/>
        </w:rPr>
        <w:t xml:space="preserve">    </w:t>
      </w:r>
      <w:r>
        <w:rPr>
          <w:rStyle w:val="18"/>
          <w:rFonts w:hint="eastAsia" w:ascii="宋体" w:hAnsi="宋体" w:eastAsia="宋体" w:cs="Times New Roman"/>
          <w:color w:val="auto"/>
          <w:sz w:val="24"/>
          <w:szCs w:val="24"/>
          <w:highlight w:val="none"/>
        </w:rPr>
        <w:t>名：</w:t>
      </w:r>
      <w:bookmarkStart w:id="232" w:name="EB7ee27d17ccd4499786ed753f6b10a971"/>
      <w:bookmarkEnd w:id="232"/>
      <w:r>
        <w:rPr>
          <w:rStyle w:val="18"/>
          <w:rFonts w:hint="eastAsia" w:ascii="宋体" w:hAnsi="宋体" w:eastAsia="宋体" w:cs="Times New Roman"/>
          <w:color w:val="auto"/>
          <w:sz w:val="24"/>
          <w:szCs w:val="24"/>
          <w:highlight w:val="none"/>
        </w:rPr>
        <w:t>；</w:t>
      </w:r>
    </w:p>
    <w:p w14:paraId="49A1B2B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身份证号：</w:t>
      </w:r>
      <w:bookmarkStart w:id="233" w:name="EBdfae5be34c224ed1906cec24384b98e0"/>
      <w:bookmarkEnd w:id="233"/>
      <w:r>
        <w:rPr>
          <w:rStyle w:val="18"/>
          <w:rFonts w:hint="eastAsia" w:ascii="宋体" w:hAnsi="宋体" w:eastAsia="宋体" w:cs="Times New Roman"/>
          <w:color w:val="auto"/>
          <w:sz w:val="24"/>
          <w:szCs w:val="24"/>
          <w:highlight w:val="none"/>
        </w:rPr>
        <w:t>；</w:t>
      </w:r>
    </w:p>
    <w:p w14:paraId="5AC8524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建造师执业资格等级：</w:t>
      </w:r>
      <w:bookmarkStart w:id="234" w:name="EBf3a5657025a54b8ab965089d135727ea"/>
      <w:bookmarkEnd w:id="234"/>
      <w:r>
        <w:rPr>
          <w:rStyle w:val="18"/>
          <w:rFonts w:hint="eastAsia" w:ascii="宋体" w:hAnsi="宋体" w:eastAsia="宋体" w:cs="Times New Roman"/>
          <w:color w:val="auto"/>
          <w:sz w:val="24"/>
          <w:szCs w:val="24"/>
          <w:highlight w:val="none"/>
        </w:rPr>
        <w:t>；</w:t>
      </w:r>
    </w:p>
    <w:p w14:paraId="043A11B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建造师注册证书号：</w:t>
      </w:r>
      <w:bookmarkStart w:id="235" w:name="EB488c9f1ebe3d413eadbaeef8437a6c94"/>
      <w:bookmarkEnd w:id="235"/>
      <w:r>
        <w:rPr>
          <w:rStyle w:val="18"/>
          <w:rFonts w:hint="eastAsia" w:ascii="宋体" w:hAnsi="宋体" w:eastAsia="宋体" w:cs="Times New Roman"/>
          <w:color w:val="auto"/>
          <w:sz w:val="24"/>
          <w:szCs w:val="24"/>
          <w:highlight w:val="none"/>
        </w:rPr>
        <w:t>；</w:t>
      </w:r>
    </w:p>
    <w:p w14:paraId="160676A2">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建造师执业印章号：</w:t>
      </w:r>
      <w:bookmarkStart w:id="236" w:name="EB32f1f126a200402c8b60f0f61354601f"/>
      <w:bookmarkEnd w:id="236"/>
      <w:r>
        <w:rPr>
          <w:rStyle w:val="18"/>
          <w:rFonts w:hint="eastAsia" w:ascii="宋体" w:hAnsi="宋体" w:eastAsia="宋体" w:cs="Times New Roman"/>
          <w:color w:val="auto"/>
          <w:sz w:val="24"/>
          <w:szCs w:val="24"/>
          <w:highlight w:val="none"/>
        </w:rPr>
        <w:t>；</w:t>
      </w:r>
    </w:p>
    <w:p w14:paraId="4D586DF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安全生产考核合格证书号：</w:t>
      </w:r>
      <w:bookmarkStart w:id="237" w:name="EB13214b901dac40fa900e97513c6f71e8"/>
      <w:bookmarkEnd w:id="237"/>
      <w:r>
        <w:rPr>
          <w:rStyle w:val="18"/>
          <w:rFonts w:hint="eastAsia" w:ascii="宋体" w:hAnsi="宋体" w:eastAsia="宋体" w:cs="Times New Roman"/>
          <w:color w:val="auto"/>
          <w:sz w:val="24"/>
          <w:szCs w:val="24"/>
          <w:highlight w:val="none"/>
        </w:rPr>
        <w:t>；</w:t>
      </w:r>
    </w:p>
    <w:p w14:paraId="48A4917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联系电话：</w:t>
      </w:r>
      <w:bookmarkStart w:id="238" w:name="EB0d4cd78a721d466383e6039159007d91"/>
      <w:bookmarkEnd w:id="238"/>
      <w:r>
        <w:rPr>
          <w:rStyle w:val="18"/>
          <w:rFonts w:hint="eastAsia" w:ascii="宋体" w:hAnsi="宋体" w:eastAsia="宋体" w:cs="Times New Roman"/>
          <w:color w:val="auto"/>
          <w:sz w:val="24"/>
          <w:szCs w:val="24"/>
          <w:highlight w:val="none"/>
        </w:rPr>
        <w:t>；</w:t>
      </w:r>
    </w:p>
    <w:p w14:paraId="69878CB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电子信箱：</w:t>
      </w:r>
      <w:bookmarkStart w:id="239" w:name="EB76d437edac8c4e2faa00a4bb3bb62828"/>
      <w:bookmarkEnd w:id="239"/>
      <w:r>
        <w:rPr>
          <w:rStyle w:val="18"/>
          <w:rFonts w:hint="eastAsia" w:ascii="宋体" w:hAnsi="宋体" w:eastAsia="宋体" w:cs="Times New Roman"/>
          <w:color w:val="auto"/>
          <w:sz w:val="24"/>
          <w:szCs w:val="24"/>
          <w:highlight w:val="none"/>
        </w:rPr>
        <w:t>；</w:t>
      </w:r>
    </w:p>
    <w:p w14:paraId="6B4DCE4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通信地址：</w:t>
      </w:r>
      <w:bookmarkStart w:id="240" w:name="EB6bb573e2e56f451ebcfe0e0bcb466b90"/>
      <w:bookmarkEnd w:id="240"/>
      <w:r>
        <w:rPr>
          <w:rStyle w:val="18"/>
          <w:rFonts w:hint="eastAsia" w:ascii="宋体" w:hAnsi="宋体" w:eastAsia="宋体" w:cs="Times New Roman"/>
          <w:color w:val="auto"/>
          <w:sz w:val="24"/>
          <w:szCs w:val="24"/>
          <w:highlight w:val="none"/>
        </w:rPr>
        <w:t>；</w:t>
      </w:r>
    </w:p>
    <w:p w14:paraId="7CE468FE">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承包人对项目经理的授权范围如下：</w:t>
      </w:r>
      <w:bookmarkStart w:id="241" w:name="EB35fbc766cc184cfa87bdcdf985f8a400"/>
      <w:r>
        <w:rPr>
          <w:rStyle w:val="18"/>
          <w:rFonts w:hint="eastAsia" w:ascii="宋体" w:hAnsi="宋体" w:eastAsia="宋体" w:cs="Times New Roman"/>
          <w:color w:val="auto"/>
          <w:sz w:val="24"/>
          <w:szCs w:val="24"/>
          <w:highlight w:val="none"/>
        </w:rPr>
        <w:t>按合同通用条款的本条执行</w:t>
      </w:r>
      <w:bookmarkEnd w:id="241"/>
      <w:r>
        <w:rPr>
          <w:rStyle w:val="18"/>
          <w:rFonts w:hint="eastAsia" w:ascii="宋体" w:hAnsi="宋体" w:eastAsia="宋体" w:cs="Times New Roman"/>
          <w:color w:val="auto"/>
          <w:sz w:val="24"/>
          <w:szCs w:val="24"/>
          <w:highlight w:val="none"/>
        </w:rPr>
        <w:t>。</w:t>
      </w:r>
    </w:p>
    <w:p w14:paraId="663F015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关于项目经理每月在施工现场的时间要求：</w:t>
      </w:r>
      <w:bookmarkStart w:id="242" w:name="EB39ac2c12875f4c23b63f918a043b6eba"/>
      <w:r>
        <w:rPr>
          <w:rStyle w:val="18"/>
          <w:rFonts w:hint="eastAsia" w:ascii="宋体" w:hAnsi="宋体" w:eastAsia="宋体" w:cs="Times New Roman"/>
          <w:color w:val="auto"/>
          <w:kern w:val="0"/>
          <w:sz w:val="24"/>
          <w:szCs w:val="24"/>
          <w:highlight w:val="none"/>
        </w:rPr>
        <w:t>不少于25天</w:t>
      </w:r>
      <w:bookmarkEnd w:id="242"/>
      <w:r>
        <w:rPr>
          <w:rStyle w:val="18"/>
          <w:rFonts w:hint="eastAsia" w:ascii="宋体" w:hAnsi="宋体" w:eastAsia="宋体" w:cs="Times New Roman"/>
          <w:color w:val="auto"/>
          <w:sz w:val="24"/>
          <w:szCs w:val="24"/>
          <w:highlight w:val="none"/>
        </w:rPr>
        <w:t>。</w:t>
      </w:r>
    </w:p>
    <w:p w14:paraId="2C029FF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承包人未提交劳动合同，以及没有为项目经理缴纳社会保险证明的违约责任：</w:t>
      </w:r>
      <w:bookmarkStart w:id="243" w:name="EBb3cee2362d244ab5828d7a3cb12017f0"/>
      <w:r>
        <w:rPr>
          <w:rStyle w:val="18"/>
          <w:rFonts w:hint="eastAsia" w:ascii="宋体" w:hAnsi="宋体" w:eastAsia="宋体" w:cs="Times New Roman"/>
          <w:color w:val="auto"/>
          <w:kern w:val="0"/>
          <w:sz w:val="24"/>
          <w:szCs w:val="24"/>
          <w:highlight w:val="none"/>
        </w:rPr>
        <w:t>承包人承担上述违约给发包人带来的一切损失</w:t>
      </w:r>
      <w:bookmarkEnd w:id="243"/>
      <w:r>
        <w:rPr>
          <w:rStyle w:val="18"/>
          <w:rFonts w:hint="eastAsia" w:ascii="宋体" w:hAnsi="宋体" w:eastAsia="宋体" w:cs="Times New Roman"/>
          <w:color w:val="auto"/>
          <w:sz w:val="24"/>
          <w:szCs w:val="24"/>
          <w:highlight w:val="none"/>
        </w:rPr>
        <w:t>。</w:t>
      </w:r>
    </w:p>
    <w:p w14:paraId="5457763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kern w:val="0"/>
          <w:sz w:val="24"/>
          <w:szCs w:val="24"/>
          <w:highlight w:val="none"/>
        </w:rPr>
        <w:t>项目经理未经批准，擅自离开施工现场的违约责任：</w:t>
      </w:r>
      <w:bookmarkStart w:id="244" w:name="EB50fe091b80cb41ac8ac903448426e600"/>
      <w:r>
        <w:rPr>
          <w:rStyle w:val="18"/>
          <w:rFonts w:hint="eastAsia" w:ascii="宋体" w:hAnsi="宋体" w:eastAsia="宋体" w:cs="Times New Roman"/>
          <w:color w:val="auto"/>
          <w:kern w:val="0"/>
          <w:sz w:val="24"/>
          <w:szCs w:val="24"/>
          <w:highlight w:val="none"/>
        </w:rPr>
        <w:t>承包人承担上述违约给发包人带来的一切损失</w:t>
      </w:r>
      <w:bookmarkEnd w:id="244"/>
      <w:r>
        <w:rPr>
          <w:rStyle w:val="18"/>
          <w:rFonts w:hint="eastAsia" w:ascii="宋体" w:hAnsi="宋体" w:eastAsia="宋体" w:cs="Times New Roman"/>
          <w:color w:val="auto"/>
          <w:sz w:val="24"/>
          <w:szCs w:val="24"/>
          <w:highlight w:val="none"/>
        </w:rPr>
        <w:t>。</w:t>
      </w:r>
    </w:p>
    <w:p w14:paraId="6857E757">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3.2.3 </w:t>
      </w:r>
      <w:r>
        <w:rPr>
          <w:rStyle w:val="18"/>
          <w:rFonts w:hint="eastAsia" w:ascii="宋体" w:hAnsi="宋体" w:eastAsia="宋体" w:cs="Times New Roman"/>
          <w:color w:val="auto"/>
          <w:sz w:val="24"/>
          <w:szCs w:val="24"/>
          <w:highlight w:val="none"/>
        </w:rPr>
        <w:t>承包人擅自更换项目经理的违约责任：</w:t>
      </w:r>
      <w:bookmarkStart w:id="245" w:name="EBe18c2fd6364a41459610ec214471c548"/>
      <w:r>
        <w:rPr>
          <w:rStyle w:val="18"/>
          <w:rFonts w:hint="eastAsia" w:ascii="宋体" w:hAnsi="宋体" w:eastAsia="宋体" w:cs="Times New Roman"/>
          <w:color w:val="auto"/>
          <w:sz w:val="24"/>
          <w:szCs w:val="24"/>
          <w:highlight w:val="none"/>
        </w:rPr>
        <w:t>承包人承担上述违约给发包人带来的一切损失</w:t>
      </w:r>
      <w:bookmarkEnd w:id="245"/>
      <w:r>
        <w:rPr>
          <w:rStyle w:val="18"/>
          <w:rFonts w:hint="eastAsia" w:ascii="宋体" w:hAnsi="宋体" w:eastAsia="宋体" w:cs="Times New Roman"/>
          <w:color w:val="auto"/>
          <w:sz w:val="24"/>
          <w:szCs w:val="24"/>
          <w:highlight w:val="none"/>
        </w:rPr>
        <w:t>。</w:t>
      </w:r>
    </w:p>
    <w:p w14:paraId="09ED8FC4">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    3.2.4 </w:t>
      </w:r>
      <w:r>
        <w:rPr>
          <w:rStyle w:val="18"/>
          <w:rFonts w:hint="eastAsia" w:ascii="宋体" w:hAnsi="宋体" w:eastAsia="宋体" w:cs="Times New Roman"/>
          <w:color w:val="auto"/>
          <w:sz w:val="24"/>
          <w:szCs w:val="24"/>
          <w:highlight w:val="none"/>
        </w:rPr>
        <w:t>承包人无正当理由拒绝更换项目经理的违约责任：</w:t>
      </w:r>
      <w:bookmarkStart w:id="246" w:name="EB656ce266a66c46989f619d1536a5bf3b"/>
      <w:r>
        <w:rPr>
          <w:rStyle w:val="18"/>
          <w:rFonts w:hint="eastAsia" w:ascii="宋体" w:hAnsi="宋体" w:eastAsia="宋体" w:cs="Times New Roman"/>
          <w:color w:val="auto"/>
          <w:sz w:val="24"/>
          <w:szCs w:val="24"/>
          <w:highlight w:val="none"/>
        </w:rPr>
        <w:t>承包人承担上述违约给发包人带来的一切损失</w:t>
      </w:r>
      <w:bookmarkEnd w:id="246"/>
      <w:r>
        <w:rPr>
          <w:rStyle w:val="18"/>
          <w:rFonts w:hint="eastAsia" w:ascii="宋体" w:hAnsi="宋体" w:eastAsia="宋体" w:cs="Times New Roman"/>
          <w:color w:val="auto"/>
          <w:sz w:val="24"/>
          <w:szCs w:val="24"/>
          <w:highlight w:val="none"/>
        </w:rPr>
        <w:t>。</w:t>
      </w:r>
    </w:p>
    <w:p w14:paraId="361B8782">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3.3 </w:t>
      </w:r>
      <w:r>
        <w:rPr>
          <w:rStyle w:val="18"/>
          <w:rFonts w:hint="eastAsia" w:ascii="宋体" w:hAnsi="宋体" w:eastAsia="宋体" w:cs="Times New Roman"/>
          <w:color w:val="auto"/>
          <w:sz w:val="24"/>
          <w:szCs w:val="24"/>
          <w:highlight w:val="none"/>
        </w:rPr>
        <w:t>承包人人员</w:t>
      </w:r>
    </w:p>
    <w:p w14:paraId="47A96BD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3.3.1 </w:t>
      </w:r>
      <w:r>
        <w:rPr>
          <w:rStyle w:val="18"/>
          <w:rFonts w:hint="eastAsia" w:ascii="宋体" w:hAnsi="宋体" w:eastAsia="宋体" w:cs="Times New Roman"/>
          <w:color w:val="auto"/>
          <w:sz w:val="24"/>
          <w:szCs w:val="24"/>
          <w:highlight w:val="none"/>
        </w:rPr>
        <w:t>承包人提交项目管理机构及施工现场管理人员安排报告的期限：</w:t>
      </w:r>
      <w:bookmarkStart w:id="247" w:name="EBa6e521599d67427192975a74082e8fca"/>
      <w:r>
        <w:rPr>
          <w:rStyle w:val="18"/>
          <w:rFonts w:hint="eastAsia" w:ascii="宋体" w:hAnsi="宋体" w:eastAsia="宋体" w:cs="Times New Roman"/>
          <w:color w:val="auto"/>
          <w:sz w:val="24"/>
          <w:szCs w:val="24"/>
          <w:highlight w:val="none"/>
        </w:rPr>
        <w:t>工程开工通知后7天内</w:t>
      </w:r>
      <w:bookmarkEnd w:id="247"/>
      <w:r>
        <w:rPr>
          <w:rStyle w:val="18"/>
          <w:rFonts w:hint="eastAsia" w:ascii="宋体" w:hAnsi="宋体" w:eastAsia="宋体" w:cs="Times New Roman"/>
          <w:color w:val="auto"/>
          <w:sz w:val="24"/>
          <w:szCs w:val="24"/>
          <w:highlight w:val="none"/>
        </w:rPr>
        <w:t>。</w:t>
      </w:r>
    </w:p>
    <w:p w14:paraId="6AE86D2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3.3.3 </w:t>
      </w:r>
      <w:r>
        <w:rPr>
          <w:rStyle w:val="18"/>
          <w:rFonts w:hint="eastAsia" w:ascii="宋体" w:hAnsi="宋体" w:eastAsia="宋体" w:cs="Times New Roman"/>
          <w:color w:val="auto"/>
          <w:sz w:val="24"/>
          <w:szCs w:val="24"/>
          <w:highlight w:val="none"/>
        </w:rPr>
        <w:t>承包人无正当理由拒绝撤换主要施工管理人员的违约责任：</w:t>
      </w:r>
      <w:bookmarkStart w:id="248" w:name="EB2742a3c513ce4ecca07b1e1cd29f14c6"/>
      <w:r>
        <w:rPr>
          <w:rStyle w:val="18"/>
          <w:rFonts w:hint="eastAsia" w:ascii="宋体" w:hAnsi="宋体" w:eastAsia="宋体" w:cs="Times New Roman"/>
          <w:color w:val="auto"/>
          <w:sz w:val="24"/>
          <w:szCs w:val="24"/>
          <w:highlight w:val="none"/>
        </w:rPr>
        <w:t>承包人承担上述违约给发包人带来的一切损失</w:t>
      </w:r>
      <w:bookmarkEnd w:id="248"/>
      <w:r>
        <w:rPr>
          <w:rStyle w:val="18"/>
          <w:rFonts w:hint="eastAsia" w:ascii="宋体" w:hAnsi="宋体" w:eastAsia="宋体" w:cs="Times New Roman"/>
          <w:color w:val="auto"/>
          <w:sz w:val="24"/>
          <w:szCs w:val="24"/>
          <w:highlight w:val="none"/>
        </w:rPr>
        <w:t>。</w:t>
      </w:r>
    </w:p>
    <w:p w14:paraId="612C07FE">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ascii="宋体" w:hAnsi="宋体" w:eastAsia="宋体" w:cs="Times New Roman"/>
          <w:color w:val="auto"/>
          <w:sz w:val="24"/>
          <w:szCs w:val="24"/>
          <w:highlight w:val="none"/>
        </w:rPr>
        <w:t xml:space="preserve">3.3.4 </w:t>
      </w:r>
      <w:r>
        <w:rPr>
          <w:rStyle w:val="18"/>
          <w:rFonts w:hint="eastAsia" w:ascii="宋体" w:hAnsi="宋体" w:eastAsia="宋体" w:cs="Times New Roman"/>
          <w:color w:val="auto"/>
          <w:sz w:val="24"/>
          <w:szCs w:val="24"/>
          <w:highlight w:val="none"/>
        </w:rPr>
        <w:t>承包人主要施工管理人员离开施工现场的批准要求：</w:t>
      </w:r>
      <w:bookmarkStart w:id="249" w:name="EBf8a9fd9261d8402eac8216fd5a0a527b"/>
      <w:r>
        <w:rPr>
          <w:rStyle w:val="18"/>
          <w:rFonts w:hint="eastAsia" w:ascii="宋体" w:hAnsi="宋体" w:eastAsia="宋体" w:cs="Times New Roman"/>
          <w:color w:val="auto"/>
          <w:sz w:val="24"/>
          <w:szCs w:val="24"/>
          <w:highlight w:val="none"/>
        </w:rPr>
        <w:t>由总监理工程师批准，发包人认可后方可离开。</w:t>
      </w:r>
      <w:bookmarkEnd w:id="249"/>
    </w:p>
    <w:p w14:paraId="581389E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3.3.5</w:t>
      </w:r>
      <w:r>
        <w:rPr>
          <w:rStyle w:val="18"/>
          <w:rFonts w:hint="eastAsia" w:ascii="宋体" w:hAnsi="宋体" w:eastAsia="宋体" w:cs="Times New Roman"/>
          <w:color w:val="auto"/>
          <w:sz w:val="24"/>
          <w:szCs w:val="24"/>
          <w:highlight w:val="none"/>
        </w:rPr>
        <w:t>承包人擅自更换主要施工管理人员的违约责任：</w:t>
      </w:r>
      <w:bookmarkStart w:id="250" w:name="EB522141d570a04b2db20ac76ef35f2f05"/>
      <w:r>
        <w:rPr>
          <w:rStyle w:val="18"/>
          <w:rFonts w:hint="eastAsia" w:ascii="宋体" w:hAnsi="宋体" w:eastAsia="宋体" w:cs="Times New Roman"/>
          <w:color w:val="auto"/>
          <w:sz w:val="24"/>
          <w:szCs w:val="24"/>
          <w:highlight w:val="none"/>
        </w:rPr>
        <w:t>承包人承担上述违约给发包人带来的一切损失</w:t>
      </w:r>
      <w:bookmarkEnd w:id="250"/>
      <w:r>
        <w:rPr>
          <w:rStyle w:val="18"/>
          <w:rFonts w:hint="eastAsia" w:ascii="宋体" w:hAnsi="宋体" w:eastAsia="宋体" w:cs="Times New Roman"/>
          <w:color w:val="auto"/>
          <w:sz w:val="24"/>
          <w:szCs w:val="24"/>
          <w:highlight w:val="none"/>
        </w:rPr>
        <w:t>。</w:t>
      </w:r>
    </w:p>
    <w:p w14:paraId="4941A19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承包人主要施工管理人员擅自离开施工现场的违约责任：</w:t>
      </w:r>
      <w:bookmarkStart w:id="251" w:name="EBcdc003b42d354ad6aa4b59f7dda8e563"/>
      <w:r>
        <w:rPr>
          <w:rStyle w:val="18"/>
          <w:rFonts w:hint="eastAsia" w:ascii="宋体" w:hAnsi="宋体" w:eastAsia="宋体" w:cs="Times New Roman"/>
          <w:color w:val="auto"/>
          <w:sz w:val="24"/>
          <w:szCs w:val="24"/>
          <w:highlight w:val="none"/>
        </w:rPr>
        <w:t>承包人承担上述违约给发包人带来的一切损失</w:t>
      </w:r>
      <w:bookmarkEnd w:id="251"/>
      <w:r>
        <w:rPr>
          <w:rStyle w:val="18"/>
          <w:rFonts w:hint="eastAsia" w:ascii="宋体" w:hAnsi="宋体" w:eastAsia="宋体" w:cs="Times New Roman"/>
          <w:color w:val="auto"/>
          <w:sz w:val="24"/>
          <w:szCs w:val="24"/>
          <w:highlight w:val="none"/>
        </w:rPr>
        <w:t>。</w:t>
      </w:r>
    </w:p>
    <w:p w14:paraId="7451364D">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3</w:t>
      </w:r>
      <w:bookmarkStart w:id="252" w:name="_Toc300934945"/>
      <w:bookmarkStart w:id="253" w:name="_Toc297123492"/>
      <w:bookmarkStart w:id="254" w:name="_Toc296346660"/>
      <w:bookmarkStart w:id="255" w:name="_Toc296347158"/>
      <w:bookmarkStart w:id="256" w:name="_Toc292559364"/>
      <w:bookmarkStart w:id="257" w:name="_Toc304295523"/>
      <w:bookmarkStart w:id="258" w:name="_Toc297120459"/>
      <w:bookmarkStart w:id="259" w:name="_Toc303539102"/>
      <w:bookmarkStart w:id="260" w:name="_Toc296944498"/>
      <w:bookmarkStart w:id="261" w:name="_Toc297048345"/>
      <w:bookmarkStart w:id="262" w:name="_Toc296890987"/>
      <w:bookmarkStart w:id="263" w:name="_Toc296503159"/>
      <w:bookmarkStart w:id="264" w:name="_Toc312677988"/>
      <w:bookmarkStart w:id="265" w:name="_Toc296891199"/>
      <w:bookmarkStart w:id="266" w:name="_Toc292559869"/>
      <w:bookmarkStart w:id="267" w:name="_Toc297216151"/>
      <w:r>
        <w:rPr>
          <w:rStyle w:val="18"/>
          <w:rFonts w:ascii="宋体" w:hAnsi="宋体" w:eastAsia="宋体" w:cs="Times New Roman"/>
          <w:color w:val="auto"/>
          <w:sz w:val="24"/>
          <w:szCs w:val="24"/>
          <w:highlight w:val="none"/>
        </w:rPr>
        <w:t xml:space="preserve">.5 </w:t>
      </w:r>
      <w:r>
        <w:rPr>
          <w:rStyle w:val="18"/>
          <w:rFonts w:hint="eastAsia" w:ascii="宋体" w:hAnsi="宋体" w:eastAsia="宋体" w:cs="Times New Roman"/>
          <w:color w:val="auto"/>
          <w:sz w:val="24"/>
          <w:szCs w:val="24"/>
          <w:highlight w:val="none"/>
        </w:rPr>
        <w:t>分包</w:t>
      </w:r>
    </w:p>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14:paraId="75ADC6C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3</w:t>
      </w:r>
      <w:bookmarkStart w:id="268" w:name="_Toc297048346"/>
      <w:bookmarkStart w:id="269" w:name="_Toc296347159"/>
      <w:bookmarkStart w:id="270" w:name="_Toc296891200"/>
      <w:bookmarkStart w:id="271" w:name="_Toc297216152"/>
      <w:bookmarkStart w:id="272" w:name="_Toc304295524"/>
      <w:bookmarkStart w:id="273" w:name="_Toc292559870"/>
      <w:bookmarkStart w:id="274" w:name="_Toc296944499"/>
      <w:bookmarkStart w:id="275" w:name="_Toc296503160"/>
      <w:bookmarkStart w:id="276" w:name="_Toc297120460"/>
      <w:bookmarkStart w:id="277" w:name="_Toc300934946"/>
      <w:bookmarkStart w:id="278" w:name="_Toc296346661"/>
      <w:bookmarkStart w:id="279" w:name="_Toc303539103"/>
      <w:bookmarkStart w:id="280" w:name="_Toc292559365"/>
      <w:bookmarkStart w:id="281" w:name="_Toc297123493"/>
      <w:bookmarkStart w:id="282" w:name="_Toc296890988"/>
      <w:bookmarkStart w:id="283" w:name="_Toc312677989"/>
      <w:bookmarkStart w:id="284" w:name="_Toc318581158"/>
      <w:r>
        <w:rPr>
          <w:rStyle w:val="18"/>
          <w:rFonts w:ascii="宋体" w:hAnsi="宋体" w:eastAsia="宋体" w:cs="Times New Roman"/>
          <w:color w:val="auto"/>
          <w:sz w:val="24"/>
          <w:szCs w:val="24"/>
          <w:highlight w:val="none"/>
        </w:rPr>
        <w:t xml:space="preserve">.5.1 </w:t>
      </w:r>
      <w:r>
        <w:rPr>
          <w:rStyle w:val="18"/>
          <w:rFonts w:hint="eastAsia" w:ascii="宋体" w:hAnsi="宋体" w:eastAsia="宋体" w:cs="Times New Roman"/>
          <w:color w:val="auto"/>
          <w:sz w:val="24"/>
          <w:szCs w:val="24"/>
          <w:highlight w:val="none"/>
        </w:rPr>
        <w:t>分包的一般约定</w:t>
      </w:r>
    </w:p>
    <w:p w14:paraId="0E6F6CD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禁止分包的工程包括：</w:t>
      </w:r>
      <w:bookmarkStart w:id="285" w:name="EBb01bc9cb8a744ec3a0e9106ca3cc05db"/>
      <w:r>
        <w:rPr>
          <w:rStyle w:val="18"/>
          <w:rFonts w:hint="eastAsia" w:ascii="宋体" w:hAnsi="宋体" w:eastAsia="宋体" w:cs="Times New Roman"/>
          <w:color w:val="auto"/>
          <w:sz w:val="24"/>
          <w:szCs w:val="24"/>
          <w:highlight w:val="none"/>
        </w:rPr>
        <w:t>/</w:t>
      </w:r>
      <w:bookmarkEnd w:id="285"/>
      <w:r>
        <w:rPr>
          <w:rStyle w:val="18"/>
          <w:rFonts w:hint="eastAsia" w:ascii="宋体" w:hAnsi="宋体" w:eastAsia="宋体" w:cs="Times New Roman"/>
          <w:color w:val="auto"/>
          <w:sz w:val="24"/>
          <w:szCs w:val="24"/>
          <w:highlight w:val="none"/>
        </w:rPr>
        <w:t>。</w:t>
      </w:r>
    </w:p>
    <w:p w14:paraId="104EA3B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主体结构、关键性工作的范围：</w:t>
      </w:r>
      <w:bookmarkStart w:id="286" w:name="EB0bfc0a5b0c3149f9b74c68e2ff7877ec"/>
      <w:r>
        <w:rPr>
          <w:rStyle w:val="18"/>
          <w:rFonts w:hint="eastAsia" w:ascii="宋体" w:hAnsi="宋体" w:eastAsia="宋体" w:cs="Times New Roman"/>
          <w:color w:val="auto"/>
          <w:sz w:val="24"/>
          <w:szCs w:val="24"/>
          <w:highlight w:val="none"/>
        </w:rPr>
        <w:t>/</w:t>
      </w:r>
      <w:bookmarkEnd w:id="286"/>
      <w:r>
        <w:rPr>
          <w:rStyle w:val="18"/>
          <w:rFonts w:hint="eastAsia" w:ascii="宋体" w:hAnsi="宋体" w:eastAsia="宋体" w:cs="Times New Roman"/>
          <w:color w:val="auto"/>
          <w:sz w:val="24"/>
          <w:szCs w:val="24"/>
          <w:highlight w:val="none"/>
        </w:rPr>
        <w: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Start w:id="287" w:name="_Toc297120461"/>
      <w:bookmarkStart w:id="288" w:name="_Toc297048347"/>
      <w:bookmarkStart w:id="289" w:name="_Toc296503161"/>
      <w:bookmarkStart w:id="290" w:name="_Toc297123494"/>
      <w:bookmarkStart w:id="291" w:name="_Toc296944500"/>
      <w:bookmarkStart w:id="292" w:name="_Toc300934947"/>
      <w:bookmarkStart w:id="293" w:name="_Toc296890989"/>
      <w:bookmarkStart w:id="294" w:name="_Toc303539104"/>
      <w:bookmarkStart w:id="295" w:name="_Toc297216153"/>
      <w:bookmarkStart w:id="296" w:name="_Toc296347160"/>
      <w:bookmarkStart w:id="297" w:name="_Toc304295525"/>
      <w:bookmarkStart w:id="298" w:name="_Toc296891201"/>
      <w:bookmarkStart w:id="299" w:name="_Toc296346662"/>
    </w:p>
    <w:bookmarkEnd w:id="283"/>
    <w:bookmarkEnd w:id="284"/>
    <w:bookmarkEnd w:id="287"/>
    <w:bookmarkEnd w:id="288"/>
    <w:bookmarkEnd w:id="289"/>
    <w:bookmarkEnd w:id="290"/>
    <w:bookmarkEnd w:id="291"/>
    <w:bookmarkEnd w:id="292"/>
    <w:bookmarkEnd w:id="293"/>
    <w:bookmarkEnd w:id="294"/>
    <w:bookmarkEnd w:id="295"/>
    <w:bookmarkEnd w:id="296"/>
    <w:bookmarkEnd w:id="297"/>
    <w:bookmarkEnd w:id="298"/>
    <w:bookmarkEnd w:id="299"/>
    <w:p w14:paraId="36CE416A">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    3</w:t>
      </w:r>
      <w:bookmarkStart w:id="300" w:name="_Toc318581159"/>
      <w:bookmarkStart w:id="301" w:name="_Toc312677990"/>
      <w:r>
        <w:rPr>
          <w:rStyle w:val="18"/>
          <w:rFonts w:ascii="宋体" w:hAnsi="宋体" w:eastAsia="宋体" w:cs="Times New Roman"/>
          <w:color w:val="auto"/>
          <w:sz w:val="24"/>
          <w:szCs w:val="24"/>
          <w:highlight w:val="none"/>
        </w:rPr>
        <w:t>.5.2</w:t>
      </w:r>
      <w:r>
        <w:rPr>
          <w:rStyle w:val="18"/>
          <w:rFonts w:hint="eastAsia" w:ascii="宋体" w:hAnsi="宋体" w:eastAsia="宋体" w:cs="Times New Roman"/>
          <w:color w:val="auto"/>
          <w:sz w:val="24"/>
          <w:szCs w:val="24"/>
          <w:highlight w:val="none"/>
        </w:rPr>
        <w:t>分包的确定</w:t>
      </w:r>
    </w:p>
    <w:p w14:paraId="44077FB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允许分包的专业工程包括：</w:t>
      </w:r>
      <w:r>
        <w:rPr>
          <w:rStyle w:val="18"/>
          <w:rFonts w:hint="eastAsia" w:ascii="宋体" w:hAnsi="宋体" w:cs="Times New Roman"/>
          <w:color w:val="auto"/>
          <w:sz w:val="24"/>
          <w:szCs w:val="24"/>
          <w:highlight w:val="none"/>
          <w:lang w:val="en-US" w:eastAsia="zh-CN"/>
        </w:rPr>
        <w:t>/</w:t>
      </w:r>
      <w:r>
        <w:rPr>
          <w:rStyle w:val="18"/>
          <w:rFonts w:hint="eastAsia" w:ascii="宋体" w:hAnsi="宋体" w:eastAsia="宋体" w:cs="Times New Roman"/>
          <w:color w:val="auto"/>
          <w:sz w:val="24"/>
          <w:szCs w:val="24"/>
          <w:highlight w:val="none"/>
        </w:rPr>
        <w:t>。</w:t>
      </w:r>
    </w:p>
    <w:p w14:paraId="762DE72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其他关于分包的约定：</w:t>
      </w:r>
      <w:bookmarkStart w:id="302" w:name="EB18af4486215b43abbf30fe50ff166136"/>
      <w:r>
        <w:rPr>
          <w:rStyle w:val="18"/>
          <w:rFonts w:hint="eastAsia" w:ascii="宋体" w:hAnsi="宋体" w:eastAsia="宋体" w:cs="Times New Roman"/>
          <w:color w:val="auto"/>
          <w:sz w:val="24"/>
          <w:szCs w:val="24"/>
          <w:highlight w:val="none"/>
        </w:rPr>
        <w:t>/</w:t>
      </w:r>
      <w:bookmarkEnd w:id="302"/>
      <w:r>
        <w:rPr>
          <w:rStyle w:val="18"/>
          <w:rFonts w:hint="eastAsia" w:ascii="宋体" w:hAnsi="宋体" w:eastAsia="宋体" w:cs="Times New Roman"/>
          <w:color w:val="auto"/>
          <w:sz w:val="24"/>
          <w:szCs w:val="24"/>
          <w:highlight w:val="none"/>
        </w:rPr>
        <w:t>。</w:t>
      </w:r>
    </w:p>
    <w:p w14:paraId="53AD14D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3.5.4 </w:t>
      </w:r>
      <w:r>
        <w:rPr>
          <w:rStyle w:val="18"/>
          <w:rFonts w:hint="eastAsia" w:ascii="宋体" w:hAnsi="宋体" w:eastAsia="宋体" w:cs="Times New Roman"/>
          <w:color w:val="auto"/>
          <w:sz w:val="24"/>
          <w:szCs w:val="24"/>
          <w:highlight w:val="none"/>
        </w:rPr>
        <w:t>分包合同价款</w:t>
      </w:r>
    </w:p>
    <w:p w14:paraId="725B451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关于分包合同价款支付的约定：</w:t>
      </w:r>
      <w:bookmarkStart w:id="303" w:name="EB99471cf794fb494ea206358e46e40f60"/>
      <w:r>
        <w:rPr>
          <w:rStyle w:val="18"/>
          <w:rFonts w:hint="eastAsia" w:ascii="宋体" w:hAnsi="宋体" w:eastAsia="宋体" w:cs="Times New Roman"/>
          <w:color w:val="auto"/>
          <w:sz w:val="24"/>
          <w:szCs w:val="24"/>
          <w:highlight w:val="none"/>
        </w:rPr>
        <w:t>/</w:t>
      </w:r>
      <w:bookmarkEnd w:id="303"/>
      <w:r>
        <w:rPr>
          <w:rStyle w:val="18"/>
          <w:rFonts w:hint="eastAsia" w:ascii="宋体" w:hAnsi="宋体" w:eastAsia="宋体" w:cs="Times New Roman"/>
          <w:color w:val="auto"/>
          <w:sz w:val="24"/>
          <w:szCs w:val="24"/>
          <w:highlight w:val="none"/>
        </w:rPr>
        <w:t>。</w:t>
      </w:r>
    </w:p>
    <w:bookmarkEnd w:id="300"/>
    <w:bookmarkEnd w:id="301"/>
    <w:p w14:paraId="15164B16">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3.6 </w:t>
      </w:r>
      <w:r>
        <w:rPr>
          <w:rStyle w:val="18"/>
          <w:rFonts w:hint="eastAsia" w:ascii="宋体" w:hAnsi="宋体" w:eastAsia="宋体" w:cs="Times New Roman"/>
          <w:color w:val="auto"/>
          <w:sz w:val="24"/>
          <w:szCs w:val="24"/>
          <w:highlight w:val="none"/>
        </w:rPr>
        <w:t>工程照管与成品、半成品保护</w:t>
      </w:r>
    </w:p>
    <w:p w14:paraId="2E2F779D">
      <w:pPr>
        <w:pStyle w:val="26"/>
        <w:pageBreakBefore w:val="0"/>
        <w:widowControl w:val="0"/>
        <w:kinsoku/>
        <w:wordWrap/>
        <w:overflowPunct/>
        <w:topLinePunct w:val="0"/>
        <w:bidi w:val="0"/>
        <w:snapToGrid/>
        <w:spacing w:before="120" w:after="120" w:line="440" w:lineRule="exact"/>
        <w:ind w:firstLine="480" w:firstLineChars="200"/>
        <w:textAlignment w:val="auto"/>
        <w:rPr>
          <w:rStyle w:val="18"/>
          <w:rFonts w:ascii="宋体" w:hAnsi="宋体" w:eastAsia="宋体" w:cs="Times New Roman"/>
          <w:color w:val="auto"/>
          <w:kern w:val="0"/>
          <w:sz w:val="24"/>
          <w:szCs w:val="24"/>
          <w:highlight w:val="none"/>
          <w:u w:val="single"/>
        </w:rPr>
      </w:pPr>
      <w:r>
        <w:rPr>
          <w:rStyle w:val="18"/>
          <w:rFonts w:hint="eastAsia" w:ascii="宋体" w:hAnsi="宋体" w:eastAsia="宋体" w:cs="Times New Roman"/>
          <w:color w:val="auto"/>
          <w:kern w:val="0"/>
          <w:sz w:val="24"/>
          <w:szCs w:val="24"/>
          <w:highlight w:val="none"/>
        </w:rPr>
        <w:t>承包人负责照管工程及工程相关的材料、工程设备的起始时间：</w:t>
      </w:r>
      <w:bookmarkStart w:id="304" w:name="EB59d31e13ebb14cc18cb7922dde5f2e0a"/>
      <w:r>
        <w:rPr>
          <w:rStyle w:val="18"/>
          <w:rFonts w:hint="eastAsia" w:ascii="宋体" w:hAnsi="宋体" w:eastAsia="宋体" w:cs="Times New Roman"/>
          <w:color w:val="auto"/>
          <w:kern w:val="0"/>
          <w:sz w:val="24"/>
          <w:szCs w:val="24"/>
          <w:highlight w:val="none"/>
        </w:rPr>
        <w:t>执行合同通用条款</w:t>
      </w:r>
      <w:bookmarkEnd w:id="304"/>
      <w:r>
        <w:rPr>
          <w:rStyle w:val="18"/>
          <w:rFonts w:hint="eastAsia" w:ascii="宋体" w:hAnsi="宋体" w:eastAsia="宋体" w:cs="Times New Roman"/>
          <w:color w:val="auto"/>
          <w:kern w:val="0"/>
          <w:sz w:val="24"/>
          <w:szCs w:val="24"/>
          <w:highlight w:val="none"/>
        </w:rPr>
        <w:t>。</w:t>
      </w:r>
    </w:p>
    <w:p w14:paraId="66B3B2F9">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3.7 </w:t>
      </w:r>
      <w:r>
        <w:rPr>
          <w:rStyle w:val="18"/>
          <w:rFonts w:hint="eastAsia" w:ascii="宋体" w:hAnsi="宋体" w:eastAsia="宋体" w:cs="Times New Roman"/>
          <w:color w:val="auto"/>
          <w:sz w:val="24"/>
          <w:szCs w:val="24"/>
          <w:highlight w:val="none"/>
        </w:rPr>
        <w:t>履约担保</w:t>
      </w:r>
    </w:p>
    <w:p w14:paraId="2E9DD38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承包人是否提供履约担保：</w:t>
      </w:r>
      <w:r>
        <w:rPr>
          <w:rStyle w:val="18"/>
          <w:rFonts w:hint="eastAsia" w:ascii="宋体" w:hAnsi="宋体" w:cs="Times New Roman"/>
          <w:color w:val="auto"/>
          <w:sz w:val="24"/>
          <w:szCs w:val="24"/>
          <w:highlight w:val="none"/>
          <w:lang w:val="en-US" w:eastAsia="zh-CN"/>
        </w:rPr>
        <w:t>否</w:t>
      </w:r>
      <w:r>
        <w:rPr>
          <w:rStyle w:val="18"/>
          <w:rFonts w:hint="eastAsia" w:ascii="宋体" w:hAnsi="宋体" w:eastAsia="宋体" w:cs="Times New Roman"/>
          <w:color w:val="auto"/>
          <w:sz w:val="24"/>
          <w:szCs w:val="24"/>
          <w:highlight w:val="none"/>
        </w:rPr>
        <w:t>。</w:t>
      </w:r>
    </w:p>
    <w:p w14:paraId="050E840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承包人提供履约担保的形式、金额及期限的：</w:t>
      </w:r>
      <w:bookmarkStart w:id="305" w:name="EB76e141c3c7444f75b5f3cd40bec83a70"/>
      <w:r>
        <w:rPr>
          <w:rStyle w:val="18"/>
          <w:rFonts w:hint="eastAsia" w:ascii="宋体" w:hAnsi="宋体" w:eastAsia="宋体" w:cs="Times New Roman"/>
          <w:color w:val="auto"/>
          <w:sz w:val="24"/>
          <w:szCs w:val="24"/>
          <w:highlight w:val="none"/>
        </w:rPr>
        <w:t>支票、汇票或银行保函，履约担保的金额：</w:t>
      </w:r>
      <w:bookmarkEnd w:id="305"/>
      <w:r>
        <w:rPr>
          <w:rStyle w:val="18"/>
          <w:rFonts w:hint="eastAsia" w:ascii="宋体" w:hAnsi="宋体" w:eastAsia="宋体" w:cs="宋体"/>
          <w:color w:val="auto"/>
          <w:sz w:val="24"/>
          <w:szCs w:val="24"/>
          <w:highlight w:val="none"/>
        </w:rPr>
        <w:t>中标金额的</w:t>
      </w:r>
      <w:r>
        <w:rPr>
          <w:rStyle w:val="18"/>
          <w:rFonts w:hint="eastAsia" w:ascii="宋体" w:hAnsi="宋体" w:cs="宋体"/>
          <w:color w:val="auto"/>
          <w:sz w:val="24"/>
          <w:szCs w:val="24"/>
          <w:highlight w:val="none"/>
          <w:u w:val="single"/>
          <w:lang w:val="en-US" w:eastAsia="zh-CN"/>
        </w:rPr>
        <w:t>/</w:t>
      </w:r>
      <w:r>
        <w:rPr>
          <w:rStyle w:val="18"/>
          <w:rFonts w:hint="eastAsia" w:ascii="宋体" w:hAnsi="宋体" w:eastAsia="宋体" w:cs="宋体"/>
          <w:color w:val="auto"/>
          <w:sz w:val="24"/>
          <w:szCs w:val="24"/>
          <w:highlight w:val="none"/>
        </w:rPr>
        <w:t>%</w:t>
      </w:r>
      <w:r>
        <w:rPr>
          <w:rStyle w:val="18"/>
          <w:rFonts w:hint="eastAsia" w:ascii="宋体" w:hAnsi="宋体" w:eastAsia="宋体" w:cs="Times New Roman"/>
          <w:color w:val="auto"/>
          <w:sz w:val="24"/>
          <w:szCs w:val="24"/>
          <w:highlight w:val="none"/>
        </w:rPr>
        <w:t>。</w:t>
      </w:r>
    </w:p>
    <w:p w14:paraId="0E2FAE9D">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306" w:name="_Toc351203636"/>
      <w:r>
        <w:rPr>
          <w:rStyle w:val="18"/>
          <w:rFonts w:ascii="宋体" w:hAnsi="宋体" w:eastAsia="宋体" w:cs="Times New Roman"/>
          <w:b/>
          <w:color w:val="auto"/>
          <w:sz w:val="24"/>
          <w:szCs w:val="24"/>
          <w:highlight w:val="none"/>
        </w:rPr>
        <w:t>4</w:t>
      </w:r>
      <w:bookmarkStart w:id="307" w:name="_Toc297048348"/>
      <w:bookmarkStart w:id="308" w:name="_Toc267251413"/>
      <w:bookmarkStart w:id="309" w:name="_Toc292559366"/>
      <w:bookmarkStart w:id="310" w:name="_Toc296346663"/>
      <w:bookmarkStart w:id="311" w:name="_Toc296944501"/>
      <w:bookmarkStart w:id="312" w:name="_Toc296891202"/>
      <w:bookmarkStart w:id="313" w:name="_Toc292559871"/>
      <w:bookmarkStart w:id="314" w:name="_Toc296347161"/>
      <w:bookmarkStart w:id="315" w:name="_Toc296890990"/>
      <w:bookmarkStart w:id="316" w:name="_Toc297120462"/>
      <w:bookmarkStart w:id="317" w:name="_Toc296503162"/>
      <w:r>
        <w:rPr>
          <w:rStyle w:val="18"/>
          <w:rFonts w:ascii="宋体" w:hAnsi="宋体" w:eastAsia="宋体" w:cs="Times New Roman"/>
          <w:b/>
          <w:color w:val="auto"/>
          <w:sz w:val="24"/>
          <w:szCs w:val="24"/>
          <w:highlight w:val="none"/>
        </w:rPr>
        <w:t xml:space="preserve">. </w:t>
      </w:r>
      <w:r>
        <w:rPr>
          <w:rStyle w:val="18"/>
          <w:rFonts w:hint="eastAsia" w:ascii="宋体" w:hAnsi="宋体" w:eastAsia="宋体" w:cs="Times New Roman"/>
          <w:b/>
          <w:color w:val="auto"/>
          <w:sz w:val="24"/>
          <w:szCs w:val="24"/>
          <w:highlight w:val="none"/>
        </w:rPr>
        <w:t>监</w:t>
      </w:r>
      <w:bookmarkEnd w:id="307"/>
      <w:bookmarkEnd w:id="308"/>
      <w:bookmarkEnd w:id="309"/>
      <w:bookmarkEnd w:id="310"/>
      <w:bookmarkEnd w:id="311"/>
      <w:bookmarkEnd w:id="312"/>
      <w:bookmarkEnd w:id="313"/>
      <w:bookmarkEnd w:id="314"/>
      <w:bookmarkEnd w:id="315"/>
      <w:bookmarkEnd w:id="316"/>
      <w:bookmarkEnd w:id="317"/>
      <w:r>
        <w:rPr>
          <w:rStyle w:val="18"/>
          <w:rFonts w:hint="eastAsia" w:ascii="宋体" w:hAnsi="宋体" w:eastAsia="宋体" w:cs="Times New Roman"/>
          <w:b/>
          <w:color w:val="auto"/>
          <w:sz w:val="24"/>
          <w:szCs w:val="24"/>
          <w:highlight w:val="none"/>
        </w:rPr>
        <w:t>理人</w:t>
      </w:r>
      <w:bookmarkEnd w:id="306"/>
    </w:p>
    <w:p w14:paraId="5A57521A">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4.1</w:t>
      </w:r>
      <w:r>
        <w:rPr>
          <w:rStyle w:val="18"/>
          <w:rFonts w:hint="eastAsia" w:ascii="宋体" w:hAnsi="宋体" w:eastAsia="宋体" w:cs="Times New Roman"/>
          <w:color w:val="auto"/>
          <w:sz w:val="24"/>
          <w:szCs w:val="24"/>
          <w:highlight w:val="none"/>
        </w:rPr>
        <w:t>监理人的一般规定</w:t>
      </w:r>
    </w:p>
    <w:p w14:paraId="74E5B6B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关于监理人的监理内容：</w:t>
      </w:r>
      <w:bookmarkStart w:id="318" w:name="EBccb8cbe2e2f341368cf12d9b4d0bb7d8"/>
      <w:r>
        <w:rPr>
          <w:rStyle w:val="18"/>
          <w:rFonts w:hint="eastAsia" w:ascii="宋体" w:hAnsi="宋体" w:eastAsia="宋体" w:cs="Times New Roman"/>
          <w:color w:val="auto"/>
          <w:sz w:val="24"/>
          <w:szCs w:val="24"/>
          <w:highlight w:val="none"/>
        </w:rPr>
        <w:t>按本合同通用条款的本条执行</w:t>
      </w:r>
      <w:bookmarkEnd w:id="318"/>
      <w:r>
        <w:rPr>
          <w:rStyle w:val="18"/>
          <w:rFonts w:hint="eastAsia" w:ascii="宋体" w:hAnsi="宋体" w:eastAsia="宋体" w:cs="Times New Roman"/>
          <w:color w:val="auto"/>
          <w:sz w:val="24"/>
          <w:szCs w:val="24"/>
          <w:highlight w:val="none"/>
        </w:rPr>
        <w:t>。</w:t>
      </w:r>
    </w:p>
    <w:p w14:paraId="4C67C7B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关于监理人的监理权限：</w:t>
      </w:r>
      <w:bookmarkStart w:id="319" w:name="EB2ee88123cf7a47e08d9b806c6ebeb832"/>
      <w:r>
        <w:rPr>
          <w:rStyle w:val="18"/>
          <w:rFonts w:hint="eastAsia" w:ascii="宋体" w:hAnsi="宋体" w:eastAsia="宋体" w:cs="Times New Roman"/>
          <w:color w:val="auto"/>
          <w:sz w:val="24"/>
          <w:szCs w:val="24"/>
          <w:highlight w:val="none"/>
        </w:rPr>
        <w:t>按本合同通用条款的本条执行</w:t>
      </w:r>
      <w:bookmarkEnd w:id="319"/>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 xml:space="preserve"> </w:t>
      </w:r>
    </w:p>
    <w:p w14:paraId="7BA654B1">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关于监理人在施工现场的办公场所、生活场所的提供和费用承担的约定：</w:t>
      </w:r>
      <w:bookmarkStart w:id="320" w:name="EBdc2ddae302bc4f169e210ca660bb4128"/>
      <w:r>
        <w:rPr>
          <w:rStyle w:val="18"/>
          <w:rFonts w:hint="eastAsia" w:ascii="宋体" w:hAnsi="宋体" w:eastAsia="宋体" w:cs="Times New Roman"/>
          <w:color w:val="auto"/>
          <w:sz w:val="24"/>
          <w:szCs w:val="24"/>
          <w:highlight w:val="none"/>
        </w:rPr>
        <w:t>按本合同通用条款的本条执行</w:t>
      </w:r>
      <w:bookmarkEnd w:id="320"/>
      <w:r>
        <w:rPr>
          <w:rStyle w:val="18"/>
          <w:rFonts w:hint="eastAsia" w:ascii="宋体" w:hAnsi="宋体" w:eastAsia="宋体" w:cs="Times New Roman"/>
          <w:color w:val="auto"/>
          <w:sz w:val="24"/>
          <w:szCs w:val="24"/>
          <w:highlight w:val="none"/>
        </w:rPr>
        <w:t>。</w:t>
      </w:r>
    </w:p>
    <w:p w14:paraId="109819CB">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4.2 </w:t>
      </w:r>
      <w:r>
        <w:rPr>
          <w:rStyle w:val="18"/>
          <w:rFonts w:hint="eastAsia" w:ascii="宋体" w:hAnsi="宋体" w:eastAsia="宋体" w:cs="Times New Roman"/>
          <w:color w:val="auto"/>
          <w:sz w:val="24"/>
          <w:szCs w:val="24"/>
          <w:highlight w:val="none"/>
        </w:rPr>
        <w:t>监理人员</w:t>
      </w:r>
    </w:p>
    <w:p w14:paraId="229BFE3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总监理工程师：</w:t>
      </w:r>
    </w:p>
    <w:p w14:paraId="51E7FF9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姓</w:t>
      </w:r>
      <w:r>
        <w:rPr>
          <w:rStyle w:val="18"/>
          <w:rFonts w:ascii="宋体" w:hAnsi="宋体" w:eastAsia="宋体" w:cs="Times New Roman"/>
          <w:color w:val="auto"/>
          <w:sz w:val="24"/>
          <w:szCs w:val="24"/>
          <w:highlight w:val="none"/>
        </w:rPr>
        <w:t xml:space="preserve">    </w:t>
      </w:r>
      <w:r>
        <w:rPr>
          <w:rStyle w:val="18"/>
          <w:rFonts w:hint="eastAsia" w:ascii="宋体" w:hAnsi="宋体" w:eastAsia="宋体" w:cs="Times New Roman"/>
          <w:color w:val="auto"/>
          <w:sz w:val="24"/>
          <w:szCs w:val="24"/>
          <w:highlight w:val="none"/>
        </w:rPr>
        <w:t>名：</w:t>
      </w:r>
      <w:bookmarkStart w:id="321" w:name="EB4d86d877eb9e47e38ec2814bc2453d86"/>
      <w:bookmarkEnd w:id="321"/>
      <w:r>
        <w:rPr>
          <w:rStyle w:val="18"/>
          <w:rFonts w:hint="eastAsia" w:ascii="宋体" w:hAnsi="宋体" w:eastAsia="宋体" w:cs="Times New Roman"/>
          <w:color w:val="auto"/>
          <w:sz w:val="24"/>
          <w:szCs w:val="24"/>
          <w:highlight w:val="none"/>
        </w:rPr>
        <w:t>；</w:t>
      </w:r>
    </w:p>
    <w:p w14:paraId="5FD80ED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职</w:t>
      </w:r>
      <w:r>
        <w:rPr>
          <w:rStyle w:val="18"/>
          <w:rFonts w:ascii="宋体" w:hAnsi="宋体" w:eastAsia="宋体" w:cs="Times New Roman"/>
          <w:color w:val="auto"/>
          <w:sz w:val="24"/>
          <w:szCs w:val="24"/>
          <w:highlight w:val="none"/>
        </w:rPr>
        <w:t xml:space="preserve">    </w:t>
      </w:r>
      <w:r>
        <w:rPr>
          <w:rStyle w:val="18"/>
          <w:rFonts w:hint="eastAsia" w:ascii="宋体" w:hAnsi="宋体" w:eastAsia="宋体" w:cs="Times New Roman"/>
          <w:color w:val="auto"/>
          <w:sz w:val="24"/>
          <w:szCs w:val="24"/>
          <w:highlight w:val="none"/>
        </w:rPr>
        <w:t>务：</w:t>
      </w:r>
      <w:bookmarkStart w:id="322" w:name="EB391ac18a07794292828fc64451c1676c"/>
      <w:bookmarkEnd w:id="322"/>
      <w:r>
        <w:rPr>
          <w:rStyle w:val="18"/>
          <w:rFonts w:hint="eastAsia" w:ascii="宋体" w:hAnsi="宋体" w:eastAsia="宋体" w:cs="Times New Roman"/>
          <w:color w:val="auto"/>
          <w:sz w:val="24"/>
          <w:szCs w:val="24"/>
          <w:highlight w:val="none"/>
        </w:rPr>
        <w:t>；</w:t>
      </w:r>
    </w:p>
    <w:p w14:paraId="21D400E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监理工程师执业资格证书号：</w:t>
      </w:r>
      <w:bookmarkStart w:id="323" w:name="EB075e187a91d9467cbc3929466b8bb4ea"/>
      <w:bookmarkEnd w:id="323"/>
      <w:r>
        <w:rPr>
          <w:rStyle w:val="18"/>
          <w:rFonts w:hint="eastAsia" w:ascii="宋体" w:hAnsi="宋体" w:eastAsia="宋体" w:cs="Times New Roman"/>
          <w:color w:val="auto"/>
          <w:sz w:val="24"/>
          <w:szCs w:val="24"/>
          <w:highlight w:val="none"/>
        </w:rPr>
        <w:t>；</w:t>
      </w:r>
    </w:p>
    <w:p w14:paraId="3E724BBE">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联系电话：</w:t>
      </w:r>
      <w:bookmarkStart w:id="324" w:name="EBa8ccc2dce91e48fe825505ed9411228e"/>
      <w:bookmarkEnd w:id="324"/>
      <w:r>
        <w:rPr>
          <w:rStyle w:val="18"/>
          <w:rFonts w:hint="eastAsia" w:ascii="宋体" w:hAnsi="宋体" w:eastAsia="宋体" w:cs="Times New Roman"/>
          <w:color w:val="auto"/>
          <w:sz w:val="24"/>
          <w:szCs w:val="24"/>
          <w:highlight w:val="none"/>
        </w:rPr>
        <w:t>；</w:t>
      </w:r>
    </w:p>
    <w:p w14:paraId="2C8532C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电子信箱：</w:t>
      </w:r>
      <w:bookmarkStart w:id="325" w:name="EB7673cff9fa364e52a70d5f94cf82eed2"/>
      <w:bookmarkEnd w:id="325"/>
      <w:r>
        <w:rPr>
          <w:rStyle w:val="18"/>
          <w:rFonts w:hint="eastAsia" w:ascii="宋体" w:hAnsi="宋体" w:eastAsia="宋体" w:cs="Times New Roman"/>
          <w:color w:val="auto"/>
          <w:sz w:val="24"/>
          <w:szCs w:val="24"/>
          <w:highlight w:val="none"/>
        </w:rPr>
        <w:t>；</w:t>
      </w:r>
    </w:p>
    <w:p w14:paraId="30E345D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通信地址：</w:t>
      </w:r>
      <w:bookmarkStart w:id="326" w:name="EBfb7471270b49489495465860af275b3b"/>
      <w:bookmarkEnd w:id="326"/>
      <w:r>
        <w:rPr>
          <w:rStyle w:val="18"/>
          <w:rFonts w:hint="eastAsia" w:ascii="宋体" w:hAnsi="宋体" w:eastAsia="宋体" w:cs="Times New Roman"/>
          <w:color w:val="auto"/>
          <w:sz w:val="24"/>
          <w:szCs w:val="24"/>
          <w:highlight w:val="none"/>
        </w:rPr>
        <w:t>；</w:t>
      </w:r>
    </w:p>
    <w:p w14:paraId="5F5A5F2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关于监理人的其他约定：</w:t>
      </w:r>
      <w:bookmarkStart w:id="327" w:name="EB838d6839efac473e90ba2e9baae56f86"/>
      <w:r>
        <w:rPr>
          <w:rStyle w:val="18"/>
          <w:rFonts w:hint="eastAsia" w:ascii="宋体" w:hAnsi="宋体" w:eastAsia="宋体" w:cs="Times New Roman"/>
          <w:color w:val="auto"/>
          <w:sz w:val="24"/>
          <w:szCs w:val="24"/>
          <w:highlight w:val="none"/>
        </w:rPr>
        <w:t>如监理方无法决定的施工工艺及其他问题，应及时通知甲方代表和设计单位</w:t>
      </w:r>
      <w:bookmarkEnd w:id="327"/>
      <w:r>
        <w:rPr>
          <w:rStyle w:val="18"/>
          <w:rFonts w:hint="eastAsia" w:ascii="宋体" w:hAnsi="宋体" w:eastAsia="宋体" w:cs="Times New Roman"/>
          <w:color w:val="auto"/>
          <w:sz w:val="24"/>
          <w:szCs w:val="24"/>
          <w:highlight w:val="none"/>
        </w:rPr>
        <w:t>。</w:t>
      </w:r>
    </w:p>
    <w:p w14:paraId="1209735C">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4.4 </w:t>
      </w:r>
      <w:r>
        <w:rPr>
          <w:rStyle w:val="18"/>
          <w:rFonts w:hint="eastAsia" w:ascii="宋体" w:hAnsi="宋体" w:eastAsia="宋体" w:cs="Times New Roman"/>
          <w:color w:val="auto"/>
          <w:sz w:val="24"/>
          <w:szCs w:val="24"/>
          <w:highlight w:val="none"/>
        </w:rPr>
        <w:t>商定或确定</w:t>
      </w:r>
    </w:p>
    <w:p w14:paraId="20EB428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bookmarkStart w:id="328" w:name="_Toc267251418"/>
      <w:r>
        <w:rPr>
          <w:rStyle w:val="18"/>
          <w:rFonts w:hint="eastAsia" w:ascii="宋体" w:hAnsi="宋体" w:eastAsia="宋体" w:cs="Times New Roman"/>
          <w:color w:val="auto"/>
          <w:sz w:val="24"/>
          <w:szCs w:val="24"/>
          <w:highlight w:val="none"/>
        </w:rPr>
        <w:t>在发包人和承包人不能通过协商达成一致意见时，发包人授权监理人对以下事项进行确定：</w:t>
      </w:r>
    </w:p>
    <w:p w14:paraId="001FF880">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1</w:t>
      </w:r>
      <w:r>
        <w:rPr>
          <w:rStyle w:val="18"/>
          <w:rFonts w:hint="eastAsia" w:ascii="宋体" w:hAnsi="宋体" w:eastAsia="宋体" w:cs="Times New Roman"/>
          <w:color w:val="auto"/>
          <w:kern w:val="0"/>
          <w:sz w:val="24"/>
          <w:szCs w:val="24"/>
          <w:highlight w:val="none"/>
        </w:rPr>
        <w:t>）</w:t>
      </w:r>
      <w:bookmarkStart w:id="329" w:name="EBcde9aedf5b5e4eb084106a63559cf189"/>
      <w:bookmarkEnd w:id="329"/>
      <w:r>
        <w:rPr>
          <w:rStyle w:val="18"/>
          <w:rFonts w:hint="eastAsia" w:ascii="宋体" w:hAnsi="宋体" w:eastAsia="宋体" w:cs="Times New Roman"/>
          <w:color w:val="auto"/>
          <w:sz w:val="24"/>
          <w:szCs w:val="24"/>
          <w:highlight w:val="none"/>
        </w:rPr>
        <w:t>；</w:t>
      </w:r>
    </w:p>
    <w:p w14:paraId="4A3D8A05">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2</w:t>
      </w:r>
      <w:r>
        <w:rPr>
          <w:rStyle w:val="18"/>
          <w:rFonts w:hint="eastAsia" w:ascii="宋体" w:hAnsi="宋体" w:eastAsia="宋体" w:cs="Times New Roman"/>
          <w:color w:val="auto"/>
          <w:kern w:val="0"/>
          <w:sz w:val="24"/>
          <w:szCs w:val="24"/>
          <w:highlight w:val="none"/>
        </w:rPr>
        <w:t>）</w:t>
      </w:r>
      <w:bookmarkStart w:id="330" w:name="EB75e4e8943be94409ad3324cdfb3281d6"/>
      <w:bookmarkEnd w:id="330"/>
      <w:r>
        <w:rPr>
          <w:rStyle w:val="18"/>
          <w:rFonts w:hint="eastAsia" w:ascii="宋体" w:hAnsi="宋体" w:eastAsia="宋体" w:cs="Times New Roman"/>
          <w:color w:val="auto"/>
          <w:sz w:val="24"/>
          <w:szCs w:val="24"/>
          <w:highlight w:val="none"/>
        </w:rPr>
        <w:t>；</w:t>
      </w:r>
    </w:p>
    <w:p w14:paraId="24AD9AC3">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3</w:t>
      </w:r>
      <w:r>
        <w:rPr>
          <w:rStyle w:val="18"/>
          <w:rFonts w:hint="eastAsia" w:ascii="宋体" w:hAnsi="宋体" w:eastAsia="宋体" w:cs="Times New Roman"/>
          <w:color w:val="auto"/>
          <w:kern w:val="0"/>
          <w:sz w:val="24"/>
          <w:szCs w:val="24"/>
          <w:highlight w:val="none"/>
        </w:rPr>
        <w:t>）</w:t>
      </w:r>
      <w:bookmarkStart w:id="331" w:name="EB495f2c274b3845819f0af0eb22146264"/>
      <w:bookmarkEnd w:id="331"/>
      <w:r>
        <w:rPr>
          <w:rStyle w:val="18"/>
          <w:rFonts w:hint="eastAsia" w:ascii="宋体" w:hAnsi="宋体" w:eastAsia="宋体" w:cs="Times New Roman"/>
          <w:color w:val="auto"/>
          <w:sz w:val="24"/>
          <w:szCs w:val="24"/>
          <w:highlight w:val="none"/>
        </w:rPr>
        <w:t>。</w:t>
      </w:r>
    </w:p>
    <w:p w14:paraId="479656BB">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332" w:name="_Toc351203637"/>
      <w:r>
        <w:rPr>
          <w:rStyle w:val="18"/>
          <w:rFonts w:ascii="宋体" w:hAnsi="宋体" w:eastAsia="宋体" w:cs="Times New Roman"/>
          <w:b/>
          <w:color w:val="auto"/>
          <w:sz w:val="24"/>
          <w:szCs w:val="24"/>
          <w:highlight w:val="none"/>
        </w:rPr>
        <w:t>5</w:t>
      </w:r>
      <w:bookmarkEnd w:id="328"/>
      <w:bookmarkStart w:id="333" w:name="_Toc297048349"/>
      <w:bookmarkStart w:id="334" w:name="_Toc296944502"/>
      <w:bookmarkStart w:id="335" w:name="_Toc297120463"/>
      <w:bookmarkStart w:id="336" w:name="_Toc292559367"/>
      <w:bookmarkStart w:id="337" w:name="_Toc296346664"/>
      <w:bookmarkStart w:id="338" w:name="_Toc296890991"/>
      <w:bookmarkStart w:id="339" w:name="_Toc292559872"/>
      <w:bookmarkStart w:id="340" w:name="_Toc296503163"/>
      <w:bookmarkStart w:id="341" w:name="_Toc296891203"/>
      <w:bookmarkStart w:id="342" w:name="_Toc296347162"/>
      <w:r>
        <w:rPr>
          <w:rStyle w:val="18"/>
          <w:rFonts w:ascii="宋体" w:hAnsi="宋体" w:eastAsia="宋体" w:cs="Times New Roman"/>
          <w:b/>
          <w:color w:val="auto"/>
          <w:sz w:val="24"/>
          <w:szCs w:val="24"/>
          <w:highlight w:val="none"/>
        </w:rPr>
        <w:t xml:space="preserve">. </w:t>
      </w:r>
      <w:r>
        <w:rPr>
          <w:rStyle w:val="18"/>
          <w:rFonts w:hint="eastAsia" w:ascii="宋体" w:hAnsi="宋体" w:eastAsia="宋体" w:cs="Times New Roman"/>
          <w:b/>
          <w:color w:val="auto"/>
          <w:sz w:val="24"/>
          <w:szCs w:val="24"/>
          <w:highlight w:val="none"/>
        </w:rPr>
        <w:t>工程质量</w:t>
      </w:r>
      <w:bookmarkEnd w:id="332"/>
    </w:p>
    <w:p w14:paraId="7E2BE71C">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5.1 </w:t>
      </w:r>
      <w:r>
        <w:rPr>
          <w:rStyle w:val="18"/>
          <w:rFonts w:hint="eastAsia" w:ascii="宋体" w:hAnsi="宋体" w:eastAsia="宋体" w:cs="Times New Roman"/>
          <w:color w:val="auto"/>
          <w:sz w:val="24"/>
          <w:szCs w:val="24"/>
          <w:highlight w:val="none"/>
        </w:rPr>
        <w:t>质量要求</w:t>
      </w:r>
    </w:p>
    <w:p w14:paraId="0D326A4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5</w:t>
      </w:r>
      <w:bookmarkStart w:id="343" w:name="_Toc312677997"/>
      <w:bookmarkStart w:id="344" w:name="_Toc297123496"/>
      <w:bookmarkStart w:id="345" w:name="_Toc303539106"/>
      <w:bookmarkStart w:id="346" w:name="_Toc297216155"/>
      <w:bookmarkStart w:id="347" w:name="_Toc318581164"/>
      <w:bookmarkStart w:id="348" w:name="_Toc300934949"/>
      <w:bookmarkStart w:id="349" w:name="_Toc304295527"/>
      <w:r>
        <w:rPr>
          <w:rStyle w:val="18"/>
          <w:rFonts w:ascii="宋体" w:hAnsi="宋体" w:eastAsia="宋体" w:cs="Times New Roman"/>
          <w:color w:val="auto"/>
          <w:sz w:val="24"/>
          <w:szCs w:val="24"/>
          <w:highlight w:val="none"/>
        </w:rPr>
        <w:t xml:space="preserve">.1.1 </w:t>
      </w:r>
      <w:r>
        <w:rPr>
          <w:rStyle w:val="18"/>
          <w:rFonts w:hint="eastAsia" w:ascii="宋体" w:hAnsi="宋体" w:eastAsia="宋体" w:cs="Times New Roman"/>
          <w:color w:val="auto"/>
          <w:sz w:val="24"/>
          <w:szCs w:val="24"/>
          <w:highlight w:val="none"/>
        </w:rPr>
        <w:t>特殊质量标准和要求：</w:t>
      </w:r>
      <w:bookmarkStart w:id="350" w:name="EBa43bcc23406841a8b2e8fd7f808cf50a"/>
      <w:r>
        <w:rPr>
          <w:rStyle w:val="18"/>
          <w:rFonts w:hint="eastAsia" w:ascii="宋体" w:hAnsi="宋体" w:eastAsia="宋体" w:cs="Times New Roman"/>
          <w:color w:val="auto"/>
          <w:sz w:val="24"/>
          <w:szCs w:val="24"/>
          <w:highlight w:val="none"/>
        </w:rPr>
        <w:t>无</w:t>
      </w:r>
      <w:bookmarkEnd w:id="350"/>
      <w:r>
        <w:rPr>
          <w:rStyle w:val="18"/>
          <w:rFonts w:hint="eastAsia" w:ascii="宋体" w:hAnsi="宋体" w:eastAsia="宋体" w:cs="Times New Roman"/>
          <w:color w:val="auto"/>
          <w:sz w:val="24"/>
          <w:szCs w:val="24"/>
          <w:highlight w:val="none"/>
        </w:rPr>
        <w:t>。</w:t>
      </w:r>
    </w:p>
    <w:p w14:paraId="42C46A4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关于工程奖项的约定：</w:t>
      </w:r>
      <w:bookmarkStart w:id="351" w:name="EBd99958a5951d40f3b8ee05cb2cad5e7f"/>
      <w:r>
        <w:rPr>
          <w:rStyle w:val="18"/>
          <w:rFonts w:hint="eastAsia" w:ascii="宋体" w:hAnsi="宋体" w:eastAsia="宋体" w:cs="Times New Roman"/>
          <w:color w:val="auto"/>
          <w:sz w:val="24"/>
          <w:szCs w:val="24"/>
          <w:highlight w:val="none"/>
        </w:rPr>
        <w:t>无</w:t>
      </w:r>
      <w:bookmarkEnd w:id="351"/>
      <w:r>
        <w:rPr>
          <w:rStyle w:val="18"/>
          <w:rFonts w:hint="eastAsia" w:ascii="宋体" w:hAnsi="宋体" w:eastAsia="宋体" w:cs="Times New Roman"/>
          <w:color w:val="auto"/>
          <w:sz w:val="24"/>
          <w:szCs w:val="24"/>
          <w:highlight w:val="none"/>
        </w:rPr>
        <w:t>。</w:t>
      </w:r>
    </w:p>
    <w:p w14:paraId="3EDA92E6">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5.3 </w:t>
      </w:r>
      <w:r>
        <w:rPr>
          <w:rStyle w:val="18"/>
          <w:rFonts w:hint="eastAsia" w:ascii="宋体" w:hAnsi="宋体" w:eastAsia="宋体" w:cs="Times New Roman"/>
          <w:color w:val="auto"/>
          <w:sz w:val="24"/>
          <w:szCs w:val="24"/>
          <w:highlight w:val="none"/>
        </w:rPr>
        <w:t>隐蔽工程检查</w:t>
      </w:r>
    </w:p>
    <w:p w14:paraId="620FF1EE">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5.3.2</w:t>
      </w:r>
      <w:r>
        <w:rPr>
          <w:rStyle w:val="18"/>
          <w:rFonts w:hint="eastAsia" w:ascii="宋体" w:hAnsi="宋体" w:eastAsia="宋体" w:cs="Times New Roman"/>
          <w:color w:val="auto"/>
          <w:sz w:val="24"/>
          <w:szCs w:val="24"/>
          <w:highlight w:val="none"/>
        </w:rPr>
        <w:t>承包人提前通知监理人隐蔽工程检查的期限的约定：</w:t>
      </w:r>
      <w:bookmarkStart w:id="352" w:name="EB3ac4472048ab411695709c56c3a51408"/>
      <w:r>
        <w:rPr>
          <w:rStyle w:val="18"/>
          <w:rFonts w:hint="eastAsia" w:ascii="宋体" w:hAnsi="宋体" w:eastAsia="宋体" w:cs="Times New Roman"/>
          <w:color w:val="auto"/>
          <w:sz w:val="24"/>
          <w:szCs w:val="24"/>
          <w:highlight w:val="none"/>
        </w:rPr>
        <w:t>承包人应在共同检查前48小时书面通知监理人检查</w:t>
      </w:r>
      <w:bookmarkEnd w:id="352"/>
      <w:r>
        <w:rPr>
          <w:rStyle w:val="18"/>
          <w:rFonts w:hint="eastAsia" w:ascii="宋体" w:hAnsi="宋体" w:eastAsia="宋体" w:cs="Times New Roman"/>
          <w:color w:val="auto"/>
          <w:sz w:val="24"/>
          <w:szCs w:val="24"/>
          <w:highlight w:val="none"/>
        </w:rPr>
        <w:t>。</w:t>
      </w:r>
    </w:p>
    <w:p w14:paraId="54F6D83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监理人不能按时进行检查时，应提前</w:t>
      </w:r>
      <w:bookmarkStart w:id="353" w:name="EBcf531b20dceb455da35c986aba652d75"/>
      <w:r>
        <w:rPr>
          <w:rStyle w:val="18"/>
          <w:rFonts w:hint="eastAsia" w:ascii="宋体" w:hAnsi="宋体" w:eastAsia="宋体" w:cs="Times New Roman"/>
          <w:color w:val="auto"/>
          <w:sz w:val="24"/>
          <w:szCs w:val="24"/>
          <w:highlight w:val="none"/>
        </w:rPr>
        <w:t>24</w:t>
      </w:r>
      <w:bookmarkEnd w:id="353"/>
      <w:r>
        <w:rPr>
          <w:rStyle w:val="18"/>
          <w:rFonts w:hint="eastAsia" w:ascii="宋体" w:hAnsi="宋体" w:eastAsia="宋体" w:cs="Times New Roman"/>
          <w:color w:val="auto"/>
          <w:sz w:val="24"/>
          <w:szCs w:val="24"/>
          <w:highlight w:val="none"/>
        </w:rPr>
        <w:t>小时提交书面延期要求。</w:t>
      </w:r>
    </w:p>
    <w:p w14:paraId="5F7998C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关于延期最长不得超过：</w:t>
      </w:r>
      <w:bookmarkStart w:id="354" w:name="EB389b0e9d97a14781859b54df4f8d7efc"/>
      <w:r>
        <w:rPr>
          <w:rStyle w:val="18"/>
          <w:rFonts w:hint="eastAsia" w:ascii="宋体" w:hAnsi="宋体" w:eastAsia="宋体" w:cs="Times New Roman"/>
          <w:color w:val="auto"/>
          <w:sz w:val="24"/>
          <w:szCs w:val="24"/>
          <w:highlight w:val="none"/>
        </w:rPr>
        <w:t>48</w:t>
      </w:r>
      <w:bookmarkEnd w:id="354"/>
      <w:r>
        <w:rPr>
          <w:rStyle w:val="18"/>
          <w:rFonts w:hint="eastAsia" w:ascii="宋体" w:hAnsi="宋体" w:eastAsia="宋体" w:cs="Times New Roman"/>
          <w:color w:val="auto"/>
          <w:sz w:val="24"/>
          <w:szCs w:val="24"/>
          <w:highlight w:val="none"/>
        </w:rPr>
        <w:t>小时。</w:t>
      </w:r>
    </w:p>
    <w:p w14:paraId="17597995">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355" w:name="_Toc351203638"/>
      <w:r>
        <w:rPr>
          <w:rStyle w:val="18"/>
          <w:rFonts w:ascii="宋体" w:hAnsi="宋体" w:eastAsia="宋体" w:cs="Times New Roman"/>
          <w:b/>
          <w:color w:val="auto"/>
          <w:sz w:val="24"/>
          <w:szCs w:val="24"/>
          <w:highlight w:val="none"/>
        </w:rPr>
        <w:t xml:space="preserve">6. </w:t>
      </w:r>
      <w:r>
        <w:rPr>
          <w:rStyle w:val="18"/>
          <w:rFonts w:hint="eastAsia" w:ascii="宋体" w:hAnsi="宋体" w:eastAsia="宋体" w:cs="Times New Roman"/>
          <w:b/>
          <w:color w:val="auto"/>
          <w:sz w:val="24"/>
          <w:szCs w:val="24"/>
          <w:highlight w:val="none"/>
        </w:rPr>
        <w:t>安全文明施工与环境保护</w:t>
      </w:r>
      <w:bookmarkEnd w:id="355"/>
    </w:p>
    <w:p w14:paraId="4AF2EC25">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6.1</w:t>
      </w:r>
      <w:r>
        <w:rPr>
          <w:rStyle w:val="18"/>
          <w:rFonts w:hint="eastAsia" w:ascii="宋体" w:hAnsi="宋体" w:eastAsia="宋体" w:cs="Times New Roman"/>
          <w:color w:val="auto"/>
          <w:sz w:val="24"/>
          <w:szCs w:val="24"/>
          <w:highlight w:val="none"/>
        </w:rPr>
        <w:t>安全文明施工</w:t>
      </w:r>
    </w:p>
    <w:p w14:paraId="434D1C78">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6.1.1 </w:t>
      </w:r>
      <w:r>
        <w:rPr>
          <w:rStyle w:val="18"/>
          <w:rFonts w:hint="eastAsia" w:ascii="宋体" w:hAnsi="宋体" w:eastAsia="宋体" w:cs="Times New Roman"/>
          <w:color w:val="auto"/>
          <w:sz w:val="24"/>
          <w:szCs w:val="24"/>
          <w:highlight w:val="none"/>
        </w:rPr>
        <w:t>项目安全生产的达标目标及相应事项的约定：</w:t>
      </w:r>
      <w:bookmarkStart w:id="356" w:name="EB64c975b76ad749759d9772492b8c8543"/>
      <w:r>
        <w:rPr>
          <w:rStyle w:val="18"/>
          <w:rFonts w:hint="eastAsia" w:ascii="宋体" w:hAnsi="宋体" w:eastAsia="宋体" w:cs="Times New Roman"/>
          <w:color w:val="auto"/>
          <w:sz w:val="24"/>
          <w:szCs w:val="24"/>
          <w:highlight w:val="none"/>
        </w:rPr>
        <w:t>达到项目所在地要求的合格标准。</w:t>
      </w:r>
      <w:bookmarkEnd w:id="356"/>
    </w:p>
    <w:p w14:paraId="047BBED0">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6.1.4 </w:t>
      </w:r>
      <w:r>
        <w:rPr>
          <w:rStyle w:val="18"/>
          <w:rFonts w:hint="eastAsia" w:ascii="宋体" w:hAnsi="宋体" w:eastAsia="宋体" w:cs="Times New Roman"/>
          <w:color w:val="auto"/>
          <w:sz w:val="24"/>
          <w:szCs w:val="24"/>
          <w:highlight w:val="none"/>
        </w:rPr>
        <w:t>关于治安保卫的特别约定：</w:t>
      </w:r>
      <w:bookmarkStart w:id="357" w:name="EB06c97fddc0214dfca9f086fa149819b8"/>
      <w:r>
        <w:rPr>
          <w:rStyle w:val="18"/>
          <w:rFonts w:hint="eastAsia" w:ascii="宋体" w:hAnsi="宋体" w:eastAsia="宋体" w:cs="Times New Roman"/>
          <w:color w:val="auto"/>
          <w:sz w:val="24"/>
          <w:szCs w:val="24"/>
          <w:highlight w:val="none"/>
        </w:rPr>
        <w:t>制定相关应急预案和措施，并符合当地公安部门的要求。</w:t>
      </w:r>
      <w:bookmarkEnd w:id="357"/>
    </w:p>
    <w:p w14:paraId="10398F7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关于编制施工场地治安管理计划的约定：</w:t>
      </w:r>
      <w:bookmarkStart w:id="358" w:name="EB8c467ea3b00f495a98a2861474167dd6"/>
      <w:r>
        <w:rPr>
          <w:rStyle w:val="18"/>
          <w:rFonts w:hint="eastAsia" w:ascii="宋体" w:hAnsi="宋体" w:eastAsia="宋体" w:cs="Times New Roman"/>
          <w:color w:val="auto"/>
          <w:sz w:val="24"/>
          <w:szCs w:val="24"/>
          <w:highlight w:val="none"/>
        </w:rPr>
        <w:t>开工前7日内提供</w:t>
      </w:r>
      <w:bookmarkEnd w:id="358"/>
      <w:r>
        <w:rPr>
          <w:rStyle w:val="18"/>
          <w:rFonts w:hint="eastAsia" w:ascii="宋体" w:hAnsi="宋体" w:eastAsia="宋体" w:cs="Times New Roman"/>
          <w:color w:val="auto"/>
          <w:sz w:val="24"/>
          <w:szCs w:val="24"/>
          <w:highlight w:val="none"/>
        </w:rPr>
        <w:t>。</w:t>
      </w:r>
    </w:p>
    <w:p w14:paraId="2386DB8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6.1.5 </w:t>
      </w:r>
      <w:r>
        <w:rPr>
          <w:rStyle w:val="18"/>
          <w:rFonts w:hint="eastAsia" w:ascii="宋体" w:hAnsi="宋体" w:eastAsia="宋体" w:cs="Times New Roman"/>
          <w:color w:val="auto"/>
          <w:sz w:val="24"/>
          <w:szCs w:val="24"/>
          <w:highlight w:val="none"/>
        </w:rPr>
        <w:t>文明施工</w:t>
      </w:r>
    </w:p>
    <w:p w14:paraId="50DDA6A8">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合同当事人对文明施工的要求：</w:t>
      </w:r>
      <w:bookmarkStart w:id="359" w:name="EB8869e9a1fa1e4449a63f5ca37447c9cb"/>
      <w:r>
        <w:rPr>
          <w:rStyle w:val="18"/>
          <w:rFonts w:hint="eastAsia" w:ascii="宋体" w:hAnsi="宋体" w:eastAsia="宋体" w:cs="Times New Roman"/>
          <w:color w:val="auto"/>
          <w:sz w:val="24"/>
          <w:szCs w:val="24"/>
          <w:highlight w:val="none"/>
        </w:rPr>
        <w:t>按本合同通用条款的本条执行</w:t>
      </w:r>
      <w:bookmarkEnd w:id="359"/>
      <w:r>
        <w:rPr>
          <w:rStyle w:val="18"/>
          <w:rFonts w:hint="eastAsia" w:ascii="宋体" w:hAnsi="宋体" w:eastAsia="宋体" w:cs="Times New Roman"/>
          <w:color w:val="auto"/>
          <w:sz w:val="24"/>
          <w:szCs w:val="24"/>
          <w:highlight w:val="none"/>
        </w:rPr>
        <w:t>。</w:t>
      </w:r>
    </w:p>
    <w:p w14:paraId="0460F3CB">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6.1.6 </w:t>
      </w:r>
      <w:r>
        <w:rPr>
          <w:rStyle w:val="18"/>
          <w:rFonts w:hint="eastAsia" w:ascii="宋体" w:hAnsi="宋体" w:eastAsia="宋体" w:cs="Times New Roman"/>
          <w:color w:val="auto"/>
          <w:sz w:val="24"/>
          <w:szCs w:val="24"/>
          <w:highlight w:val="none"/>
        </w:rPr>
        <w:t>关于安全文明施工费支付比例和支付期限的约定：</w:t>
      </w:r>
      <w:bookmarkStart w:id="360" w:name="EB8cf7077a01a14c72ab373ef047e89003"/>
      <w:r>
        <w:rPr>
          <w:rStyle w:val="18"/>
          <w:rFonts w:hint="eastAsia" w:ascii="宋体" w:hAnsi="宋体" w:eastAsia="宋体" w:cs="Times New Roman"/>
          <w:color w:val="auto"/>
          <w:sz w:val="24"/>
          <w:szCs w:val="24"/>
          <w:highlight w:val="none"/>
        </w:rPr>
        <w:t>按本合同通用条款的本条执行</w:t>
      </w:r>
      <w:bookmarkEnd w:id="360"/>
      <w:r>
        <w:rPr>
          <w:rStyle w:val="18"/>
          <w:rFonts w:hint="eastAsia" w:ascii="宋体" w:hAnsi="宋体" w:eastAsia="宋体" w:cs="Times New Roman"/>
          <w:color w:val="auto"/>
          <w:sz w:val="24"/>
          <w:szCs w:val="24"/>
          <w:highlight w:val="none"/>
        </w:rPr>
        <w:t>。</w:t>
      </w:r>
    </w:p>
    <w:bookmarkEnd w:id="343"/>
    <w:bookmarkEnd w:id="344"/>
    <w:bookmarkEnd w:id="345"/>
    <w:bookmarkEnd w:id="346"/>
    <w:bookmarkEnd w:id="347"/>
    <w:bookmarkEnd w:id="348"/>
    <w:bookmarkEnd w:id="349"/>
    <w:p w14:paraId="7EE740B6">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361" w:name="_Toc351203639"/>
      <w:r>
        <w:rPr>
          <w:rStyle w:val="18"/>
          <w:rFonts w:ascii="宋体" w:hAnsi="宋体" w:eastAsia="宋体" w:cs="Times New Roman"/>
          <w:b/>
          <w:color w:val="auto"/>
          <w:sz w:val="24"/>
          <w:szCs w:val="24"/>
          <w:highlight w:val="none"/>
        </w:rPr>
        <w:t xml:space="preserve">7. </w:t>
      </w:r>
      <w:r>
        <w:rPr>
          <w:rStyle w:val="18"/>
          <w:rFonts w:hint="eastAsia" w:ascii="宋体" w:hAnsi="宋体" w:eastAsia="宋体" w:cs="Times New Roman"/>
          <w:b/>
          <w:color w:val="auto"/>
          <w:sz w:val="24"/>
          <w:szCs w:val="24"/>
          <w:highlight w:val="none"/>
        </w:rPr>
        <w:t>工期和进度</w:t>
      </w:r>
      <w:bookmarkEnd w:id="361"/>
    </w:p>
    <w:p w14:paraId="3C1CDAB0">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7.1 </w:t>
      </w:r>
      <w:r>
        <w:rPr>
          <w:rStyle w:val="18"/>
          <w:rFonts w:hint="eastAsia" w:ascii="宋体" w:hAnsi="宋体" w:eastAsia="宋体" w:cs="Times New Roman"/>
          <w:color w:val="auto"/>
          <w:sz w:val="24"/>
          <w:szCs w:val="24"/>
          <w:highlight w:val="none"/>
        </w:rPr>
        <w:t>施工组织设计</w:t>
      </w:r>
    </w:p>
    <w:p w14:paraId="1DF3C0D5">
      <w:pPr>
        <w:pStyle w:val="26"/>
        <w:pageBreakBefore w:val="0"/>
        <w:widowControl w:val="0"/>
        <w:kinsoku/>
        <w:wordWrap/>
        <w:overflowPunct/>
        <w:topLinePunct w:val="0"/>
        <w:autoSpaceDE w:val="0"/>
        <w:autoSpaceDN w:val="0"/>
        <w:bidi w:val="0"/>
        <w:adjustRightInd w:val="0"/>
        <w:snapToGrid/>
        <w:spacing w:line="440" w:lineRule="exact"/>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sz w:val="24"/>
          <w:szCs w:val="24"/>
          <w:highlight w:val="none"/>
        </w:rPr>
        <w:t xml:space="preserve">7.1.1 </w:t>
      </w:r>
      <w:r>
        <w:rPr>
          <w:rStyle w:val="18"/>
          <w:rFonts w:hint="eastAsia" w:ascii="宋体" w:hAnsi="宋体" w:eastAsia="宋体" w:cs="Times New Roman"/>
          <w:color w:val="auto"/>
          <w:sz w:val="24"/>
          <w:szCs w:val="24"/>
          <w:highlight w:val="none"/>
        </w:rPr>
        <w:t>合</w:t>
      </w:r>
      <w:r>
        <w:rPr>
          <w:rStyle w:val="18"/>
          <w:rFonts w:hint="eastAsia" w:ascii="宋体" w:hAnsi="宋体" w:eastAsia="宋体" w:cs="Times New Roman"/>
          <w:color w:val="auto"/>
          <w:kern w:val="0"/>
          <w:sz w:val="24"/>
          <w:szCs w:val="24"/>
          <w:highlight w:val="none"/>
        </w:rPr>
        <w:t>同当事人约定的施工组织设计应包括的其他内容：</w:t>
      </w:r>
      <w:bookmarkStart w:id="362" w:name="EB4526dfe4e3b748c7b8a01bdc12c243e0"/>
      <w:r>
        <w:rPr>
          <w:rStyle w:val="18"/>
          <w:rFonts w:hint="eastAsia" w:ascii="宋体" w:hAnsi="宋体" w:eastAsia="宋体" w:cs="Times New Roman"/>
          <w:color w:val="auto"/>
          <w:kern w:val="0"/>
          <w:sz w:val="24"/>
          <w:szCs w:val="24"/>
          <w:highlight w:val="none"/>
        </w:rPr>
        <w:t>执行通用条款约定</w:t>
      </w:r>
      <w:bookmarkEnd w:id="362"/>
      <w:r>
        <w:rPr>
          <w:rStyle w:val="18"/>
          <w:rFonts w:hint="eastAsia" w:ascii="宋体" w:hAnsi="宋体" w:eastAsia="宋体" w:cs="Times New Roman"/>
          <w:color w:val="auto"/>
          <w:sz w:val="24"/>
          <w:szCs w:val="24"/>
          <w:highlight w:val="none"/>
        </w:rPr>
        <w:t>。</w:t>
      </w:r>
    </w:p>
    <w:p w14:paraId="1CC3E7C8">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sz w:val="24"/>
          <w:szCs w:val="24"/>
          <w:highlight w:val="none"/>
        </w:rPr>
        <w:t xml:space="preserve">7.1.2 </w:t>
      </w:r>
      <w:r>
        <w:rPr>
          <w:rStyle w:val="18"/>
          <w:rFonts w:hint="eastAsia" w:ascii="宋体" w:hAnsi="宋体" w:eastAsia="宋体" w:cs="Times New Roman"/>
          <w:color w:val="auto"/>
          <w:kern w:val="0"/>
          <w:sz w:val="24"/>
          <w:szCs w:val="24"/>
          <w:highlight w:val="none"/>
        </w:rPr>
        <w:t>施工组织设计的提交和修改</w:t>
      </w:r>
    </w:p>
    <w:p w14:paraId="4E86D179">
      <w:pPr>
        <w:pStyle w:val="26"/>
        <w:pageBreakBefore w:val="0"/>
        <w:widowControl w:val="0"/>
        <w:kinsoku/>
        <w:wordWrap/>
        <w:overflowPunct/>
        <w:topLinePunct w:val="0"/>
        <w:autoSpaceDE w:val="0"/>
        <w:autoSpaceDN w:val="0"/>
        <w:bidi w:val="0"/>
        <w:adjustRightInd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承包人提交详细施工组织设计的期限的约定：</w:t>
      </w:r>
      <w:bookmarkStart w:id="363" w:name="EBea9036e7af824b9690183a0cb460b9d1"/>
      <w:r>
        <w:rPr>
          <w:rStyle w:val="18"/>
          <w:rFonts w:hint="eastAsia" w:ascii="宋体" w:hAnsi="宋体" w:eastAsia="宋体" w:cs="Times New Roman"/>
          <w:color w:val="auto"/>
          <w:kern w:val="0"/>
          <w:sz w:val="24"/>
          <w:szCs w:val="24"/>
          <w:highlight w:val="none"/>
        </w:rPr>
        <w:t>开工前7天内</w:t>
      </w:r>
      <w:bookmarkEnd w:id="363"/>
      <w:r>
        <w:rPr>
          <w:rStyle w:val="18"/>
          <w:rFonts w:hint="eastAsia" w:ascii="宋体" w:hAnsi="宋体" w:eastAsia="宋体" w:cs="Times New Roman"/>
          <w:color w:val="auto"/>
          <w:sz w:val="24"/>
          <w:szCs w:val="24"/>
          <w:highlight w:val="none"/>
        </w:rPr>
        <w:t>。</w:t>
      </w:r>
    </w:p>
    <w:p w14:paraId="68BE01D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发包人和监理人在收到详细的施工组织设计后确认或提出修改意见的期限：</w:t>
      </w:r>
      <w:bookmarkStart w:id="364" w:name="EB37f10c97328146efb6534bfe4b761aaf"/>
      <w:r>
        <w:rPr>
          <w:rStyle w:val="18"/>
          <w:rFonts w:hint="eastAsia" w:ascii="宋体" w:hAnsi="宋体" w:eastAsia="宋体" w:cs="Times New Roman"/>
          <w:color w:val="auto"/>
          <w:sz w:val="24"/>
          <w:szCs w:val="24"/>
          <w:highlight w:val="none"/>
        </w:rPr>
        <w:t>按本合同通用条款的本条执行</w:t>
      </w:r>
      <w:bookmarkEnd w:id="364"/>
      <w:r>
        <w:rPr>
          <w:rStyle w:val="18"/>
          <w:rFonts w:hint="eastAsia" w:ascii="宋体" w:hAnsi="宋体" w:eastAsia="宋体" w:cs="Times New Roman"/>
          <w:color w:val="auto"/>
          <w:sz w:val="24"/>
          <w:szCs w:val="24"/>
          <w:highlight w:val="none"/>
        </w:rPr>
        <w:t>。</w:t>
      </w:r>
    </w:p>
    <w:p w14:paraId="12C91ABF">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7</w:t>
      </w:r>
      <w:bookmarkStart w:id="365" w:name="_Toc297216173"/>
      <w:bookmarkStart w:id="366" w:name="_Toc312678005"/>
      <w:bookmarkStart w:id="367" w:name="_Toc312677479"/>
      <w:bookmarkStart w:id="368" w:name="_Toc297123514"/>
      <w:bookmarkStart w:id="369" w:name="_Toc304295541"/>
      <w:bookmarkStart w:id="370" w:name="_Toc300934966"/>
      <w:bookmarkStart w:id="371" w:name="_Toc303539123"/>
      <w:r>
        <w:rPr>
          <w:rStyle w:val="18"/>
          <w:rFonts w:ascii="宋体" w:hAnsi="宋体" w:eastAsia="宋体" w:cs="Times New Roman"/>
          <w:color w:val="auto"/>
          <w:sz w:val="24"/>
          <w:szCs w:val="24"/>
          <w:highlight w:val="none"/>
        </w:rPr>
        <w:t xml:space="preserve">.2 </w:t>
      </w:r>
      <w:r>
        <w:rPr>
          <w:rStyle w:val="18"/>
          <w:rFonts w:hint="eastAsia" w:ascii="宋体" w:hAnsi="宋体" w:eastAsia="宋体" w:cs="Times New Roman"/>
          <w:color w:val="auto"/>
          <w:sz w:val="24"/>
          <w:szCs w:val="24"/>
          <w:highlight w:val="none"/>
        </w:rPr>
        <w:t>施工进度计划</w:t>
      </w:r>
    </w:p>
    <w:p w14:paraId="4A52CF0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7.2.2 </w:t>
      </w:r>
      <w:r>
        <w:rPr>
          <w:rStyle w:val="18"/>
          <w:rFonts w:hint="eastAsia" w:ascii="宋体" w:hAnsi="宋体" w:eastAsia="宋体" w:cs="Times New Roman"/>
          <w:color w:val="auto"/>
          <w:sz w:val="24"/>
          <w:szCs w:val="24"/>
          <w:highlight w:val="none"/>
        </w:rPr>
        <w:t>施工进度计划的修订</w:t>
      </w:r>
    </w:p>
    <w:p w14:paraId="1942C02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发包人和监理人在收到修订的施工进度计划后确认或提出修改意见的期限：</w:t>
      </w:r>
      <w:bookmarkStart w:id="372" w:name="EBfa04ef7ba719441c9e6ecce3e3a37ace"/>
      <w:r>
        <w:rPr>
          <w:rStyle w:val="18"/>
          <w:rFonts w:hint="eastAsia" w:ascii="宋体" w:hAnsi="宋体" w:eastAsia="宋体" w:cs="Times New Roman"/>
          <w:color w:val="auto"/>
          <w:sz w:val="24"/>
          <w:szCs w:val="24"/>
          <w:highlight w:val="none"/>
        </w:rPr>
        <w:t>按本合同通用条款的本条执行</w:t>
      </w:r>
      <w:bookmarkEnd w:id="372"/>
      <w:r>
        <w:rPr>
          <w:rStyle w:val="18"/>
          <w:rFonts w:hint="eastAsia" w:ascii="宋体" w:hAnsi="宋体" w:eastAsia="宋体" w:cs="Times New Roman"/>
          <w:color w:val="auto"/>
          <w:sz w:val="24"/>
          <w:szCs w:val="24"/>
          <w:highlight w:val="none"/>
        </w:rPr>
        <w:t>。</w:t>
      </w:r>
    </w:p>
    <w:p w14:paraId="13B494BF">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7.3 </w:t>
      </w:r>
      <w:r>
        <w:rPr>
          <w:rStyle w:val="18"/>
          <w:rFonts w:hint="eastAsia" w:ascii="宋体" w:hAnsi="宋体" w:eastAsia="宋体" w:cs="Times New Roman"/>
          <w:color w:val="auto"/>
          <w:sz w:val="24"/>
          <w:szCs w:val="24"/>
          <w:highlight w:val="none"/>
        </w:rPr>
        <w:t>开工</w:t>
      </w:r>
    </w:p>
    <w:p w14:paraId="028A3CE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7.3.1 </w:t>
      </w:r>
      <w:r>
        <w:rPr>
          <w:rStyle w:val="18"/>
          <w:rFonts w:hint="eastAsia" w:ascii="宋体" w:hAnsi="宋体" w:eastAsia="宋体" w:cs="Times New Roman"/>
          <w:color w:val="auto"/>
          <w:sz w:val="24"/>
          <w:szCs w:val="24"/>
          <w:highlight w:val="none"/>
        </w:rPr>
        <w:t>开工准备</w:t>
      </w:r>
    </w:p>
    <w:p w14:paraId="6E4C682C">
      <w:pPr>
        <w:pStyle w:val="26"/>
        <w:pageBreakBefore w:val="0"/>
        <w:widowControl w:val="0"/>
        <w:kinsoku/>
        <w:wordWrap/>
        <w:overflowPunct/>
        <w:topLinePunct w:val="0"/>
        <w:bidi w:val="0"/>
        <w:snapToGrid/>
        <w:spacing w:line="440" w:lineRule="exact"/>
        <w:ind w:firstLine="645"/>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关于承包人提交</w:t>
      </w:r>
      <w:r>
        <w:rPr>
          <w:rStyle w:val="18"/>
          <w:rFonts w:hint="eastAsia" w:ascii="宋体" w:hAnsi="宋体" w:eastAsia="宋体" w:cs="Times New Roman"/>
          <w:color w:val="auto"/>
          <w:kern w:val="0"/>
          <w:sz w:val="24"/>
          <w:szCs w:val="24"/>
          <w:highlight w:val="none"/>
        </w:rPr>
        <w:t>工程开工报审表的期限：</w:t>
      </w:r>
      <w:bookmarkStart w:id="373" w:name="EBd8f5aef65f844ee78d01fbf14e51e0b0"/>
      <w:r>
        <w:rPr>
          <w:rStyle w:val="18"/>
          <w:rFonts w:hint="eastAsia" w:ascii="宋体" w:hAnsi="宋体" w:eastAsia="宋体" w:cs="Times New Roman"/>
          <w:color w:val="auto"/>
          <w:kern w:val="0"/>
          <w:sz w:val="24"/>
          <w:szCs w:val="24"/>
          <w:highlight w:val="none"/>
        </w:rPr>
        <w:t>开工前7天内</w:t>
      </w:r>
      <w:bookmarkEnd w:id="373"/>
      <w:r>
        <w:rPr>
          <w:rStyle w:val="18"/>
          <w:rFonts w:hint="eastAsia" w:ascii="宋体" w:hAnsi="宋体" w:eastAsia="宋体" w:cs="Times New Roman"/>
          <w:color w:val="auto"/>
          <w:sz w:val="24"/>
          <w:szCs w:val="24"/>
          <w:highlight w:val="none"/>
        </w:rPr>
        <w:t>。</w:t>
      </w:r>
    </w:p>
    <w:p w14:paraId="65ECA1E6">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关于发包人应完成的其他开工准备工作及期限：</w:t>
      </w:r>
      <w:bookmarkStart w:id="374" w:name="EB21e045266c7a4a8fa25b14f178b4e32b"/>
      <w:r>
        <w:rPr>
          <w:rStyle w:val="18"/>
          <w:rFonts w:hint="eastAsia" w:ascii="宋体" w:hAnsi="宋体" w:eastAsia="宋体" w:cs="Times New Roman"/>
          <w:color w:val="auto"/>
          <w:sz w:val="24"/>
          <w:szCs w:val="24"/>
          <w:highlight w:val="none"/>
        </w:rPr>
        <w:t>按本合同通用条款的本条执行</w:t>
      </w:r>
      <w:bookmarkEnd w:id="374"/>
      <w:r>
        <w:rPr>
          <w:rStyle w:val="18"/>
          <w:rFonts w:hint="eastAsia" w:ascii="宋体" w:hAnsi="宋体" w:eastAsia="宋体" w:cs="Times New Roman"/>
          <w:color w:val="auto"/>
          <w:sz w:val="24"/>
          <w:szCs w:val="24"/>
          <w:highlight w:val="none"/>
        </w:rPr>
        <w:t>。</w:t>
      </w:r>
    </w:p>
    <w:p w14:paraId="38B8169A">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关于承包人应完成的其他开工准备工作及期限：</w:t>
      </w:r>
      <w:bookmarkStart w:id="375" w:name="EBa96a2929b1ee4164b92dfaa1b0a75c6d"/>
      <w:r>
        <w:rPr>
          <w:rStyle w:val="18"/>
          <w:rFonts w:hint="eastAsia" w:ascii="宋体" w:hAnsi="宋体" w:eastAsia="宋体" w:cs="Times New Roman"/>
          <w:color w:val="auto"/>
          <w:sz w:val="24"/>
          <w:szCs w:val="24"/>
          <w:highlight w:val="none"/>
        </w:rPr>
        <w:t>按本合同通用条款的本条执行</w:t>
      </w:r>
      <w:bookmarkEnd w:id="375"/>
      <w:r>
        <w:rPr>
          <w:rStyle w:val="18"/>
          <w:rFonts w:hint="eastAsia" w:ascii="宋体" w:hAnsi="宋体" w:eastAsia="宋体" w:cs="Times New Roman"/>
          <w:color w:val="auto"/>
          <w:sz w:val="24"/>
          <w:szCs w:val="24"/>
          <w:highlight w:val="none"/>
        </w:rPr>
        <w:t>。</w:t>
      </w:r>
    </w:p>
    <w:p w14:paraId="7165BFD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7.3.2</w:t>
      </w:r>
      <w:r>
        <w:rPr>
          <w:rStyle w:val="18"/>
          <w:rFonts w:hint="eastAsia" w:ascii="宋体" w:hAnsi="宋体" w:eastAsia="宋体" w:cs="Times New Roman"/>
          <w:color w:val="auto"/>
          <w:sz w:val="24"/>
          <w:szCs w:val="24"/>
          <w:highlight w:val="none"/>
        </w:rPr>
        <w:t>开工通知</w:t>
      </w:r>
    </w:p>
    <w:p w14:paraId="0D19989E">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因发包人原因造成监理人未能在计划开工日期之日起</w:t>
      </w:r>
      <w:bookmarkStart w:id="376" w:name="EB4941258c22bb4d25ac835c3c3fda3ee1"/>
      <w:r>
        <w:rPr>
          <w:rStyle w:val="18"/>
          <w:rFonts w:hint="eastAsia" w:ascii="宋体" w:hAnsi="宋体" w:eastAsia="宋体" w:cs="Times New Roman"/>
          <w:color w:val="auto"/>
          <w:sz w:val="24"/>
          <w:szCs w:val="24"/>
          <w:highlight w:val="none"/>
        </w:rPr>
        <w:t>90</w:t>
      </w:r>
      <w:bookmarkEnd w:id="376"/>
      <w:r>
        <w:rPr>
          <w:rStyle w:val="18"/>
          <w:rFonts w:hint="eastAsia" w:ascii="宋体" w:hAnsi="宋体" w:eastAsia="宋体" w:cs="Times New Roman"/>
          <w:color w:val="auto"/>
          <w:sz w:val="24"/>
          <w:szCs w:val="24"/>
          <w:highlight w:val="none"/>
        </w:rPr>
        <w:t>天内发出开工通知的，承包人有权提出价格调整要求，或者解除合同。</w:t>
      </w:r>
    </w:p>
    <w:bookmarkEnd w:id="365"/>
    <w:bookmarkEnd w:id="366"/>
    <w:bookmarkEnd w:id="367"/>
    <w:bookmarkEnd w:id="368"/>
    <w:bookmarkEnd w:id="369"/>
    <w:bookmarkEnd w:id="370"/>
    <w:bookmarkEnd w:id="371"/>
    <w:p w14:paraId="610FE5B9">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7.4 </w:t>
      </w:r>
      <w:r>
        <w:rPr>
          <w:rStyle w:val="18"/>
          <w:rFonts w:hint="eastAsia" w:ascii="宋体" w:hAnsi="宋体" w:eastAsia="宋体" w:cs="Times New Roman"/>
          <w:color w:val="auto"/>
          <w:sz w:val="24"/>
          <w:szCs w:val="24"/>
          <w:highlight w:val="none"/>
        </w:rPr>
        <w:t>测量放线</w:t>
      </w:r>
    </w:p>
    <w:p w14:paraId="15F1651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ascii="宋体" w:hAnsi="宋体" w:eastAsia="宋体" w:cs="Times New Roman"/>
          <w:color w:val="auto"/>
          <w:sz w:val="24"/>
          <w:szCs w:val="24"/>
          <w:highlight w:val="none"/>
        </w:rPr>
        <w:t>7.4.1</w:t>
      </w:r>
      <w:r>
        <w:rPr>
          <w:rStyle w:val="18"/>
          <w:rFonts w:hint="eastAsia" w:ascii="宋体" w:hAnsi="宋体" w:eastAsia="宋体" w:cs="Times New Roman"/>
          <w:color w:val="auto"/>
          <w:sz w:val="24"/>
          <w:szCs w:val="24"/>
          <w:highlight w:val="none"/>
        </w:rPr>
        <w:t>发包人通过监理人向承包人提供测量基准点、基准线和水准点及其书面资料的期限：</w:t>
      </w:r>
      <w:bookmarkStart w:id="377" w:name="EBa53c47e1769049389bec1113241ec593"/>
      <w:r>
        <w:rPr>
          <w:rStyle w:val="18"/>
          <w:rFonts w:hint="eastAsia" w:ascii="宋体" w:hAnsi="宋体" w:eastAsia="宋体" w:cs="Times New Roman"/>
          <w:color w:val="auto"/>
          <w:sz w:val="24"/>
          <w:szCs w:val="24"/>
          <w:highlight w:val="none"/>
        </w:rPr>
        <w:t>7天</w:t>
      </w:r>
      <w:bookmarkEnd w:id="377"/>
      <w:r>
        <w:rPr>
          <w:rStyle w:val="18"/>
          <w:rFonts w:hint="eastAsia" w:ascii="宋体" w:hAnsi="宋体" w:eastAsia="宋体" w:cs="Times New Roman"/>
          <w:color w:val="auto"/>
          <w:sz w:val="24"/>
          <w:szCs w:val="24"/>
          <w:highlight w:val="none"/>
        </w:rPr>
        <w:t>。</w:t>
      </w:r>
    </w:p>
    <w:p w14:paraId="225AC872">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7</w:t>
      </w:r>
      <w:bookmarkStart w:id="378" w:name="_Toc304295546"/>
      <w:bookmarkStart w:id="379" w:name="_Toc312678010"/>
      <w:bookmarkStart w:id="380" w:name="_Toc300934968"/>
      <w:bookmarkStart w:id="381" w:name="_Toc297123516"/>
      <w:bookmarkStart w:id="382" w:name="_Toc312677484"/>
      <w:bookmarkStart w:id="383" w:name="_Toc303539125"/>
      <w:bookmarkStart w:id="384" w:name="_Toc297216175"/>
      <w:r>
        <w:rPr>
          <w:rStyle w:val="18"/>
          <w:rFonts w:ascii="宋体" w:hAnsi="宋体" w:eastAsia="宋体" w:cs="Times New Roman"/>
          <w:color w:val="auto"/>
          <w:sz w:val="24"/>
          <w:szCs w:val="24"/>
          <w:highlight w:val="none"/>
        </w:rPr>
        <w:t xml:space="preserve">.5 </w:t>
      </w:r>
      <w:r>
        <w:rPr>
          <w:rStyle w:val="18"/>
          <w:rFonts w:hint="eastAsia" w:ascii="宋体" w:hAnsi="宋体" w:eastAsia="宋体" w:cs="Times New Roman"/>
          <w:color w:val="auto"/>
          <w:sz w:val="24"/>
          <w:szCs w:val="24"/>
          <w:highlight w:val="none"/>
        </w:rPr>
        <w:t>工期延误</w:t>
      </w:r>
    </w:p>
    <w:bookmarkEnd w:id="378"/>
    <w:bookmarkEnd w:id="379"/>
    <w:bookmarkEnd w:id="380"/>
    <w:bookmarkEnd w:id="381"/>
    <w:bookmarkEnd w:id="382"/>
    <w:bookmarkEnd w:id="383"/>
    <w:bookmarkEnd w:id="384"/>
    <w:p w14:paraId="1B3015FE">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7.5.1 </w:t>
      </w:r>
      <w:r>
        <w:rPr>
          <w:rStyle w:val="18"/>
          <w:rFonts w:hint="eastAsia" w:ascii="宋体" w:hAnsi="宋体" w:eastAsia="宋体" w:cs="Times New Roman"/>
          <w:color w:val="auto"/>
          <w:sz w:val="24"/>
          <w:szCs w:val="24"/>
          <w:highlight w:val="none"/>
        </w:rPr>
        <w:t>因发包人原因导致工期延误</w:t>
      </w:r>
    </w:p>
    <w:p w14:paraId="705DC804">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7</w:t>
      </w:r>
      <w:r>
        <w:rPr>
          <w:rStyle w:val="18"/>
          <w:rFonts w:hint="eastAsia" w:ascii="宋体" w:hAnsi="宋体" w:eastAsia="宋体" w:cs="Times New Roman"/>
          <w:color w:val="auto"/>
          <w:sz w:val="24"/>
          <w:szCs w:val="24"/>
          <w:highlight w:val="none"/>
        </w:rPr>
        <w:t>）因发包人原因导致工期延误的其他情形：</w:t>
      </w:r>
      <w:bookmarkStart w:id="385" w:name="EB1da8aa0c29dd4ed8a4e4b296428750c2"/>
      <w:r>
        <w:rPr>
          <w:rStyle w:val="18"/>
          <w:rFonts w:hint="eastAsia" w:ascii="宋体" w:hAnsi="宋体" w:eastAsia="宋体" w:cs="Times New Roman"/>
          <w:color w:val="auto"/>
          <w:sz w:val="24"/>
          <w:szCs w:val="24"/>
          <w:highlight w:val="none"/>
        </w:rPr>
        <w:t>1.额外的附加工程的工程数量；2.由发包方造成的延误、障碍、阻止。</w:t>
      </w:r>
      <w:bookmarkEnd w:id="385"/>
    </w:p>
    <w:p w14:paraId="4BF9E42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7</w:t>
      </w:r>
      <w:bookmarkStart w:id="386" w:name="_Toc312677486"/>
      <w:bookmarkStart w:id="387" w:name="_Toc318581169"/>
      <w:bookmarkStart w:id="388" w:name="_Toc312678012"/>
      <w:bookmarkStart w:id="389" w:name="_Toc303539127"/>
      <w:bookmarkStart w:id="390" w:name="_Toc300934970"/>
      <w:bookmarkStart w:id="391" w:name="_Toc297123518"/>
      <w:bookmarkStart w:id="392" w:name="_Toc297216177"/>
      <w:bookmarkStart w:id="393" w:name="_Toc304295548"/>
      <w:r>
        <w:rPr>
          <w:rStyle w:val="18"/>
          <w:rFonts w:ascii="宋体" w:hAnsi="宋体" w:eastAsia="宋体" w:cs="Times New Roman"/>
          <w:color w:val="auto"/>
          <w:sz w:val="24"/>
          <w:szCs w:val="24"/>
          <w:highlight w:val="none"/>
        </w:rPr>
        <w:t xml:space="preserve">.5.2 </w:t>
      </w:r>
      <w:r>
        <w:rPr>
          <w:rStyle w:val="18"/>
          <w:rFonts w:hint="eastAsia" w:ascii="宋体" w:hAnsi="宋体" w:eastAsia="宋体" w:cs="Times New Roman"/>
          <w:color w:val="auto"/>
          <w:sz w:val="24"/>
          <w:szCs w:val="24"/>
          <w:highlight w:val="none"/>
        </w:rPr>
        <w:t>因承包人原因导致工期延误</w:t>
      </w:r>
    </w:p>
    <w:bookmarkEnd w:id="386"/>
    <w:bookmarkEnd w:id="387"/>
    <w:bookmarkEnd w:id="388"/>
    <w:p w14:paraId="5E0A04E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因</w:t>
      </w:r>
      <w:bookmarkStart w:id="394" w:name="_Toc312677487"/>
      <w:bookmarkStart w:id="395" w:name="_Toc312678013"/>
      <w:bookmarkStart w:id="396" w:name="_Toc318581170"/>
      <w:r>
        <w:rPr>
          <w:rStyle w:val="18"/>
          <w:rFonts w:hint="eastAsia" w:ascii="宋体" w:hAnsi="宋体" w:eastAsia="宋体" w:cs="Times New Roman"/>
          <w:color w:val="auto"/>
          <w:sz w:val="24"/>
          <w:szCs w:val="24"/>
          <w:highlight w:val="none"/>
        </w:rPr>
        <w:t>承包人原因造成工期延误，逾期竣工违约金的计算方法为：</w:t>
      </w:r>
      <w:bookmarkStart w:id="397" w:name="EBa06ca53addeb4d0eb19a59923e1b31d7"/>
      <w:bookmarkEnd w:id="397"/>
      <w:r>
        <w:rPr>
          <w:rStyle w:val="18"/>
          <w:rFonts w:hint="eastAsia" w:ascii="宋体" w:hAnsi="宋体" w:eastAsia="宋体" w:cs="Times New Roman"/>
          <w:color w:val="auto"/>
          <w:sz w:val="24"/>
          <w:szCs w:val="24"/>
          <w:highlight w:val="none"/>
        </w:rPr>
        <w:t>。</w:t>
      </w:r>
      <w:bookmarkEnd w:id="389"/>
      <w:bookmarkEnd w:id="390"/>
      <w:bookmarkEnd w:id="391"/>
      <w:bookmarkEnd w:id="392"/>
      <w:bookmarkEnd w:id="393"/>
      <w:bookmarkEnd w:id="394"/>
      <w:bookmarkEnd w:id="395"/>
    </w:p>
    <w:bookmarkEnd w:id="396"/>
    <w:p w14:paraId="49AF622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因承包人原因造成工期延误，逾</w:t>
      </w:r>
      <w:bookmarkStart w:id="398" w:name="_Toc312678014"/>
      <w:bookmarkStart w:id="399" w:name="_Toc318581171"/>
      <w:r>
        <w:rPr>
          <w:rStyle w:val="18"/>
          <w:rFonts w:hint="eastAsia" w:ascii="宋体" w:hAnsi="宋体" w:eastAsia="宋体" w:cs="Times New Roman"/>
          <w:color w:val="auto"/>
          <w:sz w:val="24"/>
          <w:szCs w:val="24"/>
          <w:highlight w:val="none"/>
        </w:rPr>
        <w:t>期竣工违约金的上限：</w:t>
      </w:r>
      <w:bookmarkStart w:id="400" w:name="EB7e5832dc6c9c4ad192fee8220b8b672d"/>
      <w:bookmarkEnd w:id="400"/>
      <w:r>
        <w:rPr>
          <w:rStyle w:val="18"/>
          <w:rFonts w:hint="eastAsia" w:ascii="宋体" w:hAnsi="宋体" w:eastAsia="宋体" w:cs="Times New Roman"/>
          <w:color w:val="auto"/>
          <w:sz w:val="24"/>
          <w:szCs w:val="24"/>
          <w:highlight w:val="none"/>
        </w:rPr>
        <w:t>。</w:t>
      </w:r>
    </w:p>
    <w:bookmarkEnd w:id="398"/>
    <w:bookmarkEnd w:id="399"/>
    <w:p w14:paraId="480C016D">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7</w:t>
      </w:r>
      <w:bookmarkStart w:id="401" w:name="_Toc297123519"/>
      <w:bookmarkStart w:id="402" w:name="_Toc300934971"/>
      <w:bookmarkStart w:id="403" w:name="_Toc312678015"/>
      <w:bookmarkStart w:id="404" w:name="_Toc304295549"/>
      <w:bookmarkStart w:id="405" w:name="_Toc303539128"/>
      <w:bookmarkStart w:id="406" w:name="_Toc297216178"/>
      <w:r>
        <w:rPr>
          <w:rStyle w:val="18"/>
          <w:rFonts w:ascii="宋体" w:hAnsi="宋体" w:eastAsia="宋体" w:cs="Times New Roman"/>
          <w:color w:val="auto"/>
          <w:sz w:val="24"/>
          <w:szCs w:val="24"/>
          <w:highlight w:val="none"/>
        </w:rPr>
        <w:t xml:space="preserve">.6 </w:t>
      </w:r>
      <w:r>
        <w:rPr>
          <w:rStyle w:val="18"/>
          <w:rFonts w:hint="eastAsia" w:ascii="宋体" w:hAnsi="宋体" w:eastAsia="宋体" w:cs="Times New Roman"/>
          <w:color w:val="auto"/>
          <w:sz w:val="24"/>
          <w:szCs w:val="24"/>
          <w:highlight w:val="none"/>
        </w:rPr>
        <w:t>不</w:t>
      </w:r>
      <w:bookmarkEnd w:id="401"/>
      <w:bookmarkEnd w:id="402"/>
      <w:bookmarkEnd w:id="403"/>
      <w:bookmarkEnd w:id="404"/>
      <w:bookmarkEnd w:id="405"/>
      <w:bookmarkEnd w:id="406"/>
      <w:r>
        <w:rPr>
          <w:rStyle w:val="18"/>
          <w:rFonts w:hint="eastAsia" w:ascii="宋体" w:hAnsi="宋体" w:eastAsia="宋体" w:cs="Times New Roman"/>
          <w:color w:val="auto"/>
          <w:sz w:val="24"/>
          <w:szCs w:val="24"/>
          <w:highlight w:val="none"/>
        </w:rPr>
        <w:t>利物质条件</w:t>
      </w:r>
    </w:p>
    <w:p w14:paraId="6D3160D6">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bookmarkStart w:id="407" w:name="_Toc304295550"/>
      <w:bookmarkStart w:id="408" w:name="_Toc297123520"/>
      <w:bookmarkStart w:id="409" w:name="_Toc312678016"/>
      <w:bookmarkStart w:id="410" w:name="_Toc297216179"/>
      <w:bookmarkStart w:id="411" w:name="_Toc300934972"/>
      <w:bookmarkStart w:id="412" w:name="_Toc318581172"/>
      <w:bookmarkStart w:id="413" w:name="_Toc303539129"/>
      <w:r>
        <w:rPr>
          <w:rStyle w:val="18"/>
          <w:rFonts w:hint="eastAsia" w:ascii="宋体" w:hAnsi="宋体" w:eastAsia="宋体" w:cs="Times New Roman"/>
          <w:color w:val="auto"/>
          <w:sz w:val="24"/>
          <w:szCs w:val="24"/>
          <w:highlight w:val="none"/>
        </w:rPr>
        <w:t>不利物质条件的其他情形和有关约定：</w:t>
      </w:r>
      <w:bookmarkStart w:id="414" w:name="EB5eab90dda54d436abd0e1e5f8bf8a2b2"/>
      <w:r>
        <w:rPr>
          <w:rStyle w:val="18"/>
          <w:rFonts w:hint="eastAsia" w:ascii="宋体" w:hAnsi="宋体" w:eastAsia="宋体" w:cs="Times New Roman"/>
          <w:color w:val="auto"/>
          <w:sz w:val="24"/>
          <w:szCs w:val="24"/>
          <w:highlight w:val="none"/>
        </w:rPr>
        <w:t>按本合同通用条款的本条执行。</w:t>
      </w:r>
      <w:bookmarkEnd w:id="414"/>
    </w:p>
    <w:bookmarkEnd w:id="407"/>
    <w:bookmarkEnd w:id="408"/>
    <w:bookmarkEnd w:id="409"/>
    <w:bookmarkEnd w:id="410"/>
    <w:bookmarkEnd w:id="411"/>
    <w:bookmarkEnd w:id="412"/>
    <w:bookmarkEnd w:id="413"/>
    <w:p w14:paraId="17AB647D">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7</w:t>
      </w:r>
      <w:bookmarkStart w:id="415" w:name="_Toc297216180"/>
      <w:bookmarkStart w:id="416" w:name="_Toc312678017"/>
      <w:bookmarkStart w:id="417" w:name="_Toc297123521"/>
      <w:bookmarkStart w:id="418" w:name="_Toc304295551"/>
      <w:bookmarkStart w:id="419" w:name="_Toc303539130"/>
      <w:bookmarkStart w:id="420" w:name="_Toc300934973"/>
      <w:r>
        <w:rPr>
          <w:rStyle w:val="18"/>
          <w:rFonts w:ascii="宋体" w:hAnsi="宋体" w:eastAsia="宋体" w:cs="Times New Roman"/>
          <w:color w:val="auto"/>
          <w:sz w:val="24"/>
          <w:szCs w:val="24"/>
          <w:highlight w:val="none"/>
        </w:rPr>
        <w:t>.7</w:t>
      </w:r>
      <w:r>
        <w:rPr>
          <w:rStyle w:val="18"/>
          <w:rFonts w:hint="eastAsia" w:ascii="宋体" w:hAnsi="宋体" w:eastAsia="宋体" w:cs="Times New Roman"/>
          <w:color w:val="auto"/>
          <w:sz w:val="24"/>
          <w:szCs w:val="24"/>
          <w:highlight w:val="none"/>
        </w:rPr>
        <w:t>异常恶劣的气候条件</w:t>
      </w:r>
    </w:p>
    <w:bookmarkEnd w:id="415"/>
    <w:bookmarkEnd w:id="416"/>
    <w:bookmarkEnd w:id="417"/>
    <w:bookmarkEnd w:id="418"/>
    <w:bookmarkEnd w:id="419"/>
    <w:bookmarkEnd w:id="420"/>
    <w:p w14:paraId="58363D7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发包人和承包人同意以下情形视为异常恶劣的气候条件：</w:t>
      </w:r>
    </w:p>
    <w:p w14:paraId="4B3AD7DE">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1</w:t>
      </w:r>
      <w:r>
        <w:rPr>
          <w:rStyle w:val="18"/>
          <w:rFonts w:hint="eastAsia" w:ascii="宋体" w:hAnsi="宋体" w:eastAsia="宋体" w:cs="Times New Roman"/>
          <w:color w:val="auto"/>
          <w:sz w:val="24"/>
          <w:szCs w:val="24"/>
          <w:highlight w:val="none"/>
        </w:rPr>
        <w:t>）</w:t>
      </w:r>
      <w:bookmarkStart w:id="421" w:name="EB11d691842f724a92a33f768a5e534074"/>
      <w:bookmarkEnd w:id="421"/>
      <w:r>
        <w:rPr>
          <w:rStyle w:val="18"/>
          <w:rFonts w:hint="eastAsia" w:ascii="宋体" w:hAnsi="宋体" w:eastAsia="宋体" w:cs="Times New Roman"/>
          <w:color w:val="auto"/>
          <w:sz w:val="24"/>
          <w:szCs w:val="24"/>
          <w:highlight w:val="none"/>
        </w:rPr>
        <w:t>；</w:t>
      </w:r>
    </w:p>
    <w:p w14:paraId="3BD86BC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2</w:t>
      </w:r>
      <w:r>
        <w:rPr>
          <w:rStyle w:val="18"/>
          <w:rFonts w:hint="eastAsia" w:ascii="宋体" w:hAnsi="宋体" w:eastAsia="宋体" w:cs="Times New Roman"/>
          <w:color w:val="auto"/>
          <w:sz w:val="24"/>
          <w:szCs w:val="24"/>
          <w:highlight w:val="none"/>
        </w:rPr>
        <w:t>）</w:t>
      </w:r>
      <w:bookmarkStart w:id="422" w:name="EB1509c0ec5a6c4badb3204f1bcf3badc0"/>
      <w:bookmarkEnd w:id="422"/>
      <w:r>
        <w:rPr>
          <w:rStyle w:val="18"/>
          <w:rFonts w:hint="eastAsia" w:ascii="宋体" w:hAnsi="宋体" w:eastAsia="宋体" w:cs="Times New Roman"/>
          <w:color w:val="auto"/>
          <w:sz w:val="24"/>
          <w:szCs w:val="24"/>
          <w:highlight w:val="none"/>
        </w:rPr>
        <w:t>；</w:t>
      </w:r>
    </w:p>
    <w:p w14:paraId="0717800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3</w:t>
      </w:r>
      <w:r>
        <w:rPr>
          <w:rStyle w:val="18"/>
          <w:rFonts w:hint="eastAsia" w:ascii="宋体" w:hAnsi="宋体" w:eastAsia="宋体" w:cs="Times New Roman"/>
          <w:color w:val="auto"/>
          <w:sz w:val="24"/>
          <w:szCs w:val="24"/>
          <w:highlight w:val="none"/>
        </w:rPr>
        <w:t>）</w:t>
      </w:r>
      <w:bookmarkStart w:id="423" w:name="EB72f83658e10a4a50a411da344fa2e862"/>
      <w:bookmarkEnd w:id="423"/>
      <w:r>
        <w:rPr>
          <w:rStyle w:val="18"/>
          <w:rFonts w:hint="eastAsia" w:ascii="宋体" w:hAnsi="宋体" w:eastAsia="宋体" w:cs="Times New Roman"/>
          <w:color w:val="auto"/>
          <w:sz w:val="24"/>
          <w:szCs w:val="24"/>
          <w:highlight w:val="none"/>
        </w:rPr>
        <w:t>。</w:t>
      </w:r>
    </w:p>
    <w:p w14:paraId="0E6C2C89">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7.9 </w:t>
      </w:r>
      <w:r>
        <w:rPr>
          <w:rStyle w:val="18"/>
          <w:rFonts w:hint="eastAsia" w:ascii="宋体" w:hAnsi="宋体" w:eastAsia="宋体" w:cs="Times New Roman"/>
          <w:color w:val="auto"/>
          <w:sz w:val="24"/>
          <w:szCs w:val="24"/>
          <w:highlight w:val="none"/>
        </w:rPr>
        <w:t>提前竣工的奖励</w:t>
      </w:r>
    </w:p>
    <w:p w14:paraId="3B18BDD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7.9.2</w:t>
      </w:r>
      <w:r>
        <w:rPr>
          <w:rStyle w:val="18"/>
          <w:rFonts w:hint="eastAsia" w:ascii="宋体" w:hAnsi="宋体" w:eastAsia="宋体" w:cs="Times New Roman"/>
          <w:color w:val="auto"/>
          <w:sz w:val="24"/>
          <w:szCs w:val="24"/>
          <w:highlight w:val="none"/>
        </w:rPr>
        <w:t>提前竣工的奖励：</w:t>
      </w:r>
      <w:bookmarkStart w:id="424" w:name="EB81a59a583565457e925bfe4d481f59af"/>
      <w:bookmarkEnd w:id="424"/>
      <w:r>
        <w:rPr>
          <w:rStyle w:val="18"/>
          <w:rFonts w:hint="eastAsia" w:ascii="宋体" w:hAnsi="宋体" w:eastAsia="宋体" w:cs="Times New Roman"/>
          <w:color w:val="auto"/>
          <w:sz w:val="24"/>
          <w:szCs w:val="24"/>
          <w:highlight w:val="none"/>
        </w:rPr>
        <w:t>。</w:t>
      </w:r>
    </w:p>
    <w:p w14:paraId="6D9F9105">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425" w:name="_Toc351203640"/>
      <w:r>
        <w:rPr>
          <w:rStyle w:val="18"/>
          <w:rFonts w:ascii="宋体" w:hAnsi="宋体" w:eastAsia="宋体" w:cs="Times New Roman"/>
          <w:b/>
          <w:color w:val="auto"/>
          <w:sz w:val="24"/>
          <w:szCs w:val="24"/>
          <w:highlight w:val="none"/>
        </w:rPr>
        <w:t xml:space="preserve">8. </w:t>
      </w:r>
      <w:r>
        <w:rPr>
          <w:rStyle w:val="18"/>
          <w:rFonts w:hint="eastAsia" w:ascii="宋体" w:hAnsi="宋体" w:eastAsia="宋体" w:cs="Times New Roman"/>
          <w:b/>
          <w:color w:val="auto"/>
          <w:sz w:val="24"/>
          <w:szCs w:val="24"/>
          <w:highlight w:val="none"/>
        </w:rPr>
        <w:t>材料与设备</w:t>
      </w:r>
      <w:bookmarkEnd w:id="425"/>
    </w:p>
    <w:bookmarkEnd w:id="333"/>
    <w:bookmarkEnd w:id="334"/>
    <w:bookmarkEnd w:id="335"/>
    <w:bookmarkEnd w:id="336"/>
    <w:bookmarkEnd w:id="337"/>
    <w:bookmarkEnd w:id="338"/>
    <w:bookmarkEnd w:id="339"/>
    <w:bookmarkEnd w:id="340"/>
    <w:bookmarkEnd w:id="341"/>
    <w:bookmarkEnd w:id="342"/>
    <w:p w14:paraId="1634A019">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8</w:t>
      </w:r>
      <w:bookmarkStart w:id="426" w:name="_Toc297123527"/>
      <w:bookmarkStart w:id="427" w:name="_Toc292559877"/>
      <w:bookmarkStart w:id="428" w:name="_Toc280868654"/>
      <w:bookmarkStart w:id="429" w:name="_Toc292559372"/>
      <w:bookmarkStart w:id="430" w:name="_Toc296944506"/>
      <w:bookmarkStart w:id="431" w:name="_Toc296891207"/>
      <w:bookmarkStart w:id="432" w:name="_Toc297216186"/>
      <w:bookmarkStart w:id="433" w:name="_Toc312677493"/>
      <w:bookmarkStart w:id="434" w:name="_Toc297120467"/>
      <w:bookmarkStart w:id="435" w:name="_Toc297048353"/>
      <w:bookmarkStart w:id="436" w:name="_Toc300934979"/>
      <w:bookmarkStart w:id="437" w:name="_Toc296346668"/>
      <w:bookmarkStart w:id="438" w:name="_Toc303539136"/>
      <w:bookmarkStart w:id="439" w:name="_Toc312678019"/>
      <w:bookmarkStart w:id="440" w:name="_Toc296890995"/>
      <w:bookmarkStart w:id="441" w:name="_Toc296503167"/>
      <w:bookmarkStart w:id="442" w:name="_Toc304295556"/>
      <w:bookmarkStart w:id="443" w:name="_Toc296347166"/>
      <w:bookmarkStart w:id="444" w:name="_Toc267251424"/>
      <w:bookmarkStart w:id="445" w:name="_Toc280868655"/>
      <w:bookmarkStart w:id="446" w:name="_Toc280868656"/>
      <w:r>
        <w:rPr>
          <w:rStyle w:val="18"/>
          <w:rFonts w:ascii="宋体" w:hAnsi="宋体" w:eastAsia="宋体" w:cs="Times New Roman"/>
          <w:color w:val="auto"/>
          <w:sz w:val="24"/>
          <w:szCs w:val="24"/>
          <w:highlight w:val="none"/>
        </w:rPr>
        <w:t>.4</w:t>
      </w:r>
      <w:r>
        <w:rPr>
          <w:rStyle w:val="18"/>
          <w:rFonts w:hint="eastAsia" w:ascii="宋体" w:hAnsi="宋体" w:eastAsia="宋体" w:cs="Times New Roman"/>
          <w:color w:val="auto"/>
          <w:sz w:val="24"/>
          <w:szCs w:val="24"/>
          <w:highlight w:val="none"/>
        </w:rPr>
        <w:t>材料与工程设备的保管与使用</w:t>
      </w:r>
    </w:p>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14:paraId="717E66B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8</w:t>
      </w:r>
      <w:bookmarkStart w:id="447" w:name="_Toc292559373"/>
      <w:bookmarkStart w:id="448" w:name="_Toc292559878"/>
      <w:bookmarkStart w:id="449" w:name="_Toc297216187"/>
      <w:bookmarkStart w:id="450" w:name="_Toc297120468"/>
      <w:bookmarkStart w:id="451" w:name="_Toc304295557"/>
      <w:bookmarkStart w:id="452" w:name="_Toc296346669"/>
      <w:bookmarkStart w:id="453" w:name="_Toc296944507"/>
      <w:bookmarkStart w:id="454" w:name="_Toc300934980"/>
      <w:bookmarkStart w:id="455" w:name="_Toc303539137"/>
      <w:bookmarkStart w:id="456" w:name="_Toc296503168"/>
      <w:bookmarkStart w:id="457" w:name="_Toc296347167"/>
      <w:bookmarkStart w:id="458" w:name="_Toc312677494"/>
      <w:bookmarkStart w:id="459" w:name="_Toc312678020"/>
      <w:bookmarkStart w:id="460" w:name="_Toc297123528"/>
      <w:bookmarkStart w:id="461" w:name="_Toc318581173"/>
      <w:bookmarkStart w:id="462" w:name="_Toc297048354"/>
      <w:bookmarkStart w:id="463" w:name="_Toc296890996"/>
      <w:bookmarkStart w:id="464" w:name="_Toc296891208"/>
      <w:r>
        <w:rPr>
          <w:rStyle w:val="18"/>
          <w:rFonts w:ascii="宋体" w:hAnsi="宋体" w:eastAsia="宋体" w:cs="Times New Roman"/>
          <w:color w:val="auto"/>
          <w:sz w:val="24"/>
          <w:szCs w:val="24"/>
          <w:highlight w:val="none"/>
        </w:rPr>
        <w:t>.4.1</w:t>
      </w:r>
      <w:r>
        <w:rPr>
          <w:rStyle w:val="18"/>
          <w:rFonts w:hint="eastAsia" w:ascii="宋体" w:hAnsi="宋体" w:eastAsia="宋体" w:cs="Times New Roman"/>
          <w:color w:val="auto"/>
          <w:sz w:val="24"/>
          <w:szCs w:val="24"/>
          <w:highlight w:val="none"/>
        </w:rPr>
        <w:t>发包人供应的材料设备的保管费用的承担：</w:t>
      </w:r>
      <w:bookmarkStart w:id="465" w:name="EBa7edc52474a847489f9af867bb949c80"/>
      <w:bookmarkEnd w:id="465"/>
      <w:r>
        <w:rPr>
          <w:rStyle w:val="18"/>
          <w:rFonts w:hint="eastAsia" w:ascii="宋体" w:hAnsi="宋体" w:eastAsia="宋体" w:cs="Times New Roman"/>
          <w:color w:val="auto"/>
          <w:sz w:val="24"/>
          <w:szCs w:val="24"/>
          <w:highlight w:val="none"/>
        </w:rPr>
        <w:t>。</w:t>
      </w:r>
      <w:bookmarkEnd w:id="447"/>
      <w:bookmarkEnd w:id="448"/>
    </w:p>
    <w:p w14:paraId="3DDC7412">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8.6 </w:t>
      </w:r>
      <w:r>
        <w:rPr>
          <w:rStyle w:val="18"/>
          <w:rFonts w:hint="eastAsia" w:ascii="宋体" w:hAnsi="宋体" w:eastAsia="宋体" w:cs="Times New Roman"/>
          <w:color w:val="auto"/>
          <w:sz w:val="24"/>
          <w:szCs w:val="24"/>
          <w:highlight w:val="none"/>
        </w:rPr>
        <w:t>样品</w:t>
      </w:r>
    </w:p>
    <w:p w14:paraId="155F73DA">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8.6.1</w:t>
      </w:r>
      <w:r>
        <w:rPr>
          <w:rStyle w:val="18"/>
          <w:rFonts w:ascii="宋体" w:hAnsi="宋体" w:eastAsia="宋体" w:cs="Times New Roman"/>
          <w:color w:val="auto"/>
          <w:kern w:val="0"/>
          <w:sz w:val="24"/>
          <w:szCs w:val="24"/>
          <w:highlight w:val="none"/>
        </w:rPr>
        <w:tab/>
      </w:r>
      <w:r>
        <w:rPr>
          <w:rStyle w:val="18"/>
          <w:rFonts w:hint="eastAsia" w:ascii="宋体" w:hAnsi="宋体" w:eastAsia="宋体" w:cs="Times New Roman"/>
          <w:color w:val="auto"/>
          <w:kern w:val="0"/>
          <w:sz w:val="24"/>
          <w:szCs w:val="24"/>
          <w:highlight w:val="none"/>
        </w:rPr>
        <w:t>样品的报送与封存</w:t>
      </w:r>
    </w:p>
    <w:p w14:paraId="0FE366F3">
      <w:pPr>
        <w:pStyle w:val="26"/>
        <w:pageBreakBefore w:val="0"/>
        <w:widowControl w:val="0"/>
        <w:kinsoku/>
        <w:wordWrap/>
        <w:overflowPunct/>
        <w:topLinePunct w:val="0"/>
        <w:autoSpaceDE w:val="0"/>
        <w:autoSpaceDN w:val="0"/>
        <w:bidi w:val="0"/>
        <w:adjustRightInd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需要承包人报送样品的材料或工程设备，样品的种类、名称、规格、数量要求：</w:t>
      </w:r>
      <w:bookmarkStart w:id="466" w:name="EB48d53428fd6e472e9f34e87472750fee"/>
      <w:r>
        <w:rPr>
          <w:rStyle w:val="18"/>
          <w:rFonts w:hint="eastAsia" w:ascii="宋体" w:hAnsi="宋体" w:eastAsia="宋体" w:cs="Times New Roman"/>
          <w:color w:val="auto"/>
          <w:kern w:val="0"/>
          <w:sz w:val="24"/>
          <w:szCs w:val="24"/>
          <w:highlight w:val="none"/>
        </w:rPr>
        <w:t>按本合同通用条款的本条执行</w:t>
      </w:r>
      <w:bookmarkEnd w:id="466"/>
      <w:r>
        <w:rPr>
          <w:rStyle w:val="18"/>
          <w:rFonts w:hint="eastAsia" w:ascii="宋体" w:hAnsi="宋体" w:eastAsia="宋体" w:cs="Times New Roman"/>
          <w:color w:val="auto"/>
          <w:sz w:val="24"/>
          <w:szCs w:val="24"/>
          <w:highlight w:val="none"/>
        </w:rPr>
        <w:t>。</w:t>
      </w:r>
    </w:p>
    <w:p w14:paraId="6EE67012">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8.8 </w:t>
      </w:r>
      <w:r>
        <w:rPr>
          <w:rStyle w:val="18"/>
          <w:rFonts w:hint="eastAsia" w:ascii="宋体" w:hAnsi="宋体" w:eastAsia="宋体" w:cs="Times New Roman"/>
          <w:color w:val="auto"/>
          <w:sz w:val="24"/>
          <w:szCs w:val="24"/>
          <w:highlight w:val="none"/>
        </w:rPr>
        <w:t>施工设备和临时设施</w:t>
      </w:r>
    </w:p>
    <w:p w14:paraId="2BB5E2CA">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8.8.1 </w:t>
      </w:r>
      <w:r>
        <w:rPr>
          <w:rStyle w:val="18"/>
          <w:rFonts w:hint="eastAsia" w:ascii="宋体" w:hAnsi="宋体" w:eastAsia="宋体" w:cs="Times New Roman"/>
          <w:color w:val="auto"/>
          <w:sz w:val="24"/>
          <w:szCs w:val="24"/>
          <w:highlight w:val="none"/>
        </w:rPr>
        <w:t>承包人提供的施工设备和临时设施</w:t>
      </w:r>
    </w:p>
    <w:p w14:paraId="3C68E35A">
      <w:pPr>
        <w:pStyle w:val="26"/>
        <w:pageBreakBefore w:val="0"/>
        <w:widowControl w:val="0"/>
        <w:kinsoku/>
        <w:wordWrap/>
        <w:overflowPunct/>
        <w:topLinePunct w:val="0"/>
        <w:autoSpaceDE w:val="0"/>
        <w:autoSpaceDN w:val="0"/>
        <w:bidi w:val="0"/>
        <w:adjustRightInd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关于修建临时设施费用承担的约定：</w:t>
      </w:r>
      <w:bookmarkStart w:id="467" w:name="EB8b70ae1b89e04463af0f93655dfe5d29"/>
      <w:r>
        <w:rPr>
          <w:rStyle w:val="18"/>
          <w:rFonts w:hint="eastAsia" w:ascii="宋体" w:hAnsi="宋体" w:eastAsia="宋体" w:cs="Times New Roman"/>
          <w:color w:val="auto"/>
          <w:sz w:val="24"/>
          <w:szCs w:val="24"/>
          <w:highlight w:val="none"/>
        </w:rPr>
        <w:t>按本合同通用条款的本条执行</w:t>
      </w:r>
      <w:bookmarkEnd w:id="467"/>
      <w:r>
        <w:rPr>
          <w:rStyle w:val="18"/>
          <w:rFonts w:hint="eastAsia" w:ascii="宋体" w:hAnsi="宋体" w:eastAsia="宋体" w:cs="Times New Roman"/>
          <w:color w:val="auto"/>
          <w:sz w:val="24"/>
          <w:szCs w:val="24"/>
          <w:highlight w:val="none"/>
        </w:rPr>
        <w:t>。</w:t>
      </w:r>
    </w:p>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14:paraId="4F8C7656">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468" w:name="_Toc351203641"/>
      <w:r>
        <w:rPr>
          <w:rStyle w:val="18"/>
          <w:rFonts w:ascii="宋体" w:hAnsi="宋体" w:eastAsia="宋体" w:cs="Times New Roman"/>
          <w:b/>
          <w:color w:val="auto"/>
          <w:sz w:val="24"/>
          <w:szCs w:val="24"/>
          <w:highlight w:val="none"/>
        </w:rPr>
        <w:t>9</w:t>
      </w:r>
      <w:bookmarkEnd w:id="444"/>
      <w:bookmarkEnd w:id="445"/>
      <w:bookmarkEnd w:id="446"/>
      <w:bookmarkStart w:id="469" w:name="_Toc297216192"/>
      <w:bookmarkStart w:id="470" w:name="_Toc300934982"/>
      <w:bookmarkStart w:id="471" w:name="_Toc312677495"/>
      <w:bookmarkStart w:id="472" w:name="_Toc297123533"/>
      <w:bookmarkStart w:id="473" w:name="_Toc303539139"/>
      <w:bookmarkStart w:id="474" w:name="_Toc304295559"/>
      <w:bookmarkStart w:id="475" w:name="_Toc312678021"/>
      <w:bookmarkStart w:id="476" w:name="_Toc296891001"/>
      <w:bookmarkStart w:id="477" w:name="_Toc297048359"/>
      <w:bookmarkStart w:id="478" w:name="_Toc292559378"/>
      <w:bookmarkStart w:id="479" w:name="_Toc296503173"/>
      <w:bookmarkStart w:id="480" w:name="_Toc296347172"/>
      <w:bookmarkStart w:id="481" w:name="_Toc292559883"/>
      <w:bookmarkStart w:id="482" w:name="_Toc267251428"/>
      <w:bookmarkStart w:id="483" w:name="_Toc296891213"/>
      <w:bookmarkStart w:id="484" w:name="_Toc296346674"/>
      <w:bookmarkStart w:id="485" w:name="_Toc296944512"/>
      <w:bookmarkStart w:id="486" w:name="_Toc297120473"/>
      <w:bookmarkStart w:id="487" w:name="_Toc267251427"/>
      <w:r>
        <w:rPr>
          <w:rStyle w:val="18"/>
          <w:rFonts w:ascii="宋体" w:hAnsi="宋体" w:eastAsia="宋体" w:cs="Times New Roman"/>
          <w:b/>
          <w:color w:val="auto"/>
          <w:sz w:val="24"/>
          <w:szCs w:val="24"/>
          <w:highlight w:val="none"/>
        </w:rPr>
        <w:t xml:space="preserve">. </w:t>
      </w:r>
      <w:r>
        <w:rPr>
          <w:rStyle w:val="18"/>
          <w:rFonts w:hint="eastAsia" w:ascii="宋体" w:hAnsi="宋体" w:eastAsia="宋体" w:cs="Times New Roman"/>
          <w:b/>
          <w:color w:val="auto"/>
          <w:sz w:val="24"/>
          <w:szCs w:val="24"/>
          <w:highlight w:val="none"/>
        </w:rPr>
        <w:t>试验与检验</w:t>
      </w:r>
      <w:bookmarkEnd w:id="468"/>
    </w:p>
    <w:bookmarkEnd w:id="469"/>
    <w:bookmarkEnd w:id="470"/>
    <w:bookmarkEnd w:id="471"/>
    <w:bookmarkEnd w:id="472"/>
    <w:bookmarkEnd w:id="473"/>
    <w:bookmarkEnd w:id="474"/>
    <w:bookmarkEnd w:id="475"/>
    <w:p w14:paraId="1ED47CC9">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9</w:t>
      </w:r>
      <w:bookmarkStart w:id="488" w:name="_Toc300934983"/>
      <w:bookmarkStart w:id="489" w:name="_Toc297216193"/>
      <w:bookmarkStart w:id="490" w:name="_Toc304295560"/>
      <w:bookmarkStart w:id="491" w:name="_Toc312678022"/>
      <w:bookmarkStart w:id="492" w:name="_Toc297123534"/>
      <w:bookmarkStart w:id="493" w:name="_Toc303539140"/>
      <w:bookmarkStart w:id="494" w:name="_Toc312677496"/>
      <w:r>
        <w:rPr>
          <w:rStyle w:val="18"/>
          <w:rFonts w:ascii="宋体" w:hAnsi="宋体" w:eastAsia="宋体" w:cs="Times New Roman"/>
          <w:color w:val="auto"/>
          <w:sz w:val="24"/>
          <w:szCs w:val="24"/>
          <w:highlight w:val="none"/>
        </w:rPr>
        <w:t>.1</w:t>
      </w:r>
      <w:r>
        <w:rPr>
          <w:rStyle w:val="18"/>
          <w:rFonts w:hint="eastAsia" w:ascii="宋体" w:hAnsi="宋体" w:eastAsia="宋体" w:cs="Times New Roman"/>
          <w:color w:val="auto"/>
          <w:sz w:val="24"/>
          <w:szCs w:val="24"/>
          <w:highlight w:val="none"/>
        </w:rPr>
        <w:t>试验设备与试验人员</w:t>
      </w:r>
    </w:p>
    <w:bookmarkEnd w:id="488"/>
    <w:bookmarkEnd w:id="489"/>
    <w:bookmarkEnd w:id="490"/>
    <w:bookmarkEnd w:id="491"/>
    <w:bookmarkEnd w:id="492"/>
    <w:bookmarkEnd w:id="493"/>
    <w:bookmarkEnd w:id="494"/>
    <w:p w14:paraId="4062B01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9</w:t>
      </w:r>
      <w:bookmarkStart w:id="495" w:name="_Toc303539141"/>
      <w:bookmarkStart w:id="496" w:name="_Toc312678023"/>
      <w:bookmarkStart w:id="497" w:name="_Toc297216194"/>
      <w:bookmarkStart w:id="498" w:name="_Toc304295561"/>
      <w:bookmarkStart w:id="499" w:name="_Toc312677497"/>
      <w:bookmarkStart w:id="500" w:name="_Toc297123535"/>
      <w:bookmarkStart w:id="501" w:name="_Toc300934984"/>
      <w:bookmarkStart w:id="502" w:name="_Toc318581174"/>
      <w:r>
        <w:rPr>
          <w:rStyle w:val="18"/>
          <w:rFonts w:ascii="宋体" w:hAnsi="宋体" w:eastAsia="宋体" w:cs="Times New Roman"/>
          <w:color w:val="auto"/>
          <w:sz w:val="24"/>
          <w:szCs w:val="24"/>
          <w:highlight w:val="none"/>
        </w:rPr>
        <w:t xml:space="preserve">.1.2 </w:t>
      </w:r>
      <w:r>
        <w:rPr>
          <w:rStyle w:val="18"/>
          <w:rFonts w:hint="eastAsia" w:ascii="宋体" w:hAnsi="宋体" w:eastAsia="宋体" w:cs="Times New Roman"/>
          <w:color w:val="auto"/>
          <w:sz w:val="24"/>
          <w:szCs w:val="24"/>
          <w:highlight w:val="none"/>
        </w:rPr>
        <w:t>试验设备</w:t>
      </w:r>
    </w:p>
    <w:p w14:paraId="4D8A9B3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施工现场需要配置的试验场所：</w:t>
      </w:r>
      <w:bookmarkEnd w:id="495"/>
      <w:bookmarkEnd w:id="496"/>
      <w:bookmarkEnd w:id="497"/>
      <w:bookmarkEnd w:id="498"/>
      <w:bookmarkEnd w:id="499"/>
      <w:bookmarkEnd w:id="500"/>
      <w:bookmarkEnd w:id="501"/>
      <w:bookmarkStart w:id="503" w:name="EBa25718a26baa430e860824851db96e8f"/>
      <w:bookmarkStart w:id="504" w:name="_Toc312678024"/>
      <w:bookmarkStart w:id="505" w:name="_Toc304295562"/>
      <w:bookmarkStart w:id="506" w:name="_Toc297123536"/>
      <w:bookmarkStart w:id="507" w:name="_Toc312677498"/>
      <w:bookmarkStart w:id="508" w:name="_Toc297216195"/>
      <w:bookmarkStart w:id="509" w:name="_Toc303539142"/>
      <w:bookmarkStart w:id="510" w:name="_Toc300934985"/>
      <w:r>
        <w:rPr>
          <w:rStyle w:val="18"/>
          <w:rFonts w:hint="eastAsia" w:ascii="宋体" w:hAnsi="宋体" w:eastAsia="宋体" w:cs="Times New Roman"/>
          <w:color w:val="auto"/>
          <w:sz w:val="24"/>
          <w:szCs w:val="24"/>
          <w:highlight w:val="none"/>
        </w:rPr>
        <w:t>按有关规定执行</w:t>
      </w:r>
      <w:bookmarkEnd w:id="503"/>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 xml:space="preserve"> </w:t>
      </w:r>
    </w:p>
    <w:p w14:paraId="21B41433">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施工现场需要配备的试验设备：</w:t>
      </w:r>
      <w:bookmarkStart w:id="511" w:name="EB45e99541c6fe475d85c967e5b545adde"/>
      <w:r>
        <w:rPr>
          <w:rStyle w:val="18"/>
          <w:rFonts w:hint="eastAsia" w:ascii="宋体" w:hAnsi="宋体" w:eastAsia="宋体" w:cs="Times New Roman"/>
          <w:color w:val="auto"/>
          <w:sz w:val="24"/>
          <w:szCs w:val="24"/>
          <w:highlight w:val="none"/>
        </w:rPr>
        <w:t>按有关规定执行</w:t>
      </w:r>
      <w:bookmarkEnd w:id="511"/>
      <w:r>
        <w:rPr>
          <w:rStyle w:val="18"/>
          <w:rFonts w:hint="eastAsia" w:ascii="宋体" w:hAnsi="宋体" w:eastAsia="宋体" w:cs="Times New Roman"/>
          <w:color w:val="auto"/>
          <w:sz w:val="24"/>
          <w:szCs w:val="24"/>
          <w:highlight w:val="none"/>
        </w:rPr>
        <w:t>。</w:t>
      </w:r>
    </w:p>
    <w:p w14:paraId="2F1B1D5D">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施工现场需要具备的其他试验条件：</w:t>
      </w:r>
      <w:bookmarkStart w:id="512" w:name="EB76eec314253142b58e0e86b835bcbc3e"/>
      <w:r>
        <w:rPr>
          <w:rStyle w:val="18"/>
          <w:rFonts w:hint="eastAsia" w:ascii="宋体" w:hAnsi="宋体" w:eastAsia="宋体" w:cs="Times New Roman"/>
          <w:color w:val="auto"/>
          <w:sz w:val="24"/>
          <w:szCs w:val="24"/>
          <w:highlight w:val="none"/>
        </w:rPr>
        <w:t>按有关规定执行</w:t>
      </w:r>
      <w:bookmarkEnd w:id="512"/>
      <w:r>
        <w:rPr>
          <w:rStyle w:val="18"/>
          <w:rFonts w:hint="eastAsia" w:ascii="宋体" w:hAnsi="宋体" w:eastAsia="宋体" w:cs="Times New Roman"/>
          <w:color w:val="auto"/>
          <w:sz w:val="24"/>
          <w:szCs w:val="24"/>
          <w:highlight w:val="none"/>
        </w:rPr>
        <w:t>。</w:t>
      </w:r>
    </w:p>
    <w:p w14:paraId="2D41064E">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9.4 </w:t>
      </w:r>
      <w:r>
        <w:rPr>
          <w:rStyle w:val="18"/>
          <w:rFonts w:hint="eastAsia" w:ascii="宋体" w:hAnsi="宋体" w:eastAsia="宋体" w:cs="Times New Roman"/>
          <w:color w:val="auto"/>
          <w:sz w:val="24"/>
          <w:szCs w:val="24"/>
          <w:highlight w:val="none"/>
        </w:rPr>
        <w:t>现场工艺试验</w:t>
      </w:r>
      <w:r>
        <w:rPr>
          <w:rStyle w:val="18"/>
          <w:rFonts w:ascii="宋体" w:hAnsi="宋体" w:eastAsia="宋体" w:cs="Times New Roman"/>
          <w:color w:val="auto"/>
          <w:sz w:val="24"/>
          <w:szCs w:val="24"/>
          <w:highlight w:val="none"/>
        </w:rPr>
        <w:t xml:space="preserve"> </w:t>
      </w:r>
    </w:p>
    <w:p w14:paraId="38C1ACA1">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现场工艺试验的有关约定：</w:t>
      </w:r>
      <w:bookmarkStart w:id="513" w:name="EB3d1ef6a0f30541e3b67df180a26f65e8"/>
      <w:r>
        <w:rPr>
          <w:rStyle w:val="18"/>
          <w:rFonts w:hint="eastAsia" w:ascii="宋体" w:hAnsi="宋体" w:eastAsia="宋体" w:cs="Times New Roman"/>
          <w:color w:val="auto"/>
          <w:sz w:val="24"/>
          <w:szCs w:val="24"/>
          <w:highlight w:val="none"/>
        </w:rPr>
        <w:t>按本合同通用条款的本条执行</w:t>
      </w:r>
      <w:bookmarkEnd w:id="513"/>
      <w:r>
        <w:rPr>
          <w:rStyle w:val="18"/>
          <w:rFonts w:hint="eastAsia" w:ascii="宋体" w:hAnsi="宋体" w:eastAsia="宋体" w:cs="Times New Roman"/>
          <w:color w:val="auto"/>
          <w:sz w:val="24"/>
          <w:szCs w:val="24"/>
          <w:highlight w:val="none"/>
        </w:rPr>
        <w:t>。</w:t>
      </w:r>
    </w:p>
    <w:bookmarkEnd w:id="502"/>
    <w:bookmarkEnd w:id="504"/>
    <w:bookmarkEnd w:id="505"/>
    <w:bookmarkEnd w:id="506"/>
    <w:bookmarkEnd w:id="507"/>
    <w:bookmarkEnd w:id="508"/>
    <w:bookmarkEnd w:id="509"/>
    <w:bookmarkEnd w:id="510"/>
    <w:p w14:paraId="4F9E9764">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514" w:name="_Toc351203642"/>
      <w:r>
        <w:rPr>
          <w:rStyle w:val="18"/>
          <w:rFonts w:ascii="宋体" w:hAnsi="宋体" w:eastAsia="宋体" w:cs="Times New Roman"/>
          <w:b/>
          <w:color w:val="auto"/>
          <w:sz w:val="24"/>
          <w:szCs w:val="24"/>
          <w:highlight w:val="none"/>
        </w:rPr>
        <w:t>1</w:t>
      </w:r>
      <w:bookmarkEnd w:id="476"/>
      <w:bookmarkEnd w:id="477"/>
      <w:bookmarkEnd w:id="478"/>
      <w:bookmarkEnd w:id="479"/>
      <w:bookmarkEnd w:id="480"/>
      <w:bookmarkEnd w:id="481"/>
      <w:bookmarkEnd w:id="482"/>
      <w:bookmarkEnd w:id="483"/>
      <w:bookmarkEnd w:id="484"/>
      <w:bookmarkEnd w:id="485"/>
      <w:bookmarkEnd w:id="486"/>
      <w:bookmarkEnd w:id="487"/>
      <w:bookmarkStart w:id="515" w:name="_Toc292559398"/>
      <w:bookmarkStart w:id="516" w:name="_Toc304295566"/>
      <w:bookmarkStart w:id="517" w:name="_Toc297123540"/>
      <w:bookmarkStart w:id="518" w:name="_Toc297048379"/>
      <w:bookmarkStart w:id="519" w:name="_Toc292559903"/>
      <w:bookmarkStart w:id="520" w:name="_Toc297216199"/>
      <w:bookmarkStart w:id="521" w:name="_Toc296503193"/>
      <w:bookmarkStart w:id="522" w:name="_Toc296944532"/>
      <w:bookmarkStart w:id="523" w:name="_Toc296891233"/>
      <w:bookmarkStart w:id="524" w:name="_Toc300934989"/>
      <w:bookmarkStart w:id="525" w:name="_Toc297120493"/>
      <w:bookmarkStart w:id="526" w:name="_Toc296891021"/>
      <w:bookmarkStart w:id="527" w:name="_Toc296347192"/>
      <w:bookmarkStart w:id="528" w:name="_Toc303539146"/>
      <w:bookmarkStart w:id="529" w:name="_Toc296346694"/>
      <w:bookmarkStart w:id="530" w:name="_Toc312678025"/>
      <w:bookmarkStart w:id="531" w:name="_Toc312677499"/>
      <w:bookmarkStart w:id="532" w:name="_Toc267251441"/>
      <w:bookmarkStart w:id="533" w:name="_Toc267251437"/>
      <w:bookmarkStart w:id="534" w:name="_Toc267251433"/>
      <w:bookmarkStart w:id="535" w:name="_Toc267251439"/>
      <w:bookmarkStart w:id="536" w:name="_Toc267251435"/>
      <w:bookmarkStart w:id="537" w:name="_Toc267251440"/>
      <w:bookmarkStart w:id="538" w:name="_Toc267251442"/>
      <w:r>
        <w:rPr>
          <w:rStyle w:val="18"/>
          <w:rFonts w:ascii="宋体" w:hAnsi="宋体" w:eastAsia="宋体" w:cs="Times New Roman"/>
          <w:b/>
          <w:color w:val="auto"/>
          <w:sz w:val="24"/>
          <w:szCs w:val="24"/>
          <w:highlight w:val="none"/>
        </w:rPr>
        <w:t xml:space="preserve">0. </w:t>
      </w:r>
      <w:r>
        <w:rPr>
          <w:rStyle w:val="18"/>
          <w:rFonts w:hint="eastAsia" w:ascii="宋体" w:hAnsi="宋体" w:eastAsia="宋体" w:cs="Times New Roman"/>
          <w:b/>
          <w:color w:val="auto"/>
          <w:sz w:val="24"/>
          <w:szCs w:val="24"/>
          <w:highlight w:val="none"/>
        </w:rPr>
        <w:t>变更</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bookmarkEnd w:id="530"/>
    <w:bookmarkEnd w:id="531"/>
    <w:p w14:paraId="76B501DD">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w:t>
      </w:r>
      <w:bookmarkStart w:id="539" w:name="_Toc296503194"/>
      <w:bookmarkStart w:id="540" w:name="_Toc304295567"/>
      <w:bookmarkStart w:id="541" w:name="_Toc312677500"/>
      <w:bookmarkStart w:id="542" w:name="_Toc300934990"/>
      <w:bookmarkStart w:id="543" w:name="_Toc296346695"/>
      <w:bookmarkStart w:id="544" w:name="_Toc296891234"/>
      <w:bookmarkStart w:id="545" w:name="_Toc303539147"/>
      <w:bookmarkStart w:id="546" w:name="_Toc296347193"/>
      <w:bookmarkStart w:id="547" w:name="_Toc297123541"/>
      <w:bookmarkStart w:id="548" w:name="_Toc312678026"/>
      <w:bookmarkStart w:id="549" w:name="_Toc297120494"/>
      <w:bookmarkStart w:id="550" w:name="_Toc297216200"/>
      <w:bookmarkStart w:id="551" w:name="_Toc297048380"/>
      <w:bookmarkStart w:id="552" w:name="_Toc296944533"/>
      <w:bookmarkStart w:id="553" w:name="_Toc292559399"/>
      <w:bookmarkStart w:id="554" w:name="_Toc292559904"/>
      <w:bookmarkStart w:id="555" w:name="_Toc296891022"/>
      <w:r>
        <w:rPr>
          <w:rStyle w:val="18"/>
          <w:rFonts w:ascii="宋体" w:hAnsi="宋体" w:eastAsia="宋体" w:cs="Times New Roman"/>
          <w:color w:val="auto"/>
          <w:sz w:val="24"/>
          <w:szCs w:val="24"/>
          <w:highlight w:val="none"/>
        </w:rPr>
        <w:t>0.1</w:t>
      </w:r>
      <w:r>
        <w:rPr>
          <w:rStyle w:val="18"/>
          <w:rFonts w:hint="eastAsia" w:ascii="宋体" w:hAnsi="宋体" w:eastAsia="宋体" w:cs="Times New Roman"/>
          <w:color w:val="auto"/>
          <w:sz w:val="24"/>
          <w:szCs w:val="24"/>
          <w:highlight w:val="none"/>
        </w:rPr>
        <w:t>变更的范围</w:t>
      </w:r>
    </w:p>
    <w:p w14:paraId="448E01BE">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关于变更的范围的约定：</w:t>
      </w:r>
      <w:bookmarkStart w:id="556" w:name="EB61b50bfd79064878839500f059c0c13f"/>
      <w:r>
        <w:rPr>
          <w:rStyle w:val="18"/>
          <w:rFonts w:hint="eastAsia" w:ascii="宋体" w:hAnsi="宋体" w:eastAsia="宋体" w:cs="Times New Roman"/>
          <w:color w:val="auto"/>
          <w:sz w:val="24"/>
          <w:szCs w:val="24"/>
          <w:highlight w:val="none"/>
        </w:rPr>
        <w:t>执行通用条款10.1条约定(1)增加或减少合同中任何工作，或追加额外的工作；（2）取消合同中任何工作，但转由他人实施的工作除外；（3）改变合同中任何工作的质量标准或其他特征；（4）改变工程的基线、标高、位置和尺寸；（5）改变工程的时间安排或实施顺序</w:t>
      </w:r>
      <w:bookmarkEnd w:id="556"/>
      <w:r>
        <w:rPr>
          <w:rStyle w:val="18"/>
          <w:rFonts w:hint="eastAsia" w:ascii="宋体" w:hAnsi="宋体" w:eastAsia="宋体" w:cs="Times New Roman"/>
          <w:color w:val="auto"/>
          <w:sz w:val="24"/>
          <w:szCs w:val="24"/>
          <w:highlight w:val="none"/>
        </w:rPr>
        <w:t>。</w:t>
      </w:r>
    </w:p>
    <w:p w14:paraId="344C55EC">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10.4 </w:t>
      </w:r>
      <w:r>
        <w:rPr>
          <w:rStyle w:val="18"/>
          <w:rFonts w:hint="eastAsia" w:ascii="宋体" w:hAnsi="宋体" w:eastAsia="宋体" w:cs="Times New Roman"/>
          <w:color w:val="auto"/>
          <w:sz w:val="24"/>
          <w:szCs w:val="24"/>
          <w:highlight w:val="none"/>
        </w:rPr>
        <w:t>变更估价</w:t>
      </w:r>
    </w:p>
    <w:p w14:paraId="194E8B7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10.4.1 </w:t>
      </w:r>
      <w:r>
        <w:rPr>
          <w:rStyle w:val="18"/>
          <w:rFonts w:hint="eastAsia" w:ascii="宋体" w:hAnsi="宋体" w:eastAsia="宋体" w:cs="Times New Roman"/>
          <w:color w:val="auto"/>
          <w:sz w:val="24"/>
          <w:szCs w:val="24"/>
          <w:highlight w:val="none"/>
        </w:rPr>
        <w:t>变更估价原则</w:t>
      </w:r>
    </w:p>
    <w:p w14:paraId="5F67FA21">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关于变更估价的约定</w:t>
      </w:r>
      <w:r>
        <w:rPr>
          <w:rStyle w:val="18"/>
          <w:rFonts w:ascii="宋体" w:hAnsi="宋体" w:eastAsia="宋体" w:cs="Times New Roman"/>
          <w:color w:val="auto"/>
          <w:sz w:val="24"/>
          <w:szCs w:val="24"/>
          <w:highlight w:val="none"/>
        </w:rPr>
        <w:t>:</w:t>
      </w:r>
      <w:bookmarkStart w:id="557" w:name="EB1e32cf2d806e4adca9faf48708e270fa"/>
      <w:r>
        <w:rPr>
          <w:rStyle w:val="18"/>
          <w:rFonts w:hint="eastAsia" w:ascii="宋体" w:hAnsi="宋体" w:eastAsia="宋体" w:cs="Times New Roman"/>
          <w:color w:val="auto"/>
          <w:sz w:val="24"/>
          <w:szCs w:val="24"/>
          <w:highlight w:val="none"/>
        </w:rPr>
        <w:t>执行通用条款约定</w:t>
      </w:r>
      <w:bookmarkEnd w:id="557"/>
      <w:r>
        <w:rPr>
          <w:rStyle w:val="18"/>
          <w:rFonts w:hint="eastAsia" w:ascii="宋体" w:hAnsi="宋体" w:eastAsia="宋体" w:cs="Times New Roman"/>
          <w:color w:val="auto"/>
          <w:sz w:val="24"/>
          <w:szCs w:val="24"/>
          <w:highlight w:val="none"/>
        </w:rPr>
        <w:t>。</w:t>
      </w:r>
    </w:p>
    <w:p w14:paraId="0EF88342">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Start w:id="558" w:name="_Toc303539150"/>
      <w:bookmarkStart w:id="559" w:name="_Toc292559907"/>
      <w:bookmarkStart w:id="560" w:name="_Toc296503197"/>
      <w:bookmarkStart w:id="561" w:name="_Toc297123544"/>
      <w:bookmarkStart w:id="562" w:name="_Toc296346698"/>
      <w:bookmarkStart w:id="563" w:name="_Toc296944536"/>
      <w:bookmarkStart w:id="564" w:name="_Toc300934993"/>
      <w:bookmarkStart w:id="565" w:name="_Toc297216203"/>
      <w:bookmarkStart w:id="566" w:name="_Toc296891237"/>
      <w:bookmarkStart w:id="567" w:name="_Toc296347196"/>
      <w:bookmarkStart w:id="568" w:name="_Toc296891025"/>
      <w:bookmarkStart w:id="569" w:name="_Toc292559402"/>
      <w:bookmarkStart w:id="570" w:name="_Toc297120497"/>
      <w:bookmarkStart w:id="571" w:name="_Toc297048383"/>
      <w:bookmarkStart w:id="572" w:name="_Toc304295570"/>
      <w:bookmarkStart w:id="573" w:name="_Toc312677503"/>
      <w:bookmarkStart w:id="574" w:name="_Toc312678029"/>
      <w:r>
        <w:rPr>
          <w:rStyle w:val="18"/>
          <w:rFonts w:ascii="宋体" w:hAnsi="宋体" w:eastAsia="宋体" w:cs="Times New Roman"/>
          <w:color w:val="auto"/>
          <w:sz w:val="24"/>
          <w:szCs w:val="24"/>
          <w:highlight w:val="none"/>
        </w:rPr>
        <w:t>0.5</w:t>
      </w:r>
      <w:r>
        <w:rPr>
          <w:rStyle w:val="18"/>
          <w:rFonts w:hint="eastAsia" w:ascii="宋体" w:hAnsi="宋体" w:eastAsia="宋体" w:cs="Times New Roman"/>
          <w:color w:val="auto"/>
          <w:sz w:val="24"/>
          <w:szCs w:val="24"/>
          <w:highlight w:val="none"/>
        </w:rPr>
        <w:t>承</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Start w:id="575" w:name="_Toc292559408"/>
      <w:bookmarkStart w:id="576" w:name="_Toc296346704"/>
      <w:bookmarkStart w:id="577" w:name="_Toc297048389"/>
      <w:bookmarkStart w:id="578" w:name="_Toc297120503"/>
      <w:bookmarkStart w:id="579" w:name="_Toc296347202"/>
      <w:bookmarkStart w:id="580" w:name="_Toc297123545"/>
      <w:bookmarkStart w:id="581" w:name="_Toc292559913"/>
      <w:bookmarkStart w:id="582" w:name="_Toc297216204"/>
      <w:bookmarkStart w:id="583" w:name="_Toc296891031"/>
      <w:bookmarkStart w:id="584" w:name="_Toc296944542"/>
      <w:bookmarkStart w:id="585" w:name="_Toc296503203"/>
      <w:bookmarkStart w:id="586" w:name="_Toc300934994"/>
      <w:bookmarkStart w:id="587" w:name="_Toc303539151"/>
      <w:bookmarkStart w:id="588" w:name="_Toc296891243"/>
      <w:r>
        <w:rPr>
          <w:rStyle w:val="18"/>
          <w:rFonts w:hint="eastAsia" w:ascii="宋体" w:hAnsi="宋体" w:eastAsia="宋体" w:cs="Times New Roman"/>
          <w:color w:val="auto"/>
          <w:sz w:val="24"/>
          <w:szCs w:val="24"/>
          <w:highlight w:val="none"/>
        </w:rPr>
        <w:t>包人的合理化建议</w:t>
      </w:r>
    </w:p>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14:paraId="500922A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监理人审查承包人合理化建议的期限：</w:t>
      </w:r>
      <w:bookmarkStart w:id="589" w:name="EB9edcf79008ee4d478305b4acdc94c661"/>
      <w:r>
        <w:rPr>
          <w:rStyle w:val="18"/>
          <w:rFonts w:hint="eastAsia" w:ascii="宋体" w:hAnsi="宋体" w:eastAsia="宋体" w:cs="Times New Roman"/>
          <w:color w:val="auto"/>
          <w:sz w:val="24"/>
          <w:szCs w:val="24"/>
          <w:highlight w:val="none"/>
        </w:rPr>
        <w:t>执行通用条款约定</w:t>
      </w:r>
      <w:bookmarkEnd w:id="589"/>
      <w:r>
        <w:rPr>
          <w:rStyle w:val="18"/>
          <w:rFonts w:hint="eastAsia" w:ascii="宋体" w:hAnsi="宋体" w:eastAsia="宋体" w:cs="Times New Roman"/>
          <w:color w:val="auto"/>
          <w:sz w:val="24"/>
          <w:szCs w:val="24"/>
          <w:highlight w:val="none"/>
        </w:rPr>
        <w:t>。</w:t>
      </w:r>
    </w:p>
    <w:p w14:paraId="4C39298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发包人审批承包人合理化建议的期限：</w:t>
      </w:r>
      <w:bookmarkStart w:id="590" w:name="EB5c34f479f4904246b50ffaeaa5f8ce88"/>
      <w:r>
        <w:rPr>
          <w:rStyle w:val="18"/>
          <w:rFonts w:hint="eastAsia" w:ascii="宋体" w:hAnsi="宋体" w:eastAsia="宋体" w:cs="Times New Roman"/>
          <w:color w:val="auto"/>
          <w:sz w:val="24"/>
          <w:szCs w:val="24"/>
          <w:highlight w:val="none"/>
        </w:rPr>
        <w:t>执行通用条款约定</w:t>
      </w:r>
      <w:bookmarkEnd w:id="590"/>
      <w:r>
        <w:rPr>
          <w:rStyle w:val="18"/>
          <w:rFonts w:hint="eastAsia" w:ascii="宋体" w:hAnsi="宋体" w:eastAsia="宋体" w:cs="Times New Roman"/>
          <w:color w:val="auto"/>
          <w:sz w:val="24"/>
          <w:szCs w:val="24"/>
          <w:highlight w:val="none"/>
        </w:rPr>
        <w:t>。</w:t>
      </w:r>
    </w:p>
    <w:p w14:paraId="3E33A0A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承</w:t>
      </w:r>
      <w:bookmarkStart w:id="591" w:name="_Toc318581175"/>
      <w:bookmarkStart w:id="592" w:name="_Toc297123546"/>
      <w:bookmarkStart w:id="593" w:name="_Toc296346705"/>
      <w:bookmarkStart w:id="594" w:name="_Toc312678030"/>
      <w:bookmarkStart w:id="595" w:name="_Toc292559914"/>
      <w:bookmarkStart w:id="596" w:name="_Toc312677504"/>
      <w:bookmarkStart w:id="597" w:name="_Toc296944543"/>
      <w:bookmarkStart w:id="598" w:name="_Toc292559409"/>
      <w:bookmarkStart w:id="599" w:name="_Toc296891244"/>
      <w:bookmarkStart w:id="600" w:name="_Toc303539152"/>
      <w:bookmarkStart w:id="601" w:name="_Toc304295571"/>
      <w:bookmarkStart w:id="602" w:name="_Toc296503204"/>
      <w:bookmarkStart w:id="603" w:name="_Toc300934995"/>
      <w:bookmarkStart w:id="604" w:name="_Toc297048390"/>
      <w:bookmarkStart w:id="605" w:name="_Toc297216205"/>
      <w:bookmarkStart w:id="606" w:name="_Toc296891032"/>
      <w:bookmarkStart w:id="607" w:name="_Toc297120504"/>
      <w:bookmarkStart w:id="608" w:name="_Toc296347203"/>
      <w:r>
        <w:rPr>
          <w:rStyle w:val="18"/>
          <w:rFonts w:hint="eastAsia" w:ascii="宋体" w:hAnsi="宋体" w:eastAsia="宋体" w:cs="Times New Roman"/>
          <w:color w:val="auto"/>
          <w:sz w:val="24"/>
          <w:szCs w:val="24"/>
          <w:highlight w:val="none"/>
        </w:rPr>
        <w:t>包人提出的合理化建议降低了合同价格或者提高了工程经济效益的奖励的方法和金额为：</w:t>
      </w:r>
      <w:bookmarkStart w:id="609" w:name="EBfebea9d10f8949b0a17bd9e8b0eaec56"/>
      <w:r>
        <w:rPr>
          <w:rStyle w:val="18"/>
          <w:rFonts w:hint="eastAsia" w:ascii="宋体" w:hAnsi="宋体" w:eastAsia="宋体" w:cs="Times New Roman"/>
          <w:color w:val="auto"/>
          <w:sz w:val="24"/>
          <w:szCs w:val="24"/>
          <w:highlight w:val="none"/>
        </w:rPr>
        <w:t>无</w:t>
      </w:r>
      <w:bookmarkEnd w:id="609"/>
      <w:r>
        <w:rPr>
          <w:rStyle w:val="18"/>
          <w:rFonts w:hint="eastAsia" w:ascii="宋体" w:hAnsi="宋体" w:eastAsia="宋体" w:cs="Times New Roman"/>
          <w:color w:val="auto"/>
          <w:sz w:val="24"/>
          <w:szCs w:val="24"/>
          <w:highlight w:val="none"/>
        </w:rPr>
        <w:t>。</w:t>
      </w:r>
    </w:p>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14:paraId="499A6868">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w:t>
      </w:r>
      <w:bookmarkStart w:id="610" w:name="_Toc296891239"/>
      <w:bookmarkStart w:id="611" w:name="_Toc297123548"/>
      <w:bookmarkStart w:id="612" w:name="_Toc297120499"/>
      <w:bookmarkStart w:id="613" w:name="_Toc296944538"/>
      <w:bookmarkStart w:id="614" w:name="_Toc312677507"/>
      <w:bookmarkStart w:id="615" w:name="_Toc296503199"/>
      <w:bookmarkStart w:id="616" w:name="_Toc297048385"/>
      <w:bookmarkStart w:id="617" w:name="_Toc296891027"/>
      <w:bookmarkStart w:id="618" w:name="_Toc300934997"/>
      <w:bookmarkStart w:id="619" w:name="_Toc304295574"/>
      <w:bookmarkStart w:id="620" w:name="_Toc303539154"/>
      <w:bookmarkStart w:id="621" w:name="_Toc312678033"/>
      <w:bookmarkStart w:id="622" w:name="_Toc292559404"/>
      <w:bookmarkStart w:id="623" w:name="_Toc296346700"/>
      <w:bookmarkStart w:id="624" w:name="_Toc296347198"/>
      <w:bookmarkStart w:id="625" w:name="_Toc297216207"/>
      <w:bookmarkStart w:id="626" w:name="_Toc292559909"/>
      <w:r>
        <w:rPr>
          <w:rStyle w:val="18"/>
          <w:rFonts w:ascii="宋体" w:hAnsi="宋体" w:eastAsia="宋体" w:cs="Times New Roman"/>
          <w:color w:val="auto"/>
          <w:sz w:val="24"/>
          <w:szCs w:val="24"/>
          <w:highlight w:val="none"/>
        </w:rPr>
        <w:t xml:space="preserve">0.7 </w:t>
      </w:r>
      <w:r>
        <w:rPr>
          <w:rStyle w:val="18"/>
          <w:rFonts w:hint="eastAsia" w:ascii="宋体" w:hAnsi="宋体" w:eastAsia="宋体" w:cs="Times New Roman"/>
          <w:color w:val="auto"/>
          <w:sz w:val="24"/>
          <w:szCs w:val="24"/>
          <w:highlight w:val="none"/>
        </w:rPr>
        <w:t>暂估价</w:t>
      </w:r>
    </w:p>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14:paraId="7B8B331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暂</w:t>
      </w:r>
      <w:bookmarkStart w:id="627" w:name="_Toc318581176"/>
      <w:bookmarkStart w:id="628" w:name="_Toc312678034"/>
      <w:bookmarkStart w:id="629" w:name="_Toc312677508"/>
      <w:r>
        <w:rPr>
          <w:rStyle w:val="18"/>
          <w:rFonts w:hint="eastAsia" w:ascii="宋体" w:hAnsi="宋体" w:eastAsia="宋体" w:cs="Times New Roman"/>
          <w:color w:val="auto"/>
          <w:kern w:val="0"/>
          <w:sz w:val="24"/>
          <w:szCs w:val="24"/>
          <w:highlight w:val="none"/>
        </w:rPr>
        <w:t>估价材料和工程设备的明细详见附件</w:t>
      </w:r>
      <w:r>
        <w:rPr>
          <w:rStyle w:val="18"/>
          <w:rFonts w:ascii="宋体" w:hAnsi="宋体" w:eastAsia="宋体" w:cs="Times New Roman"/>
          <w:color w:val="auto"/>
          <w:kern w:val="0"/>
          <w:sz w:val="24"/>
          <w:szCs w:val="24"/>
          <w:highlight w:val="none"/>
        </w:rPr>
        <w:t>11</w:t>
      </w:r>
      <w:r>
        <w:rPr>
          <w:rStyle w:val="18"/>
          <w:rFonts w:hint="eastAsia" w:ascii="宋体" w:hAnsi="宋体" w:eastAsia="宋体" w:cs="Times New Roman"/>
          <w:color w:val="auto"/>
          <w:kern w:val="0"/>
          <w:sz w:val="24"/>
          <w:szCs w:val="24"/>
          <w:highlight w:val="none"/>
        </w:rPr>
        <w:t>：《</w:t>
      </w:r>
      <w:r>
        <w:rPr>
          <w:rStyle w:val="18"/>
          <w:rFonts w:hint="eastAsia" w:ascii="宋体" w:hAnsi="宋体" w:eastAsia="宋体" w:cs="Times New Roman"/>
          <w:color w:val="auto"/>
          <w:sz w:val="24"/>
          <w:szCs w:val="24"/>
          <w:highlight w:val="none"/>
        </w:rPr>
        <w:t>暂估价一览表》</w:t>
      </w:r>
      <w:r>
        <w:rPr>
          <w:rStyle w:val="18"/>
          <w:rFonts w:hint="eastAsia" w:ascii="宋体" w:hAnsi="宋体" w:eastAsia="宋体" w:cs="Times New Roman"/>
          <w:color w:val="auto"/>
          <w:kern w:val="0"/>
          <w:sz w:val="24"/>
          <w:szCs w:val="24"/>
          <w:highlight w:val="none"/>
        </w:rPr>
        <w:t>。</w:t>
      </w:r>
    </w:p>
    <w:bookmarkEnd w:id="627"/>
    <w:bookmarkEnd w:id="628"/>
    <w:bookmarkEnd w:id="629"/>
    <w:p w14:paraId="39018BA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w:t>
      </w:r>
      <w:bookmarkStart w:id="630" w:name="_Toc312677509"/>
      <w:bookmarkStart w:id="631" w:name="_Toc318581177"/>
      <w:bookmarkStart w:id="632" w:name="_Toc312678035"/>
      <w:r>
        <w:rPr>
          <w:rStyle w:val="18"/>
          <w:rFonts w:ascii="宋体" w:hAnsi="宋体" w:eastAsia="宋体" w:cs="Times New Roman"/>
          <w:color w:val="auto"/>
          <w:sz w:val="24"/>
          <w:szCs w:val="24"/>
          <w:highlight w:val="none"/>
        </w:rPr>
        <w:t xml:space="preserve">0.7.1 </w:t>
      </w:r>
      <w:r>
        <w:rPr>
          <w:rStyle w:val="18"/>
          <w:rFonts w:hint="eastAsia" w:ascii="宋体" w:hAnsi="宋体" w:eastAsia="宋体" w:cs="Times New Roman"/>
          <w:color w:val="auto"/>
          <w:sz w:val="24"/>
          <w:szCs w:val="24"/>
          <w:highlight w:val="none"/>
        </w:rPr>
        <w:t>依法必须招标的暂估价项目</w:t>
      </w:r>
    </w:p>
    <w:bookmarkEnd w:id="630"/>
    <w:bookmarkEnd w:id="631"/>
    <w:bookmarkEnd w:id="632"/>
    <w:p w14:paraId="682DD4F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对于依法必须招标的暂估价项目的确认和批准采取第</w:t>
      </w:r>
      <w:bookmarkStart w:id="633" w:name="EBdeb6882b5f794c33a8e26f2260653b3a"/>
      <w:r>
        <w:rPr>
          <w:rStyle w:val="18"/>
          <w:rFonts w:hint="eastAsia" w:ascii="宋体" w:hAnsi="宋体" w:eastAsia="宋体" w:cs="Times New Roman"/>
          <w:color w:val="auto"/>
          <w:sz w:val="24"/>
          <w:szCs w:val="24"/>
          <w:highlight w:val="none"/>
        </w:rPr>
        <w:t>（1）</w:t>
      </w:r>
      <w:bookmarkEnd w:id="633"/>
      <w:r>
        <w:rPr>
          <w:rStyle w:val="18"/>
          <w:rFonts w:hint="eastAsia" w:ascii="宋体" w:hAnsi="宋体" w:eastAsia="宋体" w:cs="Times New Roman"/>
          <w:color w:val="auto"/>
          <w:sz w:val="24"/>
          <w:szCs w:val="24"/>
          <w:highlight w:val="none"/>
        </w:rPr>
        <w:t>种方式确定。</w:t>
      </w:r>
    </w:p>
    <w:p w14:paraId="1EB41B8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10.7.2 </w:t>
      </w:r>
      <w:r>
        <w:rPr>
          <w:rStyle w:val="18"/>
          <w:rFonts w:hint="eastAsia" w:ascii="宋体" w:hAnsi="宋体" w:eastAsia="宋体" w:cs="Times New Roman"/>
          <w:color w:val="auto"/>
          <w:sz w:val="24"/>
          <w:szCs w:val="24"/>
          <w:highlight w:val="none"/>
        </w:rPr>
        <w:t>不属于依法必须招标的暂估价项目</w:t>
      </w:r>
    </w:p>
    <w:p w14:paraId="6DAA019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对于不属于依法必须招标的暂估价项目的确认和批准采取第</w:t>
      </w:r>
      <w:bookmarkStart w:id="634" w:name="EB1b9e85e1f5f5483abae6a346ba592b19"/>
      <w:r>
        <w:rPr>
          <w:rStyle w:val="18"/>
          <w:rFonts w:hint="eastAsia" w:ascii="宋体" w:hAnsi="宋体" w:eastAsia="宋体" w:cs="Times New Roman"/>
          <w:color w:val="auto"/>
          <w:sz w:val="24"/>
          <w:szCs w:val="24"/>
          <w:highlight w:val="none"/>
        </w:rPr>
        <w:t>（1）</w:t>
      </w:r>
      <w:bookmarkEnd w:id="634"/>
      <w:r>
        <w:rPr>
          <w:rStyle w:val="18"/>
          <w:rFonts w:hint="eastAsia" w:ascii="宋体" w:hAnsi="宋体" w:eastAsia="宋体" w:cs="Times New Roman"/>
          <w:color w:val="auto"/>
          <w:sz w:val="24"/>
          <w:szCs w:val="24"/>
          <w:highlight w:val="none"/>
        </w:rPr>
        <w:t>种方式确定。</w:t>
      </w:r>
    </w:p>
    <w:p w14:paraId="43DDC64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sz w:val="24"/>
          <w:szCs w:val="24"/>
          <w:highlight w:val="none"/>
        </w:rPr>
        <w:t>第</w:t>
      </w:r>
      <w:r>
        <w:rPr>
          <w:rStyle w:val="18"/>
          <w:rFonts w:ascii="宋体" w:hAnsi="宋体" w:eastAsia="宋体" w:cs="Times New Roman"/>
          <w:color w:val="auto"/>
          <w:sz w:val="24"/>
          <w:szCs w:val="24"/>
          <w:highlight w:val="none"/>
        </w:rPr>
        <w:t>3</w:t>
      </w:r>
      <w:r>
        <w:rPr>
          <w:rStyle w:val="18"/>
          <w:rFonts w:hint="eastAsia" w:ascii="宋体" w:hAnsi="宋体" w:eastAsia="宋体" w:cs="Times New Roman"/>
          <w:color w:val="auto"/>
          <w:sz w:val="24"/>
          <w:szCs w:val="24"/>
          <w:highlight w:val="none"/>
        </w:rPr>
        <w:t>种方式：</w:t>
      </w:r>
      <w:r>
        <w:rPr>
          <w:rStyle w:val="18"/>
          <w:rFonts w:hint="eastAsia" w:ascii="宋体" w:hAnsi="宋体" w:eastAsia="宋体" w:cs="Times New Roman"/>
          <w:color w:val="auto"/>
          <w:kern w:val="0"/>
          <w:sz w:val="24"/>
          <w:szCs w:val="24"/>
          <w:highlight w:val="none"/>
        </w:rPr>
        <w:t>承包人直接实施的暂估价项目</w:t>
      </w:r>
    </w:p>
    <w:p w14:paraId="2C9F661F">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承包人直接实施的暂估价项目的约定：</w:t>
      </w:r>
      <w:bookmarkStart w:id="635" w:name="EBe060c1216f7c41c780074dfbc410f1ad"/>
      <w:r>
        <w:rPr>
          <w:rStyle w:val="18"/>
          <w:rFonts w:hint="eastAsia" w:ascii="宋体" w:hAnsi="宋体" w:eastAsia="宋体" w:cs="Times New Roman"/>
          <w:color w:val="auto"/>
          <w:sz w:val="24"/>
          <w:szCs w:val="24"/>
          <w:highlight w:val="none"/>
        </w:rPr>
        <w:t>执行通用条款约定</w:t>
      </w:r>
      <w:bookmarkEnd w:id="635"/>
      <w:r>
        <w:rPr>
          <w:rStyle w:val="18"/>
          <w:rFonts w:hint="eastAsia" w:ascii="宋体" w:hAnsi="宋体" w:eastAsia="宋体" w:cs="Times New Roman"/>
          <w:color w:val="auto"/>
          <w:sz w:val="24"/>
          <w:szCs w:val="24"/>
          <w:highlight w:val="none"/>
        </w:rPr>
        <w:t>。</w:t>
      </w:r>
    </w:p>
    <w:p w14:paraId="36192C93">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10.8 </w:t>
      </w:r>
      <w:r>
        <w:rPr>
          <w:rStyle w:val="18"/>
          <w:rFonts w:hint="eastAsia" w:ascii="宋体" w:hAnsi="宋体" w:eastAsia="宋体" w:cs="Times New Roman"/>
          <w:color w:val="auto"/>
          <w:sz w:val="24"/>
          <w:szCs w:val="24"/>
          <w:highlight w:val="none"/>
        </w:rPr>
        <w:t>暂列金额</w:t>
      </w:r>
    </w:p>
    <w:p w14:paraId="0F13F70C">
      <w:pPr>
        <w:pStyle w:val="26"/>
        <w:pageBreakBefore w:val="0"/>
        <w:widowControl w:val="0"/>
        <w:kinsoku/>
        <w:wordWrap/>
        <w:overflowPunct/>
        <w:topLinePunct w:val="0"/>
        <w:autoSpaceDE w:val="0"/>
        <w:autoSpaceDN w:val="0"/>
        <w:bidi w:val="0"/>
        <w:adjustRightInd w:val="0"/>
        <w:snapToGrid/>
        <w:spacing w:line="440" w:lineRule="exact"/>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合同当事人关于暂列金额使用的约定：</w:t>
      </w:r>
      <w:bookmarkStart w:id="636" w:name="EB9eae3092f4c340d98e5357b805dcd229"/>
      <w:r>
        <w:rPr>
          <w:rStyle w:val="18"/>
          <w:rFonts w:hint="eastAsia" w:ascii="宋体" w:hAnsi="宋体" w:eastAsia="宋体" w:cs="Times New Roman"/>
          <w:color w:val="auto"/>
          <w:kern w:val="0"/>
          <w:sz w:val="24"/>
          <w:szCs w:val="24"/>
          <w:highlight w:val="none"/>
        </w:rPr>
        <w:t>发生按实计取，不发生不计取任何费用；预付款支付扣除暂列金额</w:t>
      </w:r>
      <w:bookmarkEnd w:id="636"/>
      <w:r>
        <w:rPr>
          <w:rStyle w:val="18"/>
          <w:rFonts w:hint="eastAsia" w:ascii="宋体" w:hAnsi="宋体" w:eastAsia="宋体" w:cs="Times New Roman"/>
          <w:color w:val="auto"/>
          <w:kern w:val="0"/>
          <w:sz w:val="24"/>
          <w:szCs w:val="24"/>
          <w:highlight w:val="none"/>
        </w:rPr>
        <w:t>。</w:t>
      </w:r>
    </w:p>
    <w:p w14:paraId="7D6C758F">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637" w:name="_Toc351203643"/>
      <w:r>
        <w:rPr>
          <w:rStyle w:val="18"/>
          <w:rFonts w:ascii="宋体" w:hAnsi="宋体" w:eastAsia="宋体" w:cs="Times New Roman"/>
          <w:b/>
          <w:color w:val="auto"/>
          <w:sz w:val="24"/>
          <w:szCs w:val="24"/>
          <w:highlight w:val="none"/>
        </w:rPr>
        <w:t xml:space="preserve">11. </w:t>
      </w:r>
      <w:r>
        <w:rPr>
          <w:rStyle w:val="18"/>
          <w:rFonts w:hint="eastAsia" w:ascii="宋体" w:hAnsi="宋体" w:eastAsia="宋体" w:cs="Times New Roman"/>
          <w:b/>
          <w:color w:val="auto"/>
          <w:sz w:val="24"/>
          <w:szCs w:val="24"/>
          <w:highlight w:val="none"/>
        </w:rPr>
        <w:t>价格调整</w:t>
      </w:r>
      <w:bookmarkEnd w:id="637"/>
    </w:p>
    <w:p w14:paraId="5FEA221E">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bookmarkStart w:id="638" w:name="_Toc292559406"/>
      <w:bookmarkStart w:id="639" w:name="_Toc303539157"/>
      <w:bookmarkStart w:id="640" w:name="_Toc296891241"/>
      <w:bookmarkStart w:id="641" w:name="_Toc300935000"/>
      <w:bookmarkStart w:id="642" w:name="_Toc296346702"/>
      <w:bookmarkStart w:id="643" w:name="_Toc296503201"/>
      <w:bookmarkStart w:id="644" w:name="_Toc292559911"/>
      <w:bookmarkStart w:id="645" w:name="_Toc297123550"/>
      <w:bookmarkStart w:id="646" w:name="_Toc312678039"/>
      <w:bookmarkStart w:id="647" w:name="_Toc296347200"/>
      <w:bookmarkStart w:id="648" w:name="_Toc297216209"/>
      <w:bookmarkStart w:id="649" w:name="_Toc296944540"/>
      <w:bookmarkStart w:id="650" w:name="_Toc296891029"/>
      <w:bookmarkStart w:id="651" w:name="_Toc304295577"/>
      <w:bookmarkStart w:id="652" w:name="_Toc297120501"/>
      <w:bookmarkStart w:id="653" w:name="_Toc297048387"/>
      <w:r>
        <w:rPr>
          <w:rStyle w:val="18"/>
          <w:rFonts w:ascii="宋体" w:hAnsi="宋体" w:eastAsia="宋体" w:cs="Times New Roman"/>
          <w:color w:val="auto"/>
          <w:sz w:val="24"/>
          <w:szCs w:val="24"/>
          <w:highlight w:val="none"/>
        </w:rPr>
        <w:t xml:space="preserve">11.1 </w:t>
      </w:r>
      <w:r>
        <w:rPr>
          <w:rStyle w:val="18"/>
          <w:rFonts w:hint="eastAsia" w:ascii="宋体" w:hAnsi="宋体" w:eastAsia="宋体" w:cs="Times New Roman"/>
          <w:color w:val="auto"/>
          <w:sz w:val="24"/>
          <w:szCs w:val="24"/>
          <w:highlight w:val="none"/>
        </w:rPr>
        <w:t>市场价格波动引起的调整</w:t>
      </w:r>
    </w:p>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14:paraId="53BA034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市场价格波动是否调整合同价格的约定：</w:t>
      </w:r>
      <w:bookmarkStart w:id="654" w:name="EB2b413f1522de4fb79b8606811fc023eb"/>
      <w:r>
        <w:rPr>
          <w:rStyle w:val="18"/>
          <w:rFonts w:hint="eastAsia" w:ascii="宋体" w:hAnsi="宋体" w:eastAsia="宋体" w:cs="Times New Roman"/>
          <w:color w:val="auto"/>
          <w:kern w:val="0"/>
          <w:sz w:val="24"/>
          <w:szCs w:val="24"/>
          <w:highlight w:val="none"/>
        </w:rPr>
        <w:t>不调整合同价格</w:t>
      </w:r>
      <w:bookmarkEnd w:id="654"/>
      <w:r>
        <w:rPr>
          <w:rStyle w:val="18"/>
          <w:rFonts w:hint="eastAsia" w:ascii="宋体" w:hAnsi="宋体" w:eastAsia="宋体" w:cs="Times New Roman"/>
          <w:color w:val="auto"/>
          <w:sz w:val="24"/>
          <w:szCs w:val="24"/>
          <w:highlight w:val="none"/>
        </w:rPr>
        <w:t>。</w:t>
      </w:r>
    </w:p>
    <w:p w14:paraId="3DE0E57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因市场价格波动调整合同价格，采用以下第</w:t>
      </w:r>
      <w:bookmarkStart w:id="655" w:name="EBa03193f78c144f15b244cb147cd26540"/>
      <w:bookmarkEnd w:id="655"/>
      <w:r>
        <w:rPr>
          <w:rStyle w:val="18"/>
          <w:rFonts w:hint="eastAsia" w:ascii="宋体" w:hAnsi="宋体" w:eastAsia="宋体" w:cs="Times New Roman"/>
          <w:color w:val="auto"/>
          <w:sz w:val="24"/>
          <w:szCs w:val="24"/>
          <w:highlight w:val="none"/>
        </w:rPr>
        <w:t>种方式对合同价格进行调整：</w:t>
      </w:r>
    </w:p>
    <w:p w14:paraId="32BF6BE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第</w:t>
      </w:r>
      <w:r>
        <w:rPr>
          <w:rStyle w:val="18"/>
          <w:rFonts w:ascii="宋体" w:hAnsi="宋体" w:eastAsia="宋体" w:cs="Times New Roman"/>
          <w:color w:val="auto"/>
          <w:sz w:val="24"/>
          <w:szCs w:val="24"/>
          <w:highlight w:val="none"/>
        </w:rPr>
        <w:t>1</w:t>
      </w:r>
      <w:r>
        <w:rPr>
          <w:rStyle w:val="18"/>
          <w:rFonts w:hint="eastAsia" w:ascii="宋体" w:hAnsi="宋体" w:eastAsia="宋体" w:cs="Times New Roman"/>
          <w:color w:val="auto"/>
          <w:sz w:val="24"/>
          <w:szCs w:val="24"/>
          <w:highlight w:val="none"/>
        </w:rPr>
        <w:t>种方式：采用价格指数进行价格调整。</w:t>
      </w:r>
    </w:p>
    <w:p w14:paraId="662F48C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关于各可调因子、定值和变值权重，以及基本价格指数及其来源的约定：</w:t>
      </w:r>
      <w:bookmarkStart w:id="656" w:name="EBa1333e0e1c4a4175b1b61fba5bd0bd29"/>
      <w:bookmarkEnd w:id="656"/>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 xml:space="preserve">  </w:t>
      </w:r>
    </w:p>
    <w:p w14:paraId="5DA84CA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第</w:t>
      </w:r>
      <w:r>
        <w:rPr>
          <w:rStyle w:val="18"/>
          <w:rFonts w:ascii="宋体" w:hAnsi="宋体" w:eastAsia="宋体" w:cs="Times New Roman"/>
          <w:color w:val="auto"/>
          <w:sz w:val="24"/>
          <w:szCs w:val="24"/>
          <w:highlight w:val="none"/>
        </w:rPr>
        <w:t>2</w:t>
      </w:r>
      <w:r>
        <w:rPr>
          <w:rStyle w:val="18"/>
          <w:rFonts w:hint="eastAsia" w:ascii="宋体" w:hAnsi="宋体" w:eastAsia="宋体" w:cs="Times New Roman"/>
          <w:color w:val="auto"/>
          <w:sz w:val="24"/>
          <w:szCs w:val="24"/>
          <w:highlight w:val="none"/>
        </w:rPr>
        <w:t>种方式：采用造价信息进行价格调整。</w:t>
      </w:r>
    </w:p>
    <w:p w14:paraId="4F4FAE0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2</w:t>
      </w:r>
      <w:r>
        <w:rPr>
          <w:rStyle w:val="18"/>
          <w:rFonts w:hint="eastAsia" w:ascii="宋体" w:hAnsi="宋体" w:eastAsia="宋体" w:cs="Times New Roman"/>
          <w:color w:val="auto"/>
          <w:sz w:val="24"/>
          <w:szCs w:val="24"/>
          <w:highlight w:val="none"/>
        </w:rPr>
        <w:t>）关于基准价格的约定：</w:t>
      </w:r>
      <w:bookmarkStart w:id="657" w:name="EBdbd383ef82494d519edc19075ce3d8ce"/>
      <w:r>
        <w:rPr>
          <w:rStyle w:val="18"/>
          <w:rFonts w:hint="eastAsia" w:ascii="宋体" w:hAnsi="宋体" w:eastAsia="宋体" w:cs="Times New Roman"/>
          <w:color w:val="auto"/>
          <w:sz w:val="24"/>
          <w:szCs w:val="24"/>
          <w:highlight w:val="none"/>
        </w:rPr>
        <w:t>造价站公布信息价</w:t>
      </w:r>
      <w:bookmarkEnd w:id="657"/>
      <w:r>
        <w:rPr>
          <w:rStyle w:val="18"/>
          <w:rFonts w:hint="eastAsia" w:ascii="宋体" w:hAnsi="宋体" w:eastAsia="宋体" w:cs="Times New Roman"/>
          <w:color w:val="auto"/>
          <w:sz w:val="24"/>
          <w:szCs w:val="24"/>
          <w:highlight w:val="none"/>
        </w:rPr>
        <w:t>。</w:t>
      </w:r>
    </w:p>
    <w:p w14:paraId="0E9F569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专用合同条款</w:t>
      </w:r>
      <w:r>
        <w:rPr>
          <w:rStyle w:val="18"/>
          <w:rFonts w:hint="eastAsia" w:ascii="宋体" w:hAnsi="宋体" w:eastAsia="宋体" w:cs="宋体"/>
          <w:color w:val="auto"/>
          <w:sz w:val="24"/>
          <w:szCs w:val="24"/>
          <w:highlight w:val="none"/>
        </w:rPr>
        <w:t>①</w:t>
      </w:r>
      <w:r>
        <w:rPr>
          <w:rStyle w:val="18"/>
          <w:rFonts w:hint="eastAsia" w:ascii="宋体" w:hAnsi="宋体" w:eastAsia="宋体" w:cs="Times New Roman"/>
          <w:color w:val="auto"/>
          <w:sz w:val="24"/>
          <w:szCs w:val="24"/>
          <w:highlight w:val="none"/>
        </w:rPr>
        <w:t>承包人在已标价工程量清单或预算书中载明的材料单价低于基准价格的：专用合同条款合同履行期间材料单价涨幅以基准价格为基础超过</w:t>
      </w:r>
      <w:bookmarkStart w:id="658" w:name="EBea1c5c46ba924bb58cbe6d592c489d21"/>
      <w:r>
        <w:rPr>
          <w:rStyle w:val="18"/>
          <w:rFonts w:hint="eastAsia" w:ascii="宋体" w:hAnsi="宋体" w:eastAsia="宋体" w:cs="Times New Roman"/>
          <w:color w:val="auto"/>
          <w:sz w:val="24"/>
          <w:szCs w:val="24"/>
          <w:highlight w:val="none"/>
        </w:rPr>
        <w:t>5</w:t>
      </w:r>
      <w:bookmarkEnd w:id="658"/>
      <w:r>
        <w:rPr>
          <w:rStyle w:val="18"/>
          <w:rFonts w:ascii="宋体" w:hAnsi="宋体" w:eastAsia="宋体" w:cs="Times New Roman"/>
          <w:color w:val="auto"/>
          <w:sz w:val="24"/>
          <w:szCs w:val="24"/>
          <w:highlight w:val="none"/>
        </w:rPr>
        <w:t>%</w:t>
      </w:r>
      <w:r>
        <w:rPr>
          <w:rStyle w:val="18"/>
          <w:rFonts w:hint="eastAsia" w:ascii="宋体" w:hAnsi="宋体" w:eastAsia="宋体" w:cs="Times New Roman"/>
          <w:color w:val="auto"/>
          <w:sz w:val="24"/>
          <w:szCs w:val="24"/>
          <w:highlight w:val="none"/>
        </w:rPr>
        <w:t>时，或材料单价跌幅以已标价工程量清单或预算书中载明材料单价为基础超过</w:t>
      </w:r>
      <w:bookmarkStart w:id="659" w:name="EB29d3931fecbe4bc38215c402c0098b71"/>
      <w:r>
        <w:rPr>
          <w:rStyle w:val="18"/>
          <w:rFonts w:hint="eastAsia" w:ascii="宋体" w:hAnsi="宋体" w:eastAsia="宋体" w:cs="Times New Roman"/>
          <w:color w:val="auto"/>
          <w:sz w:val="24"/>
          <w:szCs w:val="24"/>
          <w:highlight w:val="none"/>
        </w:rPr>
        <w:t>5</w:t>
      </w:r>
      <w:bookmarkEnd w:id="659"/>
      <w:r>
        <w:rPr>
          <w:rStyle w:val="18"/>
          <w:rFonts w:ascii="宋体" w:hAnsi="宋体" w:eastAsia="宋体" w:cs="Times New Roman"/>
          <w:color w:val="auto"/>
          <w:sz w:val="24"/>
          <w:szCs w:val="24"/>
          <w:highlight w:val="none"/>
        </w:rPr>
        <w:t>%</w:t>
      </w:r>
      <w:r>
        <w:rPr>
          <w:rStyle w:val="18"/>
          <w:rFonts w:hint="eastAsia" w:ascii="宋体" w:hAnsi="宋体" w:eastAsia="宋体" w:cs="Times New Roman"/>
          <w:color w:val="auto"/>
          <w:sz w:val="24"/>
          <w:szCs w:val="24"/>
          <w:highlight w:val="none"/>
        </w:rPr>
        <w:t>时，其超过部分据实调整。</w:t>
      </w:r>
    </w:p>
    <w:p w14:paraId="025766C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宋体"/>
          <w:color w:val="auto"/>
          <w:sz w:val="24"/>
          <w:szCs w:val="24"/>
          <w:highlight w:val="none"/>
        </w:rPr>
        <w:t>②</w:t>
      </w:r>
      <w:r>
        <w:rPr>
          <w:rStyle w:val="18"/>
          <w:rFonts w:hint="eastAsia" w:ascii="宋体" w:hAnsi="宋体" w:eastAsia="宋体" w:cs="Times New Roman"/>
          <w:color w:val="auto"/>
          <w:sz w:val="24"/>
          <w:szCs w:val="24"/>
          <w:highlight w:val="none"/>
        </w:rPr>
        <w:t>承包人在已标价工程量清单或预算书中载明的材料单价高于基准价格的：专用合同条款合同履行期间材料单价跌幅以基准价格为基础超过</w:t>
      </w:r>
      <w:bookmarkStart w:id="660" w:name="EB775440be84ca40b2a61fb48845998355"/>
      <w:bookmarkEnd w:id="660"/>
      <w:r>
        <w:rPr>
          <w:rStyle w:val="18"/>
          <w:rFonts w:ascii="宋体" w:hAnsi="宋体" w:eastAsia="宋体" w:cs="Times New Roman"/>
          <w:color w:val="auto"/>
          <w:sz w:val="24"/>
          <w:szCs w:val="24"/>
          <w:highlight w:val="none"/>
        </w:rPr>
        <w:t>%</w:t>
      </w:r>
      <w:r>
        <w:rPr>
          <w:rStyle w:val="18"/>
          <w:rFonts w:hint="eastAsia" w:ascii="宋体" w:hAnsi="宋体" w:eastAsia="宋体" w:cs="Times New Roman"/>
          <w:color w:val="auto"/>
          <w:sz w:val="24"/>
          <w:szCs w:val="24"/>
          <w:highlight w:val="none"/>
        </w:rPr>
        <w:t>时，材料单价涨幅以已标价工程量清单或预算书中载明材料单价为基础超过</w:t>
      </w:r>
      <w:bookmarkStart w:id="661" w:name="EB8c5680007ec64008a1bae044072af80a"/>
      <w:bookmarkEnd w:id="661"/>
      <w:r>
        <w:rPr>
          <w:rStyle w:val="18"/>
          <w:rFonts w:ascii="宋体" w:hAnsi="宋体" w:eastAsia="宋体" w:cs="Times New Roman"/>
          <w:color w:val="auto"/>
          <w:sz w:val="24"/>
          <w:szCs w:val="24"/>
          <w:highlight w:val="none"/>
        </w:rPr>
        <w:t>%</w:t>
      </w:r>
      <w:r>
        <w:rPr>
          <w:rStyle w:val="18"/>
          <w:rFonts w:hint="eastAsia" w:ascii="宋体" w:hAnsi="宋体" w:eastAsia="宋体" w:cs="Times New Roman"/>
          <w:color w:val="auto"/>
          <w:sz w:val="24"/>
          <w:szCs w:val="24"/>
          <w:highlight w:val="none"/>
        </w:rPr>
        <w:t>时，其超过部分据实调整。</w:t>
      </w:r>
    </w:p>
    <w:p w14:paraId="553B1AE4">
      <w:pPr>
        <w:pStyle w:val="26"/>
        <w:pageBreakBefore w:val="0"/>
        <w:widowControl w:val="0"/>
        <w:kinsoku/>
        <w:wordWrap/>
        <w:overflowPunct/>
        <w:topLinePunct w:val="0"/>
        <w:bidi w:val="0"/>
        <w:snapToGrid/>
        <w:spacing w:line="440" w:lineRule="exact"/>
        <w:ind w:firstLine="645"/>
        <w:textAlignment w:val="auto"/>
        <w:rPr>
          <w:rStyle w:val="18"/>
          <w:rFonts w:ascii="宋体" w:hAnsi="宋体" w:eastAsia="宋体" w:cs="Times New Roman"/>
          <w:color w:val="auto"/>
          <w:sz w:val="24"/>
          <w:szCs w:val="24"/>
          <w:highlight w:val="none"/>
        </w:rPr>
      </w:pPr>
      <w:r>
        <w:rPr>
          <w:rStyle w:val="18"/>
          <w:rFonts w:hint="eastAsia" w:ascii="宋体" w:hAnsi="宋体" w:eastAsia="宋体" w:cs="宋体"/>
          <w:color w:val="auto"/>
          <w:sz w:val="24"/>
          <w:szCs w:val="24"/>
          <w:highlight w:val="none"/>
        </w:rPr>
        <w:t>③</w:t>
      </w:r>
      <w:r>
        <w:rPr>
          <w:rStyle w:val="18"/>
          <w:rFonts w:hint="eastAsia" w:ascii="宋体" w:hAnsi="宋体" w:eastAsia="宋体" w:cs="Times New Roman"/>
          <w:color w:val="auto"/>
          <w:sz w:val="24"/>
          <w:szCs w:val="24"/>
          <w:highlight w:val="none"/>
        </w:rPr>
        <w:t>承包人在已标价工程量清单或预算书中载明的材料单价等于基准单价的：专用合同条款合同履行期间材料单价涨跌幅以基准单价为基础超过</w:t>
      </w:r>
      <w:r>
        <w:rPr>
          <w:rStyle w:val="18"/>
          <w:rFonts w:ascii="宋体" w:hAnsi="宋体" w:eastAsia="宋体" w:cs="Times New Roman"/>
          <w:color w:val="auto"/>
          <w:sz w:val="24"/>
          <w:szCs w:val="24"/>
          <w:highlight w:val="none"/>
        </w:rPr>
        <w:t>±</w:t>
      </w:r>
      <w:bookmarkStart w:id="662" w:name="EB47612dd23cfc444b94be5c6a20ac3ca8"/>
      <w:r>
        <w:rPr>
          <w:rStyle w:val="18"/>
          <w:rFonts w:hint="eastAsia" w:ascii="宋体" w:hAnsi="宋体" w:eastAsia="宋体" w:cs="Times New Roman"/>
          <w:color w:val="auto"/>
          <w:sz w:val="24"/>
          <w:szCs w:val="24"/>
          <w:highlight w:val="none"/>
        </w:rPr>
        <w:t>5</w:t>
      </w:r>
      <w:bookmarkEnd w:id="662"/>
      <w:r>
        <w:rPr>
          <w:rStyle w:val="18"/>
          <w:rFonts w:ascii="宋体" w:hAnsi="宋体" w:eastAsia="宋体" w:cs="Times New Roman"/>
          <w:color w:val="auto"/>
          <w:sz w:val="24"/>
          <w:szCs w:val="24"/>
          <w:highlight w:val="none"/>
        </w:rPr>
        <w:t>%</w:t>
      </w:r>
      <w:r>
        <w:rPr>
          <w:rStyle w:val="18"/>
          <w:rFonts w:hint="eastAsia" w:ascii="宋体" w:hAnsi="宋体" w:eastAsia="宋体" w:cs="Times New Roman"/>
          <w:color w:val="auto"/>
          <w:sz w:val="24"/>
          <w:szCs w:val="24"/>
          <w:highlight w:val="none"/>
        </w:rPr>
        <w:t>时，其超过部分据实调整。</w:t>
      </w:r>
    </w:p>
    <w:p w14:paraId="15D107DE">
      <w:pPr>
        <w:pStyle w:val="26"/>
        <w:pageBreakBefore w:val="0"/>
        <w:widowControl w:val="0"/>
        <w:kinsoku/>
        <w:wordWrap/>
        <w:overflowPunct/>
        <w:topLinePunct w:val="0"/>
        <w:bidi w:val="0"/>
        <w:snapToGrid/>
        <w:spacing w:line="440" w:lineRule="exact"/>
        <w:ind w:firstLine="645"/>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第</w:t>
      </w:r>
      <w:r>
        <w:rPr>
          <w:rStyle w:val="18"/>
          <w:rFonts w:ascii="宋体" w:hAnsi="宋体" w:eastAsia="宋体" w:cs="Times New Roman"/>
          <w:color w:val="auto"/>
          <w:sz w:val="24"/>
          <w:szCs w:val="24"/>
          <w:highlight w:val="none"/>
        </w:rPr>
        <w:t>3</w:t>
      </w:r>
      <w:r>
        <w:rPr>
          <w:rStyle w:val="18"/>
          <w:rFonts w:hint="eastAsia" w:ascii="宋体" w:hAnsi="宋体" w:eastAsia="宋体" w:cs="Times New Roman"/>
          <w:color w:val="auto"/>
          <w:sz w:val="24"/>
          <w:szCs w:val="24"/>
          <w:highlight w:val="none"/>
        </w:rPr>
        <w:t>种方式：其他价格调整方式：</w:t>
      </w:r>
      <w:bookmarkStart w:id="663" w:name="EB348f877d356e4f9c9d1dd80023108c5d"/>
      <w:r>
        <w:rPr>
          <w:rStyle w:val="18"/>
          <w:rFonts w:hint="eastAsia" w:ascii="宋体" w:hAnsi="宋体" w:eastAsia="宋体" w:cs="Times New Roman"/>
          <w:color w:val="auto"/>
          <w:sz w:val="24"/>
          <w:szCs w:val="24"/>
          <w:highlight w:val="none"/>
        </w:rPr>
        <w:t>无</w:t>
      </w:r>
      <w:bookmarkEnd w:id="663"/>
      <w:r>
        <w:rPr>
          <w:rStyle w:val="18"/>
          <w:rFonts w:hint="eastAsia" w:ascii="宋体" w:hAnsi="宋体" w:eastAsia="宋体" w:cs="Times New Roman"/>
          <w:color w:val="auto"/>
          <w:sz w:val="24"/>
          <w:szCs w:val="24"/>
          <w:highlight w:val="none"/>
        </w:rPr>
        <w:t>。</w:t>
      </w:r>
    </w:p>
    <w:bookmarkEnd w:id="532"/>
    <w:bookmarkEnd w:id="533"/>
    <w:bookmarkEnd w:id="534"/>
    <w:bookmarkEnd w:id="535"/>
    <w:bookmarkEnd w:id="536"/>
    <w:bookmarkEnd w:id="537"/>
    <w:p w14:paraId="26C6CF70">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664" w:name="_Toc296891033"/>
      <w:bookmarkStart w:id="665" w:name="_Toc296346706"/>
      <w:bookmarkStart w:id="666" w:name="_Toc297120505"/>
      <w:bookmarkStart w:id="667" w:name="_Toc296503205"/>
      <w:bookmarkStart w:id="668" w:name="_Toc297048391"/>
      <w:bookmarkStart w:id="669" w:name="_Toc292559410"/>
      <w:bookmarkStart w:id="670" w:name="_Toc296347204"/>
      <w:bookmarkStart w:id="671" w:name="_Toc292559915"/>
      <w:bookmarkStart w:id="672" w:name="_Toc296891245"/>
      <w:bookmarkStart w:id="673" w:name="_Toc296944544"/>
      <w:bookmarkStart w:id="674" w:name="_Toc351203644"/>
      <w:bookmarkStart w:id="675" w:name="_Toc304295579"/>
      <w:bookmarkStart w:id="676" w:name="_Toc303539159"/>
      <w:bookmarkStart w:id="677" w:name="_Toc297216211"/>
      <w:bookmarkStart w:id="678" w:name="_Toc300935002"/>
      <w:bookmarkStart w:id="679" w:name="_Toc312678040"/>
      <w:bookmarkStart w:id="680" w:name="_Toc297123552"/>
      <w:r>
        <w:rPr>
          <w:rStyle w:val="18"/>
          <w:rFonts w:ascii="宋体" w:hAnsi="宋体" w:eastAsia="宋体" w:cs="Times New Roman"/>
          <w:b/>
          <w:color w:val="auto"/>
          <w:sz w:val="24"/>
          <w:szCs w:val="24"/>
          <w:highlight w:val="none"/>
        </w:rPr>
        <w:t xml:space="preserve">12. </w:t>
      </w:r>
      <w:bookmarkEnd w:id="664"/>
      <w:bookmarkEnd w:id="665"/>
      <w:bookmarkEnd w:id="666"/>
      <w:bookmarkEnd w:id="667"/>
      <w:bookmarkEnd w:id="668"/>
      <w:bookmarkEnd w:id="669"/>
      <w:bookmarkEnd w:id="670"/>
      <w:bookmarkEnd w:id="671"/>
      <w:bookmarkEnd w:id="672"/>
      <w:bookmarkEnd w:id="673"/>
      <w:r>
        <w:rPr>
          <w:rStyle w:val="18"/>
          <w:rFonts w:hint="eastAsia" w:ascii="宋体" w:hAnsi="宋体" w:eastAsia="宋体" w:cs="Times New Roman"/>
          <w:b/>
          <w:color w:val="auto"/>
          <w:sz w:val="24"/>
          <w:szCs w:val="24"/>
          <w:highlight w:val="none"/>
        </w:rPr>
        <w:t>合同价格、计量与支付</w:t>
      </w:r>
      <w:bookmarkEnd w:id="674"/>
    </w:p>
    <w:bookmarkEnd w:id="675"/>
    <w:bookmarkEnd w:id="676"/>
    <w:bookmarkEnd w:id="677"/>
    <w:bookmarkEnd w:id="678"/>
    <w:bookmarkEnd w:id="679"/>
    <w:bookmarkEnd w:id="680"/>
    <w:p w14:paraId="160C595B">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bookmarkStart w:id="681" w:name="_Toc292559411"/>
      <w:bookmarkStart w:id="682" w:name="_Toc267251461"/>
      <w:bookmarkStart w:id="683" w:name="_Toc292559916"/>
      <w:bookmarkStart w:id="684" w:name="_Toc297048392"/>
      <w:bookmarkStart w:id="685" w:name="_Toc296891034"/>
      <w:bookmarkStart w:id="686" w:name="_Toc296891246"/>
      <w:bookmarkStart w:id="687" w:name="_Toc296346707"/>
      <w:bookmarkStart w:id="688" w:name="_Toc296347205"/>
      <w:bookmarkStart w:id="689" w:name="_Toc296503206"/>
      <w:bookmarkStart w:id="690" w:name="_Toc296944545"/>
      <w:bookmarkStart w:id="691" w:name="_Toc297120506"/>
      <w:bookmarkStart w:id="692" w:name="_Toc304295580"/>
      <w:bookmarkStart w:id="693" w:name="_Toc312678041"/>
      <w:bookmarkStart w:id="694" w:name="_Toc300935003"/>
      <w:bookmarkStart w:id="695" w:name="_Toc297216212"/>
      <w:bookmarkStart w:id="696" w:name="_Toc297123553"/>
      <w:bookmarkStart w:id="697" w:name="_Toc303539160"/>
      <w:r>
        <w:rPr>
          <w:rStyle w:val="18"/>
          <w:rFonts w:ascii="宋体" w:hAnsi="宋体" w:eastAsia="宋体" w:cs="Times New Roman"/>
          <w:color w:val="auto"/>
          <w:sz w:val="24"/>
          <w:szCs w:val="24"/>
          <w:highlight w:val="none"/>
        </w:rPr>
        <w:t xml:space="preserve">12.1 </w:t>
      </w:r>
      <w:r>
        <w:rPr>
          <w:rStyle w:val="18"/>
          <w:rFonts w:hint="eastAsia" w:ascii="宋体" w:hAnsi="宋体" w:eastAsia="宋体" w:cs="Times New Roman"/>
          <w:color w:val="auto"/>
          <w:sz w:val="24"/>
          <w:szCs w:val="24"/>
          <w:highlight w:val="none"/>
        </w:rPr>
        <w:t>合</w:t>
      </w:r>
      <w:bookmarkEnd w:id="681"/>
      <w:bookmarkEnd w:id="682"/>
      <w:bookmarkEnd w:id="683"/>
      <w:r>
        <w:rPr>
          <w:rStyle w:val="18"/>
          <w:rFonts w:hint="eastAsia" w:ascii="宋体" w:hAnsi="宋体" w:eastAsia="宋体" w:cs="Times New Roman"/>
          <w:color w:val="auto"/>
          <w:sz w:val="24"/>
          <w:szCs w:val="24"/>
          <w:highlight w:val="none"/>
        </w:rPr>
        <w:t>同价</w:t>
      </w:r>
      <w:bookmarkEnd w:id="684"/>
      <w:bookmarkEnd w:id="685"/>
      <w:bookmarkEnd w:id="686"/>
      <w:bookmarkEnd w:id="687"/>
      <w:bookmarkEnd w:id="688"/>
      <w:bookmarkEnd w:id="689"/>
      <w:bookmarkEnd w:id="690"/>
      <w:bookmarkEnd w:id="691"/>
      <w:r>
        <w:rPr>
          <w:rStyle w:val="18"/>
          <w:rFonts w:hint="eastAsia" w:ascii="宋体" w:hAnsi="宋体" w:eastAsia="宋体" w:cs="Times New Roman"/>
          <w:color w:val="auto"/>
          <w:sz w:val="24"/>
          <w:szCs w:val="24"/>
          <w:highlight w:val="none"/>
        </w:rPr>
        <w:t>格形式</w:t>
      </w:r>
    </w:p>
    <w:bookmarkEnd w:id="692"/>
    <w:bookmarkEnd w:id="693"/>
    <w:bookmarkEnd w:id="694"/>
    <w:bookmarkEnd w:id="695"/>
    <w:bookmarkEnd w:id="696"/>
    <w:bookmarkEnd w:id="697"/>
    <w:p w14:paraId="04725D8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w:t>
      </w:r>
      <w:r>
        <w:rPr>
          <w:rStyle w:val="18"/>
          <w:rFonts w:hint="eastAsia" w:ascii="宋体" w:hAnsi="宋体" w:eastAsia="宋体" w:cs="Times New Roman"/>
          <w:color w:val="auto"/>
          <w:sz w:val="24"/>
          <w:szCs w:val="24"/>
          <w:highlight w:val="none"/>
        </w:rPr>
        <w:t>、单价合同。</w:t>
      </w:r>
    </w:p>
    <w:p w14:paraId="7CDEFDDE">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综合单价包含的风险范围：</w:t>
      </w:r>
      <w:bookmarkStart w:id="698" w:name="EB2e280975bf6346e8ad8a8daf4a6703bf"/>
      <w:r>
        <w:rPr>
          <w:rStyle w:val="18"/>
          <w:rFonts w:hint="eastAsia" w:ascii="宋体" w:hAnsi="宋体" w:eastAsia="宋体" w:cs="Times New Roman"/>
          <w:color w:val="auto"/>
          <w:sz w:val="24"/>
          <w:szCs w:val="24"/>
          <w:highlight w:val="none"/>
        </w:rPr>
        <w:t>除合同约定的可调整的风险费用外，本承包工程内容范围内的【所有风险因素】，已包含在投标报价的综合单价中，无需再计算。</w:t>
      </w:r>
      <w:bookmarkEnd w:id="698"/>
      <w:r>
        <w:rPr>
          <w:rStyle w:val="18"/>
          <w:rFonts w:hint="eastAsia" w:ascii="宋体" w:hAnsi="宋体" w:eastAsia="宋体" w:cs="Times New Roman"/>
          <w:color w:val="auto"/>
          <w:sz w:val="24"/>
          <w:szCs w:val="24"/>
          <w:highlight w:val="none"/>
        </w:rPr>
        <w:t>。</w:t>
      </w:r>
    </w:p>
    <w:p w14:paraId="5E3A84A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风险费用的计算方法：</w:t>
      </w:r>
      <w:bookmarkStart w:id="699" w:name="EB7d5b13a942ab4a14a0a30c2d044ea432"/>
      <w:r>
        <w:rPr>
          <w:rStyle w:val="18"/>
          <w:rFonts w:hint="eastAsia" w:ascii="宋体" w:hAnsi="宋体" w:eastAsia="宋体" w:cs="Times New Roman"/>
          <w:color w:val="auto"/>
          <w:sz w:val="24"/>
          <w:szCs w:val="24"/>
          <w:highlight w:val="none"/>
        </w:rPr>
        <w:t>无</w:t>
      </w:r>
      <w:bookmarkEnd w:id="699"/>
    </w:p>
    <w:p w14:paraId="3175BA7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风险范围以外合同价格的调整方法：</w:t>
      </w:r>
      <w:bookmarkStart w:id="700" w:name="EBfd230e9bef634262a75a60379a3432f6"/>
      <w:bookmarkEnd w:id="700"/>
      <w:r>
        <w:rPr>
          <w:rStyle w:val="18"/>
          <w:rFonts w:hint="eastAsia" w:ascii="宋体" w:hAnsi="宋体" w:eastAsia="宋体" w:cs="Times New Roman"/>
          <w:color w:val="auto"/>
          <w:sz w:val="24"/>
          <w:szCs w:val="24"/>
          <w:highlight w:val="none"/>
        </w:rPr>
        <w:t>。</w:t>
      </w:r>
    </w:p>
    <w:p w14:paraId="492CD09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2</w:t>
      </w:r>
      <w:r>
        <w:rPr>
          <w:rStyle w:val="18"/>
          <w:rFonts w:hint="eastAsia" w:ascii="宋体" w:hAnsi="宋体" w:eastAsia="宋体" w:cs="Times New Roman"/>
          <w:color w:val="auto"/>
          <w:sz w:val="24"/>
          <w:szCs w:val="24"/>
          <w:highlight w:val="none"/>
        </w:rPr>
        <w:t>、总价合同。</w:t>
      </w:r>
    </w:p>
    <w:p w14:paraId="2CE1E2E8">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总价包含的风险范围：</w:t>
      </w:r>
      <w:bookmarkStart w:id="701" w:name="EB6f826e955cbf4c67944adaa305f8191a"/>
      <w:bookmarkEnd w:id="701"/>
      <w:r>
        <w:rPr>
          <w:rStyle w:val="18"/>
          <w:rFonts w:hint="eastAsia" w:ascii="宋体" w:hAnsi="宋体" w:eastAsia="宋体" w:cs="Times New Roman"/>
          <w:color w:val="auto"/>
          <w:sz w:val="24"/>
          <w:szCs w:val="24"/>
          <w:highlight w:val="none"/>
        </w:rPr>
        <w:t>。</w:t>
      </w:r>
    </w:p>
    <w:p w14:paraId="79825EEA">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风险费用的计算方法：</w:t>
      </w:r>
      <w:bookmarkStart w:id="702" w:name="EBe3513da4b6fa4fc7b41d3cea3a92d4f7"/>
      <w:bookmarkEnd w:id="702"/>
      <w:r>
        <w:rPr>
          <w:rStyle w:val="18"/>
          <w:rFonts w:hint="eastAsia" w:ascii="宋体" w:hAnsi="宋体" w:eastAsia="宋体" w:cs="Times New Roman"/>
          <w:color w:val="auto"/>
          <w:sz w:val="24"/>
          <w:szCs w:val="24"/>
          <w:highlight w:val="none"/>
        </w:rPr>
        <w:t>。</w:t>
      </w:r>
    </w:p>
    <w:p w14:paraId="698A0F88">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风险范围以外合同价格的调整方法：</w:t>
      </w:r>
      <w:bookmarkStart w:id="703" w:name="EB78ccef423ef047b2b701cb417449fc73"/>
      <w:bookmarkEnd w:id="703"/>
      <w:r>
        <w:rPr>
          <w:rStyle w:val="18"/>
          <w:rFonts w:hint="eastAsia" w:ascii="宋体" w:hAnsi="宋体" w:eastAsia="宋体" w:cs="Times New Roman"/>
          <w:color w:val="auto"/>
          <w:sz w:val="24"/>
          <w:szCs w:val="24"/>
          <w:highlight w:val="none"/>
        </w:rPr>
        <w:t>。</w:t>
      </w:r>
    </w:p>
    <w:p w14:paraId="01C14875">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3</w:t>
      </w:r>
      <w:r>
        <w:rPr>
          <w:rStyle w:val="18"/>
          <w:rFonts w:hint="eastAsia" w:ascii="宋体" w:hAnsi="宋体" w:eastAsia="宋体" w:cs="Times New Roman"/>
          <w:color w:val="auto"/>
          <w:sz w:val="24"/>
          <w:szCs w:val="24"/>
          <w:highlight w:val="none"/>
        </w:rPr>
        <w:t>、其他价格方式：</w:t>
      </w:r>
      <w:bookmarkStart w:id="704" w:name="EBf24d4151ef3f471faf3a95a5a729d921"/>
      <w:bookmarkEnd w:id="704"/>
      <w:r>
        <w:rPr>
          <w:rStyle w:val="18"/>
          <w:rFonts w:hint="eastAsia" w:ascii="宋体" w:hAnsi="宋体" w:eastAsia="宋体" w:cs="Times New Roman"/>
          <w:color w:val="auto"/>
          <w:sz w:val="24"/>
          <w:szCs w:val="24"/>
          <w:highlight w:val="none"/>
        </w:rPr>
        <w:t>。</w:t>
      </w:r>
    </w:p>
    <w:p w14:paraId="113857A8">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bookmarkStart w:id="705" w:name="_Toc300935004"/>
      <w:bookmarkStart w:id="706" w:name="_Toc303539161"/>
      <w:bookmarkStart w:id="707" w:name="_Toc312678042"/>
      <w:bookmarkStart w:id="708" w:name="_Toc297216213"/>
      <w:bookmarkStart w:id="709" w:name="_Toc304295581"/>
      <w:bookmarkStart w:id="710" w:name="_Toc297123554"/>
      <w:bookmarkStart w:id="711" w:name="_Toc296891035"/>
      <w:bookmarkStart w:id="712" w:name="_Toc292559412"/>
      <w:bookmarkStart w:id="713" w:name="_Toc296503207"/>
      <w:bookmarkStart w:id="714" w:name="_Toc296891247"/>
      <w:bookmarkStart w:id="715" w:name="_Toc297120507"/>
      <w:bookmarkStart w:id="716" w:name="_Toc296346708"/>
      <w:bookmarkStart w:id="717" w:name="_Toc296944546"/>
      <w:bookmarkStart w:id="718" w:name="_Toc296347206"/>
      <w:bookmarkStart w:id="719" w:name="_Toc292559917"/>
      <w:bookmarkStart w:id="720" w:name="_Toc297048393"/>
      <w:r>
        <w:rPr>
          <w:rStyle w:val="18"/>
          <w:rFonts w:ascii="宋体" w:hAnsi="宋体" w:eastAsia="宋体" w:cs="Times New Roman"/>
          <w:color w:val="auto"/>
          <w:sz w:val="24"/>
          <w:szCs w:val="24"/>
          <w:highlight w:val="none"/>
        </w:rPr>
        <w:t xml:space="preserve">12.2 </w:t>
      </w:r>
      <w:r>
        <w:rPr>
          <w:rStyle w:val="18"/>
          <w:rFonts w:hint="eastAsia" w:ascii="宋体" w:hAnsi="宋体" w:eastAsia="宋体" w:cs="Times New Roman"/>
          <w:color w:val="auto"/>
          <w:sz w:val="24"/>
          <w:szCs w:val="24"/>
          <w:highlight w:val="none"/>
        </w:rPr>
        <w:t>预付款</w:t>
      </w:r>
    </w:p>
    <w:bookmarkEnd w:id="705"/>
    <w:bookmarkEnd w:id="706"/>
    <w:bookmarkEnd w:id="707"/>
    <w:bookmarkEnd w:id="708"/>
    <w:bookmarkEnd w:id="709"/>
    <w:bookmarkEnd w:id="710"/>
    <w:p w14:paraId="6AC6881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12.2.1 </w:t>
      </w:r>
      <w:r>
        <w:rPr>
          <w:rStyle w:val="18"/>
          <w:rFonts w:hint="eastAsia" w:ascii="宋体" w:hAnsi="宋体" w:eastAsia="宋体" w:cs="Times New Roman"/>
          <w:color w:val="auto"/>
          <w:sz w:val="24"/>
          <w:szCs w:val="24"/>
          <w:highlight w:val="none"/>
        </w:rPr>
        <w:t>预付款的支付</w:t>
      </w:r>
    </w:p>
    <w:p w14:paraId="2FF405F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预付款支付比例或金额：</w:t>
      </w:r>
    </w:p>
    <w:p w14:paraId="496BF29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预付款支付期限：</w:t>
      </w:r>
      <w:bookmarkStart w:id="721" w:name="EB929ec95dd4c8418bb1510daed4fd03f8"/>
      <w:r>
        <w:rPr>
          <w:rStyle w:val="18"/>
          <w:rFonts w:hint="eastAsia" w:ascii="宋体" w:hAnsi="宋体" w:eastAsia="宋体" w:cs="Times New Roman"/>
          <w:color w:val="auto"/>
          <w:sz w:val="24"/>
          <w:szCs w:val="24"/>
          <w:highlight w:val="none"/>
        </w:rPr>
        <w:t>签订合同后七日内</w:t>
      </w:r>
      <w:bookmarkEnd w:id="721"/>
      <w:r>
        <w:rPr>
          <w:rStyle w:val="18"/>
          <w:rFonts w:hint="eastAsia" w:ascii="宋体" w:hAnsi="宋体" w:eastAsia="宋体" w:cs="Times New Roman"/>
          <w:color w:val="auto"/>
          <w:sz w:val="24"/>
          <w:szCs w:val="24"/>
          <w:highlight w:val="none"/>
        </w:rPr>
        <w:t>。</w:t>
      </w:r>
    </w:p>
    <w:p w14:paraId="35DE77C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预付款扣回的方式：</w:t>
      </w:r>
      <w:bookmarkStart w:id="722" w:name="EBe5dbf1ea9cce49c0a760b36e5af3f631"/>
      <w:r>
        <w:rPr>
          <w:rStyle w:val="18"/>
          <w:rFonts w:hint="eastAsia" w:ascii="宋体" w:hAnsi="宋体" w:eastAsia="宋体" w:cs="Times New Roman"/>
          <w:color w:val="auto"/>
          <w:sz w:val="24"/>
          <w:szCs w:val="24"/>
          <w:highlight w:val="none"/>
        </w:rPr>
        <w:t>执行通用条款</w:t>
      </w:r>
      <w:bookmarkEnd w:id="722"/>
      <w:r>
        <w:rPr>
          <w:rStyle w:val="18"/>
          <w:rFonts w:hint="eastAsia" w:ascii="宋体" w:hAnsi="宋体" w:eastAsia="宋体" w:cs="Times New Roman"/>
          <w:color w:val="auto"/>
          <w:sz w:val="24"/>
          <w:szCs w:val="24"/>
          <w:highlight w:val="none"/>
        </w:rPr>
        <w:t>。</w:t>
      </w:r>
    </w:p>
    <w:p w14:paraId="7CD7579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12.2.2 </w:t>
      </w:r>
      <w:r>
        <w:rPr>
          <w:rStyle w:val="18"/>
          <w:rFonts w:hint="eastAsia" w:ascii="宋体" w:hAnsi="宋体" w:eastAsia="宋体" w:cs="Times New Roman"/>
          <w:color w:val="auto"/>
          <w:sz w:val="24"/>
          <w:szCs w:val="24"/>
          <w:highlight w:val="none"/>
        </w:rPr>
        <w:t>预付款担保</w:t>
      </w:r>
    </w:p>
    <w:p w14:paraId="3FF6CE2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承包人提交预付款担保的期限：</w:t>
      </w:r>
      <w:bookmarkStart w:id="723" w:name="EB90c6a7b0b667490382d6cbbada3347c0"/>
      <w:bookmarkEnd w:id="723"/>
      <w:r>
        <w:rPr>
          <w:rStyle w:val="18"/>
          <w:rFonts w:hint="eastAsia" w:ascii="宋体" w:hAnsi="宋体" w:eastAsia="宋体" w:cs="Times New Roman"/>
          <w:color w:val="auto"/>
          <w:sz w:val="24"/>
          <w:szCs w:val="24"/>
          <w:highlight w:val="none"/>
        </w:rPr>
        <w:t>。</w:t>
      </w:r>
    </w:p>
    <w:p w14:paraId="0726707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预付款担保的形式为：</w:t>
      </w:r>
      <w:bookmarkStart w:id="724" w:name="EB4f824debcae048eca2b89603e083f26f"/>
      <w:bookmarkEnd w:id="724"/>
      <w:r>
        <w:rPr>
          <w:rStyle w:val="18"/>
          <w:rFonts w:hint="eastAsia" w:ascii="宋体" w:hAnsi="宋体" w:eastAsia="宋体" w:cs="Times New Roman"/>
          <w:color w:val="auto"/>
          <w:sz w:val="24"/>
          <w:szCs w:val="24"/>
          <w:highlight w:val="none"/>
        </w:rPr>
        <w:t>。</w:t>
      </w:r>
    </w:p>
    <w:bookmarkEnd w:id="711"/>
    <w:bookmarkEnd w:id="712"/>
    <w:bookmarkEnd w:id="713"/>
    <w:bookmarkEnd w:id="714"/>
    <w:bookmarkEnd w:id="715"/>
    <w:bookmarkEnd w:id="716"/>
    <w:bookmarkEnd w:id="717"/>
    <w:bookmarkEnd w:id="718"/>
    <w:bookmarkEnd w:id="719"/>
    <w:bookmarkEnd w:id="720"/>
    <w:p w14:paraId="5BB860FE">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12.3 </w:t>
      </w:r>
      <w:r>
        <w:rPr>
          <w:rStyle w:val="18"/>
          <w:rFonts w:hint="eastAsia" w:ascii="宋体" w:hAnsi="宋体" w:eastAsia="宋体" w:cs="Times New Roman"/>
          <w:color w:val="auto"/>
          <w:sz w:val="24"/>
          <w:szCs w:val="24"/>
          <w:highlight w:val="none"/>
        </w:rPr>
        <w:t>计量</w:t>
      </w:r>
    </w:p>
    <w:p w14:paraId="7DAED73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12.3.1 </w:t>
      </w:r>
      <w:r>
        <w:rPr>
          <w:rStyle w:val="18"/>
          <w:rFonts w:hint="eastAsia" w:ascii="宋体" w:hAnsi="宋体" w:eastAsia="宋体" w:cs="Times New Roman"/>
          <w:color w:val="auto"/>
          <w:sz w:val="24"/>
          <w:szCs w:val="24"/>
          <w:highlight w:val="none"/>
        </w:rPr>
        <w:t>计量原则</w:t>
      </w:r>
    </w:p>
    <w:p w14:paraId="717DD7A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工程量计算规则：</w:t>
      </w:r>
      <w:bookmarkStart w:id="725" w:name="EB954394809dd448cebbf74fea247242b7"/>
      <w:r>
        <w:rPr>
          <w:rStyle w:val="18"/>
          <w:rFonts w:hint="eastAsia" w:ascii="宋体" w:hAnsi="宋体" w:eastAsia="宋体" w:cs="Times New Roman"/>
          <w:color w:val="auto"/>
          <w:sz w:val="24"/>
          <w:szCs w:val="24"/>
          <w:highlight w:val="none"/>
        </w:rPr>
        <w:t>按国家有关规定执行</w:t>
      </w:r>
      <w:bookmarkEnd w:id="725"/>
      <w:r>
        <w:rPr>
          <w:rStyle w:val="18"/>
          <w:rFonts w:hint="eastAsia" w:ascii="宋体" w:hAnsi="宋体" w:eastAsia="宋体" w:cs="Times New Roman"/>
          <w:color w:val="auto"/>
          <w:sz w:val="24"/>
          <w:szCs w:val="24"/>
          <w:highlight w:val="none"/>
        </w:rPr>
        <w:t>。</w:t>
      </w:r>
    </w:p>
    <w:p w14:paraId="71E44CD2">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12.3.2 </w:t>
      </w:r>
      <w:r>
        <w:rPr>
          <w:rStyle w:val="18"/>
          <w:rFonts w:hint="eastAsia" w:ascii="宋体" w:hAnsi="宋体" w:eastAsia="宋体" w:cs="Times New Roman"/>
          <w:color w:val="auto"/>
          <w:sz w:val="24"/>
          <w:szCs w:val="24"/>
          <w:highlight w:val="none"/>
        </w:rPr>
        <w:t>计量周期</w:t>
      </w:r>
    </w:p>
    <w:p w14:paraId="4AC7952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关于计量周期的约定：</w:t>
      </w:r>
      <w:bookmarkStart w:id="726" w:name="EB223a37aad634461ca5e5eb5e9b4432d9"/>
      <w:r>
        <w:rPr>
          <w:rStyle w:val="18"/>
          <w:rFonts w:hint="eastAsia" w:ascii="宋体" w:hAnsi="宋体" w:eastAsia="宋体" w:cs="Times New Roman"/>
          <w:color w:val="auto"/>
          <w:sz w:val="24"/>
          <w:szCs w:val="24"/>
          <w:highlight w:val="none"/>
        </w:rPr>
        <w:t>按月计量</w:t>
      </w:r>
      <w:bookmarkEnd w:id="726"/>
      <w:r>
        <w:rPr>
          <w:rStyle w:val="18"/>
          <w:rFonts w:hint="eastAsia" w:ascii="宋体" w:hAnsi="宋体" w:eastAsia="宋体" w:cs="Times New Roman"/>
          <w:color w:val="auto"/>
          <w:sz w:val="24"/>
          <w:szCs w:val="24"/>
          <w:highlight w:val="none"/>
        </w:rPr>
        <w:t>。</w:t>
      </w:r>
    </w:p>
    <w:p w14:paraId="1E61D31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12.3.3 </w:t>
      </w:r>
      <w:r>
        <w:rPr>
          <w:rStyle w:val="18"/>
          <w:rFonts w:hint="eastAsia" w:ascii="宋体" w:hAnsi="宋体" w:eastAsia="宋体" w:cs="Times New Roman"/>
          <w:color w:val="auto"/>
          <w:sz w:val="24"/>
          <w:szCs w:val="24"/>
          <w:highlight w:val="none"/>
        </w:rPr>
        <w:t>单价合同的计量</w:t>
      </w:r>
    </w:p>
    <w:p w14:paraId="0A10904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关于单价合同计量的约定：</w:t>
      </w:r>
      <w:bookmarkStart w:id="727" w:name="EB6729cfeb742b4605918304abd21cd063"/>
      <w:r>
        <w:rPr>
          <w:rStyle w:val="18"/>
          <w:rFonts w:hint="eastAsia" w:ascii="宋体" w:hAnsi="宋体" w:eastAsia="宋体" w:cs="Times New Roman"/>
          <w:color w:val="auto"/>
          <w:sz w:val="24"/>
          <w:szCs w:val="24"/>
          <w:highlight w:val="none"/>
        </w:rPr>
        <w:t>按月计量</w:t>
      </w:r>
      <w:bookmarkEnd w:id="727"/>
      <w:r>
        <w:rPr>
          <w:rStyle w:val="18"/>
          <w:rFonts w:hint="eastAsia" w:ascii="宋体" w:hAnsi="宋体" w:eastAsia="宋体" w:cs="Times New Roman"/>
          <w:color w:val="auto"/>
          <w:sz w:val="24"/>
          <w:szCs w:val="24"/>
          <w:highlight w:val="none"/>
        </w:rPr>
        <w:t>。</w:t>
      </w:r>
    </w:p>
    <w:p w14:paraId="07A4F88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12.3.4 </w:t>
      </w:r>
      <w:r>
        <w:rPr>
          <w:rStyle w:val="18"/>
          <w:rFonts w:hint="eastAsia" w:ascii="宋体" w:hAnsi="宋体" w:eastAsia="宋体" w:cs="Times New Roman"/>
          <w:color w:val="auto"/>
          <w:sz w:val="24"/>
          <w:szCs w:val="24"/>
          <w:highlight w:val="none"/>
        </w:rPr>
        <w:t>总价合同的计量</w:t>
      </w:r>
    </w:p>
    <w:p w14:paraId="17EFCEB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关于总价合同计量的约定：</w:t>
      </w:r>
      <w:bookmarkStart w:id="728" w:name="EB952362572a3a4ddc9504811cff3ca425"/>
      <w:bookmarkEnd w:id="728"/>
      <w:r>
        <w:rPr>
          <w:rStyle w:val="18"/>
          <w:rFonts w:hint="eastAsia" w:ascii="宋体" w:hAnsi="宋体" w:eastAsia="宋体" w:cs="Times New Roman"/>
          <w:color w:val="auto"/>
          <w:sz w:val="24"/>
          <w:szCs w:val="24"/>
          <w:highlight w:val="none"/>
        </w:rPr>
        <w:t>。</w:t>
      </w:r>
    </w:p>
    <w:p w14:paraId="20C197A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12.3.5</w:t>
      </w:r>
      <w:r>
        <w:rPr>
          <w:rStyle w:val="18"/>
          <w:rFonts w:hint="eastAsia" w:ascii="宋体" w:hAnsi="宋体" w:eastAsia="宋体" w:cs="Times New Roman"/>
          <w:color w:val="auto"/>
          <w:sz w:val="24"/>
          <w:szCs w:val="24"/>
          <w:highlight w:val="none"/>
        </w:rPr>
        <w:t>总价合同采用支付分解表计量支付的，是否适用第</w:t>
      </w:r>
      <w:r>
        <w:rPr>
          <w:rStyle w:val="18"/>
          <w:rFonts w:ascii="宋体" w:hAnsi="宋体" w:eastAsia="宋体" w:cs="Times New Roman"/>
          <w:color w:val="auto"/>
          <w:kern w:val="0"/>
          <w:sz w:val="24"/>
          <w:szCs w:val="24"/>
          <w:highlight w:val="none"/>
        </w:rPr>
        <w:t xml:space="preserve">12.3.4 </w:t>
      </w:r>
      <w:r>
        <w:rPr>
          <w:rStyle w:val="18"/>
          <w:rFonts w:hint="eastAsia" w:ascii="宋体" w:hAnsi="宋体" w:eastAsia="宋体" w:cs="Times New Roman"/>
          <w:color w:val="auto"/>
          <w:sz w:val="24"/>
          <w:szCs w:val="24"/>
          <w:highlight w:val="none"/>
        </w:rPr>
        <w:t>项</w:t>
      </w:r>
      <w:r>
        <w:rPr>
          <w:rStyle w:val="18"/>
          <w:rFonts w:hint="eastAsia" w:ascii="宋体" w:hAnsi="宋体" w:eastAsia="宋体" w:cs="Times New Roman"/>
          <w:color w:val="auto"/>
          <w:kern w:val="0"/>
          <w:sz w:val="24"/>
          <w:szCs w:val="24"/>
          <w:highlight w:val="none"/>
        </w:rPr>
        <w:t>〔总价合同的计量〕</w:t>
      </w:r>
      <w:r>
        <w:rPr>
          <w:rStyle w:val="18"/>
          <w:rFonts w:hint="eastAsia" w:ascii="宋体" w:hAnsi="宋体" w:eastAsia="宋体" w:cs="Times New Roman"/>
          <w:color w:val="auto"/>
          <w:sz w:val="24"/>
          <w:szCs w:val="24"/>
          <w:highlight w:val="none"/>
        </w:rPr>
        <w:t>约定进行计量：</w:t>
      </w:r>
      <w:bookmarkStart w:id="729" w:name="EBb78e1db2b08f49718e3c72dfb73280d7"/>
      <w:bookmarkEnd w:id="729"/>
      <w:r>
        <w:rPr>
          <w:rStyle w:val="18"/>
          <w:rFonts w:hint="eastAsia" w:ascii="宋体" w:hAnsi="宋体" w:eastAsia="宋体" w:cs="Times New Roman"/>
          <w:color w:val="auto"/>
          <w:sz w:val="24"/>
          <w:szCs w:val="24"/>
          <w:highlight w:val="none"/>
        </w:rPr>
        <w:t>。</w:t>
      </w:r>
    </w:p>
    <w:p w14:paraId="7BD4292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12.3.6 </w:t>
      </w:r>
      <w:r>
        <w:rPr>
          <w:rStyle w:val="18"/>
          <w:rFonts w:hint="eastAsia" w:ascii="宋体" w:hAnsi="宋体" w:eastAsia="宋体" w:cs="Times New Roman"/>
          <w:color w:val="auto"/>
          <w:sz w:val="24"/>
          <w:szCs w:val="24"/>
          <w:highlight w:val="none"/>
        </w:rPr>
        <w:t>其他价格形式合同的计量</w:t>
      </w:r>
    </w:p>
    <w:p w14:paraId="44AEB1C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其他价格形式的计量方式和程序：</w:t>
      </w:r>
      <w:bookmarkStart w:id="730" w:name="EB712d5722febc4d46b07cb98d11214c54"/>
      <w:bookmarkEnd w:id="730"/>
      <w:r>
        <w:rPr>
          <w:rStyle w:val="18"/>
          <w:rFonts w:hint="eastAsia" w:ascii="宋体" w:hAnsi="宋体" w:eastAsia="宋体" w:cs="Times New Roman"/>
          <w:color w:val="auto"/>
          <w:sz w:val="24"/>
          <w:szCs w:val="24"/>
          <w:highlight w:val="none"/>
        </w:rPr>
        <w:t>。</w:t>
      </w:r>
    </w:p>
    <w:p w14:paraId="30833B6F">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12.4 </w:t>
      </w:r>
      <w:r>
        <w:rPr>
          <w:rStyle w:val="18"/>
          <w:rFonts w:hint="eastAsia" w:ascii="宋体" w:hAnsi="宋体" w:eastAsia="宋体" w:cs="Times New Roman"/>
          <w:color w:val="auto"/>
          <w:sz w:val="24"/>
          <w:szCs w:val="24"/>
          <w:highlight w:val="none"/>
        </w:rPr>
        <w:t>工程进度款支付</w:t>
      </w:r>
    </w:p>
    <w:p w14:paraId="1A25AEF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bookmarkStart w:id="731" w:name="_Toc296347210"/>
      <w:bookmarkStart w:id="732" w:name="_Toc296346712"/>
      <w:bookmarkStart w:id="733" w:name="_Toc296891251"/>
      <w:bookmarkStart w:id="734" w:name="_Toc292559416"/>
      <w:bookmarkStart w:id="735" w:name="_Toc297216215"/>
      <w:bookmarkStart w:id="736" w:name="_Toc296944550"/>
      <w:bookmarkStart w:id="737" w:name="_Toc297123556"/>
      <w:bookmarkStart w:id="738" w:name="_Toc296503211"/>
      <w:bookmarkStart w:id="739" w:name="_Toc297048397"/>
      <w:bookmarkStart w:id="740" w:name="_Toc296891039"/>
      <w:bookmarkStart w:id="741" w:name="_Toc300935006"/>
      <w:bookmarkStart w:id="742" w:name="_Toc297120511"/>
      <w:bookmarkStart w:id="743" w:name="_Toc292559921"/>
      <w:bookmarkStart w:id="744" w:name="_Toc303539163"/>
      <w:r>
        <w:rPr>
          <w:rStyle w:val="18"/>
          <w:rFonts w:ascii="宋体" w:hAnsi="宋体" w:eastAsia="宋体" w:cs="Times New Roman"/>
          <w:color w:val="auto"/>
          <w:sz w:val="24"/>
          <w:szCs w:val="24"/>
          <w:highlight w:val="none"/>
        </w:rPr>
        <w:t xml:space="preserve">12.4.1 </w:t>
      </w:r>
      <w:r>
        <w:rPr>
          <w:rStyle w:val="18"/>
          <w:rFonts w:hint="eastAsia" w:ascii="宋体" w:hAnsi="宋体" w:eastAsia="宋体" w:cs="Times New Roman"/>
          <w:color w:val="auto"/>
          <w:sz w:val="24"/>
          <w:szCs w:val="24"/>
          <w:highlight w:val="none"/>
        </w:rPr>
        <w:t>付款周期</w:t>
      </w:r>
    </w:p>
    <w:p w14:paraId="0B90797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关于付款周期的约定：按本合同通用条款执行。</w:t>
      </w:r>
    </w:p>
    <w:p w14:paraId="6E471AE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12.4.2 </w:t>
      </w:r>
      <w:r>
        <w:rPr>
          <w:rStyle w:val="18"/>
          <w:rFonts w:hint="eastAsia" w:ascii="宋体" w:hAnsi="宋体" w:eastAsia="宋体" w:cs="Times New Roman"/>
          <w:color w:val="auto"/>
          <w:sz w:val="24"/>
          <w:szCs w:val="24"/>
          <w:highlight w:val="none"/>
        </w:rPr>
        <w:t>进度付款申请单的编制</w:t>
      </w:r>
    </w:p>
    <w:p w14:paraId="49EF25EC">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关于进度付款申请单编制的约定：</w:t>
      </w:r>
      <w:bookmarkStart w:id="745" w:name="EBb0fdb60ba22040cc9b57959d22f853c4"/>
      <w:r>
        <w:rPr>
          <w:rStyle w:val="18"/>
          <w:rFonts w:hint="eastAsia" w:ascii="宋体" w:hAnsi="宋体" w:eastAsia="宋体" w:cs="Times New Roman"/>
          <w:color w:val="auto"/>
          <w:sz w:val="24"/>
          <w:szCs w:val="24"/>
          <w:highlight w:val="none"/>
        </w:rPr>
        <w:t>按本合同通用条款执行</w:t>
      </w:r>
      <w:bookmarkEnd w:id="745"/>
      <w:r>
        <w:rPr>
          <w:rStyle w:val="18"/>
          <w:rFonts w:hint="eastAsia" w:ascii="宋体" w:hAnsi="宋体" w:eastAsia="宋体" w:cs="Times New Roman"/>
          <w:color w:val="auto"/>
          <w:sz w:val="24"/>
          <w:szCs w:val="24"/>
          <w:highlight w:val="none"/>
        </w:rPr>
        <w:t>。</w:t>
      </w:r>
    </w:p>
    <w:p w14:paraId="010E209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r>
        <w:rPr>
          <w:rStyle w:val="18"/>
          <w:rFonts w:ascii="宋体" w:hAnsi="宋体" w:eastAsia="宋体" w:cs="Times New Roman"/>
          <w:color w:val="auto"/>
          <w:sz w:val="24"/>
          <w:szCs w:val="24"/>
          <w:highlight w:val="none"/>
        </w:rPr>
        <w:t xml:space="preserve">2.4.3 </w:t>
      </w:r>
      <w:r>
        <w:rPr>
          <w:rStyle w:val="18"/>
          <w:rFonts w:hint="eastAsia" w:ascii="宋体" w:hAnsi="宋体" w:eastAsia="宋体" w:cs="Times New Roman"/>
          <w:color w:val="auto"/>
          <w:sz w:val="24"/>
          <w:szCs w:val="24"/>
          <w:highlight w:val="none"/>
        </w:rPr>
        <w:t>进度付款申请单的提交</w:t>
      </w:r>
    </w:p>
    <w:p w14:paraId="6FC63D1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1</w:t>
      </w:r>
      <w:r>
        <w:rPr>
          <w:rStyle w:val="18"/>
          <w:rFonts w:hint="eastAsia" w:ascii="宋体" w:hAnsi="宋体" w:eastAsia="宋体" w:cs="Times New Roman"/>
          <w:color w:val="auto"/>
          <w:sz w:val="24"/>
          <w:szCs w:val="24"/>
          <w:highlight w:val="none"/>
        </w:rPr>
        <w:t>）单价合同进度付款申请单提交的约定：</w:t>
      </w:r>
      <w:bookmarkStart w:id="746" w:name="EBab291cb9d20b46f8b97771fe099745df"/>
      <w:r>
        <w:rPr>
          <w:rStyle w:val="18"/>
          <w:rFonts w:hint="eastAsia" w:ascii="宋体" w:hAnsi="宋体" w:eastAsia="宋体" w:cs="Times New Roman"/>
          <w:color w:val="auto"/>
          <w:sz w:val="24"/>
          <w:szCs w:val="24"/>
          <w:highlight w:val="none"/>
        </w:rPr>
        <w:t>按本合同通用条款执行</w:t>
      </w:r>
      <w:bookmarkEnd w:id="746"/>
      <w:r>
        <w:rPr>
          <w:rStyle w:val="18"/>
          <w:rFonts w:hint="eastAsia" w:ascii="宋体" w:hAnsi="宋体" w:eastAsia="宋体" w:cs="Times New Roman"/>
          <w:color w:val="auto"/>
          <w:sz w:val="24"/>
          <w:szCs w:val="24"/>
          <w:highlight w:val="none"/>
        </w:rPr>
        <w:t>。</w:t>
      </w:r>
    </w:p>
    <w:p w14:paraId="7D13C86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2</w:t>
      </w:r>
      <w:r>
        <w:rPr>
          <w:rStyle w:val="18"/>
          <w:rFonts w:hint="eastAsia" w:ascii="宋体" w:hAnsi="宋体" w:eastAsia="宋体" w:cs="Times New Roman"/>
          <w:color w:val="auto"/>
          <w:sz w:val="24"/>
          <w:szCs w:val="24"/>
          <w:highlight w:val="none"/>
        </w:rPr>
        <w:t>）总价合同进度付款申请单提交的约定：</w:t>
      </w:r>
      <w:bookmarkStart w:id="747" w:name="EB16659ea1170248279951e470b1199145"/>
      <w:bookmarkEnd w:id="747"/>
      <w:r>
        <w:rPr>
          <w:rStyle w:val="18"/>
          <w:rFonts w:hint="eastAsia" w:ascii="宋体" w:hAnsi="宋体" w:eastAsia="宋体" w:cs="Times New Roman"/>
          <w:color w:val="auto"/>
          <w:sz w:val="24"/>
          <w:szCs w:val="24"/>
          <w:highlight w:val="none"/>
        </w:rPr>
        <w:t>。</w:t>
      </w:r>
    </w:p>
    <w:p w14:paraId="0CC7701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3</w:t>
      </w:r>
      <w:r>
        <w:rPr>
          <w:rStyle w:val="18"/>
          <w:rFonts w:hint="eastAsia" w:ascii="宋体" w:hAnsi="宋体" w:eastAsia="宋体" w:cs="Times New Roman"/>
          <w:color w:val="auto"/>
          <w:sz w:val="24"/>
          <w:szCs w:val="24"/>
          <w:highlight w:val="none"/>
        </w:rPr>
        <w:t>）其他价格形式合同进度付款申请单提交的约定：</w:t>
      </w:r>
      <w:bookmarkStart w:id="748" w:name="EB72f537694d9345c18d655ecfc887a931"/>
      <w:bookmarkEnd w:id="748"/>
      <w:r>
        <w:rPr>
          <w:rStyle w:val="18"/>
          <w:rFonts w:hint="eastAsia" w:ascii="宋体" w:hAnsi="宋体" w:eastAsia="宋体" w:cs="Times New Roman"/>
          <w:color w:val="auto"/>
          <w:sz w:val="24"/>
          <w:szCs w:val="24"/>
          <w:highlight w:val="none"/>
        </w:rPr>
        <w:t>。</w:t>
      </w:r>
    </w:p>
    <w:p w14:paraId="6B03B6C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12.4.4 </w:t>
      </w:r>
      <w:r>
        <w:rPr>
          <w:rStyle w:val="18"/>
          <w:rFonts w:hint="eastAsia" w:ascii="宋体" w:hAnsi="宋体" w:eastAsia="宋体" w:cs="Times New Roman"/>
          <w:color w:val="auto"/>
          <w:sz w:val="24"/>
          <w:szCs w:val="24"/>
          <w:highlight w:val="none"/>
        </w:rPr>
        <w:t>进度款审核和支付</w:t>
      </w:r>
    </w:p>
    <w:p w14:paraId="3BE29DB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1</w:t>
      </w:r>
      <w:r>
        <w:rPr>
          <w:rStyle w:val="18"/>
          <w:rFonts w:hint="eastAsia" w:ascii="宋体" w:hAnsi="宋体" w:eastAsia="宋体" w:cs="Times New Roman"/>
          <w:color w:val="auto"/>
          <w:sz w:val="24"/>
          <w:szCs w:val="24"/>
          <w:highlight w:val="none"/>
        </w:rPr>
        <w:t>）监理人审查并报送发包人的期限：</w:t>
      </w:r>
      <w:bookmarkStart w:id="749" w:name="EB11c246b7c663459ab53c1e8d342cc624"/>
      <w:r>
        <w:rPr>
          <w:rStyle w:val="18"/>
          <w:rFonts w:hint="eastAsia" w:ascii="宋体" w:hAnsi="宋体" w:eastAsia="宋体" w:cs="Times New Roman"/>
          <w:color w:val="auto"/>
          <w:sz w:val="24"/>
          <w:szCs w:val="24"/>
          <w:highlight w:val="none"/>
        </w:rPr>
        <w:t>收到承包人进度申请3日内</w:t>
      </w:r>
      <w:bookmarkEnd w:id="749"/>
      <w:r>
        <w:rPr>
          <w:rStyle w:val="18"/>
          <w:rFonts w:hint="eastAsia" w:ascii="宋体" w:hAnsi="宋体" w:eastAsia="宋体" w:cs="Times New Roman"/>
          <w:color w:val="auto"/>
          <w:sz w:val="24"/>
          <w:szCs w:val="24"/>
          <w:highlight w:val="none"/>
        </w:rPr>
        <w:t>。</w:t>
      </w:r>
    </w:p>
    <w:p w14:paraId="0BAE1D7B">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发包人完成审批并签发进度款支付证书的期限：</w:t>
      </w:r>
      <w:bookmarkStart w:id="750" w:name="EB27c5def3142042e59da6b634731fc5ec"/>
      <w:r>
        <w:rPr>
          <w:rStyle w:val="18"/>
          <w:rFonts w:hint="eastAsia" w:ascii="宋体" w:hAnsi="宋体" w:eastAsia="宋体" w:cs="Times New Roman"/>
          <w:color w:val="auto"/>
          <w:sz w:val="24"/>
          <w:szCs w:val="24"/>
          <w:highlight w:val="none"/>
        </w:rPr>
        <w:t>收到承包人进度申请3日内逐月支付工程进度款</w:t>
      </w:r>
      <w:bookmarkEnd w:id="750"/>
      <w:r>
        <w:rPr>
          <w:rStyle w:val="18"/>
          <w:rFonts w:hint="eastAsia" w:ascii="宋体" w:hAnsi="宋体" w:eastAsia="宋体" w:cs="Times New Roman"/>
          <w:color w:val="auto"/>
          <w:sz w:val="24"/>
          <w:szCs w:val="24"/>
          <w:highlight w:val="none"/>
        </w:rPr>
        <w:t>。</w:t>
      </w:r>
    </w:p>
    <w:p w14:paraId="4A85229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2</w:t>
      </w:r>
      <w:r>
        <w:rPr>
          <w:rStyle w:val="18"/>
          <w:rFonts w:hint="eastAsia" w:ascii="宋体" w:hAnsi="宋体" w:eastAsia="宋体" w:cs="Times New Roman"/>
          <w:color w:val="auto"/>
          <w:sz w:val="24"/>
          <w:szCs w:val="24"/>
          <w:highlight w:val="none"/>
        </w:rPr>
        <w:t>）发包人支付进度款的期限：</w:t>
      </w:r>
      <w:bookmarkStart w:id="751" w:name="EB212da33a33e740faa5b57a4586e9205b"/>
      <w:r>
        <w:rPr>
          <w:rStyle w:val="18"/>
          <w:rFonts w:hint="eastAsia" w:ascii="宋体" w:hAnsi="宋体" w:eastAsia="宋体" w:cs="Times New Roman"/>
          <w:color w:val="auto"/>
          <w:sz w:val="24"/>
          <w:szCs w:val="24"/>
          <w:highlight w:val="none"/>
        </w:rPr>
        <w:t>执行本合同通用条款</w:t>
      </w:r>
      <w:bookmarkEnd w:id="751"/>
      <w:r>
        <w:rPr>
          <w:rStyle w:val="18"/>
          <w:rFonts w:hint="eastAsia" w:ascii="宋体" w:hAnsi="宋体" w:eastAsia="宋体" w:cs="Times New Roman"/>
          <w:color w:val="auto"/>
          <w:sz w:val="24"/>
          <w:szCs w:val="24"/>
          <w:highlight w:val="none"/>
        </w:rPr>
        <w:t>。</w:t>
      </w:r>
    </w:p>
    <w:p w14:paraId="0207A4C5">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发包人逾期支付进度款的违约金的计算方式：</w:t>
      </w:r>
      <w:bookmarkStart w:id="752" w:name="EBbeaf2dbaca25494897792d8e6132c92a"/>
      <w:bookmarkEnd w:id="752"/>
      <w:r>
        <w:rPr>
          <w:rStyle w:val="18"/>
          <w:rFonts w:hint="eastAsia" w:ascii="宋体" w:hAnsi="宋体" w:eastAsia="宋体" w:cs="Times New Roman"/>
          <w:color w:val="auto"/>
          <w:sz w:val="24"/>
          <w:szCs w:val="24"/>
          <w:highlight w:val="none"/>
        </w:rPr>
        <w:t>。</w:t>
      </w:r>
    </w:p>
    <w:p w14:paraId="7D4D1B25">
      <w:pPr>
        <w:pStyle w:val="26"/>
        <w:pageBreakBefore w:val="0"/>
        <w:widowControl w:val="0"/>
        <w:kinsoku/>
        <w:wordWrap/>
        <w:overflowPunct/>
        <w:topLinePunct w:val="0"/>
        <w:bidi w:val="0"/>
        <w:snapToGrid/>
        <w:spacing w:line="440" w:lineRule="exact"/>
        <w:ind w:firstLine="600" w:firstLineChars="25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12.4.6 </w:t>
      </w:r>
      <w:r>
        <w:rPr>
          <w:rStyle w:val="18"/>
          <w:rFonts w:hint="eastAsia" w:ascii="宋体" w:hAnsi="宋体" w:eastAsia="宋体" w:cs="Times New Roman"/>
          <w:color w:val="auto"/>
          <w:sz w:val="24"/>
          <w:szCs w:val="24"/>
          <w:highlight w:val="none"/>
        </w:rPr>
        <w:t>支付分解表的编制</w:t>
      </w:r>
    </w:p>
    <w:p w14:paraId="3E086B5A">
      <w:pPr>
        <w:pStyle w:val="26"/>
        <w:pageBreakBefore w:val="0"/>
        <w:widowControl w:val="0"/>
        <w:kinsoku/>
        <w:wordWrap/>
        <w:overflowPunct/>
        <w:topLinePunct w:val="0"/>
        <w:bidi w:val="0"/>
        <w:snapToGrid/>
        <w:spacing w:line="440" w:lineRule="exact"/>
        <w:ind w:left="6000" w:hanging="4800" w:hangingChars="20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2</w:t>
      </w:r>
      <w:r>
        <w:rPr>
          <w:rStyle w:val="18"/>
          <w:rFonts w:hint="eastAsia" w:ascii="宋体" w:hAnsi="宋体" w:eastAsia="宋体" w:cs="Times New Roman"/>
          <w:color w:val="auto"/>
          <w:sz w:val="24"/>
          <w:szCs w:val="24"/>
          <w:highlight w:val="none"/>
        </w:rPr>
        <w:t>、总价合同支付分解表的编制与审批：</w:t>
      </w:r>
      <w:bookmarkStart w:id="753" w:name="EB78443ad22b8f41fab3d1a20ef201e0c2"/>
      <w:r>
        <w:rPr>
          <w:rStyle w:val="18"/>
          <w:rFonts w:hint="eastAsia" w:ascii="宋体" w:hAnsi="宋体" w:eastAsia="宋体" w:cs="Times New Roman"/>
          <w:color w:val="auto"/>
          <w:sz w:val="24"/>
          <w:szCs w:val="24"/>
          <w:highlight w:val="none"/>
        </w:rPr>
        <w:t>无</w:t>
      </w:r>
      <w:bookmarkEnd w:id="753"/>
      <w:r>
        <w:rPr>
          <w:rStyle w:val="18"/>
          <w:rFonts w:hint="eastAsia" w:ascii="宋体" w:hAnsi="宋体" w:eastAsia="宋体" w:cs="Times New Roman"/>
          <w:color w:val="auto"/>
          <w:sz w:val="24"/>
          <w:szCs w:val="24"/>
          <w:highlight w:val="none"/>
        </w:rPr>
        <w:t>。</w:t>
      </w:r>
    </w:p>
    <w:p w14:paraId="46B77C32">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3</w:t>
      </w:r>
      <w:r>
        <w:rPr>
          <w:rStyle w:val="18"/>
          <w:rFonts w:hint="eastAsia" w:ascii="宋体" w:hAnsi="宋体" w:eastAsia="宋体" w:cs="Times New Roman"/>
          <w:color w:val="auto"/>
          <w:sz w:val="24"/>
          <w:szCs w:val="24"/>
          <w:highlight w:val="none"/>
        </w:rPr>
        <w:t>、单价合同的总价项目支付分解表的编制与审批：</w:t>
      </w:r>
      <w:bookmarkStart w:id="754" w:name="EB588599dc19834c2988fdff0b73025b80"/>
      <w:r>
        <w:rPr>
          <w:rStyle w:val="18"/>
          <w:rFonts w:hint="eastAsia" w:ascii="宋体" w:hAnsi="宋体" w:eastAsia="宋体" w:cs="Times New Roman"/>
          <w:color w:val="auto"/>
          <w:sz w:val="24"/>
          <w:szCs w:val="24"/>
          <w:highlight w:val="none"/>
        </w:rPr>
        <w:t>按本合同通用条款执行</w:t>
      </w:r>
      <w:bookmarkEnd w:id="754"/>
      <w:r>
        <w:rPr>
          <w:rStyle w:val="18"/>
          <w:rFonts w:hint="eastAsia" w:ascii="宋体" w:hAnsi="宋体" w:eastAsia="宋体" w:cs="Times New Roman"/>
          <w:color w:val="auto"/>
          <w:sz w:val="24"/>
          <w:szCs w:val="24"/>
          <w:highlight w:val="none"/>
        </w:rPr>
        <w:t>。</w:t>
      </w:r>
    </w:p>
    <w:bookmarkEnd w:id="538"/>
    <w:p w14:paraId="6836756B">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755" w:name="_Toc351203645"/>
      <w:bookmarkStart w:id="756" w:name="_Toc292559424"/>
      <w:bookmarkStart w:id="757" w:name="_Toc312678053"/>
      <w:bookmarkStart w:id="758" w:name="_Toc292559929"/>
      <w:bookmarkStart w:id="759" w:name="_Toc297123564"/>
      <w:bookmarkStart w:id="760" w:name="_Toc300935015"/>
      <w:bookmarkStart w:id="761" w:name="_Toc296347218"/>
      <w:bookmarkStart w:id="762" w:name="_Toc304295593"/>
      <w:bookmarkStart w:id="763" w:name="_Toc303539172"/>
      <w:bookmarkStart w:id="764" w:name="_Toc297048405"/>
      <w:bookmarkStart w:id="765" w:name="_Toc296944558"/>
      <w:bookmarkStart w:id="766" w:name="_Toc297216223"/>
      <w:bookmarkStart w:id="767" w:name="_Toc296503219"/>
      <w:bookmarkStart w:id="768" w:name="_Toc297120519"/>
      <w:bookmarkStart w:id="769" w:name="_Toc296891259"/>
      <w:bookmarkStart w:id="770" w:name="_Toc296346720"/>
      <w:bookmarkStart w:id="771" w:name="_Toc296891047"/>
      <w:r>
        <w:rPr>
          <w:rStyle w:val="18"/>
          <w:rFonts w:ascii="宋体" w:hAnsi="宋体" w:eastAsia="宋体" w:cs="Times New Roman"/>
          <w:b/>
          <w:color w:val="auto"/>
          <w:sz w:val="24"/>
          <w:szCs w:val="24"/>
          <w:highlight w:val="none"/>
        </w:rPr>
        <w:t xml:space="preserve">13. </w:t>
      </w:r>
      <w:r>
        <w:rPr>
          <w:rStyle w:val="18"/>
          <w:rFonts w:hint="eastAsia" w:ascii="宋体" w:hAnsi="宋体" w:eastAsia="宋体" w:cs="Times New Roman"/>
          <w:b/>
          <w:color w:val="auto"/>
          <w:sz w:val="24"/>
          <w:szCs w:val="24"/>
          <w:highlight w:val="none"/>
        </w:rPr>
        <w:t>验收和工程试车</w:t>
      </w:r>
      <w:bookmarkEnd w:id="755"/>
    </w:p>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14:paraId="08BF6A1D">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13.1 </w:t>
      </w:r>
      <w:r>
        <w:rPr>
          <w:rStyle w:val="18"/>
          <w:rFonts w:hint="eastAsia" w:ascii="宋体" w:hAnsi="宋体" w:eastAsia="宋体" w:cs="Times New Roman"/>
          <w:color w:val="auto"/>
          <w:sz w:val="24"/>
          <w:szCs w:val="24"/>
          <w:highlight w:val="none"/>
        </w:rPr>
        <w:t>分部分项工程验收</w:t>
      </w:r>
    </w:p>
    <w:p w14:paraId="1281ABC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13.1.2</w:t>
      </w:r>
      <w:r>
        <w:rPr>
          <w:rStyle w:val="18"/>
          <w:rFonts w:hint="eastAsia" w:ascii="宋体" w:hAnsi="宋体" w:eastAsia="宋体" w:cs="Times New Roman"/>
          <w:color w:val="auto"/>
          <w:sz w:val="24"/>
          <w:szCs w:val="24"/>
          <w:highlight w:val="none"/>
        </w:rPr>
        <w:t>监理人不能按时进行验收时，应提前</w:t>
      </w:r>
      <w:bookmarkStart w:id="772" w:name="EBfb5287508187419aa969b2e7c6de055d"/>
      <w:r>
        <w:rPr>
          <w:rStyle w:val="18"/>
          <w:rFonts w:hint="eastAsia" w:ascii="宋体" w:hAnsi="宋体" w:eastAsia="宋体" w:cs="Times New Roman"/>
          <w:color w:val="auto"/>
          <w:sz w:val="24"/>
          <w:szCs w:val="24"/>
          <w:highlight w:val="none"/>
        </w:rPr>
        <w:t>24</w:t>
      </w:r>
      <w:bookmarkEnd w:id="772"/>
      <w:r>
        <w:rPr>
          <w:rStyle w:val="18"/>
          <w:rFonts w:hint="eastAsia" w:ascii="宋体" w:hAnsi="宋体" w:eastAsia="宋体" w:cs="Times New Roman"/>
          <w:color w:val="auto"/>
          <w:sz w:val="24"/>
          <w:szCs w:val="24"/>
          <w:highlight w:val="none"/>
        </w:rPr>
        <w:t>小时提交书面延期要求。</w:t>
      </w:r>
    </w:p>
    <w:p w14:paraId="504E7AF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b/>
          <w:color w:val="auto"/>
          <w:sz w:val="24"/>
          <w:szCs w:val="24"/>
          <w:highlight w:val="none"/>
        </w:rPr>
      </w:pPr>
      <w:r>
        <w:rPr>
          <w:rStyle w:val="18"/>
          <w:rFonts w:hint="eastAsia" w:ascii="宋体" w:hAnsi="宋体" w:eastAsia="宋体" w:cs="Times New Roman"/>
          <w:color w:val="auto"/>
          <w:sz w:val="24"/>
          <w:szCs w:val="24"/>
          <w:highlight w:val="none"/>
        </w:rPr>
        <w:t>关于延期最长不得超过：</w:t>
      </w:r>
      <w:bookmarkStart w:id="773" w:name="EB31e754733ced4520b27408f35660a700"/>
      <w:r>
        <w:rPr>
          <w:rStyle w:val="18"/>
          <w:rFonts w:hint="eastAsia" w:ascii="宋体" w:hAnsi="宋体" w:eastAsia="宋体" w:cs="Times New Roman"/>
          <w:color w:val="auto"/>
          <w:sz w:val="24"/>
          <w:szCs w:val="24"/>
          <w:highlight w:val="none"/>
        </w:rPr>
        <w:t>48</w:t>
      </w:r>
      <w:bookmarkEnd w:id="773"/>
      <w:r>
        <w:rPr>
          <w:rStyle w:val="18"/>
          <w:rFonts w:hint="eastAsia" w:ascii="宋体" w:hAnsi="宋体" w:eastAsia="宋体" w:cs="Times New Roman"/>
          <w:color w:val="auto"/>
          <w:sz w:val="24"/>
          <w:szCs w:val="24"/>
          <w:highlight w:val="none"/>
        </w:rPr>
        <w:t>小时。</w:t>
      </w:r>
    </w:p>
    <w:p w14:paraId="19184EC2">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bookmarkStart w:id="774" w:name="_Toc297216224"/>
      <w:bookmarkStart w:id="775" w:name="_Toc297120523"/>
      <w:bookmarkStart w:id="776" w:name="_Toc296944562"/>
      <w:bookmarkStart w:id="777" w:name="_Toc297048409"/>
      <w:bookmarkStart w:id="778" w:name="_Toc296346724"/>
      <w:bookmarkStart w:id="779" w:name="_Toc296347222"/>
      <w:bookmarkStart w:id="780" w:name="_Toc296503223"/>
      <w:bookmarkStart w:id="781" w:name="_Toc300935016"/>
      <w:bookmarkStart w:id="782" w:name="_Toc303539173"/>
      <w:bookmarkStart w:id="783" w:name="_Toc312678056"/>
      <w:bookmarkStart w:id="784" w:name="_Toc292559428"/>
      <w:bookmarkStart w:id="785" w:name="_Toc297123565"/>
      <w:bookmarkStart w:id="786" w:name="_Toc296891051"/>
      <w:bookmarkStart w:id="787" w:name="_Toc304295596"/>
      <w:bookmarkStart w:id="788" w:name="_Toc296891263"/>
      <w:bookmarkStart w:id="789" w:name="_Toc292559933"/>
      <w:bookmarkStart w:id="790" w:name="_Toc267251472"/>
      <w:bookmarkStart w:id="791" w:name="_Toc267251470"/>
      <w:bookmarkStart w:id="792" w:name="_Toc267251474"/>
      <w:bookmarkStart w:id="793" w:name="_Toc267251473"/>
      <w:bookmarkStart w:id="794" w:name="_Toc267251476"/>
      <w:bookmarkStart w:id="795" w:name="_Toc267251471"/>
      <w:bookmarkStart w:id="796" w:name="_Toc267251475"/>
      <w:r>
        <w:rPr>
          <w:rStyle w:val="18"/>
          <w:rFonts w:ascii="宋体" w:hAnsi="宋体" w:eastAsia="宋体" w:cs="Times New Roman"/>
          <w:color w:val="auto"/>
          <w:sz w:val="24"/>
          <w:szCs w:val="24"/>
          <w:highlight w:val="none"/>
        </w:rPr>
        <w:t xml:space="preserve">13.2 </w:t>
      </w:r>
      <w:r>
        <w:rPr>
          <w:rStyle w:val="18"/>
          <w:rFonts w:hint="eastAsia" w:ascii="宋体" w:hAnsi="宋体" w:eastAsia="宋体" w:cs="Times New Roman"/>
          <w:color w:val="auto"/>
          <w:sz w:val="24"/>
          <w:szCs w:val="24"/>
          <w:highlight w:val="none"/>
        </w:rPr>
        <w:t>竣工验收</w:t>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3F48CB3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bookmarkStart w:id="797" w:name="_Toc280868704"/>
      <w:bookmarkStart w:id="798" w:name="_Toc280868705"/>
      <w:bookmarkStart w:id="799" w:name="_Toc280868706"/>
      <w:bookmarkStart w:id="800" w:name="_Toc280868707"/>
      <w:bookmarkStart w:id="801" w:name="_Toc280868708"/>
      <w:bookmarkStart w:id="802" w:name="_Toc280868709"/>
      <w:r>
        <w:rPr>
          <w:rStyle w:val="18"/>
          <w:rFonts w:ascii="宋体" w:hAnsi="宋体" w:eastAsia="宋体" w:cs="Times New Roman"/>
          <w:color w:val="auto"/>
          <w:sz w:val="24"/>
          <w:szCs w:val="24"/>
          <w:highlight w:val="none"/>
        </w:rPr>
        <w:t>13.2.2</w:t>
      </w:r>
      <w:r>
        <w:rPr>
          <w:rStyle w:val="18"/>
          <w:rFonts w:hint="eastAsia" w:ascii="宋体" w:hAnsi="宋体" w:eastAsia="宋体" w:cs="Times New Roman"/>
          <w:color w:val="auto"/>
          <w:sz w:val="24"/>
          <w:szCs w:val="24"/>
          <w:highlight w:val="none"/>
        </w:rPr>
        <w:t>竣工验收程序</w:t>
      </w:r>
    </w:p>
    <w:bookmarkEnd w:id="797"/>
    <w:p w14:paraId="677B360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关于竣工验收程序的约定：</w:t>
      </w:r>
      <w:bookmarkStart w:id="803" w:name="EB7d757cb2c9ec46ddb7babbf4a2935e59"/>
      <w:r>
        <w:rPr>
          <w:rStyle w:val="18"/>
          <w:rFonts w:hint="eastAsia" w:ascii="宋体" w:hAnsi="宋体" w:eastAsia="宋体" w:cs="Times New Roman"/>
          <w:color w:val="auto"/>
          <w:kern w:val="0"/>
          <w:sz w:val="24"/>
          <w:szCs w:val="24"/>
          <w:highlight w:val="none"/>
        </w:rPr>
        <w:t>由承包人提出申请，发包人组织竣工验收</w:t>
      </w:r>
      <w:bookmarkEnd w:id="803"/>
      <w:r>
        <w:rPr>
          <w:rStyle w:val="18"/>
          <w:rFonts w:hint="eastAsia" w:ascii="宋体" w:hAnsi="宋体" w:eastAsia="宋体" w:cs="Times New Roman"/>
          <w:color w:val="auto"/>
          <w:sz w:val="24"/>
          <w:szCs w:val="24"/>
          <w:highlight w:val="none"/>
        </w:rPr>
        <w:t>。</w:t>
      </w:r>
    </w:p>
    <w:p w14:paraId="2C2AA298">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发包人不按照本项约定组织竣工验收、颁发工程接收证书的违约金的计算方法：</w:t>
      </w:r>
      <w:bookmarkStart w:id="804" w:name="EB8ecd0f437ab74a369e752d0546e0f92a"/>
      <w:r>
        <w:rPr>
          <w:rStyle w:val="18"/>
          <w:rFonts w:hint="eastAsia" w:ascii="宋体" w:hAnsi="宋体" w:eastAsia="宋体" w:cs="Times New Roman"/>
          <w:color w:val="auto"/>
          <w:kern w:val="0"/>
          <w:sz w:val="24"/>
          <w:szCs w:val="24"/>
          <w:highlight w:val="none"/>
        </w:rPr>
        <w:t>按本合同通用条款执行</w:t>
      </w:r>
      <w:bookmarkEnd w:id="804"/>
      <w:r>
        <w:rPr>
          <w:rStyle w:val="18"/>
          <w:rFonts w:hint="eastAsia" w:ascii="宋体" w:hAnsi="宋体" w:eastAsia="宋体" w:cs="Times New Roman"/>
          <w:color w:val="auto"/>
          <w:sz w:val="24"/>
          <w:szCs w:val="24"/>
          <w:highlight w:val="none"/>
        </w:rPr>
        <w:t>。</w:t>
      </w:r>
    </w:p>
    <w:bookmarkEnd w:id="798"/>
    <w:p w14:paraId="3B09CC5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13.2.5</w:t>
      </w:r>
      <w:r>
        <w:rPr>
          <w:rStyle w:val="18"/>
          <w:rFonts w:hint="eastAsia" w:ascii="宋体" w:hAnsi="宋体" w:eastAsia="宋体" w:cs="Times New Roman"/>
          <w:color w:val="auto"/>
          <w:sz w:val="24"/>
          <w:szCs w:val="24"/>
          <w:highlight w:val="none"/>
        </w:rPr>
        <w:t>移交、接收全部与部分工程</w:t>
      </w:r>
    </w:p>
    <w:bookmarkEnd w:id="799"/>
    <w:p w14:paraId="5492FB08">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承包人向发包人移交工程的期限：</w:t>
      </w:r>
      <w:bookmarkStart w:id="805" w:name="EBa1035fea33ef4cfbae761062d080d7f8"/>
      <w:r>
        <w:rPr>
          <w:rStyle w:val="18"/>
          <w:rFonts w:hint="eastAsia" w:ascii="宋体" w:hAnsi="宋体" w:eastAsia="宋体" w:cs="Times New Roman"/>
          <w:color w:val="auto"/>
          <w:kern w:val="0"/>
          <w:sz w:val="24"/>
          <w:szCs w:val="24"/>
          <w:highlight w:val="none"/>
        </w:rPr>
        <w:t>工程竣工后7日内</w:t>
      </w:r>
      <w:bookmarkEnd w:id="805"/>
      <w:r>
        <w:rPr>
          <w:rStyle w:val="18"/>
          <w:rFonts w:hint="eastAsia" w:ascii="宋体" w:hAnsi="宋体" w:eastAsia="宋体" w:cs="Times New Roman"/>
          <w:color w:val="auto"/>
          <w:sz w:val="24"/>
          <w:szCs w:val="24"/>
          <w:highlight w:val="none"/>
        </w:rPr>
        <w:t>。</w:t>
      </w:r>
    </w:p>
    <w:p w14:paraId="3BA046B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kern w:val="0"/>
          <w:sz w:val="24"/>
          <w:szCs w:val="24"/>
          <w:highlight w:val="none"/>
        </w:rPr>
        <w:t>发包人未按本合同约定接收全部或部分工程的，违约金的计算方法为：</w:t>
      </w:r>
      <w:bookmarkStart w:id="806" w:name="EB6ad197b22ac242499f7293da59bde3f8"/>
      <w:r>
        <w:rPr>
          <w:rStyle w:val="18"/>
          <w:rFonts w:hint="eastAsia" w:ascii="宋体" w:hAnsi="宋体" w:eastAsia="宋体" w:cs="Times New Roman"/>
          <w:color w:val="auto"/>
          <w:kern w:val="0"/>
          <w:sz w:val="24"/>
          <w:szCs w:val="24"/>
          <w:highlight w:val="none"/>
        </w:rPr>
        <w:t>执行本合同通用条款</w:t>
      </w:r>
      <w:bookmarkEnd w:id="806"/>
      <w:r>
        <w:rPr>
          <w:rStyle w:val="18"/>
          <w:rFonts w:hint="eastAsia" w:ascii="宋体" w:hAnsi="宋体" w:eastAsia="宋体" w:cs="Times New Roman"/>
          <w:color w:val="auto"/>
          <w:sz w:val="24"/>
          <w:szCs w:val="24"/>
          <w:highlight w:val="none"/>
        </w:rPr>
        <w:t>。</w:t>
      </w:r>
    </w:p>
    <w:bookmarkEnd w:id="800"/>
    <w:p w14:paraId="51778234">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承包人未按时移交工程的，违约金的计算方法为：</w:t>
      </w:r>
      <w:bookmarkStart w:id="807" w:name="EB49ccb04b90654afeb7eaede19ed51b70"/>
      <w:r>
        <w:rPr>
          <w:rStyle w:val="18"/>
          <w:rFonts w:hint="eastAsia" w:ascii="宋体" w:hAnsi="宋体" w:eastAsia="宋体" w:cs="Times New Roman"/>
          <w:color w:val="auto"/>
          <w:sz w:val="24"/>
          <w:szCs w:val="24"/>
          <w:highlight w:val="none"/>
        </w:rPr>
        <w:t>执行本合同通用条款</w:t>
      </w:r>
      <w:bookmarkEnd w:id="807"/>
      <w:r>
        <w:rPr>
          <w:rStyle w:val="18"/>
          <w:rFonts w:hint="eastAsia" w:ascii="宋体" w:hAnsi="宋体" w:eastAsia="宋体" w:cs="Times New Roman"/>
          <w:color w:val="auto"/>
          <w:sz w:val="24"/>
          <w:szCs w:val="24"/>
          <w:highlight w:val="none"/>
        </w:rPr>
        <w:t>。</w:t>
      </w:r>
    </w:p>
    <w:p w14:paraId="60AFFB2A">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13.3 </w:t>
      </w:r>
      <w:r>
        <w:rPr>
          <w:rStyle w:val="18"/>
          <w:rFonts w:hint="eastAsia" w:ascii="宋体" w:hAnsi="宋体" w:eastAsia="宋体" w:cs="Times New Roman"/>
          <w:color w:val="auto"/>
          <w:sz w:val="24"/>
          <w:szCs w:val="24"/>
          <w:highlight w:val="none"/>
        </w:rPr>
        <w:t>工程试车</w:t>
      </w:r>
    </w:p>
    <w:bookmarkEnd w:id="801"/>
    <w:p w14:paraId="43644B2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 xml:space="preserve">13.3.1 </w:t>
      </w:r>
      <w:r>
        <w:rPr>
          <w:rStyle w:val="18"/>
          <w:rFonts w:hint="eastAsia" w:ascii="宋体" w:hAnsi="宋体" w:eastAsia="宋体" w:cs="Times New Roman"/>
          <w:color w:val="auto"/>
          <w:kern w:val="0"/>
          <w:sz w:val="24"/>
          <w:szCs w:val="24"/>
          <w:highlight w:val="none"/>
        </w:rPr>
        <w:t>试车程序</w:t>
      </w:r>
    </w:p>
    <w:p w14:paraId="003AE5E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工程试车内容：</w:t>
      </w:r>
      <w:bookmarkStart w:id="808" w:name="EB72eb3e1a619e407ba1b5f5e98c33a696"/>
      <w:bookmarkEnd w:id="808"/>
      <w:r>
        <w:rPr>
          <w:rStyle w:val="18"/>
          <w:rFonts w:hint="eastAsia" w:ascii="宋体" w:hAnsi="宋体" w:eastAsia="宋体" w:cs="Times New Roman"/>
          <w:color w:val="auto"/>
          <w:sz w:val="24"/>
          <w:szCs w:val="24"/>
          <w:highlight w:val="none"/>
        </w:rPr>
        <w:t>。</w:t>
      </w:r>
    </w:p>
    <w:p w14:paraId="1E708AE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1</w:t>
      </w:r>
      <w:r>
        <w:rPr>
          <w:rStyle w:val="18"/>
          <w:rFonts w:hint="eastAsia" w:ascii="宋体" w:hAnsi="宋体" w:eastAsia="宋体" w:cs="Times New Roman"/>
          <w:color w:val="auto"/>
          <w:kern w:val="0"/>
          <w:sz w:val="24"/>
          <w:szCs w:val="24"/>
          <w:highlight w:val="none"/>
        </w:rPr>
        <w:t>）单机无负荷试车费用由</w:t>
      </w:r>
      <w:bookmarkStart w:id="809" w:name="EB7492955ae4944d1e95d78cf27edd80f5"/>
      <w:bookmarkEnd w:id="809"/>
      <w:r>
        <w:rPr>
          <w:rStyle w:val="18"/>
          <w:rFonts w:hint="eastAsia" w:ascii="宋体" w:hAnsi="宋体" w:eastAsia="宋体" w:cs="Times New Roman"/>
          <w:color w:val="auto"/>
          <w:kern w:val="0"/>
          <w:sz w:val="24"/>
          <w:szCs w:val="24"/>
          <w:highlight w:val="none"/>
        </w:rPr>
        <w:t>承担；</w:t>
      </w:r>
    </w:p>
    <w:p w14:paraId="63B0943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2</w:t>
      </w:r>
      <w:r>
        <w:rPr>
          <w:rStyle w:val="18"/>
          <w:rFonts w:hint="eastAsia" w:ascii="宋体" w:hAnsi="宋体" w:eastAsia="宋体" w:cs="Times New Roman"/>
          <w:color w:val="auto"/>
          <w:kern w:val="0"/>
          <w:sz w:val="24"/>
          <w:szCs w:val="24"/>
          <w:highlight w:val="none"/>
        </w:rPr>
        <w:t>）无负荷联动试车费用由</w:t>
      </w:r>
      <w:bookmarkStart w:id="810" w:name="EB4ee5345f89e24533900d26ee36bf9726"/>
      <w:bookmarkEnd w:id="810"/>
      <w:r>
        <w:rPr>
          <w:rStyle w:val="18"/>
          <w:rFonts w:hint="eastAsia" w:ascii="宋体" w:hAnsi="宋体" w:eastAsia="宋体" w:cs="Times New Roman"/>
          <w:color w:val="auto"/>
          <w:kern w:val="0"/>
          <w:sz w:val="24"/>
          <w:szCs w:val="24"/>
          <w:highlight w:val="none"/>
        </w:rPr>
        <w:t>承担。</w:t>
      </w:r>
    </w:p>
    <w:p w14:paraId="6D36673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 xml:space="preserve">13.3.3 </w:t>
      </w:r>
      <w:r>
        <w:rPr>
          <w:rStyle w:val="18"/>
          <w:rFonts w:hint="eastAsia" w:ascii="宋体" w:hAnsi="宋体" w:eastAsia="宋体" w:cs="Times New Roman"/>
          <w:color w:val="auto"/>
          <w:kern w:val="0"/>
          <w:sz w:val="24"/>
          <w:szCs w:val="24"/>
          <w:highlight w:val="none"/>
        </w:rPr>
        <w:t>投料试车</w:t>
      </w:r>
    </w:p>
    <w:p w14:paraId="34B9760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关于投料试车相关事项的约定：</w:t>
      </w:r>
      <w:bookmarkStart w:id="811" w:name="EBf4f5b21d1c514bb5a6ae6343c19dfbf5"/>
      <w:bookmarkEnd w:id="811"/>
      <w:r>
        <w:rPr>
          <w:rStyle w:val="18"/>
          <w:rFonts w:hint="eastAsia" w:ascii="宋体" w:hAnsi="宋体" w:eastAsia="宋体" w:cs="Times New Roman"/>
          <w:color w:val="auto"/>
          <w:sz w:val="24"/>
          <w:szCs w:val="24"/>
          <w:highlight w:val="none"/>
        </w:rPr>
        <w:t>。</w:t>
      </w:r>
    </w:p>
    <w:p w14:paraId="5FE14E92">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13.6 </w:t>
      </w:r>
      <w:r>
        <w:rPr>
          <w:rStyle w:val="18"/>
          <w:rFonts w:hint="eastAsia" w:ascii="宋体" w:hAnsi="宋体" w:eastAsia="宋体" w:cs="Times New Roman"/>
          <w:color w:val="auto"/>
          <w:sz w:val="24"/>
          <w:szCs w:val="24"/>
          <w:highlight w:val="none"/>
        </w:rPr>
        <w:t>竣工退场</w:t>
      </w:r>
    </w:p>
    <w:p w14:paraId="20967BA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 xml:space="preserve">13.6.1 </w:t>
      </w:r>
      <w:r>
        <w:rPr>
          <w:rStyle w:val="18"/>
          <w:rFonts w:hint="eastAsia" w:ascii="宋体" w:hAnsi="宋体" w:eastAsia="宋体" w:cs="Times New Roman"/>
          <w:color w:val="auto"/>
          <w:kern w:val="0"/>
          <w:sz w:val="24"/>
          <w:szCs w:val="24"/>
          <w:highlight w:val="none"/>
        </w:rPr>
        <w:t>竣工退场</w:t>
      </w:r>
    </w:p>
    <w:p w14:paraId="66A15DE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承包人完成竣工退场的期限：</w:t>
      </w:r>
      <w:bookmarkStart w:id="812" w:name="EB3ccd227d0fcb4bd1b0418a160f301f21"/>
      <w:r>
        <w:rPr>
          <w:rStyle w:val="18"/>
          <w:rFonts w:hint="eastAsia" w:ascii="宋体" w:hAnsi="宋体" w:eastAsia="宋体" w:cs="Times New Roman"/>
          <w:color w:val="auto"/>
          <w:kern w:val="0"/>
          <w:sz w:val="24"/>
          <w:szCs w:val="24"/>
          <w:highlight w:val="none"/>
        </w:rPr>
        <w:t>移交完3日内</w:t>
      </w:r>
      <w:bookmarkEnd w:id="812"/>
      <w:r>
        <w:rPr>
          <w:rStyle w:val="18"/>
          <w:rFonts w:hint="eastAsia" w:ascii="宋体" w:hAnsi="宋体" w:eastAsia="宋体" w:cs="Times New Roman"/>
          <w:color w:val="auto"/>
          <w:kern w:val="0"/>
          <w:sz w:val="24"/>
          <w:szCs w:val="24"/>
          <w:highlight w:val="none"/>
        </w:rPr>
        <w:t>。</w:t>
      </w:r>
    </w:p>
    <w:p w14:paraId="7BEE6DCF">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813" w:name="_Toc351203646"/>
      <w:r>
        <w:rPr>
          <w:rStyle w:val="18"/>
          <w:rFonts w:ascii="宋体" w:hAnsi="宋体" w:eastAsia="宋体" w:cs="Times New Roman"/>
          <w:b/>
          <w:color w:val="auto"/>
          <w:sz w:val="24"/>
          <w:szCs w:val="24"/>
          <w:highlight w:val="none"/>
        </w:rPr>
        <w:t xml:space="preserve">14. </w:t>
      </w:r>
      <w:r>
        <w:rPr>
          <w:rStyle w:val="18"/>
          <w:rFonts w:hint="eastAsia" w:ascii="宋体" w:hAnsi="宋体" w:eastAsia="宋体" w:cs="Times New Roman"/>
          <w:b/>
          <w:color w:val="auto"/>
          <w:sz w:val="24"/>
          <w:szCs w:val="24"/>
          <w:highlight w:val="none"/>
        </w:rPr>
        <w:t>竣工结算</w:t>
      </w:r>
      <w:bookmarkEnd w:id="813"/>
    </w:p>
    <w:p w14:paraId="2D1CDB2F">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14.1 </w:t>
      </w:r>
      <w:r>
        <w:rPr>
          <w:rStyle w:val="18"/>
          <w:rFonts w:hint="eastAsia" w:ascii="宋体" w:hAnsi="宋体" w:eastAsia="宋体" w:cs="Times New Roman"/>
          <w:color w:val="auto"/>
          <w:sz w:val="24"/>
          <w:szCs w:val="24"/>
          <w:highlight w:val="none"/>
        </w:rPr>
        <w:t>竣工结算申请</w:t>
      </w:r>
    </w:p>
    <w:p w14:paraId="5D4CE80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承包人提交竣工结算申请单的期限：</w:t>
      </w:r>
      <w:bookmarkStart w:id="814" w:name="EB0fa84f38f97d410a9324daa734c8f5d2"/>
      <w:r>
        <w:rPr>
          <w:rStyle w:val="18"/>
          <w:rFonts w:hint="eastAsia" w:ascii="宋体" w:hAnsi="宋体" w:eastAsia="宋体" w:cs="Times New Roman"/>
          <w:color w:val="auto"/>
          <w:sz w:val="24"/>
          <w:szCs w:val="24"/>
          <w:highlight w:val="none"/>
        </w:rPr>
        <w:t>竣工结算完3日内</w:t>
      </w:r>
      <w:bookmarkEnd w:id="814"/>
      <w:r>
        <w:rPr>
          <w:rStyle w:val="18"/>
          <w:rFonts w:hint="eastAsia" w:ascii="宋体" w:hAnsi="宋体" w:eastAsia="宋体" w:cs="Times New Roman"/>
          <w:color w:val="auto"/>
          <w:sz w:val="24"/>
          <w:szCs w:val="24"/>
          <w:highlight w:val="none"/>
        </w:rPr>
        <w:t>。</w:t>
      </w:r>
    </w:p>
    <w:p w14:paraId="5D2FA999">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竣工结算申请单应包括的内容：</w:t>
      </w:r>
      <w:bookmarkStart w:id="815" w:name="EBeb9e4b08b46f46828fd800267d145ffb"/>
      <w:r>
        <w:rPr>
          <w:rStyle w:val="18"/>
          <w:rFonts w:hint="eastAsia" w:ascii="宋体" w:hAnsi="宋体" w:eastAsia="宋体" w:cs="Times New Roman"/>
          <w:color w:val="auto"/>
          <w:sz w:val="24"/>
          <w:szCs w:val="24"/>
          <w:highlight w:val="none"/>
        </w:rPr>
        <w:t>竣工结算书、竣工申请报告等</w:t>
      </w:r>
      <w:bookmarkEnd w:id="815"/>
      <w:r>
        <w:rPr>
          <w:rStyle w:val="18"/>
          <w:rFonts w:hint="eastAsia" w:ascii="宋体" w:hAnsi="宋体" w:eastAsia="宋体" w:cs="Times New Roman"/>
          <w:color w:val="auto"/>
          <w:sz w:val="24"/>
          <w:szCs w:val="24"/>
          <w:highlight w:val="none"/>
        </w:rPr>
        <w:t>。</w:t>
      </w:r>
    </w:p>
    <w:p w14:paraId="38463EA2">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14.2 </w:t>
      </w:r>
      <w:r>
        <w:rPr>
          <w:rStyle w:val="18"/>
          <w:rFonts w:hint="eastAsia" w:ascii="宋体" w:hAnsi="宋体" w:eastAsia="宋体" w:cs="Times New Roman"/>
          <w:color w:val="auto"/>
          <w:sz w:val="24"/>
          <w:szCs w:val="24"/>
          <w:highlight w:val="none"/>
        </w:rPr>
        <w:t>竣工结算审核</w:t>
      </w:r>
    </w:p>
    <w:p w14:paraId="5A3081D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发包人审批竣工付款申请单的期限：</w:t>
      </w:r>
      <w:bookmarkStart w:id="816" w:name="EB77f9eb965de948d2b9c3632e96c4cd05"/>
      <w:r>
        <w:rPr>
          <w:rStyle w:val="18"/>
          <w:rFonts w:hint="eastAsia" w:ascii="宋体" w:hAnsi="宋体" w:eastAsia="宋体" w:cs="Times New Roman"/>
          <w:color w:val="auto"/>
          <w:sz w:val="24"/>
          <w:szCs w:val="24"/>
          <w:highlight w:val="none"/>
        </w:rPr>
        <w:t>收到竣工付款单3日内</w:t>
      </w:r>
      <w:bookmarkEnd w:id="816"/>
      <w:r>
        <w:rPr>
          <w:rStyle w:val="18"/>
          <w:rFonts w:hint="eastAsia" w:ascii="宋体" w:hAnsi="宋体" w:eastAsia="宋体" w:cs="Times New Roman"/>
          <w:color w:val="auto"/>
          <w:sz w:val="24"/>
          <w:szCs w:val="24"/>
          <w:highlight w:val="none"/>
        </w:rPr>
        <w:t>。</w:t>
      </w:r>
    </w:p>
    <w:p w14:paraId="0D46DB8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发包人完成竣工付款的期限：</w:t>
      </w:r>
      <w:bookmarkStart w:id="817" w:name="EB2f2aa8a3e9e046e899cb6e3263e95194"/>
      <w:r>
        <w:rPr>
          <w:rStyle w:val="18"/>
          <w:rFonts w:hint="eastAsia" w:ascii="宋体" w:hAnsi="宋体" w:eastAsia="宋体" w:cs="Times New Roman"/>
          <w:color w:val="auto"/>
          <w:sz w:val="24"/>
          <w:szCs w:val="24"/>
          <w:highlight w:val="none"/>
        </w:rPr>
        <w:t>审批竣工付款申请单7日内</w:t>
      </w:r>
      <w:bookmarkEnd w:id="817"/>
      <w:r>
        <w:rPr>
          <w:rStyle w:val="18"/>
          <w:rFonts w:hint="eastAsia" w:ascii="宋体" w:hAnsi="宋体" w:eastAsia="宋体" w:cs="Times New Roman"/>
          <w:color w:val="auto"/>
          <w:sz w:val="24"/>
          <w:szCs w:val="24"/>
          <w:highlight w:val="none"/>
        </w:rPr>
        <w:t>。</w:t>
      </w:r>
    </w:p>
    <w:p w14:paraId="5FC73778">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关于竣工付款证书异议部分复核的方式和程序：</w:t>
      </w:r>
      <w:bookmarkStart w:id="818" w:name="EB59936c5f2460411cba1a479ef6e77216"/>
      <w:r>
        <w:rPr>
          <w:rStyle w:val="18"/>
          <w:rFonts w:hint="eastAsia" w:ascii="宋体" w:hAnsi="宋体" w:eastAsia="宋体" w:cs="Times New Roman"/>
          <w:color w:val="auto"/>
          <w:sz w:val="24"/>
          <w:szCs w:val="24"/>
          <w:highlight w:val="none"/>
        </w:rPr>
        <w:t>按合同约定执行</w:t>
      </w:r>
      <w:bookmarkEnd w:id="818"/>
      <w:r>
        <w:rPr>
          <w:rStyle w:val="18"/>
          <w:rFonts w:hint="eastAsia" w:ascii="宋体" w:hAnsi="宋体" w:eastAsia="宋体" w:cs="Times New Roman"/>
          <w:color w:val="auto"/>
          <w:sz w:val="24"/>
          <w:szCs w:val="24"/>
          <w:highlight w:val="none"/>
        </w:rPr>
        <w:t>。</w:t>
      </w:r>
    </w:p>
    <w:p w14:paraId="5915771F">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14.4 </w:t>
      </w:r>
      <w:r>
        <w:rPr>
          <w:rStyle w:val="18"/>
          <w:rFonts w:hint="eastAsia" w:ascii="宋体" w:hAnsi="宋体" w:eastAsia="宋体" w:cs="Times New Roman"/>
          <w:color w:val="auto"/>
          <w:sz w:val="24"/>
          <w:szCs w:val="24"/>
          <w:highlight w:val="none"/>
        </w:rPr>
        <w:t>最终结清</w:t>
      </w:r>
    </w:p>
    <w:p w14:paraId="224CA362">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 xml:space="preserve">14.4.1 </w:t>
      </w:r>
      <w:r>
        <w:rPr>
          <w:rStyle w:val="18"/>
          <w:rFonts w:hint="eastAsia" w:ascii="宋体" w:hAnsi="宋体" w:eastAsia="宋体" w:cs="Times New Roman"/>
          <w:color w:val="auto"/>
          <w:kern w:val="0"/>
          <w:sz w:val="24"/>
          <w:szCs w:val="24"/>
          <w:highlight w:val="none"/>
        </w:rPr>
        <w:t>最终结清申请单</w:t>
      </w:r>
    </w:p>
    <w:p w14:paraId="4F5AD6C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承包人提交最终结清申请单的份数：</w:t>
      </w:r>
      <w:bookmarkStart w:id="819" w:name="EBb12eb12eeafe41e285341093942aac32"/>
      <w:r>
        <w:rPr>
          <w:rStyle w:val="18"/>
          <w:rFonts w:hint="eastAsia" w:ascii="宋体" w:hAnsi="宋体" w:eastAsia="宋体" w:cs="Times New Roman"/>
          <w:color w:val="auto"/>
          <w:kern w:val="0"/>
          <w:sz w:val="24"/>
          <w:szCs w:val="24"/>
          <w:highlight w:val="none"/>
        </w:rPr>
        <w:t>4份</w:t>
      </w:r>
      <w:bookmarkEnd w:id="819"/>
      <w:r>
        <w:rPr>
          <w:rStyle w:val="18"/>
          <w:rFonts w:hint="eastAsia" w:ascii="宋体" w:hAnsi="宋体" w:eastAsia="宋体" w:cs="Times New Roman"/>
          <w:color w:val="auto"/>
          <w:sz w:val="24"/>
          <w:szCs w:val="24"/>
          <w:highlight w:val="none"/>
        </w:rPr>
        <w:t>。</w:t>
      </w:r>
    </w:p>
    <w:p w14:paraId="78C35FCF">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承包人提交最终结算申请单的期限：</w:t>
      </w:r>
      <w:bookmarkStart w:id="820" w:name="EBfd061a1771934ec286b51bdf69942c6e"/>
      <w:r>
        <w:rPr>
          <w:rStyle w:val="18"/>
          <w:rFonts w:hint="eastAsia" w:ascii="宋体" w:hAnsi="宋体" w:eastAsia="宋体" w:cs="Times New Roman"/>
          <w:color w:val="auto"/>
          <w:kern w:val="0"/>
          <w:sz w:val="24"/>
          <w:szCs w:val="24"/>
          <w:highlight w:val="none"/>
        </w:rPr>
        <w:t>竣工15日内</w:t>
      </w:r>
      <w:bookmarkEnd w:id="820"/>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 xml:space="preserve"> </w:t>
      </w:r>
    </w:p>
    <w:p w14:paraId="131E9C4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14.4.2 </w:t>
      </w:r>
      <w:r>
        <w:rPr>
          <w:rStyle w:val="18"/>
          <w:rFonts w:hint="eastAsia" w:ascii="宋体" w:hAnsi="宋体" w:eastAsia="宋体" w:cs="Times New Roman"/>
          <w:color w:val="auto"/>
          <w:sz w:val="24"/>
          <w:szCs w:val="24"/>
          <w:highlight w:val="none"/>
        </w:rPr>
        <w:t>最终结清证书和支付</w:t>
      </w:r>
    </w:p>
    <w:p w14:paraId="21917FA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1</w:t>
      </w:r>
      <w:r>
        <w:rPr>
          <w:rStyle w:val="18"/>
          <w:rFonts w:hint="eastAsia" w:ascii="宋体" w:hAnsi="宋体" w:eastAsia="宋体" w:cs="Times New Roman"/>
          <w:color w:val="auto"/>
          <w:sz w:val="24"/>
          <w:szCs w:val="24"/>
          <w:highlight w:val="none"/>
        </w:rPr>
        <w:t>）发包人完成最终结清申请单的审批并颁发最终结清证书的期限：</w:t>
      </w:r>
      <w:bookmarkStart w:id="821" w:name="EB7aa5e4f453ca4cdba111574f3f7a3fd2"/>
      <w:r>
        <w:rPr>
          <w:rStyle w:val="18"/>
          <w:rFonts w:hint="eastAsia" w:ascii="宋体" w:hAnsi="宋体" w:eastAsia="宋体" w:cs="Times New Roman"/>
          <w:color w:val="auto"/>
          <w:sz w:val="24"/>
          <w:szCs w:val="24"/>
          <w:highlight w:val="none"/>
        </w:rPr>
        <w:t>收到申请15日内</w:t>
      </w:r>
      <w:bookmarkEnd w:id="821"/>
      <w:r>
        <w:rPr>
          <w:rStyle w:val="18"/>
          <w:rFonts w:hint="eastAsia" w:ascii="宋体" w:hAnsi="宋体" w:eastAsia="宋体" w:cs="Times New Roman"/>
          <w:color w:val="auto"/>
          <w:sz w:val="24"/>
          <w:szCs w:val="24"/>
          <w:highlight w:val="none"/>
        </w:rPr>
        <w:t>。</w:t>
      </w:r>
    </w:p>
    <w:p w14:paraId="0E5FF66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2</w:t>
      </w:r>
      <w:r>
        <w:rPr>
          <w:rStyle w:val="18"/>
          <w:rFonts w:hint="eastAsia" w:ascii="宋体" w:hAnsi="宋体" w:eastAsia="宋体" w:cs="Times New Roman"/>
          <w:color w:val="auto"/>
          <w:sz w:val="24"/>
          <w:szCs w:val="24"/>
          <w:highlight w:val="none"/>
        </w:rPr>
        <w:t>）发包人完成支付的期限：</w:t>
      </w:r>
      <w:bookmarkStart w:id="822" w:name="EB054e0b022ce24e9390a3a3c31609a628"/>
      <w:r>
        <w:rPr>
          <w:rStyle w:val="18"/>
          <w:rFonts w:hint="eastAsia" w:ascii="宋体" w:hAnsi="宋体" w:eastAsia="宋体" w:cs="Times New Roman"/>
          <w:color w:val="auto"/>
          <w:sz w:val="24"/>
          <w:szCs w:val="24"/>
          <w:highlight w:val="none"/>
        </w:rPr>
        <w:t>7日内</w:t>
      </w:r>
      <w:bookmarkEnd w:id="822"/>
      <w:r>
        <w:rPr>
          <w:rStyle w:val="18"/>
          <w:rFonts w:hint="eastAsia" w:ascii="宋体" w:hAnsi="宋体" w:eastAsia="宋体" w:cs="Times New Roman"/>
          <w:color w:val="auto"/>
          <w:sz w:val="24"/>
          <w:szCs w:val="24"/>
          <w:highlight w:val="none"/>
        </w:rPr>
        <w:t>。</w:t>
      </w:r>
    </w:p>
    <w:bookmarkEnd w:id="790"/>
    <w:bookmarkEnd w:id="791"/>
    <w:bookmarkEnd w:id="792"/>
    <w:bookmarkEnd w:id="793"/>
    <w:bookmarkEnd w:id="794"/>
    <w:bookmarkEnd w:id="795"/>
    <w:bookmarkEnd w:id="796"/>
    <w:bookmarkEnd w:id="802"/>
    <w:p w14:paraId="38E5A310">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823" w:name="_Toc351203647"/>
      <w:bookmarkStart w:id="824" w:name="_Toc267251483"/>
      <w:bookmarkStart w:id="825" w:name="_Toc267251484"/>
      <w:bookmarkStart w:id="826" w:name="_Toc267251482"/>
      <w:bookmarkStart w:id="827" w:name="_Toc267251485"/>
      <w:bookmarkStart w:id="828" w:name="_Toc267251490"/>
      <w:bookmarkStart w:id="829" w:name="_Toc267251486"/>
      <w:bookmarkStart w:id="830" w:name="_Toc267251488"/>
      <w:bookmarkStart w:id="831" w:name="_Toc267251489"/>
      <w:bookmarkStart w:id="832" w:name="_Toc267251494"/>
      <w:bookmarkStart w:id="833" w:name="_Toc267251497"/>
      <w:bookmarkStart w:id="834" w:name="_Toc267251501"/>
      <w:bookmarkStart w:id="835" w:name="_Toc267251499"/>
      <w:bookmarkStart w:id="836" w:name="_Toc267251496"/>
      <w:bookmarkStart w:id="837" w:name="_Toc267251492"/>
      <w:bookmarkStart w:id="838" w:name="_Toc267251503"/>
      <w:bookmarkStart w:id="839" w:name="_Toc267251495"/>
      <w:bookmarkStart w:id="840" w:name="_Toc267251491"/>
      <w:bookmarkStart w:id="841" w:name="_Toc267251493"/>
      <w:bookmarkStart w:id="842" w:name="_Toc267251502"/>
      <w:bookmarkStart w:id="843" w:name="_Toc267251498"/>
      <w:bookmarkStart w:id="844" w:name="_Toc267251506"/>
      <w:bookmarkStart w:id="845" w:name="_Toc267251504"/>
      <w:bookmarkStart w:id="846" w:name="_Toc267251507"/>
      <w:bookmarkStart w:id="847" w:name="_Toc267251508"/>
      <w:bookmarkStart w:id="848" w:name="_Toc267251513"/>
      <w:bookmarkStart w:id="849" w:name="_Toc267251515"/>
      <w:bookmarkStart w:id="850" w:name="_Toc267251510"/>
      <w:bookmarkStart w:id="851" w:name="_Toc267251514"/>
      <w:bookmarkStart w:id="852" w:name="_Toc267251509"/>
      <w:bookmarkStart w:id="853" w:name="_Toc267251511"/>
      <w:r>
        <w:rPr>
          <w:rStyle w:val="18"/>
          <w:rFonts w:ascii="宋体" w:hAnsi="宋体" w:eastAsia="宋体" w:cs="Times New Roman"/>
          <w:b/>
          <w:color w:val="auto"/>
          <w:sz w:val="24"/>
          <w:szCs w:val="24"/>
          <w:highlight w:val="none"/>
        </w:rPr>
        <w:t xml:space="preserve">15. </w:t>
      </w:r>
      <w:r>
        <w:rPr>
          <w:rStyle w:val="18"/>
          <w:rFonts w:hint="eastAsia" w:ascii="宋体" w:hAnsi="宋体" w:eastAsia="宋体" w:cs="Times New Roman"/>
          <w:b/>
          <w:color w:val="auto"/>
          <w:sz w:val="24"/>
          <w:szCs w:val="24"/>
          <w:highlight w:val="none"/>
        </w:rPr>
        <w:t>缺陷责任期与保修</w:t>
      </w:r>
      <w:bookmarkEnd w:id="823"/>
    </w:p>
    <w:p w14:paraId="77E96D2F">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15.2</w:t>
      </w:r>
      <w:r>
        <w:rPr>
          <w:rStyle w:val="18"/>
          <w:rFonts w:hint="eastAsia" w:ascii="宋体" w:hAnsi="宋体" w:eastAsia="宋体" w:cs="Times New Roman"/>
          <w:color w:val="auto"/>
          <w:sz w:val="24"/>
          <w:szCs w:val="24"/>
          <w:highlight w:val="none"/>
        </w:rPr>
        <w:t>缺陷责任期</w:t>
      </w:r>
      <w:bookmarkEnd w:id="824"/>
    </w:p>
    <w:p w14:paraId="0BEDD95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缺陷责任期的具体期限：</w:t>
      </w:r>
      <w:bookmarkStart w:id="854" w:name="EB6017bc26a9634e3e9f6808ee75046d69"/>
      <w:r>
        <w:rPr>
          <w:rStyle w:val="18"/>
          <w:rFonts w:hint="eastAsia" w:ascii="宋体" w:hAnsi="宋体" w:eastAsia="宋体" w:cs="Times New Roman"/>
          <w:color w:val="auto"/>
          <w:sz w:val="24"/>
          <w:szCs w:val="24"/>
          <w:highlight w:val="none"/>
        </w:rPr>
        <w:t>按国家有关规定执行</w:t>
      </w:r>
      <w:bookmarkEnd w:id="854"/>
      <w:r>
        <w:rPr>
          <w:rStyle w:val="18"/>
          <w:rFonts w:hint="eastAsia" w:ascii="宋体" w:hAnsi="宋体" w:eastAsia="宋体" w:cs="Times New Roman"/>
          <w:color w:val="auto"/>
          <w:sz w:val="24"/>
          <w:szCs w:val="24"/>
          <w:highlight w:val="none"/>
        </w:rPr>
        <w:t>。</w:t>
      </w:r>
    </w:p>
    <w:p w14:paraId="0EFE16FB">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15.3 </w:t>
      </w:r>
      <w:r>
        <w:rPr>
          <w:rStyle w:val="18"/>
          <w:rFonts w:hint="eastAsia" w:ascii="宋体" w:hAnsi="宋体" w:eastAsia="宋体" w:cs="Times New Roman"/>
          <w:color w:val="auto"/>
          <w:sz w:val="24"/>
          <w:szCs w:val="24"/>
          <w:highlight w:val="none"/>
        </w:rPr>
        <w:t>质量保证金</w:t>
      </w:r>
    </w:p>
    <w:p w14:paraId="1A23E4C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关于是否扣留质量保证金的约定：</w:t>
      </w:r>
      <w:bookmarkStart w:id="855" w:name="EB07956970c0cf4650b3233233805d7ebc"/>
      <w:r>
        <w:rPr>
          <w:rStyle w:val="18"/>
          <w:rFonts w:hint="eastAsia" w:ascii="宋体" w:hAnsi="宋体" w:eastAsia="宋体" w:cs="Times New Roman"/>
          <w:color w:val="auto"/>
          <w:sz w:val="24"/>
          <w:szCs w:val="24"/>
          <w:highlight w:val="none"/>
        </w:rPr>
        <w:t>扣留质保金</w:t>
      </w:r>
      <w:bookmarkEnd w:id="855"/>
      <w:r>
        <w:rPr>
          <w:rStyle w:val="18"/>
          <w:rFonts w:hint="eastAsia" w:ascii="宋体" w:hAnsi="宋体" w:eastAsia="宋体" w:cs="Times New Roman"/>
          <w:color w:val="auto"/>
          <w:sz w:val="24"/>
          <w:szCs w:val="24"/>
          <w:highlight w:val="none"/>
        </w:rPr>
        <w:t>。在工程项目竣工前，承包人按专用合同条款第</w:t>
      </w:r>
      <w:r>
        <w:rPr>
          <w:rStyle w:val="18"/>
          <w:rFonts w:ascii="宋体" w:hAnsi="宋体" w:eastAsia="宋体" w:cs="Times New Roman"/>
          <w:color w:val="auto"/>
          <w:sz w:val="24"/>
          <w:szCs w:val="24"/>
          <w:highlight w:val="none"/>
        </w:rPr>
        <w:t>3.7</w:t>
      </w:r>
      <w:r>
        <w:rPr>
          <w:rStyle w:val="18"/>
          <w:rFonts w:hint="eastAsia" w:ascii="宋体" w:hAnsi="宋体" w:eastAsia="宋体" w:cs="Times New Roman"/>
          <w:color w:val="auto"/>
          <w:sz w:val="24"/>
          <w:szCs w:val="24"/>
          <w:highlight w:val="none"/>
        </w:rPr>
        <w:t>条提供履约担保的，发包人不得同时预留工程质量保证金。</w:t>
      </w:r>
    </w:p>
    <w:p w14:paraId="63A7B502">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15.3.1 </w:t>
      </w:r>
      <w:r>
        <w:rPr>
          <w:rStyle w:val="18"/>
          <w:rFonts w:hint="eastAsia" w:ascii="宋体" w:hAnsi="宋体" w:eastAsia="宋体" w:cs="Times New Roman"/>
          <w:color w:val="auto"/>
          <w:sz w:val="24"/>
          <w:szCs w:val="24"/>
          <w:highlight w:val="none"/>
        </w:rPr>
        <w:t>承包人提供质量保证金的方式</w:t>
      </w:r>
    </w:p>
    <w:p w14:paraId="616DEEE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质量保证金采用以下第</w:t>
      </w:r>
      <w:bookmarkStart w:id="856" w:name="EB1493f10cedce45479633f08fd62470b4"/>
      <w:r>
        <w:rPr>
          <w:rStyle w:val="18"/>
          <w:rFonts w:hint="eastAsia" w:ascii="宋体" w:hAnsi="宋体" w:eastAsia="宋体" w:cs="Times New Roman"/>
          <w:color w:val="auto"/>
          <w:sz w:val="24"/>
          <w:szCs w:val="24"/>
          <w:highlight w:val="none"/>
        </w:rPr>
        <w:t>（2）</w:t>
      </w:r>
      <w:bookmarkEnd w:id="856"/>
      <w:r>
        <w:rPr>
          <w:rStyle w:val="18"/>
          <w:rFonts w:hint="eastAsia" w:ascii="宋体" w:hAnsi="宋体" w:eastAsia="宋体" w:cs="Times New Roman"/>
          <w:color w:val="auto"/>
          <w:sz w:val="24"/>
          <w:szCs w:val="24"/>
          <w:highlight w:val="none"/>
        </w:rPr>
        <w:t>种方式：</w:t>
      </w:r>
    </w:p>
    <w:p w14:paraId="2F2B5825">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1</w:t>
      </w:r>
      <w:r>
        <w:rPr>
          <w:rStyle w:val="18"/>
          <w:rFonts w:hint="eastAsia" w:ascii="宋体" w:hAnsi="宋体" w:eastAsia="宋体" w:cs="Times New Roman"/>
          <w:color w:val="auto"/>
          <w:kern w:val="0"/>
          <w:sz w:val="24"/>
          <w:szCs w:val="24"/>
          <w:highlight w:val="none"/>
        </w:rPr>
        <w:t>）质量保证金保函，保证金额为：</w:t>
      </w:r>
      <w:bookmarkStart w:id="857" w:name="EB0c787f22a86343d28c15a92561f65366"/>
      <w:bookmarkEnd w:id="857"/>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 xml:space="preserve"> </w:t>
      </w:r>
    </w:p>
    <w:p w14:paraId="139683CD">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2</w:t>
      </w:r>
      <w:r>
        <w:rPr>
          <w:rStyle w:val="18"/>
          <w:rFonts w:hint="eastAsia" w:ascii="宋体" w:hAnsi="宋体" w:eastAsia="宋体" w:cs="Times New Roman"/>
          <w:color w:val="auto"/>
          <w:kern w:val="0"/>
          <w:sz w:val="24"/>
          <w:szCs w:val="24"/>
          <w:highlight w:val="none"/>
        </w:rPr>
        <w:t>）</w:t>
      </w:r>
      <w:r>
        <w:rPr>
          <w:rStyle w:val="18"/>
          <w:rFonts w:hint="eastAsia" w:ascii="宋体" w:hAnsi="宋体" w:cs="Times New Roman"/>
          <w:color w:val="auto"/>
          <w:kern w:val="0"/>
          <w:sz w:val="24"/>
          <w:szCs w:val="24"/>
          <w:highlight w:val="none"/>
          <w:lang w:val="en-US" w:eastAsia="zh-CN"/>
        </w:rPr>
        <w:t>3</w:t>
      </w:r>
      <w:r>
        <w:rPr>
          <w:rStyle w:val="18"/>
          <w:rFonts w:ascii="宋体" w:hAnsi="宋体" w:eastAsia="宋体" w:cs="Times New Roman"/>
          <w:color w:val="auto"/>
          <w:kern w:val="0"/>
          <w:sz w:val="24"/>
          <w:szCs w:val="24"/>
          <w:highlight w:val="none"/>
        </w:rPr>
        <w:t>%</w:t>
      </w:r>
      <w:r>
        <w:rPr>
          <w:rStyle w:val="18"/>
          <w:rFonts w:hint="eastAsia" w:ascii="宋体" w:hAnsi="宋体" w:eastAsia="宋体" w:cs="Times New Roman"/>
          <w:color w:val="auto"/>
          <w:kern w:val="0"/>
          <w:sz w:val="24"/>
          <w:szCs w:val="24"/>
          <w:highlight w:val="none"/>
        </w:rPr>
        <w:t>的工程款；</w:t>
      </w:r>
    </w:p>
    <w:p w14:paraId="5EDB0078">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3</w:t>
      </w:r>
      <w:r>
        <w:rPr>
          <w:rStyle w:val="18"/>
          <w:rFonts w:hint="eastAsia" w:ascii="宋体" w:hAnsi="宋体" w:eastAsia="宋体" w:cs="Times New Roman"/>
          <w:color w:val="auto"/>
          <w:kern w:val="0"/>
          <w:sz w:val="24"/>
          <w:szCs w:val="24"/>
          <w:highlight w:val="none"/>
        </w:rPr>
        <w:t>）其他方式</w:t>
      </w:r>
      <w:r>
        <w:rPr>
          <w:rStyle w:val="18"/>
          <w:rFonts w:ascii="宋体" w:hAnsi="宋体" w:eastAsia="宋体" w:cs="Times New Roman"/>
          <w:color w:val="auto"/>
          <w:kern w:val="0"/>
          <w:sz w:val="24"/>
          <w:szCs w:val="24"/>
          <w:highlight w:val="none"/>
        </w:rPr>
        <w:t>:</w:t>
      </w:r>
      <w:bookmarkStart w:id="858" w:name="EBa748cc72aa1e4cd089244eb45fa45e22"/>
      <w:bookmarkEnd w:id="858"/>
      <w:r>
        <w:rPr>
          <w:rStyle w:val="18"/>
          <w:rFonts w:hint="eastAsia" w:ascii="宋体" w:hAnsi="宋体" w:eastAsia="宋体" w:cs="Times New Roman"/>
          <w:color w:val="auto"/>
          <w:kern w:val="0"/>
          <w:sz w:val="24"/>
          <w:szCs w:val="24"/>
          <w:highlight w:val="none"/>
        </w:rPr>
        <w:t>。</w:t>
      </w:r>
    </w:p>
    <w:p w14:paraId="6226236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15.3.2 </w:t>
      </w:r>
      <w:r>
        <w:rPr>
          <w:rStyle w:val="18"/>
          <w:rFonts w:hint="eastAsia" w:ascii="宋体" w:hAnsi="宋体" w:eastAsia="宋体" w:cs="Times New Roman"/>
          <w:color w:val="auto"/>
          <w:sz w:val="24"/>
          <w:szCs w:val="24"/>
          <w:highlight w:val="none"/>
        </w:rPr>
        <w:t>质量保证金的扣留</w:t>
      </w:r>
      <w:r>
        <w:rPr>
          <w:rStyle w:val="18"/>
          <w:rFonts w:ascii="宋体" w:hAnsi="宋体" w:eastAsia="宋体" w:cs="Times New Roman"/>
          <w:color w:val="auto"/>
          <w:sz w:val="24"/>
          <w:szCs w:val="24"/>
          <w:highlight w:val="none"/>
        </w:rPr>
        <w:t xml:space="preserve"> </w:t>
      </w:r>
    </w:p>
    <w:p w14:paraId="072B7F8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质量保证金的扣留采取以下第</w:t>
      </w:r>
      <w:bookmarkStart w:id="859" w:name="EBe2da75c733f04965997f668cb5750fc2"/>
      <w:r>
        <w:rPr>
          <w:rStyle w:val="18"/>
          <w:rFonts w:hint="eastAsia" w:ascii="宋体" w:hAnsi="宋体" w:eastAsia="宋体" w:cs="Times New Roman"/>
          <w:color w:val="auto"/>
          <w:sz w:val="24"/>
          <w:szCs w:val="24"/>
          <w:highlight w:val="none"/>
        </w:rPr>
        <w:t>2</w:t>
      </w:r>
      <w:bookmarkEnd w:id="859"/>
      <w:r>
        <w:rPr>
          <w:rStyle w:val="18"/>
          <w:rFonts w:hint="eastAsia" w:ascii="宋体" w:hAnsi="宋体" w:eastAsia="宋体" w:cs="Times New Roman"/>
          <w:color w:val="auto"/>
          <w:sz w:val="24"/>
          <w:szCs w:val="24"/>
          <w:highlight w:val="none"/>
        </w:rPr>
        <w:t>种方式：</w:t>
      </w:r>
    </w:p>
    <w:p w14:paraId="4F3FCD90">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1</w:t>
      </w:r>
      <w:r>
        <w:rPr>
          <w:rStyle w:val="18"/>
          <w:rFonts w:hint="eastAsia" w:ascii="宋体" w:hAnsi="宋体" w:eastAsia="宋体" w:cs="Times New Roman"/>
          <w:color w:val="auto"/>
          <w:kern w:val="0"/>
          <w:sz w:val="24"/>
          <w:szCs w:val="24"/>
          <w:highlight w:val="none"/>
        </w:rPr>
        <w:t>）在支付工程进度款时逐次扣留，在此情形下，质量保证金的计算基数不包括预付款的支付、扣回以及价格调整的金额；</w:t>
      </w:r>
    </w:p>
    <w:p w14:paraId="35872DA1">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2</w:t>
      </w:r>
      <w:r>
        <w:rPr>
          <w:rStyle w:val="18"/>
          <w:rFonts w:hint="eastAsia" w:ascii="宋体" w:hAnsi="宋体" w:eastAsia="宋体" w:cs="Times New Roman"/>
          <w:color w:val="auto"/>
          <w:kern w:val="0"/>
          <w:sz w:val="24"/>
          <w:szCs w:val="24"/>
          <w:highlight w:val="none"/>
        </w:rPr>
        <w:t>）工程竣工结算时一次性扣留质量保证金；</w:t>
      </w:r>
    </w:p>
    <w:p w14:paraId="2CCA500C">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3</w:t>
      </w:r>
      <w:r>
        <w:rPr>
          <w:rStyle w:val="18"/>
          <w:rFonts w:hint="eastAsia" w:ascii="宋体" w:hAnsi="宋体" w:eastAsia="宋体" w:cs="Times New Roman"/>
          <w:color w:val="auto"/>
          <w:kern w:val="0"/>
          <w:sz w:val="24"/>
          <w:szCs w:val="24"/>
          <w:highlight w:val="none"/>
        </w:rPr>
        <w:t>）其他扣留方式</w:t>
      </w:r>
      <w:r>
        <w:rPr>
          <w:rStyle w:val="18"/>
          <w:rFonts w:ascii="宋体" w:hAnsi="宋体" w:eastAsia="宋体" w:cs="Times New Roman"/>
          <w:color w:val="auto"/>
          <w:kern w:val="0"/>
          <w:sz w:val="24"/>
          <w:szCs w:val="24"/>
          <w:highlight w:val="none"/>
        </w:rPr>
        <w:t>:</w:t>
      </w:r>
      <w:bookmarkStart w:id="860" w:name="EBbb14af05a911465ea82a0057882d9de5"/>
      <w:bookmarkEnd w:id="860"/>
      <w:r>
        <w:rPr>
          <w:rStyle w:val="18"/>
          <w:rFonts w:hint="eastAsia" w:ascii="宋体" w:hAnsi="宋体" w:eastAsia="宋体" w:cs="Times New Roman"/>
          <w:color w:val="auto"/>
          <w:kern w:val="0"/>
          <w:sz w:val="24"/>
          <w:szCs w:val="24"/>
          <w:highlight w:val="none"/>
        </w:rPr>
        <w:t>。</w:t>
      </w:r>
    </w:p>
    <w:p w14:paraId="4280C47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sz w:val="24"/>
          <w:szCs w:val="24"/>
          <w:highlight w:val="none"/>
        </w:rPr>
        <w:t>关于质量保证金的补充约定：</w:t>
      </w:r>
      <w:bookmarkStart w:id="861" w:name="EB4f90ff45e19948a884608486cb98875d"/>
      <w:bookmarkEnd w:id="861"/>
      <w:r>
        <w:rPr>
          <w:rStyle w:val="18"/>
          <w:rFonts w:hint="eastAsia" w:ascii="宋体" w:hAnsi="宋体" w:eastAsia="宋体" w:cs="Times New Roman"/>
          <w:color w:val="auto"/>
          <w:kern w:val="0"/>
          <w:sz w:val="24"/>
          <w:szCs w:val="24"/>
          <w:highlight w:val="none"/>
        </w:rPr>
        <w:t>。</w:t>
      </w:r>
    </w:p>
    <w:bookmarkEnd w:id="825"/>
    <w:bookmarkEnd w:id="826"/>
    <w:p w14:paraId="1707F4E9">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15.4</w:t>
      </w:r>
      <w:r>
        <w:rPr>
          <w:rStyle w:val="18"/>
          <w:rFonts w:hint="eastAsia" w:ascii="宋体" w:hAnsi="宋体" w:eastAsia="宋体" w:cs="Times New Roman"/>
          <w:color w:val="auto"/>
          <w:sz w:val="24"/>
          <w:szCs w:val="24"/>
          <w:highlight w:val="none"/>
        </w:rPr>
        <w:t>保修</w:t>
      </w:r>
    </w:p>
    <w:bookmarkEnd w:id="827"/>
    <w:p w14:paraId="01774DB9">
      <w:pPr>
        <w:pStyle w:val="26"/>
        <w:pageBreakBefore w:val="0"/>
        <w:widowControl w:val="0"/>
        <w:kinsoku/>
        <w:wordWrap/>
        <w:overflowPunct/>
        <w:topLinePunct w:val="0"/>
        <w:bidi w:val="0"/>
        <w:snapToGrid/>
        <w:spacing w:line="440" w:lineRule="exact"/>
        <w:ind w:firstLine="468" w:firstLineChars="195"/>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15.4.1 </w:t>
      </w:r>
      <w:r>
        <w:rPr>
          <w:rStyle w:val="18"/>
          <w:rFonts w:hint="eastAsia" w:ascii="宋体" w:hAnsi="宋体" w:eastAsia="宋体" w:cs="Times New Roman"/>
          <w:color w:val="auto"/>
          <w:sz w:val="24"/>
          <w:szCs w:val="24"/>
          <w:highlight w:val="none"/>
        </w:rPr>
        <w:t>保修责任</w:t>
      </w:r>
    </w:p>
    <w:p w14:paraId="72B96BC4">
      <w:pPr>
        <w:pStyle w:val="26"/>
        <w:pageBreakBefore w:val="0"/>
        <w:widowControl w:val="0"/>
        <w:kinsoku/>
        <w:wordWrap/>
        <w:overflowPunct/>
        <w:topLinePunct w:val="0"/>
        <w:bidi w:val="0"/>
        <w:snapToGrid/>
        <w:spacing w:line="440" w:lineRule="exact"/>
        <w:ind w:firstLine="468" w:firstLineChars="195"/>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sz w:val="24"/>
          <w:szCs w:val="24"/>
          <w:highlight w:val="none"/>
        </w:rPr>
        <w:t>工程保修期为：</w:t>
      </w:r>
      <w:bookmarkStart w:id="862" w:name="EBe6f8639f5873488a8c221f5a9b12bfa6"/>
      <w:r>
        <w:rPr>
          <w:rStyle w:val="18"/>
          <w:rFonts w:hint="eastAsia" w:ascii="宋体" w:hAnsi="宋体" w:eastAsia="宋体" w:cs="Times New Roman"/>
          <w:color w:val="auto"/>
          <w:sz w:val="24"/>
          <w:szCs w:val="24"/>
          <w:highlight w:val="none"/>
        </w:rPr>
        <w:t>按国家规定规范标准</w:t>
      </w:r>
      <w:bookmarkEnd w:id="862"/>
      <w:r>
        <w:rPr>
          <w:rStyle w:val="18"/>
          <w:rFonts w:hint="eastAsia" w:ascii="宋体" w:hAnsi="宋体" w:eastAsia="宋体" w:cs="Times New Roman"/>
          <w:color w:val="auto"/>
          <w:kern w:val="0"/>
          <w:sz w:val="24"/>
          <w:szCs w:val="24"/>
          <w:highlight w:val="none"/>
        </w:rPr>
        <w:t>。</w:t>
      </w:r>
    </w:p>
    <w:p w14:paraId="4693B365">
      <w:pPr>
        <w:pStyle w:val="26"/>
        <w:pageBreakBefore w:val="0"/>
        <w:widowControl w:val="0"/>
        <w:kinsoku/>
        <w:wordWrap/>
        <w:overflowPunct/>
        <w:topLinePunct w:val="0"/>
        <w:bidi w:val="0"/>
        <w:snapToGrid/>
        <w:spacing w:line="440" w:lineRule="exact"/>
        <w:ind w:firstLine="468" w:firstLineChars="195"/>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15.4.3 </w:t>
      </w:r>
      <w:r>
        <w:rPr>
          <w:rStyle w:val="18"/>
          <w:rFonts w:hint="eastAsia" w:ascii="宋体" w:hAnsi="宋体" w:eastAsia="宋体" w:cs="Times New Roman"/>
          <w:color w:val="auto"/>
          <w:sz w:val="24"/>
          <w:szCs w:val="24"/>
          <w:highlight w:val="none"/>
        </w:rPr>
        <w:t>修复通知</w:t>
      </w:r>
    </w:p>
    <w:p w14:paraId="6E3D40D7">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承包人收到保修通知并到达工程现场的合理时间：</w:t>
      </w:r>
      <w:bookmarkStart w:id="863" w:name="EB1daaacfda69141b794ac207fa2289d31"/>
      <w:r>
        <w:rPr>
          <w:rStyle w:val="18"/>
          <w:rFonts w:hint="eastAsia" w:ascii="宋体" w:hAnsi="宋体" w:eastAsia="宋体" w:cs="Times New Roman"/>
          <w:color w:val="auto"/>
          <w:kern w:val="0"/>
          <w:sz w:val="24"/>
          <w:szCs w:val="24"/>
          <w:highlight w:val="none"/>
        </w:rPr>
        <w:t>按本合同通用条款的本条执行</w:t>
      </w:r>
      <w:bookmarkEnd w:id="863"/>
      <w:r>
        <w:rPr>
          <w:rStyle w:val="18"/>
          <w:rFonts w:hint="eastAsia" w:ascii="宋体" w:hAnsi="宋体" w:eastAsia="宋体" w:cs="Times New Roman"/>
          <w:color w:val="auto"/>
          <w:kern w:val="0"/>
          <w:sz w:val="24"/>
          <w:szCs w:val="24"/>
          <w:highlight w:val="none"/>
        </w:rPr>
        <w:t>。</w:t>
      </w:r>
    </w:p>
    <w:bookmarkEnd w:id="828"/>
    <w:bookmarkEnd w:id="829"/>
    <w:bookmarkEnd w:id="830"/>
    <w:bookmarkEnd w:id="831"/>
    <w:p w14:paraId="1AE36E3A">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864" w:name="_Toc351203648"/>
      <w:bookmarkStart w:id="865" w:name="_Toc280868717"/>
      <w:bookmarkStart w:id="866" w:name="_Toc280868718"/>
      <w:r>
        <w:rPr>
          <w:rStyle w:val="18"/>
          <w:rFonts w:ascii="宋体" w:hAnsi="宋体" w:eastAsia="宋体" w:cs="Times New Roman"/>
          <w:b/>
          <w:color w:val="auto"/>
          <w:sz w:val="24"/>
          <w:szCs w:val="24"/>
          <w:highlight w:val="none"/>
        </w:rPr>
        <w:t xml:space="preserve">16. </w:t>
      </w:r>
      <w:r>
        <w:rPr>
          <w:rStyle w:val="18"/>
          <w:rFonts w:hint="eastAsia" w:ascii="宋体" w:hAnsi="宋体" w:eastAsia="宋体" w:cs="Times New Roman"/>
          <w:b/>
          <w:color w:val="auto"/>
          <w:sz w:val="24"/>
          <w:szCs w:val="24"/>
          <w:highlight w:val="none"/>
        </w:rPr>
        <w:t>违约</w:t>
      </w:r>
      <w:bookmarkEnd w:id="864"/>
    </w:p>
    <w:p w14:paraId="6A618353">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16.1 </w:t>
      </w:r>
      <w:r>
        <w:rPr>
          <w:rStyle w:val="18"/>
          <w:rFonts w:hint="eastAsia" w:ascii="宋体" w:hAnsi="宋体" w:eastAsia="宋体" w:cs="Times New Roman"/>
          <w:color w:val="auto"/>
          <w:sz w:val="24"/>
          <w:szCs w:val="24"/>
          <w:highlight w:val="none"/>
        </w:rPr>
        <w:t>发包人违约</w:t>
      </w:r>
    </w:p>
    <w:p w14:paraId="330B5D9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16.1.1</w:t>
      </w:r>
      <w:r>
        <w:rPr>
          <w:rStyle w:val="18"/>
          <w:rFonts w:hint="eastAsia" w:ascii="宋体" w:hAnsi="宋体" w:eastAsia="宋体" w:cs="Times New Roman"/>
          <w:color w:val="auto"/>
          <w:sz w:val="24"/>
          <w:szCs w:val="24"/>
          <w:highlight w:val="none"/>
        </w:rPr>
        <w:t>发包人违约的情形</w:t>
      </w:r>
    </w:p>
    <w:p w14:paraId="5A64A062">
      <w:pPr>
        <w:pStyle w:val="26"/>
        <w:pageBreakBefore w:val="0"/>
        <w:widowControl w:val="0"/>
        <w:kinsoku/>
        <w:wordWrap/>
        <w:overflowPunct/>
        <w:topLinePunct w:val="0"/>
        <w:bidi w:val="0"/>
        <w:snapToGrid/>
        <w:spacing w:line="440" w:lineRule="exact"/>
        <w:ind w:left="1500" w:hanging="1200" w:hangingChars="5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发包人违约的其他情形：</w:t>
      </w:r>
      <w:bookmarkStart w:id="867" w:name="EB0eea250455ad4ddba9e0d851d752f460"/>
      <w:r>
        <w:rPr>
          <w:rStyle w:val="18"/>
          <w:rFonts w:hint="eastAsia" w:ascii="宋体" w:hAnsi="宋体" w:eastAsia="宋体" w:cs="Times New Roman"/>
          <w:color w:val="auto"/>
          <w:kern w:val="0"/>
          <w:sz w:val="24"/>
          <w:szCs w:val="24"/>
          <w:highlight w:val="none"/>
        </w:rPr>
        <w:t>按本合同通用条款的本条执行</w:t>
      </w:r>
      <w:bookmarkEnd w:id="867"/>
      <w:r>
        <w:rPr>
          <w:rStyle w:val="18"/>
          <w:rFonts w:hint="eastAsia" w:ascii="宋体" w:hAnsi="宋体" w:eastAsia="宋体" w:cs="Times New Roman"/>
          <w:color w:val="auto"/>
          <w:kern w:val="0"/>
          <w:sz w:val="24"/>
          <w:szCs w:val="24"/>
          <w:highlight w:val="none"/>
        </w:rPr>
        <w:t>。</w:t>
      </w:r>
    </w:p>
    <w:p w14:paraId="3D9EB882">
      <w:pPr>
        <w:pStyle w:val="26"/>
        <w:pageBreakBefore w:val="0"/>
        <w:widowControl w:val="0"/>
        <w:kinsoku/>
        <w:wordWrap/>
        <w:overflowPunct/>
        <w:topLinePunct w:val="0"/>
        <w:bidi w:val="0"/>
        <w:snapToGrid/>
        <w:spacing w:line="440" w:lineRule="exact"/>
        <w:ind w:left="1500" w:hanging="1200" w:hangingChars="5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 xml:space="preserve">    16.1.2 </w:t>
      </w:r>
      <w:r>
        <w:rPr>
          <w:rStyle w:val="18"/>
          <w:rFonts w:hint="eastAsia" w:ascii="宋体" w:hAnsi="宋体" w:eastAsia="宋体" w:cs="Times New Roman"/>
          <w:color w:val="auto"/>
          <w:kern w:val="0"/>
          <w:sz w:val="24"/>
          <w:szCs w:val="24"/>
          <w:highlight w:val="none"/>
        </w:rPr>
        <w:t>发包人违约的责任</w:t>
      </w:r>
    </w:p>
    <w:p w14:paraId="73CA100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发包人违约责任的承担方式和计算方法：</w:t>
      </w:r>
    </w:p>
    <w:p w14:paraId="139613B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u w:val="singl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1</w:t>
      </w:r>
      <w:r>
        <w:rPr>
          <w:rStyle w:val="18"/>
          <w:rFonts w:hint="eastAsia" w:ascii="宋体" w:hAnsi="宋体" w:eastAsia="宋体" w:cs="Times New Roman"/>
          <w:color w:val="auto"/>
          <w:kern w:val="0"/>
          <w:sz w:val="24"/>
          <w:szCs w:val="24"/>
          <w:highlight w:val="none"/>
        </w:rPr>
        <w:t>）因发包人原因未能在计划开工日期前</w:t>
      </w:r>
      <w:r>
        <w:rPr>
          <w:rStyle w:val="18"/>
          <w:rFonts w:ascii="宋体" w:hAnsi="宋体" w:eastAsia="宋体" w:cs="Times New Roman"/>
          <w:color w:val="auto"/>
          <w:kern w:val="0"/>
          <w:sz w:val="24"/>
          <w:szCs w:val="24"/>
          <w:highlight w:val="none"/>
        </w:rPr>
        <w:t>7</w:t>
      </w:r>
      <w:r>
        <w:rPr>
          <w:rStyle w:val="18"/>
          <w:rFonts w:hint="eastAsia" w:ascii="宋体" w:hAnsi="宋体" w:eastAsia="宋体" w:cs="Times New Roman"/>
          <w:color w:val="auto"/>
          <w:kern w:val="0"/>
          <w:sz w:val="24"/>
          <w:szCs w:val="24"/>
          <w:highlight w:val="none"/>
        </w:rPr>
        <w:t>天内下达开工通知的违约责任：</w:t>
      </w:r>
      <w:bookmarkStart w:id="868" w:name="EBb58c84b9d46248568aabc4f61feaffe5"/>
      <w:r>
        <w:rPr>
          <w:rStyle w:val="18"/>
          <w:rFonts w:hint="eastAsia" w:ascii="宋体" w:hAnsi="宋体" w:eastAsia="宋体" w:cs="Times New Roman"/>
          <w:color w:val="auto"/>
          <w:kern w:val="0"/>
          <w:sz w:val="24"/>
          <w:szCs w:val="24"/>
          <w:highlight w:val="none"/>
        </w:rPr>
        <w:t>按本合同通用条款的本条执行</w:t>
      </w:r>
      <w:bookmarkEnd w:id="868"/>
      <w:r>
        <w:rPr>
          <w:rStyle w:val="18"/>
          <w:rFonts w:hint="eastAsia" w:ascii="宋体" w:hAnsi="宋体" w:eastAsia="宋体" w:cs="Times New Roman"/>
          <w:color w:val="auto"/>
          <w:kern w:val="0"/>
          <w:sz w:val="24"/>
          <w:szCs w:val="24"/>
          <w:highlight w:val="none"/>
        </w:rPr>
        <w:t>。</w:t>
      </w:r>
    </w:p>
    <w:p w14:paraId="48BAABA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2</w:t>
      </w:r>
      <w:r>
        <w:rPr>
          <w:rStyle w:val="18"/>
          <w:rFonts w:hint="eastAsia" w:ascii="宋体" w:hAnsi="宋体" w:eastAsia="宋体" w:cs="Times New Roman"/>
          <w:color w:val="auto"/>
          <w:kern w:val="0"/>
          <w:sz w:val="24"/>
          <w:szCs w:val="24"/>
          <w:highlight w:val="none"/>
        </w:rPr>
        <w:t>）因发包人原因未能按合同约定支付合同价款的违约责任：</w:t>
      </w:r>
      <w:bookmarkStart w:id="869" w:name="EB1ba1b766d2684e1aada2291cc40f5acd"/>
      <w:r>
        <w:rPr>
          <w:rStyle w:val="18"/>
          <w:rFonts w:hint="eastAsia" w:ascii="宋体" w:hAnsi="宋体" w:eastAsia="宋体" w:cs="Times New Roman"/>
          <w:color w:val="auto"/>
          <w:kern w:val="0"/>
          <w:sz w:val="24"/>
          <w:szCs w:val="24"/>
          <w:highlight w:val="none"/>
        </w:rPr>
        <w:t>按本合同通用条款的本条执行</w:t>
      </w:r>
      <w:bookmarkEnd w:id="869"/>
      <w:r>
        <w:rPr>
          <w:rStyle w:val="18"/>
          <w:rFonts w:hint="eastAsia" w:ascii="宋体" w:hAnsi="宋体" w:eastAsia="宋体" w:cs="Times New Roman"/>
          <w:color w:val="auto"/>
          <w:kern w:val="0"/>
          <w:sz w:val="24"/>
          <w:szCs w:val="24"/>
          <w:highlight w:val="none"/>
        </w:rPr>
        <w:t>。</w:t>
      </w:r>
    </w:p>
    <w:p w14:paraId="24E93D4E">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3</w:t>
      </w:r>
      <w:r>
        <w:rPr>
          <w:rStyle w:val="18"/>
          <w:rFonts w:hint="eastAsia" w:ascii="宋体" w:hAnsi="宋体" w:eastAsia="宋体" w:cs="Times New Roman"/>
          <w:color w:val="auto"/>
          <w:kern w:val="0"/>
          <w:sz w:val="24"/>
          <w:szCs w:val="24"/>
          <w:highlight w:val="none"/>
        </w:rPr>
        <w:t>）发包人违反第</w:t>
      </w:r>
      <w:r>
        <w:rPr>
          <w:rStyle w:val="18"/>
          <w:rFonts w:ascii="宋体" w:hAnsi="宋体" w:eastAsia="宋体" w:cs="Times New Roman"/>
          <w:color w:val="auto"/>
          <w:kern w:val="0"/>
          <w:sz w:val="24"/>
          <w:szCs w:val="24"/>
          <w:highlight w:val="none"/>
        </w:rPr>
        <w:t>10.1</w:t>
      </w:r>
      <w:r>
        <w:rPr>
          <w:rStyle w:val="18"/>
          <w:rFonts w:hint="eastAsia" w:ascii="宋体" w:hAnsi="宋体" w:eastAsia="宋体" w:cs="Times New Roman"/>
          <w:color w:val="auto"/>
          <w:kern w:val="0"/>
          <w:sz w:val="24"/>
          <w:szCs w:val="24"/>
          <w:highlight w:val="none"/>
        </w:rPr>
        <w:t>款〔变更的范围〕第（</w:t>
      </w:r>
      <w:r>
        <w:rPr>
          <w:rStyle w:val="18"/>
          <w:rFonts w:ascii="宋体" w:hAnsi="宋体" w:eastAsia="宋体" w:cs="Times New Roman"/>
          <w:color w:val="auto"/>
          <w:kern w:val="0"/>
          <w:sz w:val="24"/>
          <w:szCs w:val="24"/>
          <w:highlight w:val="none"/>
        </w:rPr>
        <w:t>2</w:t>
      </w:r>
      <w:r>
        <w:rPr>
          <w:rStyle w:val="18"/>
          <w:rFonts w:hint="eastAsia" w:ascii="宋体" w:hAnsi="宋体" w:eastAsia="宋体" w:cs="Times New Roman"/>
          <w:color w:val="auto"/>
          <w:kern w:val="0"/>
          <w:sz w:val="24"/>
          <w:szCs w:val="24"/>
          <w:highlight w:val="none"/>
        </w:rPr>
        <w:t>）项约定，自行实施被取消的工作或转由他人实施的违约责任：</w:t>
      </w:r>
      <w:bookmarkStart w:id="870" w:name="EBd815a79888ef463ea41eea6d42a5d67d"/>
      <w:r>
        <w:rPr>
          <w:rStyle w:val="18"/>
          <w:rFonts w:hint="eastAsia" w:ascii="宋体" w:hAnsi="宋体" w:eastAsia="宋体" w:cs="Times New Roman"/>
          <w:color w:val="auto"/>
          <w:kern w:val="0"/>
          <w:sz w:val="24"/>
          <w:szCs w:val="24"/>
          <w:highlight w:val="none"/>
        </w:rPr>
        <w:t>按本合同通用条款的本条执行</w:t>
      </w:r>
      <w:bookmarkEnd w:id="870"/>
      <w:r>
        <w:rPr>
          <w:rStyle w:val="18"/>
          <w:rFonts w:hint="eastAsia" w:ascii="宋体" w:hAnsi="宋体" w:eastAsia="宋体" w:cs="Times New Roman"/>
          <w:color w:val="auto"/>
          <w:kern w:val="0"/>
          <w:sz w:val="24"/>
          <w:szCs w:val="24"/>
          <w:highlight w:val="none"/>
        </w:rPr>
        <w:t>。</w:t>
      </w:r>
    </w:p>
    <w:p w14:paraId="0233B59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4</w:t>
      </w:r>
      <w:r>
        <w:rPr>
          <w:rStyle w:val="18"/>
          <w:rFonts w:hint="eastAsia" w:ascii="宋体" w:hAnsi="宋体" w:eastAsia="宋体" w:cs="Times New Roman"/>
          <w:color w:val="auto"/>
          <w:kern w:val="0"/>
          <w:sz w:val="24"/>
          <w:szCs w:val="24"/>
          <w:highlight w:val="none"/>
        </w:rPr>
        <w:t>）发包人提供的材料、工程设备的规格、数量或质量不符合合同约定，或因发包人原因导致交货日期延误或交货地点变更等情况的违约责任：</w:t>
      </w:r>
      <w:bookmarkStart w:id="871" w:name="EB6bc6d3679d044343b658900b4de05dec"/>
      <w:r>
        <w:rPr>
          <w:rStyle w:val="18"/>
          <w:rFonts w:hint="eastAsia" w:ascii="宋体" w:hAnsi="宋体" w:eastAsia="宋体" w:cs="Times New Roman"/>
          <w:color w:val="auto"/>
          <w:kern w:val="0"/>
          <w:sz w:val="24"/>
          <w:szCs w:val="24"/>
          <w:highlight w:val="none"/>
        </w:rPr>
        <w:t>按本合同通用条款的本条执行</w:t>
      </w:r>
      <w:bookmarkEnd w:id="871"/>
      <w:r>
        <w:rPr>
          <w:rStyle w:val="18"/>
          <w:rFonts w:hint="eastAsia" w:ascii="宋体" w:hAnsi="宋体" w:eastAsia="宋体" w:cs="Times New Roman"/>
          <w:color w:val="auto"/>
          <w:kern w:val="0"/>
          <w:sz w:val="24"/>
          <w:szCs w:val="24"/>
          <w:highlight w:val="none"/>
        </w:rPr>
        <w:t>。</w:t>
      </w:r>
    </w:p>
    <w:p w14:paraId="16F30663">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5</w:t>
      </w:r>
      <w:r>
        <w:rPr>
          <w:rStyle w:val="18"/>
          <w:rFonts w:hint="eastAsia" w:ascii="宋体" w:hAnsi="宋体" w:eastAsia="宋体" w:cs="Times New Roman"/>
          <w:color w:val="auto"/>
          <w:kern w:val="0"/>
          <w:sz w:val="24"/>
          <w:szCs w:val="24"/>
          <w:highlight w:val="none"/>
        </w:rPr>
        <w:t>）因发包人违反合同约定造成暂停施工的违约责任：</w:t>
      </w:r>
      <w:bookmarkStart w:id="872" w:name="EBa9e98239a57146d1934e4a1dd0bf8ef4"/>
      <w:r>
        <w:rPr>
          <w:rStyle w:val="18"/>
          <w:rFonts w:hint="eastAsia" w:ascii="宋体" w:hAnsi="宋体" w:eastAsia="宋体" w:cs="Times New Roman"/>
          <w:color w:val="auto"/>
          <w:kern w:val="0"/>
          <w:sz w:val="24"/>
          <w:szCs w:val="24"/>
          <w:highlight w:val="none"/>
        </w:rPr>
        <w:t>按本合同通用条款的本条执行</w:t>
      </w:r>
      <w:bookmarkEnd w:id="872"/>
      <w:r>
        <w:rPr>
          <w:rStyle w:val="18"/>
          <w:rFonts w:hint="eastAsia" w:ascii="宋体" w:hAnsi="宋体" w:eastAsia="宋体" w:cs="Times New Roman"/>
          <w:color w:val="auto"/>
          <w:kern w:val="0"/>
          <w:sz w:val="24"/>
          <w:szCs w:val="24"/>
          <w:highlight w:val="none"/>
        </w:rPr>
        <w:t>。</w:t>
      </w:r>
    </w:p>
    <w:p w14:paraId="047B413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6</w:t>
      </w:r>
      <w:r>
        <w:rPr>
          <w:rStyle w:val="18"/>
          <w:rFonts w:hint="eastAsia" w:ascii="宋体" w:hAnsi="宋体" w:eastAsia="宋体" w:cs="Times New Roman"/>
          <w:color w:val="auto"/>
          <w:kern w:val="0"/>
          <w:sz w:val="24"/>
          <w:szCs w:val="24"/>
          <w:highlight w:val="none"/>
        </w:rPr>
        <w:t>）发包人无正当理由没有在约定期限内发出复工指示，导致承包人无法复工的违约责任：</w:t>
      </w:r>
      <w:bookmarkStart w:id="873" w:name="EB43bfa0054e2742bbba1f703fe70efc4e"/>
      <w:bookmarkEnd w:id="873"/>
      <w:r>
        <w:rPr>
          <w:rStyle w:val="18"/>
          <w:rFonts w:hint="eastAsia" w:ascii="宋体" w:hAnsi="宋体" w:eastAsia="宋体" w:cs="Times New Roman"/>
          <w:color w:val="auto"/>
          <w:kern w:val="0"/>
          <w:sz w:val="24"/>
          <w:szCs w:val="24"/>
          <w:highlight w:val="none"/>
        </w:rPr>
        <w:t>。</w:t>
      </w:r>
    </w:p>
    <w:p w14:paraId="064B7E1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kern w:val="0"/>
          <w:sz w:val="24"/>
          <w:szCs w:val="24"/>
          <w:highlight w:val="none"/>
        </w:rPr>
        <w:t>7</w:t>
      </w:r>
      <w:r>
        <w:rPr>
          <w:rStyle w:val="18"/>
          <w:rFonts w:hint="eastAsia" w:ascii="宋体" w:hAnsi="宋体" w:eastAsia="宋体" w:cs="Times New Roman"/>
          <w:color w:val="auto"/>
          <w:kern w:val="0"/>
          <w:sz w:val="24"/>
          <w:szCs w:val="24"/>
          <w:highlight w:val="none"/>
        </w:rPr>
        <w:t>）其他：</w:t>
      </w:r>
      <w:bookmarkStart w:id="874" w:name="EBd355f663c826478c82c7f68eced8da69"/>
      <w:r>
        <w:rPr>
          <w:rStyle w:val="18"/>
          <w:rFonts w:hint="eastAsia" w:ascii="宋体" w:hAnsi="宋体" w:eastAsia="宋体" w:cs="Times New Roman"/>
          <w:color w:val="auto"/>
          <w:kern w:val="0"/>
          <w:sz w:val="24"/>
          <w:szCs w:val="24"/>
          <w:highlight w:val="none"/>
        </w:rPr>
        <w:t>无</w:t>
      </w:r>
      <w:bookmarkEnd w:id="874"/>
      <w:r>
        <w:rPr>
          <w:rStyle w:val="18"/>
          <w:rFonts w:hint="eastAsia" w:ascii="宋体" w:hAnsi="宋体" w:eastAsia="宋体" w:cs="Times New Roman"/>
          <w:color w:val="auto"/>
          <w:kern w:val="0"/>
          <w:sz w:val="24"/>
          <w:szCs w:val="24"/>
          <w:highlight w:val="none"/>
        </w:rPr>
        <w:t>。</w:t>
      </w:r>
    </w:p>
    <w:p w14:paraId="52FE782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16.1.3 </w:t>
      </w:r>
      <w:r>
        <w:rPr>
          <w:rStyle w:val="18"/>
          <w:rFonts w:hint="eastAsia" w:ascii="宋体" w:hAnsi="宋体" w:eastAsia="宋体" w:cs="Times New Roman"/>
          <w:color w:val="auto"/>
          <w:sz w:val="24"/>
          <w:szCs w:val="24"/>
          <w:highlight w:val="none"/>
        </w:rPr>
        <w:t>因发包人违约解除合同</w:t>
      </w:r>
    </w:p>
    <w:p w14:paraId="66F3ED42">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承包人按</w:t>
      </w:r>
      <w:r>
        <w:rPr>
          <w:rStyle w:val="18"/>
          <w:rFonts w:ascii="宋体" w:hAnsi="宋体" w:eastAsia="宋体" w:cs="Times New Roman"/>
          <w:color w:val="auto"/>
          <w:kern w:val="0"/>
          <w:sz w:val="24"/>
          <w:szCs w:val="24"/>
          <w:highlight w:val="none"/>
        </w:rPr>
        <w:t>16.1.1</w:t>
      </w:r>
      <w:r>
        <w:rPr>
          <w:rStyle w:val="18"/>
          <w:rFonts w:hint="eastAsia" w:ascii="宋体" w:hAnsi="宋体" w:eastAsia="宋体" w:cs="Times New Roman"/>
          <w:color w:val="auto"/>
          <w:kern w:val="0"/>
          <w:sz w:val="24"/>
          <w:szCs w:val="24"/>
          <w:highlight w:val="none"/>
        </w:rPr>
        <w:t>项〔发包人违约的情形〕约定暂停施工满</w:t>
      </w:r>
      <w:bookmarkStart w:id="875" w:name="EBbeb5bca3d48f4294b02a0235ab3d5e8b"/>
      <w:r>
        <w:rPr>
          <w:rStyle w:val="18"/>
          <w:rFonts w:hint="eastAsia" w:ascii="宋体" w:hAnsi="宋体" w:eastAsia="宋体" w:cs="Times New Roman"/>
          <w:color w:val="auto"/>
          <w:kern w:val="0"/>
          <w:sz w:val="24"/>
          <w:szCs w:val="24"/>
          <w:highlight w:val="none"/>
        </w:rPr>
        <w:t>28</w:t>
      </w:r>
      <w:bookmarkEnd w:id="875"/>
      <w:r>
        <w:rPr>
          <w:rStyle w:val="18"/>
          <w:rFonts w:hint="eastAsia" w:ascii="宋体" w:hAnsi="宋体" w:eastAsia="宋体" w:cs="Times New Roman"/>
          <w:color w:val="auto"/>
          <w:kern w:val="0"/>
          <w:sz w:val="24"/>
          <w:szCs w:val="24"/>
          <w:highlight w:val="none"/>
        </w:rPr>
        <w:t>天后发包人仍不纠正其违约行为并致使合同目的不能实现的，承包人有权解除合同。</w:t>
      </w:r>
    </w:p>
    <w:p w14:paraId="47DE4509">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16.2 </w:t>
      </w:r>
      <w:r>
        <w:rPr>
          <w:rStyle w:val="18"/>
          <w:rFonts w:hint="eastAsia" w:ascii="宋体" w:hAnsi="宋体" w:eastAsia="宋体" w:cs="Times New Roman"/>
          <w:color w:val="auto"/>
          <w:sz w:val="24"/>
          <w:szCs w:val="24"/>
          <w:highlight w:val="none"/>
        </w:rPr>
        <w:t>承包人违约</w:t>
      </w:r>
    </w:p>
    <w:p w14:paraId="3A6168A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 xml:space="preserve">16.2.1 </w:t>
      </w:r>
      <w:r>
        <w:rPr>
          <w:rStyle w:val="18"/>
          <w:rFonts w:hint="eastAsia" w:ascii="宋体" w:hAnsi="宋体" w:eastAsia="宋体" w:cs="Times New Roman"/>
          <w:color w:val="auto"/>
          <w:kern w:val="0"/>
          <w:sz w:val="24"/>
          <w:szCs w:val="24"/>
          <w:highlight w:val="none"/>
        </w:rPr>
        <w:t>承包人违约的情形</w:t>
      </w:r>
    </w:p>
    <w:p w14:paraId="6435195D">
      <w:pPr>
        <w:pStyle w:val="26"/>
        <w:pageBreakBefore w:val="0"/>
        <w:widowControl w:val="0"/>
        <w:kinsoku/>
        <w:wordWrap/>
        <w:overflowPunct/>
        <w:topLinePunct w:val="0"/>
        <w:bidi w:val="0"/>
        <w:snapToGrid/>
        <w:spacing w:line="440" w:lineRule="exact"/>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承包人违约的其他情形：</w:t>
      </w:r>
      <w:bookmarkStart w:id="876" w:name="EB1e9b711789214128aa7bcff56078446a"/>
      <w:r>
        <w:rPr>
          <w:rStyle w:val="18"/>
          <w:rFonts w:hint="eastAsia" w:ascii="宋体" w:hAnsi="宋体" w:eastAsia="宋体" w:cs="Times New Roman"/>
          <w:color w:val="auto"/>
          <w:kern w:val="0"/>
          <w:sz w:val="24"/>
          <w:szCs w:val="24"/>
          <w:highlight w:val="none"/>
        </w:rPr>
        <w:t>按本合同通用条款的本条执行</w:t>
      </w:r>
      <w:bookmarkEnd w:id="876"/>
      <w:r>
        <w:rPr>
          <w:rStyle w:val="18"/>
          <w:rFonts w:hint="eastAsia" w:ascii="宋体" w:hAnsi="宋体" w:eastAsia="宋体" w:cs="Times New Roman"/>
          <w:color w:val="auto"/>
          <w:kern w:val="0"/>
          <w:sz w:val="24"/>
          <w:szCs w:val="24"/>
          <w:highlight w:val="none"/>
        </w:rPr>
        <w:t>。</w:t>
      </w:r>
    </w:p>
    <w:p w14:paraId="0CE61365">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16.2.2</w:t>
      </w:r>
      <w:r>
        <w:rPr>
          <w:rStyle w:val="18"/>
          <w:rFonts w:hint="eastAsia" w:ascii="宋体" w:hAnsi="宋体" w:eastAsia="宋体" w:cs="Times New Roman"/>
          <w:color w:val="auto"/>
          <w:kern w:val="0"/>
          <w:sz w:val="24"/>
          <w:szCs w:val="24"/>
          <w:highlight w:val="none"/>
        </w:rPr>
        <w:t>承包人违约的责任</w:t>
      </w:r>
    </w:p>
    <w:p w14:paraId="53892A8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u w:val="single"/>
        </w:rPr>
      </w:pPr>
      <w:r>
        <w:rPr>
          <w:rStyle w:val="18"/>
          <w:rFonts w:hint="eastAsia" w:ascii="宋体" w:hAnsi="宋体" w:eastAsia="宋体" w:cs="Times New Roman"/>
          <w:color w:val="auto"/>
          <w:kern w:val="0"/>
          <w:sz w:val="24"/>
          <w:szCs w:val="24"/>
          <w:highlight w:val="none"/>
        </w:rPr>
        <w:t>承包人违约责任的承担方式和计算方法：</w:t>
      </w:r>
      <w:bookmarkStart w:id="877" w:name="EB0b6b627712424519b7d24a999dc6c3e1"/>
      <w:r>
        <w:rPr>
          <w:rStyle w:val="18"/>
          <w:rFonts w:hint="eastAsia" w:ascii="宋体" w:hAnsi="宋体" w:eastAsia="宋体" w:cs="Times New Roman"/>
          <w:color w:val="auto"/>
          <w:kern w:val="0"/>
          <w:sz w:val="24"/>
          <w:szCs w:val="24"/>
          <w:highlight w:val="none"/>
        </w:rPr>
        <w:t>按本合同通用条款的本条执行</w:t>
      </w:r>
      <w:bookmarkEnd w:id="877"/>
      <w:r>
        <w:rPr>
          <w:rStyle w:val="18"/>
          <w:rFonts w:hint="eastAsia" w:ascii="宋体" w:hAnsi="宋体" w:eastAsia="宋体" w:cs="Times New Roman"/>
          <w:color w:val="auto"/>
          <w:kern w:val="0"/>
          <w:sz w:val="24"/>
          <w:szCs w:val="24"/>
          <w:highlight w:val="none"/>
        </w:rPr>
        <w:t>。</w:t>
      </w:r>
      <w:r>
        <w:rPr>
          <w:rStyle w:val="18"/>
          <w:rFonts w:ascii="宋体" w:hAnsi="宋体" w:eastAsia="宋体" w:cs="Times New Roman"/>
          <w:color w:val="auto"/>
          <w:sz w:val="24"/>
          <w:szCs w:val="24"/>
          <w:highlight w:val="none"/>
        </w:rPr>
        <w:t xml:space="preserve">    </w:t>
      </w:r>
    </w:p>
    <w:p w14:paraId="0BF642FE">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16.2.3 </w:t>
      </w:r>
      <w:r>
        <w:rPr>
          <w:rStyle w:val="18"/>
          <w:rFonts w:hint="eastAsia" w:ascii="宋体" w:hAnsi="宋体" w:eastAsia="宋体" w:cs="Times New Roman"/>
          <w:color w:val="auto"/>
          <w:sz w:val="24"/>
          <w:szCs w:val="24"/>
          <w:highlight w:val="none"/>
        </w:rPr>
        <w:t>因承包人违约解除合同</w:t>
      </w:r>
    </w:p>
    <w:p w14:paraId="394C389A">
      <w:pPr>
        <w:pStyle w:val="26"/>
        <w:pageBreakBefore w:val="0"/>
        <w:widowControl w:val="0"/>
        <w:kinsoku/>
        <w:wordWrap/>
        <w:overflowPunct/>
        <w:topLinePunct w:val="0"/>
        <w:bidi w:val="0"/>
        <w:snapToGrid/>
        <w:spacing w:before="120" w:after="120"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关于承包人违约解除合同的特别约定：</w:t>
      </w:r>
      <w:bookmarkStart w:id="878" w:name="EBeb2e808fda684f5b9e4cc61e2564a2e9"/>
      <w:r>
        <w:rPr>
          <w:rStyle w:val="18"/>
          <w:rFonts w:hint="eastAsia" w:ascii="宋体" w:hAnsi="宋体" w:eastAsia="宋体" w:cs="Times New Roman"/>
          <w:color w:val="auto"/>
          <w:kern w:val="0"/>
          <w:sz w:val="24"/>
          <w:szCs w:val="24"/>
          <w:highlight w:val="none"/>
        </w:rPr>
        <w:t>按本合同通用条款的本条执行</w:t>
      </w:r>
      <w:bookmarkEnd w:id="878"/>
      <w:r>
        <w:rPr>
          <w:rStyle w:val="18"/>
          <w:rFonts w:hint="eastAsia" w:ascii="宋体" w:hAnsi="宋体" w:eastAsia="宋体" w:cs="Times New Roman"/>
          <w:color w:val="auto"/>
          <w:kern w:val="0"/>
          <w:sz w:val="24"/>
          <w:szCs w:val="24"/>
          <w:highlight w:val="none"/>
        </w:rPr>
        <w:t>。</w:t>
      </w:r>
    </w:p>
    <w:p w14:paraId="3498D9E5">
      <w:pPr>
        <w:pStyle w:val="26"/>
        <w:pageBreakBefore w:val="0"/>
        <w:widowControl w:val="0"/>
        <w:kinsoku/>
        <w:wordWrap/>
        <w:overflowPunct/>
        <w:topLinePunct w:val="0"/>
        <w:bidi w:val="0"/>
        <w:snapToGrid/>
        <w:spacing w:before="120" w:after="120"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kern w:val="0"/>
          <w:sz w:val="24"/>
          <w:szCs w:val="24"/>
          <w:highlight w:val="none"/>
        </w:rPr>
        <w:t>发包人继续使用承包人在施工现场的材料、设备、临时工程、承包人文件和由承包人或以其名义编制的其他文件的费用承担方式：</w:t>
      </w:r>
      <w:bookmarkStart w:id="879" w:name="EB4045ece4290a4bd2bb4176c15e81a5cf"/>
      <w:r>
        <w:rPr>
          <w:rStyle w:val="18"/>
          <w:rFonts w:hint="eastAsia" w:ascii="宋体" w:hAnsi="宋体" w:eastAsia="宋体" w:cs="Times New Roman"/>
          <w:color w:val="auto"/>
          <w:kern w:val="0"/>
          <w:sz w:val="24"/>
          <w:szCs w:val="24"/>
          <w:highlight w:val="none"/>
        </w:rPr>
        <w:t>按本合同通用条款的本条执行</w:t>
      </w:r>
      <w:bookmarkEnd w:id="879"/>
      <w:r>
        <w:rPr>
          <w:rStyle w:val="18"/>
          <w:rFonts w:hint="eastAsia" w:ascii="宋体" w:hAnsi="宋体" w:eastAsia="宋体" w:cs="Times New Roman"/>
          <w:color w:val="auto"/>
          <w:kern w:val="0"/>
          <w:sz w:val="24"/>
          <w:szCs w:val="24"/>
          <w:highlight w:val="none"/>
        </w:rPr>
        <w:t>。</w:t>
      </w:r>
    </w:p>
    <w:p w14:paraId="5E15661A">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880" w:name="_Toc351203649"/>
      <w:r>
        <w:rPr>
          <w:rStyle w:val="18"/>
          <w:rFonts w:ascii="宋体" w:hAnsi="宋体" w:eastAsia="宋体" w:cs="Times New Roman"/>
          <w:b/>
          <w:color w:val="auto"/>
          <w:sz w:val="24"/>
          <w:szCs w:val="24"/>
          <w:highlight w:val="none"/>
        </w:rPr>
        <w:t xml:space="preserve">17. </w:t>
      </w:r>
      <w:r>
        <w:rPr>
          <w:rStyle w:val="18"/>
          <w:rFonts w:hint="eastAsia" w:ascii="宋体" w:hAnsi="宋体" w:eastAsia="宋体" w:cs="Times New Roman"/>
          <w:b/>
          <w:color w:val="auto"/>
          <w:sz w:val="24"/>
          <w:szCs w:val="24"/>
          <w:highlight w:val="none"/>
        </w:rPr>
        <w:t>不可抗力</w:t>
      </w:r>
      <w:bookmarkEnd w:id="880"/>
      <w:r>
        <w:rPr>
          <w:rStyle w:val="18"/>
          <w:rFonts w:ascii="宋体" w:hAnsi="宋体" w:eastAsia="宋体" w:cs="Times New Roman"/>
          <w:b/>
          <w:color w:val="auto"/>
          <w:sz w:val="24"/>
          <w:szCs w:val="24"/>
          <w:highlight w:val="none"/>
        </w:rPr>
        <w:t xml:space="preserve"> </w:t>
      </w:r>
      <w:bookmarkEnd w:id="865"/>
    </w:p>
    <w:p w14:paraId="50AA275B">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17.1 </w:t>
      </w:r>
      <w:r>
        <w:rPr>
          <w:rStyle w:val="18"/>
          <w:rFonts w:hint="eastAsia" w:ascii="宋体" w:hAnsi="宋体" w:eastAsia="宋体" w:cs="Times New Roman"/>
          <w:color w:val="auto"/>
          <w:sz w:val="24"/>
          <w:szCs w:val="24"/>
          <w:highlight w:val="none"/>
        </w:rPr>
        <w:t>不可抗力的确认</w:t>
      </w:r>
    </w:p>
    <w:p w14:paraId="480322AC">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u w:val="single"/>
        </w:rPr>
      </w:pPr>
      <w:r>
        <w:rPr>
          <w:rStyle w:val="18"/>
          <w:rFonts w:hint="eastAsia" w:ascii="宋体" w:hAnsi="宋体" w:eastAsia="宋体" w:cs="Times New Roman"/>
          <w:color w:val="auto"/>
          <w:sz w:val="24"/>
          <w:szCs w:val="24"/>
          <w:highlight w:val="none"/>
        </w:rPr>
        <w:t>除通用合同条款约定的不可抗力事件之外，视为不可抗力的其他情形：</w:t>
      </w:r>
      <w:bookmarkStart w:id="881" w:name="EBcc67461ecc0c4e1f85bc30537935d36f"/>
      <w:r>
        <w:rPr>
          <w:rStyle w:val="18"/>
          <w:rFonts w:hint="eastAsia" w:ascii="宋体" w:hAnsi="宋体" w:eastAsia="宋体" w:cs="Times New Roman"/>
          <w:color w:val="auto"/>
          <w:sz w:val="24"/>
          <w:szCs w:val="24"/>
          <w:highlight w:val="none"/>
        </w:rPr>
        <w:t>无</w:t>
      </w:r>
      <w:bookmarkEnd w:id="881"/>
      <w:r>
        <w:rPr>
          <w:rStyle w:val="18"/>
          <w:rFonts w:hint="eastAsia" w:ascii="宋体" w:hAnsi="宋体" w:eastAsia="宋体" w:cs="Times New Roman"/>
          <w:color w:val="auto"/>
          <w:kern w:val="0"/>
          <w:sz w:val="24"/>
          <w:szCs w:val="24"/>
          <w:highlight w:val="none"/>
        </w:rPr>
        <w:t>。</w:t>
      </w:r>
    </w:p>
    <w:p w14:paraId="117A9C1B">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17.4 </w:t>
      </w:r>
      <w:r>
        <w:rPr>
          <w:rStyle w:val="18"/>
          <w:rFonts w:hint="eastAsia" w:ascii="宋体" w:hAnsi="宋体" w:eastAsia="宋体" w:cs="Times New Roman"/>
          <w:color w:val="auto"/>
          <w:sz w:val="24"/>
          <w:szCs w:val="24"/>
          <w:highlight w:val="none"/>
        </w:rPr>
        <w:t>因不可抗力解除合同</w:t>
      </w:r>
    </w:p>
    <w:p w14:paraId="4550DED9">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合同解除后，发包人应在商定或确定发包人应支付款项后</w:t>
      </w:r>
      <w:bookmarkStart w:id="882" w:name="EB2eb3a13cf25e4e2f81261f8a3afbb6f2"/>
      <w:r>
        <w:rPr>
          <w:rStyle w:val="18"/>
          <w:rFonts w:hint="eastAsia" w:ascii="宋体" w:hAnsi="宋体" w:eastAsia="宋体" w:cs="Times New Roman"/>
          <w:color w:val="auto"/>
          <w:sz w:val="24"/>
          <w:szCs w:val="24"/>
          <w:highlight w:val="none"/>
        </w:rPr>
        <w:t>28</w:t>
      </w:r>
      <w:bookmarkEnd w:id="882"/>
      <w:r>
        <w:rPr>
          <w:rStyle w:val="18"/>
          <w:rFonts w:hint="eastAsia" w:ascii="宋体" w:hAnsi="宋体" w:eastAsia="宋体" w:cs="Times New Roman"/>
          <w:color w:val="auto"/>
          <w:sz w:val="24"/>
          <w:szCs w:val="24"/>
          <w:highlight w:val="none"/>
        </w:rPr>
        <w:t>天内完成款项的支付。</w:t>
      </w:r>
    </w:p>
    <w:p w14:paraId="30034688">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883" w:name="_Toc351203650"/>
      <w:r>
        <w:rPr>
          <w:rStyle w:val="18"/>
          <w:rFonts w:ascii="宋体" w:hAnsi="宋体" w:eastAsia="宋体" w:cs="Times New Roman"/>
          <w:b/>
          <w:color w:val="auto"/>
          <w:sz w:val="24"/>
          <w:szCs w:val="24"/>
          <w:highlight w:val="none"/>
        </w:rPr>
        <w:t xml:space="preserve">18. </w:t>
      </w:r>
      <w:r>
        <w:rPr>
          <w:rStyle w:val="18"/>
          <w:rFonts w:hint="eastAsia" w:ascii="宋体" w:hAnsi="宋体" w:eastAsia="宋体" w:cs="Times New Roman"/>
          <w:b/>
          <w:color w:val="auto"/>
          <w:sz w:val="24"/>
          <w:szCs w:val="24"/>
          <w:highlight w:val="none"/>
        </w:rPr>
        <w:t>保险</w:t>
      </w:r>
      <w:bookmarkEnd w:id="883"/>
    </w:p>
    <w:bookmarkEnd w:id="866"/>
    <w:p w14:paraId="41A4961A">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18.1 </w:t>
      </w:r>
      <w:r>
        <w:rPr>
          <w:rStyle w:val="18"/>
          <w:rFonts w:hint="eastAsia" w:ascii="宋体" w:hAnsi="宋体" w:eastAsia="宋体" w:cs="Times New Roman"/>
          <w:color w:val="auto"/>
          <w:sz w:val="24"/>
          <w:szCs w:val="24"/>
          <w:highlight w:val="none"/>
        </w:rPr>
        <w:t>工程保险</w:t>
      </w:r>
    </w:p>
    <w:p w14:paraId="48C8012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关于工程保险的特别约定：</w:t>
      </w:r>
      <w:bookmarkStart w:id="884" w:name="EBf259c724f77d4277baab07b800a90da7"/>
      <w:bookmarkEnd w:id="884"/>
      <w:r>
        <w:rPr>
          <w:rStyle w:val="18"/>
          <w:rFonts w:hint="eastAsia" w:ascii="宋体" w:hAnsi="宋体" w:eastAsia="宋体" w:cs="Times New Roman"/>
          <w:color w:val="auto"/>
          <w:kern w:val="0"/>
          <w:sz w:val="24"/>
          <w:szCs w:val="24"/>
          <w:highlight w:val="none"/>
        </w:rPr>
        <w:t>。</w:t>
      </w:r>
    </w:p>
    <w:p w14:paraId="4AE910E6">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18.3 </w:t>
      </w:r>
      <w:r>
        <w:rPr>
          <w:rStyle w:val="18"/>
          <w:rFonts w:hint="eastAsia" w:ascii="宋体" w:hAnsi="宋体" w:eastAsia="宋体" w:cs="Times New Roman"/>
          <w:color w:val="auto"/>
          <w:sz w:val="24"/>
          <w:szCs w:val="24"/>
          <w:highlight w:val="none"/>
        </w:rPr>
        <w:t>其他保险</w:t>
      </w:r>
    </w:p>
    <w:p w14:paraId="27DFD150">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hint="eastAsia" w:ascii="宋体" w:hAnsi="宋体" w:eastAsia="宋体" w:cs="Times New Roman"/>
          <w:color w:val="auto"/>
          <w:sz w:val="24"/>
          <w:szCs w:val="24"/>
          <w:highlight w:val="none"/>
        </w:rPr>
        <w:t>关于其他保险的约定：</w:t>
      </w:r>
      <w:bookmarkStart w:id="885" w:name="EBd722b6722091425a8979e50963b8b36d"/>
      <w:bookmarkEnd w:id="885"/>
      <w:r>
        <w:rPr>
          <w:rStyle w:val="18"/>
          <w:rFonts w:hint="eastAsia" w:ascii="宋体" w:hAnsi="宋体" w:eastAsia="宋体" w:cs="Times New Roman"/>
          <w:color w:val="auto"/>
          <w:kern w:val="0"/>
          <w:sz w:val="24"/>
          <w:szCs w:val="24"/>
          <w:highlight w:val="none"/>
        </w:rPr>
        <w:t>。</w:t>
      </w:r>
    </w:p>
    <w:p w14:paraId="73BC4A7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承包人是否应为其施工设备等办理财产保险：</w:t>
      </w:r>
      <w:bookmarkStart w:id="886" w:name="EBb469f680a530432180ab82121310bd86"/>
      <w:r>
        <w:rPr>
          <w:rStyle w:val="18"/>
          <w:rFonts w:hint="eastAsia" w:ascii="宋体" w:hAnsi="宋体" w:eastAsia="宋体" w:cs="Times New Roman"/>
          <w:color w:val="auto"/>
          <w:sz w:val="24"/>
          <w:szCs w:val="24"/>
          <w:highlight w:val="none"/>
        </w:rPr>
        <w:t>是</w:t>
      </w:r>
      <w:bookmarkEnd w:id="886"/>
      <w:r>
        <w:rPr>
          <w:rStyle w:val="18"/>
          <w:rFonts w:hint="eastAsia" w:ascii="宋体" w:hAnsi="宋体" w:eastAsia="宋体" w:cs="Times New Roman"/>
          <w:color w:val="auto"/>
          <w:sz w:val="24"/>
          <w:szCs w:val="24"/>
          <w:highlight w:val="none"/>
        </w:rPr>
        <w:t>。</w:t>
      </w:r>
    </w:p>
    <w:p w14:paraId="27E1B9E9">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18.7 </w:t>
      </w:r>
      <w:r>
        <w:rPr>
          <w:rStyle w:val="18"/>
          <w:rFonts w:hint="eastAsia" w:ascii="宋体" w:hAnsi="宋体" w:eastAsia="宋体" w:cs="Times New Roman"/>
          <w:color w:val="auto"/>
          <w:sz w:val="24"/>
          <w:szCs w:val="24"/>
          <w:highlight w:val="none"/>
        </w:rPr>
        <w:t>通知义务</w:t>
      </w:r>
    </w:p>
    <w:p w14:paraId="1EA14C67">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kern w:val="0"/>
          <w:sz w:val="24"/>
          <w:szCs w:val="24"/>
          <w:highlight w:val="none"/>
        </w:rPr>
        <w:t>关于变更保险合同时的通知义务的约定：</w:t>
      </w:r>
      <w:bookmarkStart w:id="887" w:name="EBca5dd09de27741c38b286bd19dd79f88"/>
      <w:bookmarkEnd w:id="887"/>
      <w:r>
        <w:rPr>
          <w:rStyle w:val="18"/>
          <w:rFonts w:hint="eastAsia" w:ascii="宋体" w:hAnsi="宋体" w:eastAsia="宋体" w:cs="Times New Roman"/>
          <w:color w:val="auto"/>
          <w:sz w:val="24"/>
          <w:szCs w:val="24"/>
          <w:highlight w:val="none"/>
        </w:rPr>
        <w:t>。</w:t>
      </w:r>
    </w:p>
    <w:bookmarkEnd w:id="832"/>
    <w:bookmarkEnd w:id="833"/>
    <w:bookmarkEnd w:id="834"/>
    <w:bookmarkEnd w:id="835"/>
    <w:bookmarkEnd w:id="836"/>
    <w:bookmarkEnd w:id="837"/>
    <w:bookmarkEnd w:id="838"/>
    <w:bookmarkEnd w:id="839"/>
    <w:bookmarkEnd w:id="840"/>
    <w:bookmarkEnd w:id="841"/>
    <w:bookmarkEnd w:id="842"/>
    <w:bookmarkEnd w:id="843"/>
    <w:p w14:paraId="4EBFC396">
      <w:pPr>
        <w:pStyle w:val="26"/>
        <w:pageBreakBefore w:val="0"/>
        <w:widowControl w:val="0"/>
        <w:kinsoku/>
        <w:wordWrap/>
        <w:overflowPunct/>
        <w:topLinePunct w:val="0"/>
        <w:bidi w:val="0"/>
        <w:snapToGrid/>
        <w:spacing w:before="120" w:after="120" w:line="440" w:lineRule="exact"/>
        <w:textAlignment w:val="auto"/>
        <w:rPr>
          <w:rStyle w:val="18"/>
          <w:rFonts w:ascii="宋体" w:hAnsi="宋体" w:eastAsia="宋体" w:cs="Times New Roman"/>
          <w:b/>
          <w:color w:val="auto"/>
          <w:sz w:val="24"/>
          <w:szCs w:val="24"/>
          <w:highlight w:val="none"/>
        </w:rPr>
      </w:pPr>
      <w:bookmarkStart w:id="888" w:name="_Toc351203651"/>
      <w:r>
        <w:rPr>
          <w:rStyle w:val="18"/>
          <w:rFonts w:ascii="宋体" w:hAnsi="宋体" w:eastAsia="宋体" w:cs="Times New Roman"/>
          <w:b/>
          <w:color w:val="auto"/>
          <w:sz w:val="24"/>
          <w:szCs w:val="24"/>
          <w:highlight w:val="none"/>
        </w:rPr>
        <w:t xml:space="preserve">20. </w:t>
      </w:r>
      <w:r>
        <w:rPr>
          <w:rStyle w:val="18"/>
          <w:rFonts w:hint="eastAsia" w:ascii="宋体" w:hAnsi="宋体" w:eastAsia="宋体" w:cs="Times New Roman"/>
          <w:b/>
          <w:color w:val="auto"/>
          <w:sz w:val="24"/>
          <w:szCs w:val="24"/>
          <w:highlight w:val="none"/>
        </w:rPr>
        <w:t>争议解决</w:t>
      </w:r>
      <w:bookmarkEnd w:id="888"/>
    </w:p>
    <w:bookmarkEnd w:id="844"/>
    <w:bookmarkEnd w:id="845"/>
    <w:p w14:paraId="61919180">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20.3 </w:t>
      </w:r>
      <w:r>
        <w:rPr>
          <w:rStyle w:val="18"/>
          <w:rFonts w:hint="eastAsia" w:ascii="宋体" w:hAnsi="宋体" w:eastAsia="宋体" w:cs="Times New Roman"/>
          <w:color w:val="auto"/>
          <w:sz w:val="24"/>
          <w:szCs w:val="24"/>
          <w:highlight w:val="none"/>
        </w:rPr>
        <w:t>争</w:t>
      </w:r>
      <w:bookmarkEnd w:id="846"/>
      <w:r>
        <w:rPr>
          <w:rStyle w:val="18"/>
          <w:rFonts w:hint="eastAsia" w:ascii="宋体" w:hAnsi="宋体" w:eastAsia="宋体" w:cs="Times New Roman"/>
          <w:color w:val="auto"/>
          <w:sz w:val="24"/>
          <w:szCs w:val="24"/>
          <w:highlight w:val="none"/>
        </w:rPr>
        <w:t>议评审</w:t>
      </w:r>
    </w:p>
    <w:p w14:paraId="2ADFE572">
      <w:pPr>
        <w:pStyle w:val="26"/>
        <w:pageBreakBefore w:val="0"/>
        <w:widowControl w:val="0"/>
        <w:kinsoku/>
        <w:wordWrap/>
        <w:overflowPunct/>
        <w:topLinePunct w:val="0"/>
        <w:bidi w:val="0"/>
        <w:snapToGrid/>
        <w:spacing w:line="440" w:lineRule="exact"/>
        <w:ind w:left="170" w:leftChars="71" w:firstLine="360" w:firstLineChars="15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合同当事人是否同意将工程争议提交争议评审小组决定：</w:t>
      </w:r>
      <w:bookmarkStart w:id="889" w:name="EB6124b10422c742149ccdf028e4792080"/>
      <w:r>
        <w:rPr>
          <w:rStyle w:val="18"/>
          <w:rFonts w:hint="eastAsia" w:ascii="宋体" w:hAnsi="宋体" w:eastAsia="宋体" w:cs="Times New Roman"/>
          <w:color w:val="auto"/>
          <w:sz w:val="24"/>
          <w:szCs w:val="24"/>
          <w:highlight w:val="none"/>
        </w:rPr>
        <w:t>同意</w:t>
      </w:r>
      <w:bookmarkEnd w:id="889"/>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 xml:space="preserve">  </w:t>
      </w:r>
    </w:p>
    <w:p w14:paraId="4B37CA8D">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 xml:space="preserve">20.3.1 </w:t>
      </w:r>
      <w:r>
        <w:rPr>
          <w:rStyle w:val="18"/>
          <w:rFonts w:hint="eastAsia" w:ascii="宋体" w:hAnsi="宋体" w:eastAsia="宋体" w:cs="Times New Roman"/>
          <w:color w:val="auto"/>
          <w:sz w:val="24"/>
          <w:szCs w:val="24"/>
          <w:highlight w:val="none"/>
        </w:rPr>
        <w:t>争议评审小组的确定</w:t>
      </w:r>
    </w:p>
    <w:p w14:paraId="15BB0B0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u w:val="single"/>
        </w:rPr>
      </w:pPr>
      <w:r>
        <w:rPr>
          <w:rStyle w:val="18"/>
          <w:rFonts w:hint="eastAsia" w:ascii="宋体" w:hAnsi="宋体" w:eastAsia="宋体" w:cs="Times New Roman"/>
          <w:color w:val="auto"/>
          <w:sz w:val="24"/>
          <w:szCs w:val="24"/>
          <w:highlight w:val="none"/>
        </w:rPr>
        <w:t>争议评审小组成员的确定：</w:t>
      </w:r>
      <w:bookmarkStart w:id="890" w:name="EBa65c3107c4294a77af66a9ac281a44f2"/>
      <w:r>
        <w:rPr>
          <w:rStyle w:val="18"/>
          <w:rFonts w:hint="eastAsia" w:ascii="宋体" w:hAnsi="宋体" w:eastAsia="宋体" w:cs="Times New Roman"/>
          <w:color w:val="auto"/>
          <w:sz w:val="24"/>
          <w:szCs w:val="24"/>
          <w:highlight w:val="none"/>
        </w:rPr>
        <w:t>按本合同通用条款的本条执行</w:t>
      </w:r>
      <w:bookmarkEnd w:id="890"/>
      <w:r>
        <w:rPr>
          <w:rStyle w:val="18"/>
          <w:rFonts w:hint="eastAsia" w:ascii="宋体" w:hAnsi="宋体" w:eastAsia="宋体" w:cs="Times New Roman"/>
          <w:color w:val="auto"/>
          <w:sz w:val="24"/>
          <w:szCs w:val="24"/>
          <w:highlight w:val="none"/>
        </w:rPr>
        <w:t>。</w:t>
      </w:r>
    </w:p>
    <w:p w14:paraId="3D8C43E1">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选定争议评审员的期限：</w:t>
      </w:r>
      <w:bookmarkStart w:id="891" w:name="EBf99599abdbec4ddfbda76d2da6b0188c"/>
      <w:r>
        <w:rPr>
          <w:rStyle w:val="18"/>
          <w:rFonts w:hint="eastAsia" w:ascii="宋体" w:hAnsi="宋体" w:eastAsia="宋体" w:cs="Times New Roman"/>
          <w:color w:val="auto"/>
          <w:sz w:val="24"/>
          <w:szCs w:val="24"/>
          <w:highlight w:val="none"/>
        </w:rPr>
        <w:t>自收到争议评审申请报告后14天内作出书面决定</w:t>
      </w:r>
      <w:bookmarkEnd w:id="891"/>
      <w:r>
        <w:rPr>
          <w:rStyle w:val="18"/>
          <w:rFonts w:hint="eastAsia" w:ascii="宋体" w:hAnsi="宋体" w:eastAsia="宋体" w:cs="Times New Roman"/>
          <w:color w:val="auto"/>
          <w:sz w:val="24"/>
          <w:szCs w:val="24"/>
          <w:highlight w:val="none"/>
        </w:rPr>
        <w:t>。</w:t>
      </w:r>
    </w:p>
    <w:p w14:paraId="095A97DB">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争议评审小组成员的报酬承担方式：</w:t>
      </w:r>
      <w:bookmarkStart w:id="892" w:name="EB4471107c674e48f2913d035bb388ef60"/>
      <w:r>
        <w:rPr>
          <w:rStyle w:val="18"/>
          <w:rFonts w:hint="eastAsia" w:ascii="宋体" w:hAnsi="宋体" w:eastAsia="宋体" w:cs="Times New Roman"/>
          <w:color w:val="auto"/>
          <w:sz w:val="24"/>
          <w:szCs w:val="24"/>
          <w:highlight w:val="none"/>
        </w:rPr>
        <w:t>共同承担</w:t>
      </w:r>
      <w:bookmarkEnd w:id="892"/>
      <w:r>
        <w:rPr>
          <w:rStyle w:val="18"/>
          <w:rFonts w:hint="eastAsia" w:ascii="宋体" w:hAnsi="宋体" w:eastAsia="宋体" w:cs="Times New Roman"/>
          <w:color w:val="auto"/>
          <w:sz w:val="24"/>
          <w:szCs w:val="24"/>
          <w:highlight w:val="none"/>
        </w:rPr>
        <w:t>。</w:t>
      </w:r>
    </w:p>
    <w:p w14:paraId="35FE52A4">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其他事项的约定：</w:t>
      </w:r>
      <w:bookmarkStart w:id="893" w:name="EB4ef8236cf5424780807ba6873764959b"/>
      <w:r>
        <w:rPr>
          <w:rStyle w:val="18"/>
          <w:rFonts w:hint="eastAsia" w:ascii="宋体" w:hAnsi="宋体" w:eastAsia="宋体" w:cs="Times New Roman"/>
          <w:color w:val="auto"/>
          <w:sz w:val="24"/>
          <w:szCs w:val="24"/>
          <w:highlight w:val="none"/>
        </w:rPr>
        <w:t>无</w:t>
      </w:r>
      <w:bookmarkEnd w:id="893"/>
      <w:r>
        <w:rPr>
          <w:rStyle w:val="18"/>
          <w:rFonts w:hint="eastAsia" w:ascii="宋体" w:hAnsi="宋体" w:eastAsia="宋体" w:cs="Times New Roman"/>
          <w:color w:val="auto"/>
          <w:sz w:val="24"/>
          <w:szCs w:val="24"/>
          <w:highlight w:val="none"/>
        </w:rPr>
        <w:t>。</w:t>
      </w:r>
    </w:p>
    <w:p w14:paraId="68A62CF3">
      <w:pPr>
        <w:pStyle w:val="26"/>
        <w:pageBreakBefore w:val="0"/>
        <w:widowControl w:val="0"/>
        <w:kinsoku/>
        <w:wordWrap/>
        <w:overflowPunct/>
        <w:topLinePunct w:val="0"/>
        <w:autoSpaceDE w:val="0"/>
        <w:autoSpaceDN w:val="0"/>
        <w:bidi w:val="0"/>
        <w:adjustRightInd w:val="0"/>
        <w:snapToGrid/>
        <w:spacing w:line="440" w:lineRule="exact"/>
        <w:ind w:firstLine="480" w:firstLineChars="200"/>
        <w:textAlignment w:val="auto"/>
        <w:rPr>
          <w:rStyle w:val="18"/>
          <w:rFonts w:ascii="宋体" w:hAnsi="宋体" w:eastAsia="宋体" w:cs="Times New Roman"/>
          <w:color w:val="auto"/>
          <w:kern w:val="0"/>
          <w:sz w:val="24"/>
          <w:szCs w:val="24"/>
          <w:highlight w:val="none"/>
        </w:rPr>
      </w:pPr>
      <w:r>
        <w:rPr>
          <w:rStyle w:val="18"/>
          <w:rFonts w:ascii="宋体" w:hAnsi="宋体" w:eastAsia="宋体" w:cs="Times New Roman"/>
          <w:color w:val="auto"/>
          <w:kern w:val="0"/>
          <w:sz w:val="24"/>
          <w:szCs w:val="24"/>
          <w:highlight w:val="none"/>
        </w:rPr>
        <w:t xml:space="preserve">20.3.2 </w:t>
      </w:r>
      <w:r>
        <w:rPr>
          <w:rStyle w:val="18"/>
          <w:rFonts w:hint="eastAsia" w:ascii="宋体" w:hAnsi="宋体" w:eastAsia="宋体" w:cs="Times New Roman"/>
          <w:color w:val="auto"/>
          <w:kern w:val="0"/>
          <w:sz w:val="24"/>
          <w:szCs w:val="24"/>
          <w:highlight w:val="none"/>
        </w:rPr>
        <w:t>争议评审小组的决定</w:t>
      </w:r>
    </w:p>
    <w:p w14:paraId="755EFA5A">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合同当事人关于本项的约定：</w:t>
      </w:r>
      <w:bookmarkStart w:id="894" w:name="EBe0a9099693a342a3a47bd599dc2af796"/>
      <w:r>
        <w:rPr>
          <w:rStyle w:val="18"/>
          <w:rFonts w:hint="eastAsia" w:ascii="宋体" w:hAnsi="宋体" w:eastAsia="宋体" w:cs="Times New Roman"/>
          <w:color w:val="auto"/>
          <w:sz w:val="24"/>
          <w:szCs w:val="24"/>
          <w:highlight w:val="none"/>
        </w:rPr>
        <w:t>按本合同通用条款的本条执行</w:t>
      </w:r>
      <w:bookmarkEnd w:id="894"/>
      <w:r>
        <w:rPr>
          <w:rStyle w:val="18"/>
          <w:rFonts w:hint="eastAsia" w:ascii="宋体" w:hAnsi="宋体" w:eastAsia="宋体" w:cs="Times New Roman"/>
          <w:color w:val="auto"/>
          <w:sz w:val="24"/>
          <w:szCs w:val="24"/>
          <w:highlight w:val="none"/>
        </w:rPr>
        <w:t>。</w:t>
      </w:r>
    </w:p>
    <w:p w14:paraId="30B2B4ED">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ascii="宋体" w:hAnsi="宋体" w:eastAsia="宋体" w:cs="Times New Roman"/>
          <w:color w:val="auto"/>
          <w:sz w:val="24"/>
          <w:szCs w:val="24"/>
          <w:highlight w:val="none"/>
        </w:rPr>
        <w:t>20.4</w:t>
      </w:r>
      <w:r>
        <w:rPr>
          <w:rStyle w:val="18"/>
          <w:rFonts w:hint="eastAsia" w:ascii="宋体" w:hAnsi="宋体" w:eastAsia="宋体" w:cs="Times New Roman"/>
          <w:color w:val="auto"/>
          <w:sz w:val="24"/>
          <w:szCs w:val="24"/>
          <w:highlight w:val="none"/>
        </w:rPr>
        <w:t>仲裁或诉讼</w:t>
      </w:r>
      <w:bookmarkEnd w:id="847"/>
    </w:p>
    <w:p w14:paraId="22960A69">
      <w:pPr>
        <w:pStyle w:val="26"/>
        <w:pageBreakBefore w:val="0"/>
        <w:widowControl w:val="0"/>
        <w:kinsoku/>
        <w:wordWrap/>
        <w:overflowPunct/>
        <w:topLinePunct w:val="0"/>
        <w:bidi w:val="0"/>
        <w:snapToGrid/>
        <w:spacing w:after="120"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因合同及合同有关事项发生的争议，按下列第</w:t>
      </w:r>
      <w:bookmarkStart w:id="895" w:name="EB5fef45aac7d14861ab0a73bea9001218"/>
      <w:r>
        <w:rPr>
          <w:rStyle w:val="18"/>
          <w:rFonts w:hint="eastAsia" w:ascii="宋体" w:hAnsi="宋体" w:eastAsia="宋体" w:cs="Times New Roman"/>
          <w:color w:val="auto"/>
          <w:sz w:val="24"/>
          <w:szCs w:val="24"/>
          <w:highlight w:val="none"/>
        </w:rPr>
        <w:t>2</w:t>
      </w:r>
      <w:bookmarkEnd w:id="895"/>
      <w:r>
        <w:rPr>
          <w:rStyle w:val="18"/>
          <w:rFonts w:hint="eastAsia" w:ascii="宋体" w:hAnsi="宋体" w:eastAsia="宋体" w:cs="Times New Roman"/>
          <w:color w:val="auto"/>
          <w:sz w:val="24"/>
          <w:szCs w:val="24"/>
          <w:highlight w:val="none"/>
        </w:rPr>
        <w:t>种方式解决：</w:t>
      </w:r>
    </w:p>
    <w:p w14:paraId="41C35996">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1</w:t>
      </w:r>
      <w:r>
        <w:rPr>
          <w:rStyle w:val="18"/>
          <w:rFonts w:hint="eastAsia" w:ascii="宋体" w:hAnsi="宋体" w:eastAsia="宋体" w:cs="Times New Roman"/>
          <w:color w:val="auto"/>
          <w:sz w:val="24"/>
          <w:szCs w:val="24"/>
          <w:highlight w:val="none"/>
        </w:rPr>
        <w:t>）向</w:t>
      </w:r>
      <w:bookmarkStart w:id="896" w:name="EB43d71965f213488583eda7f723ac65a0"/>
      <w:bookmarkEnd w:id="896"/>
      <w:r>
        <w:rPr>
          <w:rStyle w:val="18"/>
          <w:rFonts w:hint="eastAsia" w:ascii="宋体" w:hAnsi="宋体" w:eastAsia="宋体" w:cs="Times New Roman"/>
          <w:color w:val="auto"/>
          <w:sz w:val="24"/>
          <w:szCs w:val="24"/>
          <w:highlight w:val="none"/>
        </w:rPr>
        <w:t>仲裁委员会申请仲裁；</w:t>
      </w:r>
    </w:p>
    <w:p w14:paraId="76000953">
      <w:pPr>
        <w:pStyle w:val="26"/>
        <w:pageBreakBefore w:val="0"/>
        <w:widowControl w:val="0"/>
        <w:kinsoku/>
        <w:wordWrap/>
        <w:overflowPunct/>
        <w:topLinePunct w:val="0"/>
        <w:bidi w:val="0"/>
        <w:snapToGrid/>
        <w:spacing w:line="440" w:lineRule="exact"/>
        <w:ind w:firstLine="480" w:firstLineChars="200"/>
        <w:textAlignment w:val="auto"/>
        <w:rPr>
          <w:rStyle w:val="18"/>
          <w:rFonts w:ascii="宋体" w:hAnsi="宋体" w:eastAsia="宋体" w:cs="Times New Roman"/>
          <w:color w:val="auto"/>
          <w:sz w:val="24"/>
          <w:szCs w:val="24"/>
          <w:highlight w:val="none"/>
        </w:rPr>
      </w:pPr>
      <w:r>
        <w:rPr>
          <w:rStyle w:val="18"/>
          <w:rFonts w:hint="eastAsia" w:ascii="宋体" w:hAnsi="宋体" w:eastAsia="宋体" w:cs="Times New Roman"/>
          <w:color w:val="auto"/>
          <w:sz w:val="24"/>
          <w:szCs w:val="24"/>
          <w:highlight w:val="none"/>
        </w:rPr>
        <w:t>（</w:t>
      </w:r>
      <w:r>
        <w:rPr>
          <w:rStyle w:val="18"/>
          <w:rFonts w:ascii="宋体" w:hAnsi="宋体" w:eastAsia="宋体" w:cs="Times New Roman"/>
          <w:color w:val="auto"/>
          <w:sz w:val="24"/>
          <w:szCs w:val="24"/>
          <w:highlight w:val="none"/>
        </w:rPr>
        <w:t>2</w:t>
      </w:r>
      <w:r>
        <w:rPr>
          <w:rStyle w:val="18"/>
          <w:rFonts w:hint="eastAsia" w:ascii="宋体" w:hAnsi="宋体" w:eastAsia="宋体" w:cs="Times New Roman"/>
          <w:color w:val="auto"/>
          <w:sz w:val="24"/>
          <w:szCs w:val="24"/>
          <w:highlight w:val="none"/>
        </w:rPr>
        <w:t>）向</w:t>
      </w:r>
      <w:bookmarkStart w:id="897" w:name="EB232fcfb5d5014ff1a22d7ea576c5222b"/>
      <w:r>
        <w:rPr>
          <w:rStyle w:val="18"/>
          <w:rFonts w:hint="eastAsia" w:ascii="宋体" w:hAnsi="宋体" w:eastAsia="宋体" w:cs="Times New Roman"/>
          <w:color w:val="auto"/>
          <w:sz w:val="24"/>
          <w:szCs w:val="24"/>
          <w:highlight w:val="none"/>
        </w:rPr>
        <w:t>工程所在地</w:t>
      </w:r>
      <w:bookmarkEnd w:id="897"/>
      <w:r>
        <w:rPr>
          <w:rStyle w:val="18"/>
          <w:rFonts w:hint="eastAsia" w:ascii="宋体" w:hAnsi="宋体" w:eastAsia="宋体" w:cs="Times New Roman"/>
          <w:color w:val="auto"/>
          <w:sz w:val="24"/>
          <w:szCs w:val="24"/>
          <w:highlight w:val="none"/>
        </w:rPr>
        <w:t>人民法院起诉。</w:t>
      </w:r>
      <w:bookmarkEnd w:id="848"/>
      <w:bookmarkEnd w:id="849"/>
      <w:bookmarkEnd w:id="850"/>
      <w:bookmarkEnd w:id="851"/>
      <w:bookmarkEnd w:id="852"/>
      <w:bookmarkEnd w:id="853"/>
    </w:p>
    <w:p w14:paraId="317D7B39">
      <w:pPr>
        <w:jc w:val="center"/>
        <w:outlineLvl w:val="1"/>
        <w:rPr>
          <w:rFonts w:ascii="宋体" w:hAnsi="宋体"/>
          <w:color w:val="auto"/>
          <w:sz w:val="24"/>
          <w:szCs w:val="24"/>
          <w:highlight w:val="none"/>
        </w:rPr>
      </w:pPr>
    </w:p>
    <w:p w14:paraId="188DDAC2">
      <w:pPr>
        <w:jc w:val="center"/>
        <w:outlineLvl w:val="1"/>
        <w:rPr>
          <w:rFonts w:ascii="宋体" w:hAnsi="宋体"/>
          <w:color w:val="auto"/>
          <w:sz w:val="24"/>
          <w:szCs w:val="24"/>
          <w:highlight w:val="none"/>
        </w:rPr>
      </w:pPr>
    </w:p>
    <w:p w14:paraId="0ADF5571">
      <w:pPr>
        <w:pStyle w:val="6"/>
        <w:rPr>
          <w:rFonts w:ascii="宋体" w:hAnsi="宋体"/>
          <w:color w:val="auto"/>
          <w:sz w:val="24"/>
          <w:szCs w:val="24"/>
          <w:highlight w:val="none"/>
        </w:rPr>
      </w:pPr>
    </w:p>
    <w:p w14:paraId="2859D7C2">
      <w:pPr>
        <w:pStyle w:val="6"/>
        <w:rPr>
          <w:rFonts w:ascii="宋体" w:hAnsi="宋体"/>
          <w:color w:val="auto"/>
          <w:sz w:val="24"/>
          <w:szCs w:val="24"/>
          <w:highlight w:val="none"/>
        </w:rPr>
      </w:pPr>
    </w:p>
    <w:p w14:paraId="6F3C9E8B">
      <w:pPr>
        <w:pStyle w:val="6"/>
        <w:rPr>
          <w:rFonts w:ascii="宋体" w:hAnsi="宋体"/>
          <w:color w:val="auto"/>
          <w:sz w:val="24"/>
          <w:szCs w:val="24"/>
          <w:highlight w:val="none"/>
        </w:rPr>
      </w:pPr>
    </w:p>
    <w:p w14:paraId="3A5D6516">
      <w:pPr>
        <w:pStyle w:val="6"/>
        <w:rPr>
          <w:rFonts w:ascii="宋体" w:hAnsi="宋体"/>
          <w:color w:val="auto"/>
          <w:sz w:val="24"/>
          <w:szCs w:val="24"/>
          <w:highlight w:val="none"/>
        </w:rPr>
      </w:pPr>
    </w:p>
    <w:bookmarkEnd w:id="132"/>
    <w:p w14:paraId="0826A2D6">
      <w:pPr>
        <w:outlineLvl w:val="2"/>
        <w:rPr>
          <w:rFonts w:ascii="Times New Roman" w:hAnsi="Times New Roman"/>
          <w:color w:val="auto"/>
          <w:sz w:val="24"/>
          <w:szCs w:val="24"/>
          <w:highlight w:val="none"/>
        </w:rPr>
      </w:pPr>
      <w:bookmarkStart w:id="898" w:name="_Toc256000141"/>
      <w:r>
        <w:rPr>
          <w:rFonts w:hint="eastAsia" w:ascii="Times New Roman" w:hAnsi="Times New Roman"/>
          <w:color w:val="auto"/>
          <w:sz w:val="24"/>
          <w:szCs w:val="24"/>
          <w:highlight w:val="none"/>
        </w:rPr>
        <w:t>附件一：</w:t>
      </w:r>
      <w:r>
        <w:rPr>
          <w:rFonts w:hint="eastAsia" w:ascii="宋体" w:hAnsi="宋体"/>
          <w:color w:val="auto"/>
          <w:sz w:val="24"/>
          <w:szCs w:val="24"/>
          <w:highlight w:val="none"/>
        </w:rPr>
        <w:t>合同协议书</w:t>
      </w:r>
      <w:bookmarkEnd w:id="898"/>
    </w:p>
    <w:p w14:paraId="55762B0F">
      <w:pPr>
        <w:jc w:val="center"/>
        <w:rPr>
          <w:rFonts w:ascii="宋体" w:hAnsi="宋体" w:cs="宋体"/>
          <w:bCs/>
          <w:color w:val="auto"/>
          <w:sz w:val="24"/>
          <w:szCs w:val="24"/>
          <w:highlight w:val="none"/>
        </w:rPr>
      </w:pPr>
      <w:r>
        <w:rPr>
          <w:rFonts w:hint="eastAsia" w:ascii="宋体" w:hAnsi="宋体" w:cs="宋体"/>
          <w:bCs/>
          <w:color w:val="auto"/>
          <w:sz w:val="24"/>
          <w:szCs w:val="24"/>
          <w:highlight w:val="none"/>
        </w:rPr>
        <w:t>合同协议书</w:t>
      </w:r>
    </w:p>
    <w:p w14:paraId="59852890">
      <w:pPr>
        <w:spacing w:line="500" w:lineRule="exact"/>
        <w:rPr>
          <w:rFonts w:ascii="宋体" w:hAnsi="宋体" w:cs="宋体"/>
          <w:color w:val="auto"/>
          <w:sz w:val="24"/>
          <w:szCs w:val="24"/>
          <w:highlight w:val="none"/>
        </w:rPr>
      </w:pPr>
      <w:r>
        <w:rPr>
          <w:rFonts w:hint="eastAsia" w:ascii="宋体" w:hAnsi="宋体" w:cs="宋体"/>
          <w:color w:val="auto"/>
          <w:szCs w:val="24"/>
          <w:highlight w:val="none"/>
        </w:rPr>
        <w:t>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(发包人名称，以下简称“发包人”)为实施</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(项目名称)，已接受</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(承包人名称，以下简称“承包人”)</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对(项目名称)</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(标段名称)的投标，并确定其为中标人。发包人和承包人共同达成如下协议。</w:t>
      </w:r>
    </w:p>
    <w:p w14:paraId="5B448576">
      <w:pPr>
        <w:spacing w:line="500" w:lineRule="exact"/>
        <w:rPr>
          <w:rFonts w:ascii="宋体" w:hAnsi="宋体" w:cs="宋体"/>
          <w:color w:val="auto"/>
          <w:sz w:val="24"/>
          <w:szCs w:val="24"/>
          <w:highlight w:val="none"/>
        </w:rPr>
      </w:pPr>
      <w:r>
        <w:rPr>
          <w:rFonts w:hint="eastAsia" w:ascii="宋体" w:hAnsi="宋体" w:cs="宋体"/>
          <w:color w:val="auto"/>
          <w:szCs w:val="24"/>
          <w:highlight w:val="none"/>
        </w:rPr>
        <w:t xml:space="preserve">　 </w:t>
      </w:r>
      <w:r>
        <w:rPr>
          <w:rFonts w:hint="eastAsia" w:ascii="宋体" w:hAnsi="宋体" w:cs="宋体"/>
          <w:color w:val="auto"/>
          <w:sz w:val="24"/>
          <w:szCs w:val="24"/>
          <w:highlight w:val="none"/>
        </w:rPr>
        <w:t>1.本协议书与下列文件一起构成合同文件：</w:t>
      </w:r>
    </w:p>
    <w:p w14:paraId="3FEF6406">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(1)中标通知书；</w:t>
      </w:r>
    </w:p>
    <w:p w14:paraId="2E8D0C54">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(2)投标函及投标函附录；</w:t>
      </w:r>
    </w:p>
    <w:p w14:paraId="47B48E46">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(3)专用合同条款；</w:t>
      </w:r>
    </w:p>
    <w:p w14:paraId="73D26607">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(4)通用合同条款；</w:t>
      </w:r>
    </w:p>
    <w:p w14:paraId="50113B63">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(5)技术标准和要求(合同技术条款)；</w:t>
      </w:r>
    </w:p>
    <w:p w14:paraId="4E5DEF60">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(6)图纸；</w:t>
      </w:r>
    </w:p>
    <w:p w14:paraId="166103A7">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(7)已标价工程量清单；</w:t>
      </w:r>
    </w:p>
    <w:p w14:paraId="63EAA6D1">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(8)其它合同文件。</w:t>
      </w:r>
    </w:p>
    <w:p w14:paraId="473AE513">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2.上述文件互相补充和解释，如有不明确或不一致之处，以合同约定次序在先者为准。</w:t>
      </w:r>
    </w:p>
    <w:p w14:paraId="267741BF">
      <w:pPr>
        <w:spacing w:line="500" w:lineRule="exact"/>
        <w:rPr>
          <w:rFonts w:ascii="宋体" w:hAnsi="宋体" w:cs="宋体"/>
          <w:color w:val="auto"/>
          <w:sz w:val="24"/>
          <w:szCs w:val="24"/>
          <w:highlight w:val="none"/>
        </w:rPr>
      </w:pPr>
      <w:r>
        <w:rPr>
          <w:rFonts w:hint="eastAsia" w:ascii="宋体" w:hAnsi="宋体" w:cs="宋体"/>
          <w:color w:val="auto"/>
          <w:szCs w:val="24"/>
          <w:highlight w:val="none"/>
        </w:rPr>
        <w:t xml:space="preserve">　 </w:t>
      </w:r>
      <w:r>
        <w:rPr>
          <w:rFonts w:hint="eastAsia" w:ascii="宋体" w:hAnsi="宋体" w:cs="宋体"/>
          <w:color w:val="auto"/>
          <w:sz w:val="24"/>
          <w:szCs w:val="24"/>
          <w:highlight w:val="none"/>
        </w:rPr>
        <w:t>3.签约合同价：人民币(大写)　　　　　元(￥　　　　　元)。</w:t>
      </w:r>
    </w:p>
    <w:p w14:paraId="7C454580">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4.承包人项目经理：　　　　。</w:t>
      </w:r>
    </w:p>
    <w:p w14:paraId="3E8D5917">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5.工程质量符合　　　　标准。</w:t>
      </w:r>
    </w:p>
    <w:p w14:paraId="05440B0A">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6.承包人承诺按合同约定承担工程的实施、完成及缺陷修复。</w:t>
      </w:r>
    </w:p>
    <w:p w14:paraId="293DEE14">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7.发包人承诺按合同约定的条件、时间和方式向承包人支付合同价款。</w:t>
      </w:r>
    </w:p>
    <w:p w14:paraId="09BE37ED">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8.承包人承诺执行监理人开工通知，计划工期为　　　天。</w:t>
      </w:r>
    </w:p>
    <w:p w14:paraId="6B8D59AF">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9.本协议书一式　　份，合同双方各执一份。</w:t>
      </w:r>
    </w:p>
    <w:p w14:paraId="385B7165">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10.合同未尽事宜，双方另行签订补充协议。补充协议是合同的组成部分。</w:t>
      </w:r>
    </w:p>
    <w:p w14:paraId="432F0EE0">
      <w:pPr>
        <w:spacing w:line="5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发包人：　　　　(盖单位章)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承包人：　　　　　(盖单位章)</w:t>
      </w:r>
    </w:p>
    <w:p w14:paraId="472AF18D">
      <w:pPr>
        <w:spacing w:line="5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法定代表人或其委托代理人：　　(签字)　法定代表人或其委托代理人：　　　(签字)</w:t>
      </w:r>
    </w:p>
    <w:p w14:paraId="327F22A0">
      <w:pPr>
        <w:spacing w:line="500" w:lineRule="exact"/>
        <w:rPr>
          <w:rFonts w:ascii="宋体" w:hAnsi="宋体" w:cs="宋体"/>
          <w:color w:val="auto"/>
          <w:sz w:val="24"/>
          <w:szCs w:val="24"/>
          <w:highlight w:val="none"/>
        </w:rPr>
      </w:pPr>
      <w:r>
        <w:rPr>
          <w:rFonts w:hint="eastAsia" w:ascii="宋体" w:hAnsi="宋体" w:cs="宋体"/>
          <w:color w:val="auto"/>
          <w:szCs w:val="24"/>
          <w:highlight w:val="none"/>
        </w:rPr>
        <w:t>　　　　</w:t>
      </w:r>
      <w:r>
        <w:rPr>
          <w:rFonts w:hint="eastAsia" w:ascii="宋体" w:hAnsi="宋体" w:cs="宋体"/>
          <w:color w:val="auto"/>
          <w:sz w:val="24"/>
          <w:szCs w:val="24"/>
          <w:highlight w:val="none"/>
        </w:rPr>
        <w:t>年　　月　　日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　　月　　日</w:t>
      </w:r>
    </w:p>
    <w:p w14:paraId="70EE3168">
      <w:pPr>
        <w:rPr>
          <w:rFonts w:ascii="Times New Roman" w:hAnsi="Times New Roman"/>
          <w:color w:val="auto"/>
          <w:szCs w:val="24"/>
          <w:highlight w:val="none"/>
        </w:rPr>
      </w:pPr>
    </w:p>
    <w:p w14:paraId="104D897E">
      <w:pPr>
        <w:outlineLvl w:val="2"/>
        <w:rPr>
          <w:rFonts w:ascii="Times New Roman" w:hAnsi="Times New Roman"/>
          <w:color w:val="auto"/>
          <w:szCs w:val="24"/>
          <w:highlight w:val="none"/>
        </w:rPr>
      </w:pPr>
      <w:r>
        <w:rPr>
          <w:rFonts w:hint="eastAsia" w:ascii="Times New Roman" w:hAnsi="Times New Roman"/>
          <w:color w:val="auto"/>
          <w:szCs w:val="24"/>
          <w:highlight w:val="none"/>
        </w:rPr>
        <w:br w:type="page"/>
      </w:r>
      <w:bookmarkStart w:id="899" w:name="_Toc256000142"/>
      <w:r>
        <w:rPr>
          <w:rFonts w:hint="eastAsia" w:ascii="Times New Roman" w:hAnsi="Times New Roman"/>
          <w:color w:val="auto"/>
          <w:sz w:val="24"/>
          <w:szCs w:val="24"/>
          <w:highlight w:val="none"/>
        </w:rPr>
        <w:t>附件二：</w:t>
      </w:r>
      <w:r>
        <w:rPr>
          <w:rFonts w:hint="eastAsia" w:ascii="宋体" w:hAnsi="宋体"/>
          <w:color w:val="auto"/>
          <w:sz w:val="24"/>
          <w:szCs w:val="24"/>
          <w:highlight w:val="none"/>
        </w:rPr>
        <w:t>履约担保</w:t>
      </w:r>
      <w:bookmarkEnd w:id="899"/>
    </w:p>
    <w:p w14:paraId="4DAE4C2B">
      <w:pPr>
        <w:spacing w:line="500" w:lineRule="exact"/>
        <w:jc w:val="center"/>
        <w:rPr>
          <w:rFonts w:ascii="宋体" w:hAnsi="宋体" w:cs="宋体"/>
          <w:bCs/>
          <w:color w:val="auto"/>
          <w:sz w:val="24"/>
          <w:szCs w:val="24"/>
          <w:highlight w:val="none"/>
        </w:rPr>
      </w:pPr>
      <w:r>
        <w:rPr>
          <w:rFonts w:hint="eastAsia" w:ascii="宋体" w:hAnsi="宋体" w:cs="宋体"/>
          <w:bCs/>
          <w:color w:val="auto"/>
          <w:sz w:val="24"/>
          <w:szCs w:val="24"/>
          <w:highlight w:val="none"/>
        </w:rPr>
        <w:t>履约担保</w:t>
      </w:r>
    </w:p>
    <w:p w14:paraId="57AE752B">
      <w:pPr>
        <w:spacing w:line="500" w:lineRule="exact"/>
        <w:jc w:val="left"/>
        <w:rPr>
          <w:rFonts w:ascii="宋体" w:hAnsi="宋体" w:cs="宋体"/>
          <w:color w:val="auto"/>
          <w:sz w:val="24"/>
          <w:szCs w:val="24"/>
          <w:highlight w:val="none"/>
        </w:rPr>
      </w:pPr>
    </w:p>
    <w:p w14:paraId="4DE99B30">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rPr>
        <w:t>(发包人名称)：</w:t>
      </w:r>
    </w:p>
    <w:p w14:paraId="32B51E4F">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鉴于　　　　(发包人名称，以下简称“发包人”)已接受　　　　(承包人名称，以下简称“承包人”)于　　　　年　　月　　日递交的　　　　　(项目名称)　　　　(标段名称)的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。我方愿意无条件地、不可撤销地就承包人履行与你方订立的合同，向你方提供担保。</w:t>
      </w:r>
    </w:p>
    <w:p w14:paraId="7EBC38FC">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1.担保金额人民币(大写)　　　　　　元(￥　　　　　　元)。</w:t>
      </w:r>
    </w:p>
    <w:p w14:paraId="3B102A0F">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2.担保有效期自发包人与承包人签订的合同生效之日起至发包人签发合同工程完工证书之日止。</w:t>
      </w:r>
    </w:p>
    <w:p w14:paraId="41416624">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3.在本担保有效期内，因承包人违反合同约定的义务给你方造成经济损失时，我方在收到你方以书面形式提出的在担保金额内的赔偿要求后，无条件地在7天内予以支付。</w:t>
      </w:r>
    </w:p>
    <w:p w14:paraId="6E2B123F">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4.发包人和承包人按《通用合同条款》第15条变更合同时，我方承担本担保规定的义务不变。</w:t>
      </w:r>
    </w:p>
    <w:p w14:paraId="11AE63BF">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担保人：　　　　　　　　　　　(盖单位章)</w:t>
      </w:r>
    </w:p>
    <w:p w14:paraId="32142DC2">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法定代表人或其委托代理人：　　　　(签字)</w:t>
      </w:r>
    </w:p>
    <w:p w14:paraId="4A706828">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地址：　　　　　　　　　　　　　　　　　</w:t>
      </w:r>
    </w:p>
    <w:p w14:paraId="46B22E15">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邮政编码：　　　　　　　　　　　　　　　</w:t>
      </w:r>
    </w:p>
    <w:p w14:paraId="2BDCCD22">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电话：　　　　　　　　　　　　　　　　　</w:t>
      </w:r>
    </w:p>
    <w:p w14:paraId="758F0F85">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传真：　　　　　　　　　　　　　　　　　</w:t>
      </w:r>
    </w:p>
    <w:p w14:paraId="53B52A7A">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年　　月　　日</w:t>
      </w:r>
    </w:p>
    <w:p w14:paraId="349859C0">
      <w:pPr>
        <w:spacing w:line="500" w:lineRule="exact"/>
        <w:rPr>
          <w:rFonts w:ascii="宋体" w:hAnsi="宋体" w:cs="宋体"/>
          <w:color w:val="auto"/>
          <w:sz w:val="24"/>
          <w:szCs w:val="24"/>
          <w:highlight w:val="none"/>
        </w:rPr>
      </w:pPr>
    </w:p>
    <w:p w14:paraId="64F821CE">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注：委托代理人应附授权委托书。</w:t>
      </w:r>
    </w:p>
    <w:p w14:paraId="407D7076">
      <w:pPr>
        <w:rPr>
          <w:rFonts w:ascii="Times New Roman" w:hAnsi="Times New Roman"/>
          <w:color w:val="auto"/>
          <w:szCs w:val="24"/>
          <w:highlight w:val="none"/>
        </w:rPr>
      </w:pPr>
    </w:p>
    <w:p w14:paraId="6DE0253B">
      <w:pPr>
        <w:rPr>
          <w:rFonts w:ascii="Times New Roman" w:hAnsi="Times New Roman"/>
          <w:color w:val="auto"/>
          <w:szCs w:val="24"/>
          <w:highlight w:val="none"/>
        </w:rPr>
      </w:pPr>
    </w:p>
    <w:p w14:paraId="0D7F8F77">
      <w:pPr>
        <w:rPr>
          <w:rFonts w:ascii="Times New Roman" w:hAnsi="Times New Roman"/>
          <w:color w:val="auto"/>
          <w:szCs w:val="24"/>
          <w:highlight w:val="none"/>
        </w:rPr>
      </w:pPr>
    </w:p>
    <w:p w14:paraId="1267A809">
      <w:pPr>
        <w:rPr>
          <w:rFonts w:ascii="Times New Roman" w:hAnsi="Times New Roman"/>
          <w:color w:val="auto"/>
          <w:szCs w:val="24"/>
          <w:highlight w:val="none"/>
        </w:rPr>
      </w:pPr>
    </w:p>
    <w:p w14:paraId="6CF89F18">
      <w:pPr>
        <w:rPr>
          <w:rFonts w:ascii="Times New Roman" w:hAnsi="Times New Roman"/>
          <w:color w:val="auto"/>
          <w:szCs w:val="24"/>
          <w:highlight w:val="none"/>
        </w:rPr>
      </w:pPr>
    </w:p>
    <w:p w14:paraId="7F13EE0B">
      <w:pPr>
        <w:outlineLvl w:val="2"/>
        <w:rPr>
          <w:rFonts w:ascii="宋体" w:hAnsi="宋体" w:cs="宋体"/>
          <w:color w:val="auto"/>
          <w:sz w:val="24"/>
          <w:szCs w:val="24"/>
          <w:highlight w:val="none"/>
        </w:rPr>
      </w:pPr>
      <w:r>
        <w:rPr>
          <w:rFonts w:hint="eastAsia" w:ascii="Times New Roman" w:hAnsi="Times New Roman"/>
          <w:color w:val="auto"/>
          <w:szCs w:val="24"/>
          <w:highlight w:val="none"/>
        </w:rPr>
        <w:br w:type="page"/>
      </w:r>
      <w:bookmarkStart w:id="900" w:name="_Toc256000143"/>
      <w:r>
        <w:rPr>
          <w:rFonts w:hint="eastAsia" w:ascii="宋体" w:hAnsi="宋体" w:cs="宋体"/>
          <w:color w:val="auto"/>
          <w:sz w:val="24"/>
          <w:szCs w:val="24"/>
          <w:highlight w:val="none"/>
        </w:rPr>
        <w:t>附件三：预付款担保函</w:t>
      </w:r>
      <w:bookmarkEnd w:id="900"/>
    </w:p>
    <w:p w14:paraId="26EC2E3B">
      <w:pPr>
        <w:rPr>
          <w:rFonts w:ascii="宋体" w:hAnsi="宋体" w:cs="宋体"/>
          <w:color w:val="auto"/>
          <w:sz w:val="24"/>
          <w:szCs w:val="24"/>
          <w:highlight w:val="none"/>
        </w:rPr>
      </w:pPr>
    </w:p>
    <w:p w14:paraId="37E0563A">
      <w:pPr>
        <w:jc w:val="center"/>
        <w:rPr>
          <w:rFonts w:ascii="宋体" w:hAnsi="宋体" w:cs="宋体"/>
          <w:color w:val="auto"/>
          <w:sz w:val="24"/>
          <w:szCs w:val="24"/>
          <w:highlight w:val="none"/>
        </w:rPr>
      </w:pPr>
      <w:r>
        <w:rPr>
          <w:rFonts w:hint="eastAsia" w:ascii="宋体" w:hAnsi="宋体" w:cs="宋体"/>
          <w:color w:val="auto"/>
          <w:sz w:val="24"/>
          <w:szCs w:val="24"/>
          <w:highlight w:val="none"/>
        </w:rPr>
        <w:t>预付款担保函</w:t>
      </w:r>
    </w:p>
    <w:p w14:paraId="12811545">
      <w:pPr>
        <w:spacing w:line="500" w:lineRule="exact"/>
        <w:rPr>
          <w:rFonts w:ascii="宋体" w:hAnsi="宋体" w:cs="宋体"/>
          <w:color w:val="auto"/>
          <w:sz w:val="24"/>
          <w:szCs w:val="24"/>
          <w:highlight w:val="none"/>
        </w:rPr>
      </w:pPr>
      <w:r>
        <w:rPr>
          <w:rFonts w:hint="eastAsia" w:ascii="Times New Roman" w:hAnsi="Times New Roman"/>
          <w:color w:val="auto"/>
          <w:szCs w:val="24"/>
          <w:highlight w:val="none"/>
        </w:rPr>
        <w:t>　　</w:t>
      </w:r>
      <w:r>
        <w:rPr>
          <w:rFonts w:hint="eastAsia" w:ascii="宋体" w:hAnsi="宋体" w:cs="宋体"/>
          <w:color w:val="auto"/>
          <w:sz w:val="24"/>
          <w:szCs w:val="24"/>
          <w:highlight w:val="none"/>
        </w:rPr>
        <w:t>___________(发包人名称)：</w:t>
      </w:r>
    </w:p>
    <w:p w14:paraId="7A5480F1">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根据　　　　　　　(承包人名称，以下简称“承包人”)与　　　　　(发包人名称，以下简称“发包人”)于　　　　年　　月　　日签订的　　　　　　　(项目名称)　　　　　　　(标段名称)合同协议书，承包人按约定的金额向发包人提交一份预付款担保，即有权得到发包人支付相等金额的预付款。我方愿意就你方提供给承包人的预付款提供担保。</w:t>
      </w:r>
    </w:p>
    <w:p w14:paraId="05BFC720">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1.担保金额人民币(大写)　　　　　元(￥　　　　元)。</w:t>
      </w:r>
    </w:p>
    <w:p w14:paraId="33A54A15">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2.担保有效期自预付款支付给承包人起生效，至发包人签发的进度付款证书说明预付款已完全扣清止。</w:t>
      </w:r>
    </w:p>
    <w:p w14:paraId="3A11E760">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3.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p>
    <w:p w14:paraId="01D11A2F">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4.发包人和承包人按《通用合同条款》第15条变更合同时，我方承担本担保规定的义务不变。</w:t>
      </w:r>
    </w:p>
    <w:p w14:paraId="6FD41066">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担保人：　　　　　　　　　　　　(盖单位章)</w:t>
      </w:r>
    </w:p>
    <w:p w14:paraId="31E0B1E6">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法定代表人或其委托代理人：　　　　　(签字)</w:t>
      </w:r>
    </w:p>
    <w:p w14:paraId="28D92C1E">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地址：　　　　　　　　　　　　　　　　　</w:t>
      </w:r>
    </w:p>
    <w:p w14:paraId="3A9BF1F6">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邮政编码：　　　　　　　　　　　　　　　</w:t>
      </w:r>
    </w:p>
    <w:p w14:paraId="72CCE1CC">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电话：　　　　　　　　　　　　　　　　　</w:t>
      </w:r>
    </w:p>
    <w:p w14:paraId="7A2DCD45">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传真：　　　　　　　　　　　　　　　　　</w:t>
      </w:r>
    </w:p>
    <w:p w14:paraId="31BF4D2C">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年　　月　　日</w:t>
      </w:r>
    </w:p>
    <w:p w14:paraId="0CBFBC52">
      <w:pPr>
        <w:spacing w:line="500" w:lineRule="exact"/>
        <w:rPr>
          <w:rFonts w:ascii="宋体" w:hAnsi="宋体" w:cs="宋体"/>
          <w:color w:val="auto"/>
          <w:sz w:val="24"/>
          <w:szCs w:val="24"/>
          <w:highlight w:val="none"/>
        </w:rPr>
      </w:pPr>
    </w:p>
    <w:p w14:paraId="11182E55">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　　注：委托代理人应附授权委托书。</w:t>
      </w:r>
    </w:p>
    <w:p w14:paraId="42CC441C">
      <w:pPr>
        <w:adjustRightInd w:val="0"/>
        <w:snapToGrid w:val="0"/>
        <w:spacing w:line="500" w:lineRule="atLeast"/>
        <w:rPr>
          <w:rFonts w:hint="eastAsia" w:ascii="宋体" w:hAnsi="宋体" w:eastAsia="宋体" w:cs="宋体"/>
          <w:color w:val="auto"/>
          <w:sz w:val="24"/>
          <w:highlight w:val="none"/>
          <w:u w:val="single"/>
        </w:rPr>
      </w:pPr>
    </w:p>
    <w:p w14:paraId="6B26C0F2">
      <w:pPr>
        <w:jc w:val="center"/>
        <w:rPr>
          <w:rFonts w:hint="eastAsia"/>
          <w:b/>
          <w:bCs/>
          <w:color w:val="auto"/>
          <w:highlight w:val="none"/>
        </w:rPr>
      </w:pPr>
    </w:p>
    <w:p w14:paraId="5B68B725">
      <w:pPr>
        <w:pStyle w:val="5"/>
        <w:rPr>
          <w:rFonts w:hint="eastAsia"/>
          <w:b/>
          <w:bCs/>
          <w:color w:val="auto"/>
          <w:highlight w:val="none"/>
        </w:rPr>
      </w:pPr>
    </w:p>
    <w:p w14:paraId="40A21AD4">
      <w:pPr>
        <w:rPr>
          <w:rFonts w:hint="eastAsia"/>
          <w:color w:val="auto"/>
          <w:highlight w:val="none"/>
        </w:rPr>
      </w:pPr>
    </w:p>
    <w:p w14:paraId="05067DC0">
      <w:pPr>
        <w:jc w:val="center"/>
        <w:rPr>
          <w:rFonts w:hint="eastAsia" w:ascii="宋体"/>
          <w:b/>
          <w:color w:val="auto"/>
          <w:sz w:val="24"/>
          <w:highlight w:val="none"/>
        </w:rPr>
      </w:pPr>
      <w:r>
        <w:rPr>
          <w:rFonts w:hint="eastAsia" w:ascii="宋体"/>
          <w:b/>
          <w:color w:val="auto"/>
          <w:sz w:val="24"/>
          <w:highlight w:val="none"/>
        </w:rPr>
        <w:t xml:space="preserve"> </w:t>
      </w:r>
    </w:p>
    <w:bookmarkEnd w:id="84"/>
    <w:bookmarkEnd w:id="85"/>
    <w:bookmarkEnd w:id="86"/>
    <w:bookmarkEnd w:id="87"/>
    <w:bookmarkEnd w:id="88"/>
    <w:p w14:paraId="0281CCCA">
      <w:pPr>
        <w:jc w:val="left"/>
        <w:rPr>
          <w:rFonts w:hint="eastAsia" w:eastAsia="仿宋_GB2312"/>
          <w:bCs/>
          <w:color w:val="auto"/>
          <w:sz w:val="30"/>
          <w:szCs w:val="30"/>
          <w:highlight w:val="none"/>
        </w:rPr>
      </w:pPr>
      <w:bookmarkStart w:id="901" w:name="_Toc20659"/>
      <w:bookmarkStart w:id="902" w:name="_Toc23170"/>
    </w:p>
    <w:p w14:paraId="15CB12D9">
      <w:pPr>
        <w:pStyle w:val="27"/>
        <w:rPr>
          <w:rFonts w:hint="eastAsia"/>
          <w:color w:val="auto"/>
          <w:highlight w:val="none"/>
        </w:rPr>
      </w:pPr>
    </w:p>
    <w:p w14:paraId="546870A1">
      <w:pPr>
        <w:pStyle w:val="2"/>
        <w:pageBreakBefore w:val="0"/>
        <w:kinsoku/>
        <w:wordWrap/>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 xml:space="preserve">  </w:t>
      </w:r>
      <w:bookmarkStart w:id="903" w:name="_Toc3856"/>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val="en-US" w:eastAsia="zh-CN"/>
        </w:rPr>
        <w:t>五</w:t>
      </w:r>
      <w:r>
        <w:rPr>
          <w:rFonts w:hint="eastAsia" w:ascii="宋体" w:hAnsi="宋体" w:eastAsia="宋体" w:cs="宋体"/>
          <w:color w:val="auto"/>
          <w:sz w:val="32"/>
          <w:szCs w:val="32"/>
          <w:highlight w:val="none"/>
        </w:rPr>
        <w:t xml:space="preserve">章  </w:t>
      </w:r>
      <w:r>
        <w:rPr>
          <w:rFonts w:hint="eastAsia" w:ascii="宋体" w:hAnsi="宋体" w:eastAsia="宋体" w:cs="宋体"/>
          <w:color w:val="auto"/>
          <w:sz w:val="32"/>
          <w:szCs w:val="32"/>
          <w:highlight w:val="none"/>
          <w:lang w:eastAsia="zh-CN"/>
        </w:rPr>
        <w:t>谈判响应文件</w:t>
      </w:r>
      <w:r>
        <w:rPr>
          <w:rFonts w:hint="eastAsia" w:ascii="宋体" w:hAnsi="宋体" w:eastAsia="宋体" w:cs="宋体"/>
          <w:color w:val="auto"/>
          <w:sz w:val="32"/>
          <w:szCs w:val="32"/>
          <w:highlight w:val="none"/>
        </w:rPr>
        <w:t>格式</w:t>
      </w:r>
      <w:bookmarkEnd w:id="89"/>
      <w:bookmarkEnd w:id="901"/>
      <w:bookmarkEnd w:id="902"/>
      <w:bookmarkEnd w:id="903"/>
    </w:p>
    <w:p w14:paraId="12340656">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7A9F988">
      <w:pPr>
        <w:pageBreakBefore w:val="0"/>
        <w:kinsoku/>
        <w:wordWrap/>
        <w:overflowPunct/>
        <w:topLinePunct w:val="0"/>
        <w:bidi w:val="0"/>
        <w:spacing w:line="360" w:lineRule="auto"/>
        <w:rPr>
          <w:rFonts w:hint="eastAsia" w:ascii="宋体" w:hAnsi="宋体" w:eastAsia="宋体" w:cs="宋体"/>
          <w:color w:val="auto"/>
          <w:sz w:val="24"/>
          <w:szCs w:val="24"/>
          <w:highlight w:val="none"/>
        </w:rPr>
      </w:pPr>
    </w:p>
    <w:p w14:paraId="5A6989FD">
      <w:pPr>
        <w:pageBreakBefore w:val="0"/>
        <w:kinsoku/>
        <w:wordWrap/>
        <w:overflowPunct/>
        <w:topLinePunct w:val="0"/>
        <w:bidi w:val="0"/>
        <w:spacing w:line="360" w:lineRule="auto"/>
        <w:rPr>
          <w:rFonts w:hint="eastAsia" w:ascii="宋体" w:hAnsi="宋体" w:eastAsia="宋体" w:cs="宋体"/>
          <w:color w:val="auto"/>
          <w:sz w:val="24"/>
          <w:szCs w:val="24"/>
          <w:highlight w:val="none"/>
        </w:rPr>
      </w:pPr>
    </w:p>
    <w:p w14:paraId="283930D9">
      <w:pPr>
        <w:pageBreakBefore w:val="0"/>
        <w:kinsoku/>
        <w:wordWrap/>
        <w:overflowPunct/>
        <w:topLinePunct w:val="0"/>
        <w:bidi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5BA6EC91">
      <w:pPr>
        <w:pageBreakBefore w:val="0"/>
        <w:kinsoku/>
        <w:wordWrap/>
        <w:overflowPunct/>
        <w:topLinePunct w:val="0"/>
        <w:bidi w:val="0"/>
        <w:spacing w:line="360" w:lineRule="auto"/>
        <w:rPr>
          <w:rFonts w:hint="eastAsia" w:ascii="宋体" w:hAnsi="宋体" w:eastAsia="宋体" w:cs="宋体"/>
          <w:color w:val="auto"/>
          <w:sz w:val="24"/>
          <w:szCs w:val="24"/>
          <w:highlight w:val="none"/>
        </w:rPr>
      </w:pPr>
    </w:p>
    <w:p w14:paraId="60CA4240">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谈判项目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DBB2FA6">
      <w:pPr>
        <w:pageBreakBefore w:val="0"/>
        <w:kinsoku/>
        <w:wordWrap/>
        <w:overflowPunct/>
        <w:topLinePunct w:val="0"/>
        <w:bidi w:val="0"/>
        <w:spacing w:line="360" w:lineRule="auto"/>
        <w:rPr>
          <w:rFonts w:hint="eastAsia" w:ascii="宋体" w:hAnsi="宋体" w:eastAsia="宋体" w:cs="宋体"/>
          <w:color w:val="auto"/>
          <w:sz w:val="28"/>
          <w:szCs w:val="28"/>
          <w:highlight w:val="none"/>
        </w:rPr>
      </w:pPr>
    </w:p>
    <w:p w14:paraId="65DA8196">
      <w:pPr>
        <w:pageBreakBefore w:val="0"/>
        <w:kinsoku/>
        <w:wordWrap/>
        <w:overflowPunct/>
        <w:topLinePunct w:val="0"/>
        <w:bidi w:val="0"/>
        <w:spacing w:line="360" w:lineRule="auto"/>
        <w:rPr>
          <w:rFonts w:hint="eastAsia" w:ascii="宋体" w:hAnsi="宋体" w:eastAsia="宋体" w:cs="宋体"/>
          <w:color w:val="auto"/>
          <w:sz w:val="28"/>
          <w:szCs w:val="28"/>
          <w:highlight w:val="none"/>
        </w:rPr>
      </w:pPr>
    </w:p>
    <w:p w14:paraId="6CCBF855">
      <w:pPr>
        <w:pageBreakBefore w:val="0"/>
        <w:kinsoku/>
        <w:wordWrap/>
        <w:overflowPunct/>
        <w:topLinePunct w:val="0"/>
        <w:bidi w:val="0"/>
        <w:spacing w:line="360" w:lineRule="auto"/>
        <w:rPr>
          <w:rFonts w:hint="eastAsia" w:ascii="宋体" w:hAnsi="宋体" w:eastAsia="宋体" w:cs="宋体"/>
          <w:color w:val="auto"/>
          <w:sz w:val="28"/>
          <w:szCs w:val="28"/>
          <w:highlight w:val="none"/>
        </w:rPr>
      </w:pPr>
    </w:p>
    <w:p w14:paraId="0CA06E5D">
      <w:pPr>
        <w:pageBreakBefore w:val="0"/>
        <w:kinsoku/>
        <w:wordWrap/>
        <w:overflowPunct/>
        <w:topLinePunct w:val="0"/>
        <w:bidi w:val="0"/>
        <w:spacing w:line="360" w:lineRule="auto"/>
        <w:rPr>
          <w:rFonts w:hint="eastAsia" w:ascii="宋体" w:hAnsi="宋体" w:eastAsia="宋体" w:cs="宋体"/>
          <w:color w:val="auto"/>
          <w:sz w:val="28"/>
          <w:szCs w:val="28"/>
          <w:highlight w:val="none"/>
        </w:rPr>
      </w:pPr>
    </w:p>
    <w:p w14:paraId="2CDF26DE">
      <w:pPr>
        <w:pageBreakBefore w:val="0"/>
        <w:kinsoku/>
        <w:wordWrap/>
        <w:overflowPunct/>
        <w:topLinePunct w:val="0"/>
        <w:bidi w:val="0"/>
        <w:spacing w:line="360" w:lineRule="auto"/>
        <w:jc w:val="center"/>
        <w:rPr>
          <w:rFonts w:hint="eastAsia" w:ascii="宋体" w:hAnsi="宋体" w:eastAsia="宋体" w:cs="宋体"/>
          <w:b/>
          <w:color w:val="auto"/>
          <w:sz w:val="36"/>
          <w:szCs w:val="36"/>
          <w:highlight w:val="none"/>
        </w:rPr>
      </w:pPr>
      <w:r>
        <w:rPr>
          <w:rFonts w:hint="eastAsia" w:ascii="宋体" w:hAnsi="宋体" w:cs="宋体"/>
          <w:b/>
          <w:color w:val="auto"/>
          <w:sz w:val="36"/>
          <w:szCs w:val="36"/>
          <w:highlight w:val="none"/>
          <w:lang w:val="en-US" w:eastAsia="zh-CN"/>
        </w:rPr>
        <w:t>谈  判  响  应</w:t>
      </w:r>
      <w:r>
        <w:rPr>
          <w:rFonts w:hint="eastAsia" w:ascii="宋体" w:hAnsi="宋体" w:eastAsia="宋体" w:cs="宋体"/>
          <w:b/>
          <w:color w:val="auto"/>
          <w:sz w:val="36"/>
          <w:szCs w:val="36"/>
          <w:highlight w:val="none"/>
        </w:rPr>
        <w:t xml:space="preserve">  文  件</w:t>
      </w:r>
    </w:p>
    <w:p w14:paraId="654CED5C">
      <w:pPr>
        <w:pageBreakBefore w:val="0"/>
        <w:kinsoku/>
        <w:wordWrap/>
        <w:overflowPunct/>
        <w:topLinePunct w:val="0"/>
        <w:bidi w:val="0"/>
        <w:spacing w:line="360" w:lineRule="auto"/>
        <w:rPr>
          <w:rFonts w:hint="eastAsia" w:ascii="宋体" w:hAnsi="宋体" w:eastAsia="宋体" w:cs="宋体"/>
          <w:b/>
          <w:color w:val="auto"/>
          <w:sz w:val="32"/>
          <w:szCs w:val="32"/>
          <w:highlight w:val="none"/>
        </w:rPr>
      </w:pPr>
    </w:p>
    <w:p w14:paraId="4269B70A">
      <w:pPr>
        <w:pageBreakBefore w:val="0"/>
        <w:kinsoku/>
        <w:wordWrap/>
        <w:overflowPunct/>
        <w:topLinePunct w:val="0"/>
        <w:bidi w:val="0"/>
        <w:spacing w:line="360" w:lineRule="auto"/>
        <w:rPr>
          <w:rFonts w:hint="eastAsia" w:ascii="宋体" w:hAnsi="宋体" w:eastAsia="宋体" w:cs="宋体"/>
          <w:b/>
          <w:color w:val="auto"/>
          <w:sz w:val="32"/>
          <w:szCs w:val="32"/>
          <w:highlight w:val="none"/>
        </w:rPr>
      </w:pPr>
    </w:p>
    <w:p w14:paraId="6365FBD4">
      <w:pPr>
        <w:pageBreakBefore w:val="0"/>
        <w:kinsoku/>
        <w:wordWrap/>
        <w:overflowPunct/>
        <w:topLinePunct w:val="0"/>
        <w:bidi w:val="0"/>
        <w:spacing w:line="360" w:lineRule="auto"/>
        <w:rPr>
          <w:rFonts w:hint="eastAsia" w:ascii="宋体" w:hAnsi="宋体" w:eastAsia="宋体" w:cs="宋体"/>
          <w:b/>
          <w:color w:val="auto"/>
          <w:sz w:val="32"/>
          <w:szCs w:val="32"/>
          <w:highlight w:val="none"/>
        </w:rPr>
      </w:pPr>
    </w:p>
    <w:p w14:paraId="0BAD660A">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14:paraId="032804F9">
      <w:pPr>
        <w:pageBreakBefore w:val="0"/>
        <w:kinsoku/>
        <w:wordWrap/>
        <w:overflowPunct/>
        <w:topLinePunct w:val="0"/>
        <w:bidi w:val="0"/>
        <w:spacing w:line="360" w:lineRule="auto"/>
        <w:rPr>
          <w:rFonts w:hint="eastAsia" w:ascii="宋体" w:hAnsi="宋体" w:eastAsia="宋体" w:cs="宋体"/>
          <w:color w:val="auto"/>
          <w:sz w:val="24"/>
          <w:highlight w:val="none"/>
        </w:rPr>
      </w:pPr>
    </w:p>
    <w:p w14:paraId="74644644">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300282D4">
      <w:pPr>
        <w:pStyle w:val="5"/>
        <w:rPr>
          <w:rFonts w:hint="eastAsia" w:ascii="宋体" w:hAnsi="宋体" w:eastAsia="宋体" w:cs="宋体"/>
          <w:color w:val="auto"/>
          <w:sz w:val="24"/>
          <w:highlight w:val="none"/>
        </w:rPr>
      </w:pPr>
    </w:p>
    <w:p w14:paraId="29ED513B">
      <w:pPr>
        <w:pStyle w:val="5"/>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联系人：</w:t>
      </w:r>
    </w:p>
    <w:p w14:paraId="3035F5AF">
      <w:pPr>
        <w:pStyle w:val="5"/>
        <w:rPr>
          <w:rFonts w:hint="eastAsia" w:ascii="宋体" w:hAnsi="宋体" w:cs="宋体"/>
          <w:color w:val="auto"/>
          <w:sz w:val="24"/>
          <w:highlight w:val="none"/>
          <w:lang w:val="en-US" w:eastAsia="zh-CN"/>
        </w:rPr>
      </w:pPr>
    </w:p>
    <w:p w14:paraId="32034A22">
      <w:pPr>
        <w:pStyle w:val="5"/>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电 话：</w:t>
      </w:r>
    </w:p>
    <w:p w14:paraId="5A416BD6">
      <w:pPr>
        <w:pageBreakBefore w:val="0"/>
        <w:kinsoku/>
        <w:wordWrap/>
        <w:overflowPunct/>
        <w:topLinePunct w:val="0"/>
        <w:bidi w:val="0"/>
        <w:spacing w:line="360" w:lineRule="auto"/>
        <w:rPr>
          <w:rFonts w:hint="eastAsia" w:ascii="宋体" w:hAnsi="宋体" w:eastAsia="宋体" w:cs="宋体"/>
          <w:color w:val="auto"/>
          <w:sz w:val="24"/>
          <w:highlight w:val="none"/>
        </w:rPr>
      </w:pPr>
    </w:p>
    <w:p w14:paraId="2D5EFFA8">
      <w:pPr>
        <w:pageBreakBefore w:val="0"/>
        <w:kinsoku/>
        <w:wordWrap/>
        <w:overflowPunct/>
        <w:topLinePunct w:val="0"/>
        <w:bidi w:val="0"/>
        <w:spacing w:line="360" w:lineRule="auto"/>
        <w:ind w:firstLine="1680" w:firstLineChars="7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23BB0D5D">
      <w:pPr>
        <w:pageBreakBefore w:val="0"/>
        <w:kinsoku/>
        <w:wordWrap/>
        <w:overflowPunct/>
        <w:topLinePunct w:val="0"/>
        <w:bidi w:val="0"/>
        <w:spacing w:line="360" w:lineRule="auto"/>
        <w:rPr>
          <w:rFonts w:hint="eastAsia" w:ascii="宋体" w:hAnsi="宋体" w:eastAsia="宋体" w:cs="宋体"/>
          <w:color w:val="auto"/>
          <w:sz w:val="24"/>
          <w:highlight w:val="none"/>
        </w:rPr>
      </w:pPr>
    </w:p>
    <w:p w14:paraId="0F959BEB">
      <w:pPr>
        <w:pStyle w:val="27"/>
        <w:rPr>
          <w:rFonts w:hint="eastAsia"/>
          <w:color w:val="auto"/>
          <w:highlight w:val="none"/>
        </w:rPr>
      </w:pPr>
    </w:p>
    <w:p w14:paraId="104A3B15">
      <w:pPr>
        <w:pStyle w:val="3"/>
        <w:pageBreakBefore w:val="0"/>
        <w:kinsoku/>
        <w:wordWrap/>
        <w:overflowPunct/>
        <w:topLinePunct w:val="0"/>
        <w:bidi w:val="0"/>
        <w:spacing w:line="360" w:lineRule="auto"/>
        <w:jc w:val="center"/>
        <w:rPr>
          <w:rFonts w:hint="eastAsia" w:ascii="宋体" w:hAnsi="宋体" w:eastAsia="宋体" w:cs="宋体"/>
          <w:b/>
          <w:color w:val="auto"/>
          <w:spacing w:val="40"/>
          <w:sz w:val="32"/>
          <w:szCs w:val="32"/>
          <w:highlight w:val="none"/>
        </w:rPr>
      </w:pPr>
      <w:bookmarkStart w:id="904" w:name="_Toc16899"/>
      <w:bookmarkStart w:id="905" w:name="_Toc358978468"/>
      <w:bookmarkStart w:id="906" w:name="_Toc381970844"/>
      <w:bookmarkStart w:id="907" w:name="_Toc358451958"/>
      <w:bookmarkStart w:id="908" w:name="_Toc15482"/>
      <w:bookmarkStart w:id="909" w:name="_Toc28151"/>
      <w:r>
        <w:rPr>
          <w:rFonts w:hint="eastAsia" w:ascii="宋体" w:hAnsi="宋体" w:eastAsia="宋体" w:cs="宋体"/>
          <w:b/>
          <w:color w:val="auto"/>
          <w:spacing w:val="40"/>
          <w:sz w:val="32"/>
          <w:szCs w:val="32"/>
          <w:highlight w:val="none"/>
        </w:rPr>
        <w:t>谈判响应文件目录</w:t>
      </w:r>
      <w:bookmarkEnd w:id="904"/>
    </w:p>
    <w:p w14:paraId="7C16B7CE">
      <w:pPr>
        <w:spacing w:line="240" w:lineRule="auto"/>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报价部分</w:t>
      </w:r>
    </w:p>
    <w:p w14:paraId="36FC6A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1、报价</w:t>
      </w:r>
      <w:r>
        <w:rPr>
          <w:rFonts w:hint="eastAsia" w:ascii="宋体" w:hAnsi="宋体" w:eastAsia="宋体" w:cs="宋体"/>
          <w:b w:val="0"/>
          <w:bCs/>
          <w:color w:val="auto"/>
          <w:sz w:val="24"/>
          <w:szCs w:val="24"/>
          <w:highlight w:val="none"/>
        </w:rPr>
        <w:t>函；</w:t>
      </w:r>
    </w:p>
    <w:p w14:paraId="194346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2、报价一览表</w:t>
      </w:r>
      <w:r>
        <w:rPr>
          <w:rFonts w:hint="eastAsia" w:ascii="宋体" w:hAnsi="宋体" w:cs="宋体"/>
          <w:b w:val="0"/>
          <w:bCs/>
          <w:color w:val="auto"/>
          <w:sz w:val="24"/>
          <w:szCs w:val="24"/>
          <w:highlight w:val="none"/>
          <w:lang w:val="en-US" w:eastAsia="zh-CN"/>
        </w:rPr>
        <w:t>；</w:t>
      </w:r>
    </w:p>
    <w:p w14:paraId="0A5614BF">
      <w:pPr>
        <w:keepNext w:val="0"/>
        <w:keepLines w:val="0"/>
        <w:pageBreakBefore w:val="0"/>
        <w:widowControl w:val="0"/>
        <w:kinsoku/>
        <w:wordWrap/>
        <w:overflowPunct/>
        <w:topLinePunct w:val="0"/>
        <w:autoSpaceDE/>
        <w:autoSpaceDN/>
        <w:bidi w:val="0"/>
        <w:adjustRightInd/>
        <w:snapToGrid/>
        <w:spacing w:line="30" w:lineRule="atLeast"/>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val="en-US" w:eastAsia="zh-CN"/>
        </w:rPr>
        <w:t>经济标报价明细（工程预算书）；</w:t>
      </w:r>
    </w:p>
    <w:p w14:paraId="2A0FC5AB">
      <w:pPr>
        <w:spacing w:line="240" w:lineRule="auto"/>
        <w:ind w:firstLine="645"/>
        <w:jc w:val="left"/>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color w:val="auto"/>
          <w:sz w:val="24"/>
          <w:szCs w:val="24"/>
          <w:highlight w:val="none"/>
          <w:lang w:eastAsia="zh-CN"/>
        </w:rPr>
        <w:t>二、商务</w:t>
      </w:r>
      <w:r>
        <w:rPr>
          <w:rFonts w:hint="eastAsia" w:ascii="宋体" w:hAnsi="宋体" w:eastAsia="宋体" w:cs="宋体"/>
          <w:b/>
          <w:color w:val="auto"/>
          <w:sz w:val="24"/>
          <w:szCs w:val="24"/>
          <w:highlight w:val="none"/>
        </w:rPr>
        <w:t>部分</w:t>
      </w:r>
    </w:p>
    <w:p w14:paraId="081F4A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、投标人的资格声明；</w:t>
      </w:r>
    </w:p>
    <w:p w14:paraId="6DAAD6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、法人营业执照函；</w:t>
      </w:r>
    </w:p>
    <w:p w14:paraId="5E5B3B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val="en-US" w:eastAsia="zh-CN"/>
        </w:rPr>
        <w:t>法定代表人证明书；</w:t>
      </w:r>
    </w:p>
    <w:p w14:paraId="297756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val="en-US" w:eastAsia="zh-CN"/>
        </w:rPr>
        <w:t>、法定代表人授权委托书；</w:t>
      </w:r>
    </w:p>
    <w:p w14:paraId="551783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8、商务条款偏离表；</w:t>
      </w:r>
    </w:p>
    <w:p w14:paraId="1804A3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9、提供银行出具的近 1 年内资信证明或2025年度经审计的财务报告，从取得营业执照时间起到响应文件提交截止时间为止不足一年的，为新成立企业，提供财务状况良好承诺函（格式自拟）；</w:t>
      </w:r>
    </w:p>
    <w:p w14:paraId="0D25E6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color w:val="auto"/>
          <w:sz w:val="24"/>
          <w:szCs w:val="24"/>
          <w:highlight w:val="none"/>
          <w:lang w:eastAsia="zh-CN"/>
        </w:rPr>
        <w:t>提供参加政府采购活动近</w:t>
      </w:r>
      <w:r>
        <w:rPr>
          <w:rFonts w:hint="eastAsia" w:ascii="宋体" w:hAnsi="宋体" w:eastAsia="宋体" w:cs="宋体"/>
          <w:color w:val="auto"/>
          <w:sz w:val="24"/>
          <w:szCs w:val="24"/>
          <w:highlight w:val="none"/>
          <w:lang w:val="en-US" w:eastAsia="zh-CN"/>
        </w:rPr>
        <w:t>12个月（任意1个月）依法缴纳税收的</w:t>
      </w:r>
      <w:r>
        <w:rPr>
          <w:rFonts w:hint="eastAsia" w:ascii="宋体" w:hAnsi="宋体" w:eastAsia="宋体" w:cs="宋体"/>
          <w:color w:val="auto"/>
          <w:sz w:val="24"/>
          <w:szCs w:val="24"/>
          <w:highlight w:val="none"/>
          <w:lang w:eastAsia="zh-CN"/>
        </w:rPr>
        <w:t>凭据和参加政府采购活动近</w:t>
      </w:r>
      <w:r>
        <w:rPr>
          <w:rFonts w:hint="eastAsia" w:ascii="宋体" w:hAnsi="宋体" w:eastAsia="宋体" w:cs="宋体"/>
          <w:color w:val="auto"/>
          <w:sz w:val="24"/>
          <w:szCs w:val="24"/>
          <w:highlight w:val="none"/>
          <w:lang w:val="en-US" w:eastAsia="zh-CN"/>
        </w:rPr>
        <w:t>12个月（任意1个月）</w:t>
      </w:r>
      <w:r>
        <w:rPr>
          <w:rFonts w:hint="eastAsia" w:ascii="宋体" w:hAnsi="宋体" w:eastAsia="宋体" w:cs="宋体"/>
          <w:color w:val="auto"/>
          <w:sz w:val="24"/>
          <w:szCs w:val="24"/>
          <w:highlight w:val="none"/>
          <w:lang w:eastAsia="zh-CN"/>
        </w:rPr>
        <w:t>缴纳社会保险的凭据(专用收据或社会保险缴纳清单)</w:t>
      </w:r>
      <w:r>
        <w:rPr>
          <w:rFonts w:hint="eastAsia" w:ascii="宋体" w:hAnsi="宋体" w:eastAsia="宋体" w:cs="宋体"/>
          <w:b w:val="0"/>
          <w:bCs/>
          <w:color w:val="auto"/>
          <w:sz w:val="24"/>
          <w:szCs w:val="24"/>
          <w:highlight w:val="none"/>
          <w:lang w:val="en-US" w:eastAsia="zh-CN"/>
        </w:rPr>
        <w:t>；依法免税或不需要缴纳社会保障资金的供应商，应提供相应证明文件；</w:t>
      </w:r>
    </w:p>
    <w:p w14:paraId="34D056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11、参加政府采购活动前三年内在经营活动中没有重大违法记录的书面声明</w:t>
      </w:r>
    </w:p>
    <w:p w14:paraId="4AD865E9">
      <w:pPr>
        <w:pStyle w:val="6"/>
        <w:rPr>
          <w:rFonts w:hint="default"/>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12、本项目特定资质证明资料</w:t>
      </w:r>
    </w:p>
    <w:p w14:paraId="0020B7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13、供应商反商业贿赂承诺书</w:t>
      </w:r>
    </w:p>
    <w:p w14:paraId="69C712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14、中小企业声明函</w:t>
      </w:r>
    </w:p>
    <w:p w14:paraId="1884EE3E">
      <w:pPr>
        <w:pStyle w:val="6"/>
        <w:rPr>
          <w:rFonts w:hint="default"/>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15、</w:t>
      </w:r>
      <w:r>
        <w:rPr>
          <w:rFonts w:hint="eastAsia" w:ascii="宋体" w:hAnsi="宋体" w:eastAsia="宋体" w:cs="宋体"/>
          <w:b w:val="0"/>
          <w:bCs/>
          <w:color w:val="auto"/>
          <w:kern w:val="2"/>
          <w:sz w:val="24"/>
          <w:szCs w:val="24"/>
          <w:highlight w:val="none"/>
          <w:lang w:val="en-US" w:eastAsia="zh-CN" w:bidi="ar-SA"/>
        </w:rPr>
        <w:t>联合体协议书</w:t>
      </w:r>
    </w:p>
    <w:p w14:paraId="248A2A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16、其他投标人认为有必要提供的商务资料（如有）。</w:t>
      </w:r>
    </w:p>
    <w:p w14:paraId="753F518B">
      <w:pPr>
        <w:spacing w:line="240" w:lineRule="auto"/>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技术部分</w:t>
      </w:r>
    </w:p>
    <w:p w14:paraId="07D6DD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17、技术偏离表；</w:t>
      </w:r>
    </w:p>
    <w:p w14:paraId="008746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18、实施方案  </w:t>
      </w:r>
      <w:r>
        <w:rPr>
          <w:rFonts w:hint="eastAsia" w:ascii="宋体" w:hAnsi="宋体" w:eastAsia="宋体" w:cs="宋体"/>
          <w:b w:val="0"/>
          <w:bCs/>
          <w:color w:val="auto"/>
          <w:kern w:val="2"/>
          <w:sz w:val="24"/>
          <w:szCs w:val="24"/>
          <w:highlight w:val="none"/>
          <w:lang w:val="en-US" w:eastAsia="zh-CN" w:bidi="ar-SA"/>
        </w:rPr>
        <w:t xml:space="preserve">  </w:t>
      </w:r>
    </w:p>
    <w:p w14:paraId="5CA84F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19</w:t>
      </w:r>
      <w:r>
        <w:rPr>
          <w:rFonts w:hint="eastAsia" w:ascii="宋体" w:hAnsi="宋体" w:eastAsia="宋体" w:cs="宋体"/>
          <w:b w:val="0"/>
          <w:bCs/>
          <w:color w:val="auto"/>
          <w:sz w:val="24"/>
          <w:szCs w:val="24"/>
          <w:highlight w:val="none"/>
          <w:lang w:val="en-US" w:eastAsia="zh-CN"/>
        </w:rPr>
        <w:t>、其他投标人认为有必要提供的技术资料（如有）。</w:t>
      </w:r>
    </w:p>
    <w:p w14:paraId="2D42E0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p>
    <w:p w14:paraId="6387FA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52"/>
          <w:szCs w:val="52"/>
          <w:highlight w:val="none"/>
          <w:lang w:eastAsia="zh-CN"/>
        </w:rPr>
      </w:pPr>
    </w:p>
    <w:p w14:paraId="630E67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44"/>
          <w:szCs w:val="44"/>
          <w:highlight w:val="none"/>
          <w:lang w:val="en-US" w:eastAsia="zh-CN"/>
        </w:rPr>
      </w:pPr>
      <w:r>
        <w:rPr>
          <w:rFonts w:hint="eastAsia" w:ascii="宋体" w:hAnsi="宋体" w:eastAsia="宋体" w:cs="宋体"/>
          <w:b/>
          <w:color w:val="auto"/>
          <w:sz w:val="44"/>
          <w:szCs w:val="44"/>
          <w:highlight w:val="none"/>
          <w:lang w:eastAsia="zh-CN"/>
        </w:rPr>
        <w:t>一、</w:t>
      </w:r>
      <w:r>
        <w:rPr>
          <w:rFonts w:hint="eastAsia" w:ascii="宋体" w:hAnsi="宋体" w:eastAsia="宋体" w:cs="宋体"/>
          <w:b/>
          <w:color w:val="auto"/>
          <w:sz w:val="44"/>
          <w:szCs w:val="44"/>
          <w:highlight w:val="none"/>
        </w:rPr>
        <w:t>报价部分</w:t>
      </w:r>
    </w:p>
    <w:p w14:paraId="3C2847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报</w:t>
      </w:r>
      <w:r>
        <w:rPr>
          <w:rFonts w:hint="eastAsia" w:ascii="宋体" w:hAnsi="宋体" w:eastAsia="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价</w:t>
      </w:r>
      <w:r>
        <w:rPr>
          <w:rFonts w:hint="eastAsia" w:ascii="宋体" w:hAnsi="宋体" w:eastAsia="宋体" w:cs="宋体"/>
          <w:b/>
          <w:bCs/>
          <w:color w:val="auto"/>
          <w:sz w:val="28"/>
          <w:szCs w:val="28"/>
          <w:highlight w:val="none"/>
        </w:rPr>
        <w:t xml:space="preserve"> </w:t>
      </w:r>
      <w:bookmarkEnd w:id="905"/>
      <w:bookmarkEnd w:id="906"/>
      <w:bookmarkEnd w:id="907"/>
      <w:r>
        <w:rPr>
          <w:rFonts w:hint="eastAsia" w:ascii="宋体" w:hAnsi="宋体" w:cs="宋体"/>
          <w:b/>
          <w:bCs/>
          <w:color w:val="auto"/>
          <w:sz w:val="28"/>
          <w:szCs w:val="28"/>
          <w:highlight w:val="none"/>
          <w:lang w:val="en-US" w:eastAsia="zh-CN"/>
        </w:rPr>
        <w:t>函</w:t>
      </w:r>
      <w:bookmarkEnd w:id="908"/>
      <w:bookmarkEnd w:id="909"/>
    </w:p>
    <w:p w14:paraId="799084F0">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采购</w:t>
      </w:r>
      <w:r>
        <w:rPr>
          <w:rFonts w:hint="eastAsia" w:ascii="宋体" w:hAnsi="宋体" w:eastAsia="宋体" w:cs="宋体"/>
          <w:color w:val="auto"/>
          <w:sz w:val="24"/>
          <w:highlight w:val="none"/>
          <w:u w:val="single"/>
        </w:rPr>
        <w:t>单位）</w:t>
      </w:r>
      <w:r>
        <w:rPr>
          <w:rFonts w:hint="eastAsia" w:ascii="宋体" w:hAnsi="宋体" w:eastAsia="宋体" w:cs="宋体"/>
          <w:color w:val="auto"/>
          <w:sz w:val="24"/>
          <w:highlight w:val="none"/>
        </w:rPr>
        <w:t>：</w:t>
      </w:r>
    </w:p>
    <w:p w14:paraId="3C767AC2">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收到你们的</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（项目名称）</w:t>
      </w:r>
      <w:r>
        <w:rPr>
          <w:rFonts w:hint="eastAsia" w:ascii="宋体" w:hAnsi="宋体" w:eastAsia="宋体" w:cs="宋体"/>
          <w:color w:val="auto"/>
          <w:sz w:val="24"/>
          <w:highlight w:val="none"/>
        </w:rPr>
        <w:t>文件，经认真研究，我们决定参加</w:t>
      </w:r>
      <w:r>
        <w:rPr>
          <w:rFonts w:hint="eastAsia" w:ascii="宋体" w:hAnsi="宋体" w:cs="宋体"/>
          <w:color w:val="auto"/>
          <w:sz w:val="24"/>
          <w:highlight w:val="none"/>
          <w:lang w:val="en-US" w:eastAsia="zh-CN"/>
        </w:rPr>
        <w:t>谈判并报价</w:t>
      </w:r>
      <w:r>
        <w:rPr>
          <w:rFonts w:hint="eastAsia" w:ascii="宋体" w:hAnsi="宋体" w:eastAsia="宋体" w:cs="宋体"/>
          <w:color w:val="auto"/>
          <w:sz w:val="24"/>
          <w:highlight w:val="none"/>
        </w:rPr>
        <w:t>。</w:t>
      </w:r>
    </w:p>
    <w:p w14:paraId="1930B506">
      <w:pPr>
        <w:pageBreakBefore w:val="0"/>
        <w:numPr>
          <w:ilvl w:val="0"/>
          <w:numId w:val="9"/>
        </w:numPr>
        <w:kinsoku/>
        <w:wordWrap/>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按照文件中的一切要求，提供的</w:t>
      </w:r>
      <w:r>
        <w:rPr>
          <w:rFonts w:hint="eastAsia" w:ascii="宋体" w:hAnsi="宋体" w:cs="宋体"/>
          <w:color w:val="auto"/>
          <w:sz w:val="24"/>
          <w:highlight w:val="none"/>
          <w:lang w:eastAsia="zh-CN"/>
        </w:rPr>
        <w:t>相关</w:t>
      </w:r>
      <w:r>
        <w:rPr>
          <w:rFonts w:hint="eastAsia" w:ascii="宋体" w:hAnsi="宋体" w:eastAsia="宋体" w:cs="宋体"/>
          <w:color w:val="auto"/>
          <w:sz w:val="24"/>
          <w:highlight w:val="none"/>
        </w:rPr>
        <w:t>服务。</w:t>
      </w:r>
      <w:r>
        <w:rPr>
          <w:rFonts w:hint="eastAsia" w:ascii="宋体" w:hAnsi="宋体" w:cs="宋体"/>
          <w:color w:val="auto"/>
          <w:sz w:val="24"/>
          <w:highlight w:val="none"/>
          <w:lang w:eastAsia="zh-CN"/>
        </w:rPr>
        <w:t>报</w:t>
      </w:r>
      <w:r>
        <w:rPr>
          <w:rFonts w:hint="eastAsia" w:ascii="宋体" w:hAnsi="宋体" w:eastAsia="宋体" w:cs="宋体"/>
          <w:color w:val="auto"/>
          <w:sz w:val="24"/>
          <w:highlight w:val="none"/>
        </w:rPr>
        <w:t>价为</w:t>
      </w:r>
      <w:r>
        <w:rPr>
          <w:rFonts w:hint="default" w:ascii="Arial" w:hAnsi="Arial" w:eastAsia="宋体" w:cs="Arial"/>
          <w:color w:val="auto"/>
          <w:sz w:val="24"/>
          <w:highlight w:val="none"/>
        </w:rPr>
        <w:t>¥</w:t>
      </w:r>
      <w:r>
        <w:rPr>
          <w:rFonts w:hint="eastAsia" w:ascii="宋体" w:hAnsi="宋体" w:eastAsia="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元（用阿拉伯数字书写）人民币，明细见报价表。</w:t>
      </w:r>
    </w:p>
    <w:p w14:paraId="42AABB37">
      <w:pPr>
        <w:pageBreakBefore w:val="0"/>
        <w:numPr>
          <w:ilvl w:val="0"/>
          <w:numId w:val="9"/>
        </w:numP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如果我们的</w:t>
      </w:r>
      <w:r>
        <w:rPr>
          <w:rFonts w:hint="eastAsia" w:ascii="宋体" w:hAnsi="宋体" w:cs="宋体"/>
          <w:color w:val="auto"/>
          <w:sz w:val="24"/>
          <w:highlight w:val="none"/>
          <w:lang w:val="en-US" w:eastAsia="zh-CN"/>
        </w:rPr>
        <w:t>谈判响应文件</w:t>
      </w:r>
      <w:r>
        <w:rPr>
          <w:rFonts w:hint="eastAsia" w:ascii="宋体" w:hAnsi="宋体" w:eastAsia="宋体" w:cs="宋体"/>
          <w:color w:val="auto"/>
          <w:sz w:val="24"/>
          <w:highlight w:val="none"/>
        </w:rPr>
        <w:t>被接受，我们将履行文件中规定的每一项义务和要求，按期、按质、按量完成交货。</w:t>
      </w:r>
    </w:p>
    <w:p w14:paraId="0BFE0F63">
      <w:pPr>
        <w:pageBreakBefore w:val="0"/>
        <w:numPr>
          <w:ilvl w:val="0"/>
          <w:numId w:val="9"/>
        </w:numP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我们同意按</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文件的规定，本</w:t>
      </w:r>
      <w:r>
        <w:rPr>
          <w:rFonts w:hint="eastAsia" w:ascii="宋体" w:hAnsi="宋体" w:cs="宋体"/>
          <w:color w:val="auto"/>
          <w:sz w:val="24"/>
          <w:highlight w:val="none"/>
          <w:lang w:val="en-US" w:eastAsia="zh-CN"/>
        </w:rPr>
        <w:t>谈判响应文件</w:t>
      </w:r>
      <w:r>
        <w:rPr>
          <w:rFonts w:hint="eastAsia" w:ascii="宋体" w:hAnsi="宋体" w:eastAsia="宋体" w:cs="宋体"/>
          <w:color w:val="auto"/>
          <w:sz w:val="24"/>
          <w:highlight w:val="none"/>
        </w:rPr>
        <w:t>的有效期为开标后</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天。</w:t>
      </w:r>
    </w:p>
    <w:p w14:paraId="20D093AC">
      <w:pPr>
        <w:pageBreakBefore w:val="0"/>
        <w:numPr>
          <w:ilvl w:val="0"/>
          <w:numId w:val="9"/>
        </w:numP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我们愿意提供</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人在文件中要求的所有资料。</w:t>
      </w:r>
    </w:p>
    <w:p w14:paraId="7E7E9C47">
      <w:pPr>
        <w:pageBreakBefore w:val="0"/>
        <w:numPr>
          <w:ilvl w:val="0"/>
          <w:numId w:val="9"/>
        </w:numP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我们认为你们有选择或拒绝任何</w:t>
      </w:r>
      <w:r>
        <w:rPr>
          <w:rFonts w:hint="eastAsia" w:ascii="宋体" w:hAnsi="宋体" w:cs="宋体"/>
          <w:color w:val="auto"/>
          <w:sz w:val="24"/>
          <w:highlight w:val="none"/>
          <w:lang w:eastAsia="zh-CN"/>
        </w:rPr>
        <w:t>报价人成交</w:t>
      </w:r>
      <w:r>
        <w:rPr>
          <w:rFonts w:hint="eastAsia" w:ascii="宋体" w:hAnsi="宋体" w:eastAsia="宋体" w:cs="宋体"/>
          <w:color w:val="auto"/>
          <w:sz w:val="24"/>
          <w:highlight w:val="none"/>
        </w:rPr>
        <w:t>的权利。我们理解，最低报价不是</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的唯一条件。</w:t>
      </w:r>
    </w:p>
    <w:p w14:paraId="00771A27">
      <w:pPr>
        <w:pageBreakBefore w:val="0"/>
        <w:numPr>
          <w:ilvl w:val="0"/>
          <w:numId w:val="9"/>
        </w:numP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我们愿意按合同履行自己的全部责任。</w:t>
      </w:r>
    </w:p>
    <w:p w14:paraId="4ED30EE6">
      <w:pPr>
        <w:pageBreakBefore w:val="0"/>
        <w:numPr>
          <w:ilvl w:val="0"/>
          <w:numId w:val="9"/>
        </w:numP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我们愿意遵守国家有关规定的收费标准，承付</w:t>
      </w:r>
      <w:r>
        <w:rPr>
          <w:rFonts w:hint="eastAsia" w:ascii="宋体" w:hAnsi="宋体" w:cs="宋体"/>
          <w:color w:val="auto"/>
          <w:sz w:val="24"/>
          <w:highlight w:val="none"/>
          <w:lang w:eastAsia="zh-CN"/>
        </w:rPr>
        <w:t>成交</w:t>
      </w:r>
      <w:r>
        <w:rPr>
          <w:rFonts w:hint="eastAsia" w:ascii="宋体" w:hAnsi="宋体" w:eastAsia="宋体" w:cs="宋体"/>
          <w:color w:val="auto"/>
          <w:sz w:val="24"/>
          <w:highlight w:val="none"/>
        </w:rPr>
        <w:t>服务费。</w:t>
      </w:r>
    </w:p>
    <w:p w14:paraId="7EE83616">
      <w:pPr>
        <w:pageBreakBefore w:val="0"/>
        <w:numPr>
          <w:ilvl w:val="0"/>
          <w:numId w:val="9"/>
        </w:numPr>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我们同意按</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文件规定，缴纳</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保证金。</w:t>
      </w:r>
    </w:p>
    <w:p w14:paraId="27F90951">
      <w:pPr>
        <w:pageBreakBefore w:val="0"/>
        <w:kinsoku/>
        <w:wordWrap/>
        <w:overflowPunct/>
        <w:topLinePunct w:val="0"/>
        <w:bidi w:val="0"/>
        <w:spacing w:line="360" w:lineRule="auto"/>
        <w:ind w:left="790" w:leftChars="229" w:hanging="240" w:hangingChars="1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我们保证</w:t>
      </w:r>
      <w:r>
        <w:rPr>
          <w:rFonts w:hint="eastAsia" w:ascii="宋体" w:hAnsi="宋体" w:cs="宋体"/>
          <w:color w:val="auto"/>
          <w:sz w:val="24"/>
          <w:highlight w:val="none"/>
          <w:lang w:eastAsia="zh-CN"/>
        </w:rPr>
        <w:t>谈判响应文件</w:t>
      </w:r>
      <w:r>
        <w:rPr>
          <w:rFonts w:hint="eastAsia" w:ascii="宋体" w:hAnsi="宋体" w:eastAsia="宋体" w:cs="宋体"/>
          <w:color w:val="auto"/>
          <w:sz w:val="24"/>
          <w:highlight w:val="none"/>
        </w:rPr>
        <w:t>中的所有证件和内容真实有效，否则我们愿意承担一切法律责任。</w:t>
      </w:r>
    </w:p>
    <w:p w14:paraId="292BD4C3">
      <w:pPr>
        <w:pageBreakBefore w:val="0"/>
        <w:kinsoku/>
        <w:wordWrap/>
        <w:overflowPunct/>
        <w:topLinePunct w:val="0"/>
        <w:bidi w:val="0"/>
        <w:spacing w:line="360" w:lineRule="auto"/>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、其他说明。</w:t>
      </w:r>
    </w:p>
    <w:p w14:paraId="59ADB362">
      <w:pPr>
        <w:pageBreakBefore w:val="0"/>
        <w:kinsoku/>
        <w:wordWrap/>
        <w:overflowPunct/>
        <w:topLinePunct w:val="0"/>
        <w:bidi w:val="0"/>
        <w:spacing w:line="360" w:lineRule="auto"/>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、所有有关本</w:t>
      </w:r>
      <w:r>
        <w:rPr>
          <w:rFonts w:hint="eastAsia" w:ascii="宋体" w:hAnsi="宋体" w:cs="宋体"/>
          <w:color w:val="auto"/>
          <w:sz w:val="24"/>
          <w:highlight w:val="none"/>
          <w:lang w:val="en-US" w:eastAsia="zh-CN"/>
        </w:rPr>
        <w:t>次谈判</w:t>
      </w:r>
      <w:r>
        <w:rPr>
          <w:rFonts w:hint="eastAsia" w:ascii="宋体" w:hAnsi="宋体" w:eastAsia="宋体" w:cs="宋体"/>
          <w:color w:val="auto"/>
          <w:sz w:val="24"/>
          <w:highlight w:val="none"/>
        </w:rPr>
        <w:t>的函电，请按下列地址联系：</w:t>
      </w:r>
    </w:p>
    <w:p w14:paraId="7B184206">
      <w:pPr>
        <w:pageBreakBefore w:val="0"/>
        <w:kinsoku/>
        <w:wordWrap/>
        <w:overflowPunct/>
        <w:topLinePunct w:val="0"/>
        <w:bidi w:val="0"/>
        <w:spacing w:line="360" w:lineRule="auto"/>
        <w:rPr>
          <w:rFonts w:hint="eastAsia" w:ascii="宋体" w:hAnsi="宋体" w:eastAsia="宋体" w:cs="宋体"/>
          <w:color w:val="auto"/>
          <w:sz w:val="24"/>
          <w:highlight w:val="none"/>
        </w:rPr>
      </w:pPr>
    </w:p>
    <w:p w14:paraId="24BD0A84">
      <w:pPr>
        <w:pageBreakBefore w:val="0"/>
        <w:kinsoku/>
        <w:wordWrap/>
        <w:overflowPunct/>
        <w:topLinePunct w:val="0"/>
        <w:bidi w:val="0"/>
        <w:spacing w:line="360" w:lineRule="auto"/>
        <w:ind w:firstLine="480"/>
        <w:rPr>
          <w:rFonts w:hint="eastAsia" w:ascii="宋体" w:hAnsi="宋体" w:eastAsia="宋体" w:cs="宋体"/>
          <w:color w:val="auto"/>
          <w:sz w:val="24"/>
          <w:highlight w:val="none"/>
          <w:u w:val="single"/>
        </w:rPr>
      </w:pP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rPr>
        <w:t>单位(盖章) ：</w:t>
      </w:r>
      <w:r>
        <w:rPr>
          <w:rFonts w:hint="eastAsia" w:ascii="宋体" w:hAnsi="宋体" w:eastAsia="宋体" w:cs="宋体"/>
          <w:color w:val="auto"/>
          <w:sz w:val="24"/>
          <w:highlight w:val="none"/>
          <w:u w:val="single"/>
        </w:rPr>
        <w:t xml:space="preserve">                         </w:t>
      </w:r>
    </w:p>
    <w:p w14:paraId="73E47715">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盖章）</w:t>
      </w:r>
    </w:p>
    <w:p w14:paraId="437D6A6B">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06627B38">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14:paraId="2D3EAA4D">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p w14:paraId="673E9F43">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4FAD6AE">
      <w:pPr>
        <w:pageBreakBefore w:val="0"/>
        <w:kinsoku/>
        <w:wordWrap/>
        <w:overflowPunct/>
        <w:topLinePunct w:val="0"/>
        <w:bidi w:val="0"/>
        <w:spacing w:line="360" w:lineRule="auto"/>
        <w:ind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529F6607">
      <w:pPr>
        <w:pageBreakBefore w:val="0"/>
        <w:kinsoku/>
        <w:wordWrap/>
        <w:overflowPunct/>
        <w:topLinePunct w:val="0"/>
        <w:bidi w:val="0"/>
        <w:spacing w:line="360" w:lineRule="auto"/>
        <w:rPr>
          <w:rFonts w:hint="eastAsia" w:ascii="宋体" w:hAnsi="宋体" w:cs="宋体"/>
          <w:color w:val="auto"/>
          <w:sz w:val="28"/>
          <w:highlight w:val="none"/>
          <w:lang w:val="en-US" w:eastAsia="zh-CN"/>
        </w:rPr>
      </w:pPr>
      <w:r>
        <w:rPr>
          <w:rFonts w:hint="eastAsia" w:ascii="宋体" w:hAnsi="宋体" w:eastAsia="宋体" w:cs="宋体"/>
          <w:color w:val="auto"/>
          <w:sz w:val="24"/>
          <w:highlight w:val="none"/>
        </w:rPr>
        <w:br w:type="page"/>
      </w:r>
    </w:p>
    <w:p w14:paraId="4758223E">
      <w:pPr>
        <w:ind w:firstLine="3373" w:firstLineChars="1200"/>
        <w:jc w:val="both"/>
        <w:outlineLvl w:val="0"/>
        <w:rPr>
          <w:rFonts w:hint="eastAsia" w:ascii="Times New Roman" w:hAnsi="Times New Roman" w:eastAsia="宋体" w:cs="Times New Roman"/>
          <w:b/>
          <w:color w:val="auto"/>
          <w:kern w:val="44"/>
          <w:sz w:val="28"/>
          <w:szCs w:val="36"/>
          <w:highlight w:val="none"/>
          <w:lang w:val="en-US" w:eastAsia="zh-CN" w:bidi="ar-SA"/>
        </w:rPr>
      </w:pPr>
      <w:bookmarkStart w:id="910" w:name="_Toc31843"/>
      <w:bookmarkStart w:id="911" w:name="_Toc25516"/>
      <w:r>
        <w:rPr>
          <w:rFonts w:hint="eastAsia" w:cs="Times New Roman"/>
          <w:b/>
          <w:color w:val="auto"/>
          <w:kern w:val="44"/>
          <w:sz w:val="28"/>
          <w:szCs w:val="36"/>
          <w:highlight w:val="none"/>
          <w:lang w:val="en-US" w:eastAsia="zh-CN" w:bidi="ar-SA"/>
        </w:rPr>
        <w:t>2、报价</w:t>
      </w:r>
      <w:r>
        <w:rPr>
          <w:rFonts w:hint="eastAsia" w:ascii="Times New Roman" w:hAnsi="Times New Roman" w:eastAsia="宋体" w:cs="Times New Roman"/>
          <w:b/>
          <w:color w:val="auto"/>
          <w:kern w:val="44"/>
          <w:sz w:val="28"/>
          <w:szCs w:val="36"/>
          <w:highlight w:val="none"/>
          <w:lang w:val="en-US" w:eastAsia="zh-CN" w:bidi="ar-SA"/>
        </w:rPr>
        <w:t>一览表</w:t>
      </w:r>
      <w:bookmarkEnd w:id="910"/>
      <w:bookmarkEnd w:id="911"/>
    </w:p>
    <w:p w14:paraId="684D607F">
      <w:pPr>
        <w:spacing w:line="360" w:lineRule="auto"/>
        <w:rPr>
          <w:rFonts w:hint="eastAsia" w:ascii="宋体" w:hAnsi="宋体" w:cs="宋体"/>
          <w:color w:val="auto"/>
          <w:highlight w:val="none"/>
        </w:rPr>
      </w:pPr>
    </w:p>
    <w:p w14:paraId="406F014F">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投标人名称：</w:t>
      </w:r>
    </w:p>
    <w:p w14:paraId="3B297F97">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 xml:space="preserve">项目名称：                           </w:t>
      </w:r>
    </w:p>
    <w:tbl>
      <w:tblPr>
        <w:tblStyle w:val="17"/>
        <w:tblW w:w="85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5"/>
        <w:gridCol w:w="2571"/>
        <w:gridCol w:w="1935"/>
        <w:gridCol w:w="2235"/>
      </w:tblGrid>
      <w:tr w14:paraId="3BBC1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1815" w:type="dxa"/>
            <w:noWrap w:val="0"/>
            <w:vAlign w:val="center"/>
          </w:tcPr>
          <w:p w14:paraId="0457F708">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2571" w:type="dxa"/>
            <w:noWrap w:val="0"/>
            <w:vAlign w:val="center"/>
          </w:tcPr>
          <w:p w14:paraId="247BA3BD">
            <w:pPr>
              <w:tabs>
                <w:tab w:val="left" w:pos="0"/>
              </w:tabs>
              <w:adjustRightInd w:val="0"/>
              <w:snapToGrid w:val="0"/>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投标报价（元）</w:t>
            </w:r>
          </w:p>
        </w:tc>
        <w:tc>
          <w:tcPr>
            <w:tcW w:w="1935" w:type="dxa"/>
            <w:noWrap w:val="0"/>
            <w:vAlign w:val="center"/>
          </w:tcPr>
          <w:p w14:paraId="7F34C2C2">
            <w:pPr>
              <w:tabs>
                <w:tab w:val="left" w:pos="0"/>
              </w:tabs>
              <w:adjustRightInd w:val="0"/>
              <w:snapToGrid w:val="0"/>
              <w:spacing w:line="360" w:lineRule="auto"/>
              <w:jc w:val="center"/>
              <w:rPr>
                <w:rFonts w:hint="default" w:ascii="宋体" w:hAnsi="宋体" w:cs="宋体"/>
                <w:color w:val="auto"/>
                <w:highlight w:val="none"/>
                <w:lang w:val="en-US"/>
              </w:rPr>
            </w:pPr>
            <w:r>
              <w:rPr>
                <w:rFonts w:hint="eastAsia" w:ascii="宋体" w:hAnsi="宋体" w:cs="宋体"/>
                <w:color w:val="auto"/>
                <w:highlight w:val="none"/>
                <w:lang w:val="en-US" w:eastAsia="zh-CN"/>
              </w:rPr>
              <w:t>合同履行期限（工期）</w:t>
            </w:r>
          </w:p>
        </w:tc>
        <w:tc>
          <w:tcPr>
            <w:tcW w:w="2235" w:type="dxa"/>
            <w:noWrap w:val="0"/>
            <w:vAlign w:val="center"/>
          </w:tcPr>
          <w:p w14:paraId="3D1346BD">
            <w:pPr>
              <w:tabs>
                <w:tab w:val="left" w:pos="0"/>
              </w:tabs>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备注</w:t>
            </w:r>
          </w:p>
        </w:tc>
      </w:tr>
      <w:tr w14:paraId="67DA4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1" w:hRule="atLeast"/>
          <w:jc w:val="center"/>
        </w:trPr>
        <w:tc>
          <w:tcPr>
            <w:tcW w:w="1815" w:type="dxa"/>
            <w:noWrap w:val="0"/>
            <w:vAlign w:val="top"/>
          </w:tcPr>
          <w:p w14:paraId="7A967AC1">
            <w:pPr>
              <w:spacing w:line="360" w:lineRule="auto"/>
              <w:rPr>
                <w:rFonts w:ascii="宋体" w:hAnsi="宋体" w:cs="宋体"/>
                <w:color w:val="auto"/>
                <w:highlight w:val="none"/>
              </w:rPr>
            </w:pPr>
          </w:p>
        </w:tc>
        <w:tc>
          <w:tcPr>
            <w:tcW w:w="2571" w:type="dxa"/>
            <w:noWrap w:val="0"/>
            <w:vAlign w:val="top"/>
          </w:tcPr>
          <w:p w14:paraId="4B7A9723">
            <w:pPr>
              <w:spacing w:line="360" w:lineRule="auto"/>
              <w:rPr>
                <w:rFonts w:ascii="宋体" w:hAnsi="宋体" w:cs="宋体"/>
                <w:color w:val="auto"/>
                <w:highlight w:val="none"/>
              </w:rPr>
            </w:pPr>
          </w:p>
        </w:tc>
        <w:tc>
          <w:tcPr>
            <w:tcW w:w="1935" w:type="dxa"/>
            <w:noWrap w:val="0"/>
            <w:vAlign w:val="top"/>
          </w:tcPr>
          <w:p w14:paraId="0DD3F093">
            <w:pPr>
              <w:spacing w:line="360" w:lineRule="auto"/>
              <w:rPr>
                <w:rFonts w:ascii="宋体" w:hAnsi="宋体" w:cs="宋体"/>
                <w:color w:val="auto"/>
                <w:highlight w:val="none"/>
              </w:rPr>
            </w:pPr>
          </w:p>
        </w:tc>
        <w:tc>
          <w:tcPr>
            <w:tcW w:w="2235" w:type="dxa"/>
            <w:noWrap w:val="0"/>
            <w:vAlign w:val="top"/>
          </w:tcPr>
          <w:p w14:paraId="1D56E842">
            <w:pPr>
              <w:spacing w:line="360" w:lineRule="auto"/>
              <w:rPr>
                <w:rFonts w:ascii="宋体" w:hAnsi="宋体" w:cs="宋体"/>
                <w:color w:val="auto"/>
                <w:highlight w:val="none"/>
              </w:rPr>
            </w:pPr>
          </w:p>
        </w:tc>
      </w:tr>
      <w:tr w14:paraId="2A126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815" w:type="dxa"/>
            <w:noWrap w:val="0"/>
            <w:vAlign w:val="bottom"/>
          </w:tcPr>
          <w:p w14:paraId="6FC43409">
            <w:pPr>
              <w:tabs>
                <w:tab w:val="left" w:pos="0"/>
              </w:tabs>
              <w:spacing w:line="360" w:lineRule="auto"/>
              <w:ind w:firstLine="120" w:firstLineChars="5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项目负责人</w:t>
            </w:r>
          </w:p>
        </w:tc>
        <w:tc>
          <w:tcPr>
            <w:tcW w:w="6741" w:type="dxa"/>
            <w:gridSpan w:val="3"/>
            <w:noWrap w:val="0"/>
            <w:vAlign w:val="bottom"/>
          </w:tcPr>
          <w:p w14:paraId="2A54B5C2">
            <w:pPr>
              <w:tabs>
                <w:tab w:val="left" w:pos="0"/>
              </w:tabs>
              <w:spacing w:line="360" w:lineRule="auto"/>
              <w:jc w:val="left"/>
              <w:rPr>
                <w:rFonts w:hint="eastAsia" w:ascii="宋体" w:hAnsi="宋体" w:cs="宋体"/>
                <w:color w:val="auto"/>
                <w:highlight w:val="none"/>
              </w:rPr>
            </w:pPr>
          </w:p>
        </w:tc>
      </w:tr>
      <w:tr w14:paraId="5FDC0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815" w:type="dxa"/>
            <w:noWrap w:val="0"/>
            <w:vAlign w:val="bottom"/>
          </w:tcPr>
          <w:p w14:paraId="6B825F03">
            <w:pPr>
              <w:tabs>
                <w:tab w:val="left" w:pos="0"/>
              </w:tabs>
              <w:spacing w:line="360" w:lineRule="auto"/>
              <w:ind w:firstLine="120" w:firstLineChars="50"/>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证书编号</w:t>
            </w:r>
          </w:p>
        </w:tc>
        <w:tc>
          <w:tcPr>
            <w:tcW w:w="6741" w:type="dxa"/>
            <w:gridSpan w:val="3"/>
            <w:noWrap w:val="0"/>
            <w:vAlign w:val="bottom"/>
          </w:tcPr>
          <w:p w14:paraId="6F6E3BDD">
            <w:pPr>
              <w:tabs>
                <w:tab w:val="left" w:pos="0"/>
              </w:tabs>
              <w:spacing w:line="360" w:lineRule="auto"/>
              <w:jc w:val="left"/>
              <w:rPr>
                <w:rFonts w:hint="eastAsia" w:ascii="宋体" w:hAnsi="宋体" w:cs="宋体"/>
                <w:color w:val="auto"/>
                <w:highlight w:val="none"/>
              </w:rPr>
            </w:pPr>
          </w:p>
        </w:tc>
      </w:tr>
      <w:tr w14:paraId="690E5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815" w:type="dxa"/>
            <w:noWrap w:val="0"/>
            <w:vAlign w:val="bottom"/>
          </w:tcPr>
          <w:p w14:paraId="6AA418ED">
            <w:pPr>
              <w:tabs>
                <w:tab w:val="left" w:pos="0"/>
              </w:tabs>
              <w:spacing w:line="360" w:lineRule="auto"/>
              <w:ind w:firstLine="120" w:firstLineChars="50"/>
              <w:jc w:val="center"/>
              <w:rPr>
                <w:rFonts w:ascii="宋体" w:hAnsi="宋体" w:cs="宋体"/>
                <w:color w:val="auto"/>
                <w:highlight w:val="none"/>
              </w:rPr>
            </w:pPr>
            <w:r>
              <w:rPr>
                <w:rFonts w:hint="eastAsia" w:ascii="宋体" w:hAnsi="宋体" w:cs="宋体"/>
                <w:color w:val="auto"/>
                <w:highlight w:val="none"/>
              </w:rPr>
              <w:t>总价：</w:t>
            </w:r>
          </w:p>
        </w:tc>
        <w:tc>
          <w:tcPr>
            <w:tcW w:w="6741" w:type="dxa"/>
            <w:gridSpan w:val="3"/>
            <w:noWrap w:val="0"/>
            <w:vAlign w:val="bottom"/>
          </w:tcPr>
          <w:p w14:paraId="750BC171">
            <w:pPr>
              <w:tabs>
                <w:tab w:val="left" w:pos="0"/>
              </w:tabs>
              <w:spacing w:line="360" w:lineRule="auto"/>
              <w:jc w:val="left"/>
              <w:rPr>
                <w:rFonts w:ascii="宋体" w:hAnsi="宋体" w:cs="宋体"/>
                <w:color w:val="auto"/>
                <w:highlight w:val="none"/>
              </w:rPr>
            </w:pPr>
            <w:r>
              <w:rPr>
                <w:rFonts w:hint="eastAsia" w:ascii="宋体" w:hAnsi="宋体" w:cs="宋体"/>
                <w:color w:val="auto"/>
                <w:highlight w:val="none"/>
              </w:rPr>
              <w:t>￥：</w:t>
            </w:r>
          </w:p>
        </w:tc>
      </w:tr>
      <w:tr w14:paraId="40CFF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1815" w:type="dxa"/>
            <w:noWrap w:val="0"/>
            <w:vAlign w:val="bottom"/>
          </w:tcPr>
          <w:p w14:paraId="74EF5774">
            <w:pPr>
              <w:tabs>
                <w:tab w:val="left" w:pos="0"/>
              </w:tabs>
              <w:spacing w:line="360" w:lineRule="auto"/>
              <w:jc w:val="center"/>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eastAsia="zh-CN"/>
              </w:rPr>
              <w:t>大</w:t>
            </w:r>
            <w:r>
              <w:rPr>
                <w:rFonts w:hint="eastAsia" w:ascii="宋体" w:hAnsi="宋体" w:cs="宋体"/>
                <w:color w:val="auto"/>
                <w:highlight w:val="none"/>
                <w:lang w:val="en-US" w:eastAsia="zh-CN"/>
              </w:rPr>
              <w:t xml:space="preserve">  </w:t>
            </w:r>
            <w:r>
              <w:rPr>
                <w:rFonts w:hint="eastAsia" w:ascii="宋体" w:hAnsi="宋体" w:cs="宋体"/>
                <w:color w:val="auto"/>
                <w:highlight w:val="none"/>
              </w:rPr>
              <w:t>写）</w:t>
            </w:r>
          </w:p>
        </w:tc>
        <w:tc>
          <w:tcPr>
            <w:tcW w:w="6741" w:type="dxa"/>
            <w:gridSpan w:val="3"/>
            <w:noWrap w:val="0"/>
            <w:vAlign w:val="bottom"/>
          </w:tcPr>
          <w:p w14:paraId="08211771">
            <w:pPr>
              <w:tabs>
                <w:tab w:val="left" w:pos="0"/>
              </w:tabs>
              <w:spacing w:line="360" w:lineRule="auto"/>
              <w:jc w:val="center"/>
              <w:rPr>
                <w:rFonts w:ascii="宋体" w:hAnsi="宋体" w:cs="宋体"/>
                <w:color w:val="auto"/>
                <w:highlight w:val="none"/>
              </w:rPr>
            </w:pPr>
          </w:p>
        </w:tc>
      </w:tr>
    </w:tbl>
    <w:p w14:paraId="2125BC57">
      <w:pPr>
        <w:spacing w:line="360" w:lineRule="auto"/>
        <w:ind w:firstLine="480" w:firstLineChars="200"/>
        <w:rPr>
          <w:rFonts w:ascii="宋体" w:hAnsi="宋体" w:cs="宋体"/>
          <w:color w:val="auto"/>
          <w:highlight w:val="none"/>
        </w:rPr>
      </w:pPr>
    </w:p>
    <w:p w14:paraId="6DFD6DEC">
      <w:pPr>
        <w:spacing w:line="360" w:lineRule="auto"/>
        <w:rPr>
          <w:rFonts w:hint="eastAsia" w:ascii="宋体" w:hAnsi="宋体" w:cs="宋体"/>
          <w:color w:val="auto"/>
          <w:highlight w:val="none"/>
        </w:rPr>
      </w:pPr>
    </w:p>
    <w:p w14:paraId="06B07328">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注：1..投标一览表中投标总报价大小应写一致，如不一致以大写</w:t>
      </w:r>
      <w:r>
        <w:rPr>
          <w:rFonts w:hint="eastAsia" w:ascii="宋体" w:hAnsi="宋体" w:cs="宋体"/>
          <w:color w:val="auto"/>
          <w:highlight w:val="none"/>
          <w:lang w:eastAsia="zh-CN"/>
        </w:rPr>
        <w:t>金额</w:t>
      </w:r>
      <w:r>
        <w:rPr>
          <w:rFonts w:hint="eastAsia" w:ascii="宋体" w:hAnsi="宋体" w:cs="宋体"/>
          <w:color w:val="auto"/>
          <w:highlight w:val="none"/>
        </w:rPr>
        <w:t>为准。</w:t>
      </w:r>
    </w:p>
    <w:p w14:paraId="74CF4565">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rPr>
      </w:pPr>
    </w:p>
    <w:p w14:paraId="7A99B5AA">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rPr>
      </w:pPr>
    </w:p>
    <w:p w14:paraId="355B7B3C">
      <w:pPr>
        <w:pageBreakBefore w:val="0"/>
        <w:kinsoku/>
        <w:wordWrap/>
        <w:overflowPunct/>
        <w:topLinePunct w:val="0"/>
        <w:bidi w:val="0"/>
        <w:spacing w:line="360" w:lineRule="auto"/>
        <w:ind w:left="2400" w:leftChars="1000" w:firstLine="2640" w:firstLineChars="110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p>
    <w:p w14:paraId="13E32927">
      <w:pPr>
        <w:pageBreakBefore w:val="0"/>
        <w:kinsoku/>
        <w:wordWrap/>
        <w:overflowPunct/>
        <w:topLinePunct w:val="0"/>
        <w:bidi w:val="0"/>
        <w:spacing w:line="360" w:lineRule="auto"/>
        <w:ind w:firstLine="2880" w:firstLineChars="1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w:t>
      </w:r>
      <w:r>
        <w:rPr>
          <w:rFonts w:hint="eastAsia" w:ascii="宋体" w:hAnsi="宋体" w:eastAsia="宋体" w:cs="宋体"/>
          <w:color w:val="auto"/>
          <w:sz w:val="24"/>
          <w:highlight w:val="none"/>
          <w:lang w:eastAsia="zh-CN"/>
        </w:rPr>
        <w:t>盖</w:t>
      </w:r>
      <w:r>
        <w:rPr>
          <w:rFonts w:hint="eastAsia" w:ascii="宋体" w:hAnsi="宋体" w:eastAsia="宋体" w:cs="宋体"/>
          <w:color w:val="auto"/>
          <w:sz w:val="24"/>
          <w:highlight w:val="none"/>
        </w:rPr>
        <w:t>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FABC50F">
      <w:pPr>
        <w:pageBreakBefore w:val="0"/>
        <w:kinsoku/>
        <w:wordWrap/>
        <w:overflowPunct/>
        <w:topLinePunct w:val="0"/>
        <w:bidi w:val="0"/>
        <w:spacing w:line="360" w:lineRule="auto"/>
        <w:ind w:firstLine="2160" w:firstLineChars="9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或</w:t>
      </w:r>
      <w:r>
        <w:rPr>
          <w:rFonts w:hint="eastAsia" w:ascii="宋体" w:hAnsi="宋体" w:eastAsia="宋体" w:cs="宋体"/>
          <w:color w:val="auto"/>
          <w:sz w:val="24"/>
          <w:highlight w:val="none"/>
        </w:rPr>
        <w:t xml:space="preserve">盖章） </w:t>
      </w:r>
    </w:p>
    <w:p w14:paraId="794E36A5">
      <w:pPr>
        <w:pageBreakBefore w:val="0"/>
        <w:kinsoku/>
        <w:wordWrap/>
        <w:overflowPunct/>
        <w:topLinePunct w:val="0"/>
        <w:bidi w:val="0"/>
        <w:spacing w:line="360" w:lineRule="auto"/>
        <w:ind w:firstLine="5040" w:firstLineChars="2100"/>
        <w:rPr>
          <w:rFonts w:hint="eastAsia" w:ascii="宋体" w:hAnsi="宋体" w:eastAsia="宋体" w:cs="宋体"/>
          <w:color w:val="auto"/>
          <w:sz w:val="24"/>
          <w:highlight w:val="none"/>
        </w:rPr>
      </w:pPr>
    </w:p>
    <w:p w14:paraId="298122A6">
      <w:pPr>
        <w:pageBreakBefore w:val="0"/>
        <w:kinsoku/>
        <w:wordWrap/>
        <w:overflowPunct/>
        <w:topLinePunct w:val="0"/>
        <w:bidi w:val="0"/>
        <w:spacing w:line="360" w:lineRule="auto"/>
        <w:ind w:firstLine="5040" w:firstLineChars="2100"/>
        <w:rPr>
          <w:rFonts w:hint="eastAsia" w:ascii="宋体" w:hAnsi="宋体" w:eastAsia="宋体" w:cs="宋体"/>
          <w:color w:val="auto"/>
          <w:sz w:val="24"/>
          <w:highlight w:val="none"/>
        </w:rPr>
      </w:pPr>
    </w:p>
    <w:p w14:paraId="45C5EEA0">
      <w:pPr>
        <w:pageBreakBefore w:val="0"/>
        <w:kinsoku/>
        <w:wordWrap/>
        <w:overflowPunct/>
        <w:topLinePunct w:val="0"/>
        <w:bidi w:val="0"/>
        <w:spacing w:line="360" w:lineRule="auto"/>
        <w:ind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0D513E53">
      <w:pPr>
        <w:jc w:val="center"/>
        <w:outlineLvl w:val="9"/>
        <w:rPr>
          <w:rFonts w:hint="eastAsia" w:ascii="宋体" w:hAnsi="宋体" w:cs="宋体"/>
          <w:b/>
          <w:bCs/>
          <w:color w:val="auto"/>
          <w:sz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br w:type="page"/>
      </w:r>
      <w:bookmarkStart w:id="912" w:name="_Toc10982"/>
      <w:bookmarkStart w:id="913" w:name="_Toc4906"/>
      <w:bookmarkStart w:id="914" w:name="_Toc16805"/>
    </w:p>
    <w:bookmarkEnd w:id="912"/>
    <w:bookmarkEnd w:id="913"/>
    <w:bookmarkEnd w:id="914"/>
    <w:p w14:paraId="25A3CB32">
      <w:pPr>
        <w:pStyle w:val="3"/>
        <w:pageBreakBefore w:val="0"/>
        <w:numPr>
          <w:ilvl w:val="0"/>
          <w:numId w:val="10"/>
        </w:numPr>
        <w:kinsoku/>
        <w:wordWrap/>
        <w:overflowPunct/>
        <w:topLinePunct w:val="0"/>
        <w:bidi w:val="0"/>
        <w:spacing w:line="360" w:lineRule="auto"/>
        <w:ind w:firstLine="3092" w:firstLineChars="1100"/>
        <w:jc w:val="both"/>
        <w:rPr>
          <w:rFonts w:hint="eastAsia" w:ascii="宋体" w:hAnsi="宋体" w:cs="宋体"/>
          <w:color w:val="auto"/>
          <w:sz w:val="28"/>
          <w:highlight w:val="none"/>
          <w:lang w:val="en-US" w:eastAsia="zh-CN"/>
        </w:rPr>
      </w:pPr>
      <w:bookmarkStart w:id="915" w:name="_Toc1702"/>
      <w:bookmarkStart w:id="916" w:name="_Toc29190"/>
      <w:r>
        <w:rPr>
          <w:rFonts w:hint="eastAsia" w:ascii="宋体" w:hAnsi="宋体" w:cs="宋体"/>
          <w:color w:val="auto"/>
          <w:sz w:val="28"/>
          <w:highlight w:val="none"/>
          <w:lang w:val="en-US" w:eastAsia="zh-CN"/>
        </w:rPr>
        <w:t>经济标报价明细（工程预算书）</w:t>
      </w:r>
    </w:p>
    <w:p w14:paraId="5B4F8873">
      <w:pPr>
        <w:autoSpaceDE w:val="0"/>
        <w:autoSpaceDN w:val="0"/>
        <w:adjustRightInd w:val="0"/>
        <w:ind w:left="120" w:hanging="12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eastAsia="zh-CN"/>
        </w:rPr>
        <w:t>注：（报价明细表不得缺项漏项，否则按废标）</w:t>
      </w:r>
    </w:p>
    <w:p w14:paraId="307761D8">
      <w:pPr>
        <w:autoSpaceDE w:val="0"/>
        <w:autoSpaceDN w:val="0"/>
        <w:adjustRightInd w:val="0"/>
        <w:ind w:left="120" w:hanging="120"/>
        <w:jc w:val="center"/>
        <w:rPr>
          <w:rFonts w:hint="eastAsia" w:ascii="宋体" w:hAnsi="宋体" w:cs="宋体"/>
          <w:color w:val="auto"/>
          <w:sz w:val="24"/>
          <w:highlight w:val="none"/>
          <w:lang w:val="zh-CN"/>
        </w:rPr>
      </w:pPr>
    </w:p>
    <w:bookmarkEnd w:id="915"/>
    <w:bookmarkEnd w:id="916"/>
    <w:p w14:paraId="7157AB81">
      <w:pPr>
        <w:numPr>
          <w:ilvl w:val="0"/>
          <w:numId w:val="0"/>
        </w:numPr>
        <w:spacing w:line="240" w:lineRule="auto"/>
        <w:ind w:leftChars="0"/>
        <w:jc w:val="center"/>
        <w:outlineLvl w:val="9"/>
        <w:rPr>
          <w:rFonts w:hint="eastAsia" w:ascii="宋体" w:hAnsi="宋体" w:eastAsia="宋体" w:cs="宋体"/>
          <w:b/>
          <w:color w:val="auto"/>
          <w:sz w:val="52"/>
          <w:szCs w:val="52"/>
          <w:highlight w:val="none"/>
          <w:lang w:eastAsia="zh-CN"/>
        </w:rPr>
      </w:pPr>
      <w:bookmarkStart w:id="917" w:name="_Toc3403"/>
      <w:bookmarkStart w:id="918" w:name="_Toc24090"/>
    </w:p>
    <w:p w14:paraId="7A7362EE">
      <w:pPr>
        <w:pStyle w:val="8"/>
        <w:rPr>
          <w:rFonts w:hint="eastAsia" w:ascii="宋体" w:hAnsi="宋体" w:eastAsia="宋体" w:cs="宋体"/>
          <w:b/>
          <w:color w:val="auto"/>
          <w:sz w:val="52"/>
          <w:szCs w:val="52"/>
          <w:highlight w:val="none"/>
          <w:lang w:eastAsia="zh-CN"/>
        </w:rPr>
      </w:pPr>
    </w:p>
    <w:p w14:paraId="1156D3F3">
      <w:pPr>
        <w:pStyle w:val="8"/>
        <w:rPr>
          <w:rFonts w:hint="eastAsia" w:ascii="宋体" w:hAnsi="宋体" w:eastAsia="宋体" w:cs="宋体"/>
          <w:b/>
          <w:color w:val="auto"/>
          <w:sz w:val="52"/>
          <w:szCs w:val="52"/>
          <w:highlight w:val="none"/>
          <w:lang w:eastAsia="zh-CN"/>
        </w:rPr>
      </w:pPr>
    </w:p>
    <w:p w14:paraId="55B840CC">
      <w:pPr>
        <w:pStyle w:val="8"/>
        <w:rPr>
          <w:rFonts w:hint="eastAsia" w:ascii="宋体" w:hAnsi="宋体" w:eastAsia="宋体" w:cs="宋体"/>
          <w:b/>
          <w:color w:val="auto"/>
          <w:sz w:val="52"/>
          <w:szCs w:val="52"/>
          <w:highlight w:val="none"/>
          <w:lang w:eastAsia="zh-CN"/>
        </w:rPr>
      </w:pPr>
    </w:p>
    <w:p w14:paraId="7A6925C8">
      <w:pPr>
        <w:pStyle w:val="8"/>
        <w:rPr>
          <w:rFonts w:hint="eastAsia" w:ascii="宋体" w:hAnsi="宋体" w:eastAsia="宋体" w:cs="宋体"/>
          <w:b/>
          <w:color w:val="auto"/>
          <w:sz w:val="52"/>
          <w:szCs w:val="52"/>
          <w:highlight w:val="none"/>
          <w:lang w:eastAsia="zh-CN"/>
        </w:rPr>
      </w:pPr>
    </w:p>
    <w:p w14:paraId="7FD4682E">
      <w:pPr>
        <w:pStyle w:val="8"/>
        <w:rPr>
          <w:rFonts w:hint="eastAsia" w:ascii="宋体" w:hAnsi="宋体" w:eastAsia="宋体" w:cs="宋体"/>
          <w:b/>
          <w:color w:val="auto"/>
          <w:sz w:val="52"/>
          <w:szCs w:val="52"/>
          <w:highlight w:val="none"/>
          <w:lang w:eastAsia="zh-CN"/>
        </w:rPr>
      </w:pPr>
    </w:p>
    <w:p w14:paraId="4ED14CAE">
      <w:pPr>
        <w:pStyle w:val="8"/>
        <w:rPr>
          <w:rFonts w:hint="eastAsia" w:ascii="宋体" w:hAnsi="宋体" w:eastAsia="宋体" w:cs="宋体"/>
          <w:b/>
          <w:color w:val="auto"/>
          <w:sz w:val="52"/>
          <w:szCs w:val="52"/>
          <w:highlight w:val="none"/>
          <w:lang w:eastAsia="zh-CN"/>
        </w:rPr>
      </w:pPr>
    </w:p>
    <w:p w14:paraId="3257F816">
      <w:pPr>
        <w:pStyle w:val="8"/>
        <w:rPr>
          <w:rFonts w:hint="eastAsia" w:ascii="宋体" w:hAnsi="宋体" w:eastAsia="宋体" w:cs="宋体"/>
          <w:b/>
          <w:color w:val="auto"/>
          <w:sz w:val="52"/>
          <w:szCs w:val="52"/>
          <w:highlight w:val="none"/>
          <w:lang w:eastAsia="zh-CN"/>
        </w:rPr>
      </w:pPr>
    </w:p>
    <w:p w14:paraId="436E7726">
      <w:pPr>
        <w:pStyle w:val="8"/>
        <w:rPr>
          <w:rFonts w:hint="eastAsia" w:ascii="宋体" w:hAnsi="宋体" w:eastAsia="宋体" w:cs="宋体"/>
          <w:b/>
          <w:color w:val="auto"/>
          <w:sz w:val="52"/>
          <w:szCs w:val="52"/>
          <w:highlight w:val="none"/>
          <w:lang w:eastAsia="zh-CN"/>
        </w:rPr>
      </w:pPr>
    </w:p>
    <w:p w14:paraId="425221FB">
      <w:pPr>
        <w:pStyle w:val="8"/>
        <w:rPr>
          <w:rFonts w:hint="eastAsia" w:ascii="宋体" w:hAnsi="宋体" w:eastAsia="宋体" w:cs="宋体"/>
          <w:b/>
          <w:color w:val="auto"/>
          <w:sz w:val="52"/>
          <w:szCs w:val="52"/>
          <w:highlight w:val="none"/>
          <w:lang w:eastAsia="zh-CN"/>
        </w:rPr>
      </w:pPr>
    </w:p>
    <w:p w14:paraId="31E693BF">
      <w:pPr>
        <w:pStyle w:val="8"/>
        <w:rPr>
          <w:rFonts w:hint="eastAsia" w:ascii="宋体" w:hAnsi="宋体" w:eastAsia="宋体" w:cs="宋体"/>
          <w:b/>
          <w:color w:val="auto"/>
          <w:sz w:val="52"/>
          <w:szCs w:val="52"/>
          <w:highlight w:val="none"/>
          <w:lang w:eastAsia="zh-CN"/>
        </w:rPr>
      </w:pPr>
    </w:p>
    <w:p w14:paraId="13596703">
      <w:pPr>
        <w:pStyle w:val="8"/>
        <w:rPr>
          <w:rFonts w:hint="eastAsia" w:ascii="宋体" w:hAnsi="宋体" w:eastAsia="宋体" w:cs="宋体"/>
          <w:b/>
          <w:color w:val="auto"/>
          <w:sz w:val="52"/>
          <w:szCs w:val="52"/>
          <w:highlight w:val="none"/>
          <w:lang w:eastAsia="zh-CN"/>
        </w:rPr>
      </w:pPr>
    </w:p>
    <w:p w14:paraId="1BDC4035">
      <w:pPr>
        <w:pStyle w:val="8"/>
        <w:rPr>
          <w:rFonts w:hint="eastAsia" w:ascii="宋体" w:hAnsi="宋体" w:eastAsia="宋体" w:cs="宋体"/>
          <w:b/>
          <w:color w:val="auto"/>
          <w:sz w:val="52"/>
          <w:szCs w:val="52"/>
          <w:highlight w:val="none"/>
          <w:lang w:eastAsia="zh-CN"/>
        </w:rPr>
      </w:pPr>
    </w:p>
    <w:p w14:paraId="1E0684E1">
      <w:pPr>
        <w:pStyle w:val="8"/>
        <w:rPr>
          <w:rFonts w:hint="eastAsia" w:ascii="宋体" w:hAnsi="宋体" w:eastAsia="宋体" w:cs="宋体"/>
          <w:b/>
          <w:color w:val="auto"/>
          <w:sz w:val="52"/>
          <w:szCs w:val="52"/>
          <w:highlight w:val="none"/>
          <w:lang w:eastAsia="zh-CN"/>
        </w:rPr>
      </w:pPr>
    </w:p>
    <w:p w14:paraId="60D129F9">
      <w:pPr>
        <w:pStyle w:val="8"/>
        <w:rPr>
          <w:rFonts w:hint="eastAsia" w:ascii="宋体" w:hAnsi="宋体" w:eastAsia="宋体" w:cs="宋体"/>
          <w:b/>
          <w:color w:val="auto"/>
          <w:sz w:val="52"/>
          <w:szCs w:val="52"/>
          <w:highlight w:val="none"/>
          <w:lang w:eastAsia="zh-CN"/>
        </w:rPr>
      </w:pPr>
    </w:p>
    <w:p w14:paraId="3289C367">
      <w:pPr>
        <w:pStyle w:val="8"/>
        <w:rPr>
          <w:rFonts w:hint="eastAsia" w:ascii="宋体" w:hAnsi="宋体" w:eastAsia="宋体" w:cs="宋体"/>
          <w:b/>
          <w:color w:val="auto"/>
          <w:sz w:val="52"/>
          <w:szCs w:val="52"/>
          <w:highlight w:val="none"/>
          <w:lang w:eastAsia="zh-CN"/>
        </w:rPr>
      </w:pPr>
    </w:p>
    <w:p w14:paraId="2C37E511">
      <w:pPr>
        <w:pStyle w:val="8"/>
        <w:rPr>
          <w:rFonts w:hint="eastAsia" w:ascii="宋体" w:hAnsi="宋体" w:eastAsia="宋体" w:cs="宋体"/>
          <w:b/>
          <w:color w:val="auto"/>
          <w:sz w:val="52"/>
          <w:szCs w:val="52"/>
          <w:highlight w:val="none"/>
          <w:lang w:eastAsia="zh-CN"/>
        </w:rPr>
      </w:pPr>
    </w:p>
    <w:p w14:paraId="1BD0F5E8">
      <w:pPr>
        <w:numPr>
          <w:ilvl w:val="0"/>
          <w:numId w:val="0"/>
        </w:numPr>
        <w:spacing w:line="240" w:lineRule="auto"/>
        <w:ind w:leftChars="0"/>
        <w:jc w:val="center"/>
        <w:outlineLvl w:val="9"/>
        <w:rPr>
          <w:rFonts w:hint="eastAsia" w:ascii="宋体" w:hAnsi="宋体" w:eastAsia="宋体" w:cs="宋体"/>
          <w:b/>
          <w:color w:val="auto"/>
          <w:sz w:val="52"/>
          <w:szCs w:val="52"/>
          <w:highlight w:val="none"/>
          <w:lang w:eastAsia="zh-CN"/>
        </w:rPr>
      </w:pPr>
    </w:p>
    <w:p w14:paraId="774C8B92">
      <w:pPr>
        <w:numPr>
          <w:ilvl w:val="0"/>
          <w:numId w:val="0"/>
        </w:numPr>
        <w:spacing w:line="240" w:lineRule="auto"/>
        <w:ind w:leftChars="0"/>
        <w:jc w:val="center"/>
        <w:outlineLvl w:val="9"/>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lang w:eastAsia="zh-CN"/>
        </w:rPr>
        <w:t>二、商务</w:t>
      </w:r>
      <w:r>
        <w:rPr>
          <w:rFonts w:hint="eastAsia" w:ascii="宋体" w:hAnsi="宋体" w:eastAsia="宋体" w:cs="宋体"/>
          <w:b/>
          <w:color w:val="auto"/>
          <w:sz w:val="44"/>
          <w:szCs w:val="44"/>
          <w:highlight w:val="none"/>
        </w:rPr>
        <w:t>部分</w:t>
      </w:r>
    </w:p>
    <w:p w14:paraId="5CA3CA2F">
      <w:pPr>
        <w:numPr>
          <w:ilvl w:val="0"/>
          <w:numId w:val="0"/>
        </w:numPr>
        <w:spacing w:line="240" w:lineRule="auto"/>
        <w:ind w:leftChars="0"/>
        <w:jc w:val="both"/>
        <w:outlineLvl w:val="9"/>
        <w:rPr>
          <w:rFonts w:hint="eastAsia" w:ascii="宋体" w:hAnsi="宋体" w:cs="宋体"/>
          <w:color w:val="auto"/>
          <w:kern w:val="0"/>
          <w:sz w:val="28"/>
          <w:highlight w:val="none"/>
          <w:lang w:val="en-US" w:eastAsia="zh-CN"/>
        </w:rPr>
      </w:pPr>
    </w:p>
    <w:p w14:paraId="32ECBE51">
      <w:pPr>
        <w:numPr>
          <w:ilvl w:val="0"/>
          <w:numId w:val="0"/>
        </w:numPr>
        <w:spacing w:line="240" w:lineRule="auto"/>
        <w:ind w:leftChars="0"/>
        <w:jc w:val="center"/>
        <w:outlineLvl w:val="9"/>
        <w:rPr>
          <w:rFonts w:hint="eastAsia" w:ascii="宋体" w:hAnsi="宋体" w:eastAsia="宋体" w:cs="宋体"/>
          <w:b/>
          <w:bCs/>
          <w:color w:val="auto"/>
          <w:kern w:val="0"/>
          <w:sz w:val="28"/>
          <w:highlight w:val="none"/>
        </w:rPr>
      </w:pPr>
      <w:r>
        <w:rPr>
          <w:rFonts w:hint="eastAsia" w:ascii="宋体" w:hAnsi="宋体" w:cs="宋体"/>
          <w:b/>
          <w:bCs/>
          <w:color w:val="auto"/>
          <w:kern w:val="0"/>
          <w:sz w:val="28"/>
          <w:highlight w:val="none"/>
          <w:lang w:val="en-US" w:eastAsia="zh-CN"/>
        </w:rPr>
        <w:t>4</w:t>
      </w:r>
      <w:r>
        <w:rPr>
          <w:rFonts w:hint="eastAsia" w:ascii="宋体" w:hAnsi="宋体" w:eastAsia="宋体" w:cs="宋体"/>
          <w:b/>
          <w:bCs/>
          <w:color w:val="auto"/>
          <w:kern w:val="0"/>
          <w:sz w:val="28"/>
          <w:highlight w:val="none"/>
          <w:lang w:val="en-US" w:eastAsia="zh-CN"/>
        </w:rPr>
        <w:t>、</w:t>
      </w:r>
      <w:r>
        <w:rPr>
          <w:rFonts w:hint="eastAsia" w:ascii="宋体" w:hAnsi="宋体" w:cs="宋体"/>
          <w:b/>
          <w:bCs/>
          <w:color w:val="auto"/>
          <w:kern w:val="0"/>
          <w:sz w:val="28"/>
          <w:highlight w:val="none"/>
          <w:lang w:val="en-US" w:eastAsia="zh-CN"/>
        </w:rPr>
        <w:t>投标人</w:t>
      </w:r>
      <w:r>
        <w:rPr>
          <w:rFonts w:hint="eastAsia" w:ascii="宋体" w:hAnsi="宋体" w:eastAsia="宋体" w:cs="宋体"/>
          <w:b/>
          <w:bCs/>
          <w:color w:val="auto"/>
          <w:kern w:val="0"/>
          <w:sz w:val="28"/>
          <w:highlight w:val="none"/>
        </w:rPr>
        <w:t>的资格声明</w:t>
      </w:r>
      <w:bookmarkEnd w:id="917"/>
      <w:bookmarkEnd w:id="918"/>
    </w:p>
    <w:p w14:paraId="7DB7D065">
      <w:pPr>
        <w:pageBreakBefore w:val="0"/>
        <w:kinsoku/>
        <w:wordWrap/>
        <w:overflowPunct/>
        <w:topLinePunct w:val="0"/>
        <w:bidi w:val="0"/>
        <w:spacing w:line="360" w:lineRule="auto"/>
        <w:rPr>
          <w:rFonts w:hint="eastAsia" w:ascii="宋体" w:hAnsi="宋体" w:cs="宋体"/>
          <w:color w:val="auto"/>
          <w:sz w:val="24"/>
          <w:highlight w:val="none"/>
          <w:u w:val="single"/>
          <w:lang w:eastAsia="zh-CN"/>
        </w:rPr>
      </w:pPr>
    </w:p>
    <w:p w14:paraId="4CC7D26B">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采购</w:t>
      </w:r>
      <w:r>
        <w:rPr>
          <w:rFonts w:hint="eastAsia" w:ascii="宋体" w:hAnsi="宋体" w:eastAsia="宋体" w:cs="宋体"/>
          <w:color w:val="auto"/>
          <w:sz w:val="24"/>
          <w:highlight w:val="none"/>
          <w:u w:val="single"/>
        </w:rPr>
        <w:t>单位）</w:t>
      </w:r>
      <w:r>
        <w:rPr>
          <w:rFonts w:hint="eastAsia" w:ascii="宋体" w:hAnsi="宋体" w:eastAsia="宋体" w:cs="宋体"/>
          <w:color w:val="auto"/>
          <w:sz w:val="24"/>
          <w:highlight w:val="none"/>
        </w:rPr>
        <w:t>：</w:t>
      </w:r>
    </w:p>
    <w:p w14:paraId="159BBD45">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p>
    <w:p w14:paraId="2A496201">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关于贵方发出的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w:t>
      </w:r>
      <w:r>
        <w:rPr>
          <w:rFonts w:hint="eastAsia" w:ascii="宋体" w:hAnsi="宋体" w:cs="宋体"/>
          <w:color w:val="auto"/>
          <w:sz w:val="24"/>
          <w:highlight w:val="none"/>
          <w:lang w:val="en-US" w:eastAsia="zh-CN"/>
        </w:rPr>
        <w:t>谈判</w:t>
      </w:r>
      <w:r>
        <w:rPr>
          <w:rFonts w:hint="eastAsia" w:ascii="宋体" w:hAnsi="宋体" w:eastAsia="宋体" w:cs="宋体"/>
          <w:color w:val="auto"/>
          <w:sz w:val="24"/>
          <w:highlight w:val="none"/>
        </w:rPr>
        <w:t>文件，本</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方愿意参加</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，并证明资格文件中所要求的说明是真实和准确的。</w:t>
      </w:r>
    </w:p>
    <w:p w14:paraId="77705872">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方对可能要求的进一步资格资料表示理解和同意，并同意按贵方的要求提供任何有关资料。</w:t>
      </w:r>
    </w:p>
    <w:p w14:paraId="492C2E24">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p>
    <w:p w14:paraId="4E79462A">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p>
    <w:p w14:paraId="4531D7B2">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p>
    <w:p w14:paraId="34803021">
      <w:pPr>
        <w:pageBreakBefore w:val="0"/>
        <w:kinsoku/>
        <w:wordWrap/>
        <w:overflowPunct/>
        <w:topLinePunct w:val="0"/>
        <w:bidi w:val="0"/>
        <w:spacing w:line="360" w:lineRule="auto"/>
        <w:ind w:firstLine="1920" w:firstLineChars="8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投标单位</w:t>
      </w:r>
      <w:r>
        <w:rPr>
          <w:rFonts w:hint="eastAsia" w:ascii="宋体" w:hAnsi="宋体" w:cs="宋体"/>
          <w:color w:val="auto"/>
          <w:sz w:val="24"/>
          <w:highlight w:val="none"/>
        </w:rPr>
        <w:t>（</w:t>
      </w:r>
      <w:r>
        <w:rPr>
          <w:rFonts w:hint="eastAsia" w:ascii="宋体" w:hAnsi="宋体" w:cs="宋体"/>
          <w:color w:val="auto"/>
          <w:sz w:val="24"/>
          <w:highlight w:val="none"/>
          <w:lang w:eastAsia="zh-CN"/>
        </w:rPr>
        <w:t>盖</w:t>
      </w:r>
      <w:r>
        <w:rPr>
          <w:rFonts w:hint="eastAsia" w:ascii="宋体" w:hAnsi="宋体" w:cs="宋体"/>
          <w:color w:val="auto"/>
          <w:sz w:val="24"/>
          <w:highlight w:val="none"/>
        </w:rPr>
        <w:t>章）</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p w14:paraId="74A42BB9">
      <w:pPr>
        <w:pageBreakBefore w:val="0"/>
        <w:kinsoku/>
        <w:wordWrap/>
        <w:overflowPunct/>
        <w:topLinePunct w:val="0"/>
        <w:bidi w:val="0"/>
        <w:spacing w:line="360" w:lineRule="auto"/>
        <w:ind w:firstLine="1920" w:firstLineChars="8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法定代表人或授权代表人：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（签字或盖章）</w:t>
      </w:r>
    </w:p>
    <w:p w14:paraId="79016C2B">
      <w:pPr>
        <w:pageBreakBefore w:val="0"/>
        <w:kinsoku/>
        <w:wordWrap/>
        <w:overflowPunct/>
        <w:topLinePunct w:val="0"/>
        <w:bidi w:val="0"/>
        <w:spacing w:line="360" w:lineRule="auto"/>
        <w:ind w:firstLine="1920" w:firstLineChars="80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1356B170">
      <w:pPr>
        <w:pageBreakBefore w:val="0"/>
        <w:kinsoku/>
        <w:wordWrap/>
        <w:overflowPunct/>
        <w:topLinePunct w:val="0"/>
        <w:bidi w:val="0"/>
        <w:spacing w:line="360" w:lineRule="auto"/>
        <w:ind w:firstLine="1920" w:firstLineChars="800"/>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p w14:paraId="1298111D">
      <w:pPr>
        <w:jc w:val="center"/>
        <w:rPr>
          <w:rFonts w:hint="eastAsia" w:ascii="Times New Roman" w:hAnsi="Times New Roman" w:eastAsia="宋体" w:cs="Times New Roman"/>
          <w:b/>
          <w:color w:val="auto"/>
          <w:kern w:val="44"/>
          <w:sz w:val="28"/>
          <w:szCs w:val="36"/>
          <w:highlight w:val="none"/>
          <w:lang w:val="en-US" w:eastAsia="zh-CN" w:bidi="ar-SA"/>
        </w:rPr>
      </w:pPr>
      <w:r>
        <w:rPr>
          <w:rFonts w:hint="eastAsia"/>
          <w:color w:val="auto"/>
          <w:sz w:val="36"/>
          <w:szCs w:val="36"/>
          <w:highlight w:val="none"/>
          <w:lang w:eastAsia="zh-CN"/>
        </w:rPr>
        <w:br w:type="page"/>
      </w:r>
      <w:bookmarkStart w:id="919" w:name="_Toc142"/>
      <w:bookmarkStart w:id="920" w:name="_Toc755"/>
      <w:r>
        <w:rPr>
          <w:rFonts w:hint="eastAsia" w:ascii="Times New Roman" w:hAnsi="Times New Roman" w:cs="Times New Roman"/>
          <w:b/>
          <w:color w:val="auto"/>
          <w:kern w:val="44"/>
          <w:sz w:val="28"/>
          <w:szCs w:val="36"/>
          <w:highlight w:val="none"/>
          <w:lang w:val="en-US" w:eastAsia="zh-CN" w:bidi="ar-SA"/>
        </w:rPr>
        <w:t>5、</w:t>
      </w:r>
      <w:r>
        <w:rPr>
          <w:rFonts w:hint="eastAsia" w:ascii="Times New Roman" w:hAnsi="Times New Roman" w:eastAsia="宋体" w:cs="Times New Roman"/>
          <w:b/>
          <w:color w:val="auto"/>
          <w:kern w:val="44"/>
          <w:sz w:val="28"/>
          <w:szCs w:val="36"/>
          <w:highlight w:val="none"/>
          <w:lang w:val="en-US" w:eastAsia="zh-CN" w:bidi="ar-SA"/>
        </w:rPr>
        <w:t>法人营业执照函</w:t>
      </w:r>
      <w:bookmarkEnd w:id="919"/>
      <w:bookmarkEnd w:id="920"/>
    </w:p>
    <w:p w14:paraId="6B10B8EB">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采购</w:t>
      </w:r>
      <w:r>
        <w:rPr>
          <w:rFonts w:hint="eastAsia" w:ascii="宋体" w:hAnsi="宋体" w:eastAsia="宋体" w:cs="宋体"/>
          <w:color w:val="auto"/>
          <w:sz w:val="24"/>
          <w:highlight w:val="none"/>
          <w:u w:val="single"/>
        </w:rPr>
        <w:t>单位）</w:t>
      </w:r>
      <w:r>
        <w:rPr>
          <w:rFonts w:hint="eastAsia" w:ascii="宋体" w:hAnsi="宋体" w:eastAsia="宋体" w:cs="宋体"/>
          <w:color w:val="auto"/>
          <w:sz w:val="24"/>
          <w:highlight w:val="none"/>
        </w:rPr>
        <w:t>：</w:t>
      </w:r>
    </w:p>
    <w:p w14:paraId="3FC2F8EC">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现附上由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（签发机关名称）签发的我方法人营业执照复印件，该执照已经年检，真实有效。</w:t>
      </w:r>
    </w:p>
    <w:p w14:paraId="073DFBFB">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p>
    <w:p w14:paraId="646E5CE0">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p>
    <w:p w14:paraId="3ABFACF1">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p>
    <w:p w14:paraId="756E043E">
      <w:pPr>
        <w:pageBreakBefore w:val="0"/>
        <w:kinsoku/>
        <w:wordWrap/>
        <w:overflowPunct/>
        <w:topLinePunct w:val="0"/>
        <w:bidi w:val="0"/>
        <w:spacing w:line="360" w:lineRule="auto"/>
        <w:ind w:firstLine="3600" w:firstLineChars="15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投标单位</w:t>
      </w:r>
      <w:r>
        <w:rPr>
          <w:rFonts w:hint="eastAsia" w:ascii="宋体" w:hAnsi="宋体" w:cs="宋体"/>
          <w:color w:val="auto"/>
          <w:sz w:val="24"/>
          <w:highlight w:val="none"/>
        </w:rPr>
        <w:t>（</w:t>
      </w:r>
      <w:r>
        <w:rPr>
          <w:rFonts w:hint="eastAsia" w:ascii="宋体" w:hAnsi="宋体" w:cs="宋体"/>
          <w:color w:val="auto"/>
          <w:sz w:val="24"/>
          <w:highlight w:val="none"/>
          <w:lang w:eastAsia="zh-CN"/>
        </w:rPr>
        <w:t>盖</w:t>
      </w:r>
      <w:r>
        <w:rPr>
          <w:rFonts w:hint="eastAsia" w:ascii="宋体" w:hAnsi="宋体" w:cs="宋体"/>
          <w:color w:val="auto"/>
          <w:sz w:val="24"/>
          <w:highlight w:val="none"/>
        </w:rPr>
        <w:t>章）</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p w14:paraId="39732993">
      <w:pPr>
        <w:pageBreakBefore w:val="0"/>
        <w:kinsoku/>
        <w:wordWrap/>
        <w:overflowPunct/>
        <w:topLinePunct w:val="0"/>
        <w:bidi w:val="0"/>
        <w:spacing w:line="360" w:lineRule="auto"/>
        <w:ind w:firstLine="3600" w:firstLineChars="15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法定代表人或授权代表人：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（签字或盖章）</w:t>
      </w:r>
    </w:p>
    <w:p w14:paraId="48AE1077">
      <w:pPr>
        <w:pageBreakBefore w:val="0"/>
        <w:kinsoku/>
        <w:wordWrap/>
        <w:overflowPunct/>
        <w:topLinePunct w:val="0"/>
        <w:bidi w:val="0"/>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C94B6DE">
      <w:pPr>
        <w:pageBreakBefore w:val="0"/>
        <w:kinsoku/>
        <w:wordWrap/>
        <w:overflowPunct/>
        <w:topLinePunct w:val="0"/>
        <w:bidi w:val="0"/>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备注：后附营业执照</w:t>
      </w:r>
    </w:p>
    <w:p w14:paraId="104339FD">
      <w:pPr>
        <w:pStyle w:val="3"/>
        <w:pageBreakBefore w:val="0"/>
        <w:kinsoku/>
        <w:wordWrap/>
        <w:overflowPunct/>
        <w:topLinePunct w:val="0"/>
        <w:bidi w:val="0"/>
        <w:spacing w:line="360" w:lineRule="auto"/>
        <w:jc w:val="center"/>
        <w:outlineLvl w:val="9"/>
        <w:rPr>
          <w:rFonts w:hint="eastAsia" w:ascii="宋体" w:hAnsi="宋体" w:cs="宋体"/>
          <w:color w:val="auto"/>
          <w:sz w:val="24"/>
          <w:highlight w:val="none"/>
          <w:lang w:eastAsia="zh-CN"/>
        </w:rPr>
      </w:pPr>
    </w:p>
    <w:p w14:paraId="756258B8">
      <w:pPr>
        <w:pStyle w:val="3"/>
        <w:pageBreakBefore w:val="0"/>
        <w:kinsoku/>
        <w:wordWrap/>
        <w:overflowPunct/>
        <w:topLinePunct w:val="0"/>
        <w:bidi w:val="0"/>
        <w:spacing w:line="360" w:lineRule="auto"/>
        <w:jc w:val="center"/>
        <w:outlineLvl w:val="9"/>
        <w:rPr>
          <w:rFonts w:hint="eastAsia" w:ascii="宋体" w:hAnsi="宋体" w:cs="宋体"/>
          <w:color w:val="auto"/>
          <w:sz w:val="24"/>
          <w:highlight w:val="none"/>
          <w:lang w:eastAsia="zh-CN"/>
        </w:rPr>
      </w:pPr>
    </w:p>
    <w:p w14:paraId="17A94BA6">
      <w:pPr>
        <w:pStyle w:val="3"/>
        <w:pageBreakBefore w:val="0"/>
        <w:kinsoku/>
        <w:wordWrap/>
        <w:overflowPunct/>
        <w:topLinePunct w:val="0"/>
        <w:bidi w:val="0"/>
        <w:spacing w:line="360" w:lineRule="auto"/>
        <w:jc w:val="center"/>
        <w:outlineLvl w:val="9"/>
        <w:rPr>
          <w:rFonts w:hint="eastAsia" w:ascii="宋体" w:hAnsi="宋体" w:cs="宋体"/>
          <w:color w:val="auto"/>
          <w:sz w:val="24"/>
          <w:highlight w:val="none"/>
          <w:lang w:eastAsia="zh-CN"/>
        </w:rPr>
      </w:pPr>
    </w:p>
    <w:p w14:paraId="1D77C771">
      <w:pPr>
        <w:rPr>
          <w:rFonts w:hint="eastAsia" w:ascii="宋体" w:hAnsi="宋体" w:cs="宋体"/>
          <w:color w:val="auto"/>
          <w:sz w:val="24"/>
          <w:highlight w:val="none"/>
          <w:lang w:eastAsia="zh-CN"/>
        </w:rPr>
      </w:pPr>
    </w:p>
    <w:p w14:paraId="569344A2">
      <w:pPr>
        <w:rPr>
          <w:rFonts w:hint="eastAsia" w:ascii="宋体" w:hAnsi="宋体" w:cs="宋体"/>
          <w:color w:val="auto"/>
          <w:sz w:val="24"/>
          <w:highlight w:val="none"/>
          <w:lang w:eastAsia="zh-CN"/>
        </w:rPr>
      </w:pPr>
    </w:p>
    <w:p w14:paraId="515B7F23">
      <w:pPr>
        <w:rPr>
          <w:rFonts w:hint="eastAsia" w:ascii="宋体" w:hAnsi="宋体" w:cs="宋体"/>
          <w:color w:val="auto"/>
          <w:sz w:val="24"/>
          <w:highlight w:val="none"/>
          <w:lang w:eastAsia="zh-CN"/>
        </w:rPr>
      </w:pPr>
    </w:p>
    <w:p w14:paraId="69E99F59">
      <w:pPr>
        <w:rPr>
          <w:rFonts w:hint="eastAsia" w:ascii="宋体" w:hAnsi="宋体" w:cs="宋体"/>
          <w:color w:val="auto"/>
          <w:sz w:val="24"/>
          <w:highlight w:val="none"/>
          <w:lang w:eastAsia="zh-CN"/>
        </w:rPr>
      </w:pPr>
    </w:p>
    <w:p w14:paraId="51D21847">
      <w:pPr>
        <w:rPr>
          <w:rFonts w:hint="eastAsia" w:ascii="宋体" w:hAnsi="宋体" w:cs="宋体"/>
          <w:color w:val="auto"/>
          <w:sz w:val="24"/>
          <w:highlight w:val="none"/>
          <w:lang w:eastAsia="zh-CN"/>
        </w:rPr>
      </w:pPr>
    </w:p>
    <w:p w14:paraId="22D1798C">
      <w:pPr>
        <w:rPr>
          <w:rFonts w:hint="eastAsia" w:ascii="宋体" w:hAnsi="宋体" w:cs="宋体"/>
          <w:color w:val="auto"/>
          <w:sz w:val="24"/>
          <w:highlight w:val="none"/>
          <w:lang w:eastAsia="zh-CN"/>
        </w:rPr>
      </w:pPr>
    </w:p>
    <w:p w14:paraId="2A3FE114">
      <w:pPr>
        <w:rPr>
          <w:rFonts w:hint="eastAsia" w:ascii="宋体" w:hAnsi="宋体" w:cs="宋体"/>
          <w:color w:val="auto"/>
          <w:sz w:val="24"/>
          <w:highlight w:val="none"/>
          <w:lang w:eastAsia="zh-CN"/>
        </w:rPr>
      </w:pPr>
    </w:p>
    <w:p w14:paraId="4793CA18">
      <w:pPr>
        <w:rPr>
          <w:rFonts w:hint="eastAsia" w:ascii="宋体" w:hAnsi="宋体" w:cs="宋体"/>
          <w:color w:val="auto"/>
          <w:sz w:val="24"/>
          <w:highlight w:val="none"/>
          <w:lang w:eastAsia="zh-CN"/>
        </w:rPr>
      </w:pPr>
    </w:p>
    <w:p w14:paraId="2373CFC6">
      <w:pPr>
        <w:rPr>
          <w:rFonts w:hint="eastAsia" w:ascii="宋体" w:hAnsi="宋体" w:cs="宋体"/>
          <w:color w:val="auto"/>
          <w:sz w:val="24"/>
          <w:highlight w:val="none"/>
          <w:lang w:eastAsia="zh-CN"/>
        </w:rPr>
      </w:pPr>
    </w:p>
    <w:p w14:paraId="1FD86C7C">
      <w:pPr>
        <w:rPr>
          <w:rFonts w:hint="eastAsia" w:ascii="宋体" w:hAnsi="宋体" w:cs="宋体"/>
          <w:color w:val="auto"/>
          <w:sz w:val="24"/>
          <w:highlight w:val="none"/>
          <w:lang w:eastAsia="zh-CN"/>
        </w:rPr>
      </w:pPr>
    </w:p>
    <w:p w14:paraId="6886FE41">
      <w:pPr>
        <w:rPr>
          <w:rFonts w:hint="eastAsia" w:ascii="宋体" w:hAnsi="宋体" w:cs="宋体"/>
          <w:color w:val="auto"/>
          <w:sz w:val="24"/>
          <w:highlight w:val="none"/>
          <w:lang w:eastAsia="zh-CN"/>
        </w:rPr>
      </w:pPr>
    </w:p>
    <w:p w14:paraId="65855E9C">
      <w:pPr>
        <w:rPr>
          <w:rFonts w:hint="eastAsia" w:ascii="宋体" w:hAnsi="宋体" w:cs="宋体"/>
          <w:color w:val="auto"/>
          <w:sz w:val="24"/>
          <w:highlight w:val="none"/>
          <w:lang w:eastAsia="zh-CN"/>
        </w:rPr>
      </w:pPr>
    </w:p>
    <w:p w14:paraId="467EB1E3">
      <w:pPr>
        <w:rPr>
          <w:rFonts w:hint="eastAsia" w:ascii="宋体" w:hAnsi="宋体" w:cs="宋体"/>
          <w:color w:val="auto"/>
          <w:sz w:val="24"/>
          <w:highlight w:val="none"/>
          <w:lang w:eastAsia="zh-CN"/>
        </w:rPr>
      </w:pPr>
    </w:p>
    <w:p w14:paraId="682FD796">
      <w:pPr>
        <w:rPr>
          <w:rFonts w:hint="eastAsia"/>
          <w:color w:val="auto"/>
          <w:highlight w:val="none"/>
          <w:lang w:val="zh-TW" w:eastAsia="zh-TW"/>
        </w:rPr>
      </w:pPr>
    </w:p>
    <w:p w14:paraId="3FF77121">
      <w:pPr>
        <w:pStyle w:val="3"/>
        <w:pageBreakBefore w:val="0"/>
        <w:kinsoku/>
        <w:wordWrap/>
        <w:overflowPunct/>
        <w:topLinePunct w:val="0"/>
        <w:bidi w:val="0"/>
        <w:spacing w:line="360" w:lineRule="auto"/>
        <w:ind w:firstLine="723" w:firstLineChars="300"/>
        <w:jc w:val="both"/>
        <w:outlineLvl w:val="9"/>
        <w:rPr>
          <w:rFonts w:hint="eastAsia" w:ascii="宋体" w:hAnsi="宋体" w:eastAsia="宋体" w:cs="宋体"/>
          <w:color w:val="auto"/>
          <w:sz w:val="24"/>
          <w:highlight w:val="none"/>
        </w:rPr>
      </w:pPr>
      <w:bookmarkStart w:id="921" w:name="_Toc22614"/>
      <w:bookmarkStart w:id="922" w:name="_Toc18144"/>
      <w:bookmarkStart w:id="923" w:name="_Toc17612"/>
    </w:p>
    <w:p w14:paraId="7D1332ED">
      <w:pPr>
        <w:rPr>
          <w:rFonts w:hint="eastAsia" w:ascii="宋体" w:hAnsi="宋体" w:eastAsia="宋体" w:cs="宋体"/>
          <w:color w:val="auto"/>
          <w:sz w:val="24"/>
          <w:highlight w:val="none"/>
        </w:rPr>
      </w:pPr>
    </w:p>
    <w:p w14:paraId="43915FC4">
      <w:pPr>
        <w:pStyle w:val="3"/>
        <w:pageBreakBefore w:val="0"/>
        <w:kinsoku/>
        <w:wordWrap/>
        <w:overflowPunct/>
        <w:topLinePunct w:val="0"/>
        <w:bidi w:val="0"/>
        <w:spacing w:line="360" w:lineRule="auto"/>
        <w:jc w:val="center"/>
        <w:rPr>
          <w:rFonts w:hint="eastAsia" w:ascii="Times New Roman" w:hAnsi="Times New Roman" w:eastAsia="宋体" w:cs="Times New Roman"/>
          <w:b/>
          <w:color w:val="auto"/>
          <w:kern w:val="44"/>
          <w:sz w:val="28"/>
          <w:szCs w:val="36"/>
          <w:highlight w:val="none"/>
          <w:lang w:val="en-US" w:eastAsia="zh-CN" w:bidi="ar-SA"/>
        </w:rPr>
      </w:pPr>
      <w:r>
        <w:rPr>
          <w:rFonts w:hint="eastAsia" w:ascii="Times New Roman" w:hAnsi="Times New Roman" w:cs="Times New Roman"/>
          <w:b/>
          <w:color w:val="auto"/>
          <w:kern w:val="44"/>
          <w:sz w:val="28"/>
          <w:szCs w:val="36"/>
          <w:highlight w:val="none"/>
          <w:lang w:val="en-US" w:eastAsia="zh-CN" w:bidi="ar-SA"/>
        </w:rPr>
        <w:t>6</w:t>
      </w:r>
      <w:r>
        <w:rPr>
          <w:rFonts w:hint="eastAsia" w:ascii="Times New Roman" w:hAnsi="Times New Roman" w:eastAsia="宋体" w:cs="Times New Roman"/>
          <w:b/>
          <w:color w:val="auto"/>
          <w:kern w:val="44"/>
          <w:sz w:val="28"/>
          <w:szCs w:val="36"/>
          <w:highlight w:val="none"/>
          <w:lang w:val="en-US" w:eastAsia="zh-CN" w:bidi="ar-SA"/>
        </w:rPr>
        <w:t>、法定代表人证明书</w:t>
      </w:r>
      <w:bookmarkEnd w:id="921"/>
      <w:bookmarkEnd w:id="922"/>
      <w:bookmarkEnd w:id="923"/>
    </w:p>
    <w:p w14:paraId="4E83299E">
      <w:pPr>
        <w:pageBreakBefore w:val="0"/>
        <w:kinsoku/>
        <w:wordWrap/>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p>
    <w:p w14:paraId="52224265">
      <w:pPr>
        <w:pageBreakBefore w:val="0"/>
        <w:kinsoku/>
        <w:wordWrap/>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7DD25062">
      <w:pPr>
        <w:pageBreakBefore w:val="0"/>
        <w:kinsoku/>
        <w:wordWrap/>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6912BD3D">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w:t>
      </w:r>
    </w:p>
    <w:p w14:paraId="68550871">
      <w:pPr>
        <w:spacing w:line="480" w:lineRule="auto"/>
        <w:rPr>
          <w:color w:val="auto"/>
          <w:sz w:val="24"/>
          <w:highlight w:val="none"/>
        </w:rPr>
      </w:pPr>
    </w:p>
    <w:tbl>
      <w:tblPr>
        <w:tblStyle w:val="17"/>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14:paraId="65BED11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9" w:hRule="atLeast"/>
        </w:trPr>
        <w:tc>
          <w:tcPr>
            <w:tcW w:w="4180" w:type="dxa"/>
            <w:noWrap w:val="0"/>
            <w:vAlign w:val="center"/>
          </w:tcPr>
          <w:p w14:paraId="4818EA33">
            <w:pPr>
              <w:spacing w:line="480" w:lineRule="auto"/>
              <w:jc w:val="center"/>
              <w:rPr>
                <w:color w:val="auto"/>
                <w:sz w:val="24"/>
                <w:highlight w:val="none"/>
              </w:rPr>
            </w:pPr>
            <w:r>
              <w:rPr>
                <w:color w:val="auto"/>
                <w:sz w:val="24"/>
                <w:highlight w:val="none"/>
              </w:rPr>
              <w:t>法定代表人</w:t>
            </w:r>
          </w:p>
          <w:p w14:paraId="5F754554">
            <w:pPr>
              <w:spacing w:line="480" w:lineRule="auto"/>
              <w:jc w:val="center"/>
              <w:rPr>
                <w:rFonts w:hint="eastAsia" w:eastAsia="宋体"/>
                <w:color w:val="auto"/>
                <w:sz w:val="24"/>
                <w:highlight w:val="none"/>
                <w:lang w:eastAsia="zh-CN"/>
              </w:rPr>
            </w:pPr>
            <w:r>
              <w:rPr>
                <w:color w:val="auto"/>
                <w:sz w:val="24"/>
                <w:highlight w:val="none"/>
              </w:rPr>
              <w:t>身份证复印</w:t>
            </w:r>
            <w:r>
              <w:rPr>
                <w:rFonts w:hint="eastAsia"/>
                <w:color w:val="auto"/>
                <w:sz w:val="24"/>
                <w:highlight w:val="none"/>
                <w:lang w:eastAsia="zh-CN"/>
              </w:rPr>
              <w:t>件正面</w:t>
            </w:r>
          </w:p>
        </w:tc>
      </w:tr>
    </w:tbl>
    <w:tbl>
      <w:tblPr>
        <w:tblStyle w:val="17"/>
        <w:tblpPr w:leftFromText="180" w:rightFromText="180" w:vertAnchor="text" w:horzAnchor="page" w:tblpX="6283" w:tblpY="3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14:paraId="1825431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71" w:hRule="atLeast"/>
        </w:trPr>
        <w:tc>
          <w:tcPr>
            <w:tcW w:w="4040" w:type="dxa"/>
            <w:noWrap w:val="0"/>
            <w:vAlign w:val="center"/>
          </w:tcPr>
          <w:p w14:paraId="5261E1B2">
            <w:pPr>
              <w:spacing w:line="480" w:lineRule="auto"/>
              <w:jc w:val="center"/>
              <w:rPr>
                <w:color w:val="auto"/>
                <w:sz w:val="24"/>
                <w:highlight w:val="none"/>
              </w:rPr>
            </w:pPr>
            <w:r>
              <w:rPr>
                <w:color w:val="auto"/>
                <w:sz w:val="24"/>
                <w:highlight w:val="none"/>
              </w:rPr>
              <w:t>法定代表人</w:t>
            </w:r>
          </w:p>
          <w:p w14:paraId="1A63B5AF">
            <w:pPr>
              <w:spacing w:line="480" w:lineRule="auto"/>
              <w:jc w:val="center"/>
              <w:rPr>
                <w:rFonts w:hint="eastAsia" w:eastAsia="宋体"/>
                <w:color w:val="auto"/>
                <w:sz w:val="24"/>
                <w:highlight w:val="none"/>
                <w:lang w:eastAsia="zh-CN"/>
              </w:rPr>
            </w:pPr>
            <w:r>
              <w:rPr>
                <w:color w:val="auto"/>
                <w:sz w:val="24"/>
                <w:highlight w:val="none"/>
              </w:rPr>
              <w:t>身份证复印件</w:t>
            </w:r>
            <w:r>
              <w:rPr>
                <w:rFonts w:hint="eastAsia"/>
                <w:color w:val="auto"/>
                <w:sz w:val="24"/>
                <w:highlight w:val="none"/>
                <w:lang w:eastAsia="zh-CN"/>
              </w:rPr>
              <w:t>反面</w:t>
            </w:r>
          </w:p>
        </w:tc>
      </w:tr>
    </w:tbl>
    <w:p w14:paraId="1E35BF1F">
      <w:pPr>
        <w:pageBreakBefore w:val="0"/>
        <w:kinsoku/>
        <w:wordWrap/>
        <w:overflowPunct/>
        <w:topLinePunct w:val="0"/>
        <w:bidi w:val="0"/>
        <w:spacing w:line="360" w:lineRule="auto"/>
        <w:rPr>
          <w:rFonts w:hint="eastAsia" w:ascii="宋体" w:hAnsi="宋体" w:eastAsia="宋体" w:cs="宋体"/>
          <w:color w:val="auto"/>
          <w:sz w:val="24"/>
          <w:highlight w:val="none"/>
        </w:rPr>
      </w:pPr>
    </w:p>
    <w:p w14:paraId="2D2FEC87">
      <w:pPr>
        <w:pageBreakBefore w:val="0"/>
        <w:kinsoku/>
        <w:wordWrap/>
        <w:overflowPunct/>
        <w:topLinePunct w:val="0"/>
        <w:bidi w:val="0"/>
        <w:spacing w:line="360" w:lineRule="auto"/>
        <w:rPr>
          <w:rFonts w:hint="eastAsia" w:ascii="宋体" w:hAnsi="宋体" w:eastAsia="宋体" w:cs="宋体"/>
          <w:color w:val="auto"/>
          <w:sz w:val="24"/>
          <w:highlight w:val="none"/>
        </w:rPr>
      </w:pPr>
    </w:p>
    <w:p w14:paraId="18DAB70E">
      <w:pPr>
        <w:pStyle w:val="5"/>
        <w:rPr>
          <w:rFonts w:hint="eastAsia" w:ascii="宋体" w:hAnsi="宋体" w:eastAsia="宋体" w:cs="宋体"/>
          <w:color w:val="auto"/>
          <w:sz w:val="24"/>
          <w:highlight w:val="none"/>
        </w:rPr>
      </w:pPr>
    </w:p>
    <w:p w14:paraId="33CCBC68">
      <w:pPr>
        <w:pStyle w:val="5"/>
        <w:rPr>
          <w:rFonts w:hint="eastAsia" w:ascii="宋体" w:hAnsi="宋体" w:eastAsia="宋体" w:cs="宋体"/>
          <w:color w:val="auto"/>
          <w:sz w:val="24"/>
          <w:highlight w:val="none"/>
        </w:rPr>
      </w:pPr>
    </w:p>
    <w:p w14:paraId="4262F226">
      <w:pPr>
        <w:pStyle w:val="5"/>
        <w:rPr>
          <w:rFonts w:hint="eastAsia" w:ascii="宋体" w:hAnsi="宋体" w:eastAsia="宋体" w:cs="宋体"/>
          <w:color w:val="auto"/>
          <w:sz w:val="24"/>
          <w:highlight w:val="none"/>
        </w:rPr>
      </w:pPr>
    </w:p>
    <w:p w14:paraId="28FFDEAA">
      <w:pPr>
        <w:pageBreakBefore w:val="0"/>
        <w:kinsoku/>
        <w:wordWrap/>
        <w:overflowPunct/>
        <w:topLinePunct w:val="0"/>
        <w:bidi w:val="0"/>
        <w:spacing w:line="360" w:lineRule="auto"/>
        <w:ind w:firstLine="3600" w:firstLineChars="15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w:t>
      </w:r>
    </w:p>
    <w:p w14:paraId="040F3AD2">
      <w:pPr>
        <w:pageBreakBefore w:val="0"/>
        <w:kinsoku/>
        <w:wordWrap/>
        <w:overflowPunct/>
        <w:topLinePunct w:val="0"/>
        <w:bidi w:val="0"/>
        <w:spacing w:line="360" w:lineRule="auto"/>
        <w:ind w:firstLine="3600" w:firstLineChars="1500"/>
        <w:rPr>
          <w:rFonts w:hint="eastAsia" w:ascii="宋体" w:hAnsi="宋体" w:eastAsia="宋体" w:cs="宋体"/>
          <w:color w:val="auto"/>
          <w:sz w:val="24"/>
          <w:highlight w:val="none"/>
          <w:lang w:val="en-US" w:eastAsia="zh-CN"/>
        </w:rPr>
      </w:pPr>
    </w:p>
    <w:p w14:paraId="4A707E51">
      <w:pPr>
        <w:pageBreakBefore w:val="0"/>
        <w:kinsoku/>
        <w:wordWrap/>
        <w:overflowPunct/>
        <w:topLinePunct w:val="0"/>
        <w:bidi w:val="0"/>
        <w:spacing w:line="360" w:lineRule="auto"/>
        <w:ind w:firstLine="3600" w:firstLineChars="1500"/>
        <w:rPr>
          <w:rFonts w:hint="eastAsia" w:ascii="宋体" w:hAnsi="宋体" w:eastAsia="宋体" w:cs="宋体"/>
          <w:color w:val="auto"/>
          <w:sz w:val="24"/>
          <w:highlight w:val="none"/>
          <w:lang w:val="en-US" w:eastAsia="zh-CN"/>
        </w:rPr>
      </w:pPr>
    </w:p>
    <w:p w14:paraId="64FE9690">
      <w:pPr>
        <w:pageBreakBefore w:val="0"/>
        <w:kinsoku/>
        <w:wordWrap/>
        <w:overflowPunct/>
        <w:topLinePunct w:val="0"/>
        <w:bidi w:val="0"/>
        <w:spacing w:line="360" w:lineRule="auto"/>
        <w:ind w:firstLine="3600" w:firstLineChars="15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w:t>
      </w:r>
      <w:r>
        <w:rPr>
          <w:rFonts w:hint="eastAsia" w:ascii="宋体" w:hAnsi="宋体" w:eastAsia="宋体" w:cs="宋体"/>
          <w:color w:val="auto"/>
          <w:sz w:val="24"/>
          <w:highlight w:val="none"/>
          <w:lang w:val="en-US" w:eastAsia="zh-CN"/>
        </w:rPr>
        <w:t>标单位：</w:t>
      </w:r>
      <w:r>
        <w:rPr>
          <w:rFonts w:hint="eastAsia" w:ascii="宋体" w:hAnsi="宋体" w:eastAsia="宋体" w:cs="宋体"/>
          <w:color w:val="auto"/>
          <w:sz w:val="24"/>
          <w:highlight w:val="none"/>
          <w:u w:val="single"/>
          <w:lang w:val="en-US" w:eastAsia="zh-CN"/>
        </w:rPr>
        <w:t xml:space="preserve">           </w:t>
      </w:r>
      <w:r>
        <w:rPr>
          <w:rFonts w:hint="eastAsia"/>
          <w:color w:val="auto"/>
          <w:highlight w:val="none"/>
          <w:lang w:val="en-US" w:eastAsia="zh-CN"/>
        </w:rPr>
        <w:t>（盖章）</w:t>
      </w:r>
      <w:r>
        <w:rPr>
          <w:rFonts w:hint="eastAsia" w:ascii="宋体" w:hAnsi="宋体" w:eastAsia="宋体" w:cs="宋体"/>
          <w:color w:val="auto"/>
          <w:sz w:val="24"/>
          <w:highlight w:val="none"/>
          <w:lang w:val="en-US" w:eastAsia="zh-CN"/>
        </w:rPr>
        <w:t xml:space="preserve">   </w:t>
      </w:r>
    </w:p>
    <w:p w14:paraId="2EFDDDD1">
      <w:pPr>
        <w:pageBreakBefore w:val="0"/>
        <w:kinsoku/>
        <w:wordWrap/>
        <w:overflowPunct/>
        <w:topLinePunct w:val="0"/>
        <w:bidi w:val="0"/>
        <w:spacing w:line="360" w:lineRule="auto"/>
        <w:ind w:firstLine="3600" w:firstLineChars="15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法定代表人：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（签字或盖章）</w:t>
      </w:r>
    </w:p>
    <w:p w14:paraId="3BBA2046">
      <w:pPr>
        <w:pageBreakBefore w:val="0"/>
        <w:kinsoku/>
        <w:wordWrap/>
        <w:overflowPunct/>
        <w:topLinePunct w:val="0"/>
        <w:bidi w:val="0"/>
        <w:spacing w:line="360" w:lineRule="auto"/>
        <w:rPr>
          <w:rFonts w:hint="eastAsia" w:ascii="宋体" w:hAnsi="宋体" w:eastAsia="宋体" w:cs="宋体"/>
          <w:color w:val="auto"/>
          <w:sz w:val="24"/>
          <w:highlight w:val="none"/>
        </w:rPr>
      </w:pPr>
    </w:p>
    <w:p w14:paraId="34B0812F">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48CD46D7">
      <w:pPr>
        <w:rPr>
          <w:rFonts w:hint="eastAsia" w:ascii="宋体" w:hAnsi="宋体" w:eastAsia="宋体" w:cs="宋体"/>
          <w:color w:val="auto"/>
          <w:kern w:val="2"/>
          <w:sz w:val="24"/>
          <w:szCs w:val="24"/>
          <w:highlight w:val="none"/>
          <w:shd w:val="clear" w:color="auto" w:fill="FFFFFF"/>
          <w:lang w:val="en-US" w:eastAsia="zh-CN"/>
        </w:rPr>
      </w:pPr>
      <w:bookmarkStart w:id="924" w:name="_Toc12937"/>
      <w:bookmarkStart w:id="925" w:name="_Toc20180"/>
    </w:p>
    <w:p w14:paraId="12D38185">
      <w:pPr>
        <w:rPr>
          <w:rFonts w:hint="eastAsia" w:ascii="宋体" w:hAnsi="宋体" w:eastAsia="宋体" w:cs="宋体"/>
          <w:color w:val="auto"/>
          <w:kern w:val="2"/>
          <w:sz w:val="24"/>
          <w:szCs w:val="24"/>
          <w:highlight w:val="none"/>
          <w:shd w:val="clear" w:color="auto" w:fill="FFFFFF"/>
          <w:lang w:val="en-US" w:eastAsia="zh-CN"/>
        </w:rPr>
      </w:pPr>
    </w:p>
    <w:p w14:paraId="14E4AFD4">
      <w:pPr>
        <w:rPr>
          <w:rFonts w:hint="eastAsia" w:ascii="宋体" w:hAnsi="宋体" w:eastAsia="宋体" w:cs="宋体"/>
          <w:color w:val="auto"/>
          <w:kern w:val="2"/>
          <w:sz w:val="24"/>
          <w:szCs w:val="24"/>
          <w:highlight w:val="none"/>
          <w:shd w:val="clear" w:color="auto" w:fill="FFFFFF"/>
          <w:lang w:val="en-US" w:eastAsia="zh-CN"/>
        </w:rPr>
      </w:pPr>
    </w:p>
    <w:p w14:paraId="524C9019">
      <w:pPr>
        <w:rPr>
          <w:rFonts w:hint="eastAsia" w:ascii="宋体" w:hAnsi="宋体" w:eastAsia="宋体" w:cs="宋体"/>
          <w:color w:val="auto"/>
          <w:kern w:val="2"/>
          <w:sz w:val="24"/>
          <w:szCs w:val="24"/>
          <w:highlight w:val="none"/>
          <w:shd w:val="clear" w:color="auto" w:fill="FFFFFF"/>
          <w:lang w:val="en-US" w:eastAsia="zh-CN"/>
        </w:rPr>
      </w:pPr>
    </w:p>
    <w:p w14:paraId="58F2A962">
      <w:pPr>
        <w:rPr>
          <w:rFonts w:hint="eastAsia" w:ascii="宋体" w:hAnsi="宋体" w:eastAsia="宋体" w:cs="宋体"/>
          <w:color w:val="auto"/>
          <w:kern w:val="2"/>
          <w:sz w:val="24"/>
          <w:szCs w:val="24"/>
          <w:highlight w:val="none"/>
          <w:shd w:val="clear" w:color="auto" w:fill="FFFFFF"/>
          <w:lang w:val="en-US" w:eastAsia="zh-CN"/>
        </w:rPr>
      </w:pPr>
    </w:p>
    <w:p w14:paraId="66113E8E">
      <w:pPr>
        <w:rPr>
          <w:rFonts w:hint="eastAsia" w:ascii="宋体" w:hAnsi="宋体" w:eastAsia="宋体" w:cs="宋体"/>
          <w:color w:val="auto"/>
          <w:kern w:val="2"/>
          <w:sz w:val="24"/>
          <w:szCs w:val="24"/>
          <w:highlight w:val="none"/>
          <w:shd w:val="clear" w:color="auto" w:fill="FFFFFF"/>
          <w:lang w:val="en-US" w:eastAsia="zh-CN"/>
        </w:rPr>
      </w:pPr>
    </w:p>
    <w:p w14:paraId="47E96BE2">
      <w:pPr>
        <w:rPr>
          <w:rFonts w:hint="eastAsia" w:ascii="宋体" w:hAnsi="宋体" w:eastAsia="宋体" w:cs="宋体"/>
          <w:color w:val="auto"/>
          <w:kern w:val="2"/>
          <w:sz w:val="24"/>
          <w:szCs w:val="24"/>
          <w:highlight w:val="none"/>
          <w:shd w:val="clear" w:color="auto" w:fill="FFFFFF"/>
          <w:lang w:val="en-US" w:eastAsia="zh-CN"/>
        </w:rPr>
      </w:pPr>
    </w:p>
    <w:p w14:paraId="194093B6">
      <w:pPr>
        <w:rPr>
          <w:rFonts w:hint="eastAsia" w:ascii="宋体" w:hAnsi="宋体" w:eastAsia="宋体" w:cs="宋体"/>
          <w:color w:val="auto"/>
          <w:kern w:val="2"/>
          <w:sz w:val="24"/>
          <w:szCs w:val="24"/>
          <w:highlight w:val="none"/>
          <w:shd w:val="clear" w:color="auto" w:fill="FFFFFF"/>
          <w:lang w:val="en-US" w:eastAsia="zh-CN"/>
        </w:rPr>
      </w:pPr>
    </w:p>
    <w:p w14:paraId="453CD1FB">
      <w:pPr>
        <w:rPr>
          <w:rFonts w:hint="eastAsia" w:ascii="宋体" w:hAnsi="宋体" w:eastAsia="宋体" w:cs="宋体"/>
          <w:color w:val="auto"/>
          <w:kern w:val="2"/>
          <w:sz w:val="24"/>
          <w:szCs w:val="24"/>
          <w:highlight w:val="none"/>
          <w:shd w:val="clear" w:color="auto" w:fill="FFFFFF"/>
          <w:lang w:val="en-US" w:eastAsia="zh-CN"/>
        </w:rPr>
      </w:pPr>
    </w:p>
    <w:p w14:paraId="35934B3B">
      <w:pPr>
        <w:rPr>
          <w:rFonts w:hint="eastAsia" w:ascii="宋体" w:hAnsi="宋体" w:eastAsia="宋体" w:cs="宋体"/>
          <w:color w:val="auto"/>
          <w:kern w:val="2"/>
          <w:sz w:val="24"/>
          <w:szCs w:val="24"/>
          <w:highlight w:val="none"/>
          <w:shd w:val="clear" w:color="auto" w:fill="FFFFFF"/>
          <w:lang w:val="en-US" w:eastAsia="zh-CN"/>
        </w:rPr>
      </w:pPr>
    </w:p>
    <w:p w14:paraId="6EBDCB40">
      <w:pPr>
        <w:rPr>
          <w:rFonts w:hint="eastAsia" w:ascii="宋体" w:hAnsi="宋体" w:eastAsia="宋体" w:cs="宋体"/>
          <w:color w:val="auto"/>
          <w:kern w:val="2"/>
          <w:sz w:val="24"/>
          <w:szCs w:val="24"/>
          <w:highlight w:val="none"/>
          <w:shd w:val="clear" w:color="auto" w:fill="FFFFFF"/>
          <w:lang w:val="en-US" w:eastAsia="zh-CN"/>
        </w:rPr>
      </w:pPr>
    </w:p>
    <w:p w14:paraId="186225C2">
      <w:pPr>
        <w:rPr>
          <w:rFonts w:hint="eastAsia" w:ascii="宋体" w:hAnsi="宋体" w:eastAsia="宋体" w:cs="宋体"/>
          <w:color w:val="auto"/>
          <w:kern w:val="2"/>
          <w:sz w:val="24"/>
          <w:szCs w:val="24"/>
          <w:highlight w:val="none"/>
          <w:shd w:val="clear" w:color="auto" w:fill="FFFFFF"/>
          <w:lang w:val="en-US" w:eastAsia="zh-CN"/>
        </w:rPr>
      </w:pPr>
    </w:p>
    <w:p w14:paraId="41507DD6">
      <w:pPr>
        <w:pStyle w:val="5"/>
        <w:rPr>
          <w:rFonts w:hint="eastAsia" w:ascii="宋体" w:hAnsi="宋体" w:eastAsia="宋体" w:cs="宋体"/>
          <w:color w:val="auto"/>
          <w:kern w:val="2"/>
          <w:sz w:val="24"/>
          <w:szCs w:val="24"/>
          <w:highlight w:val="none"/>
          <w:shd w:val="clear" w:color="auto" w:fill="FFFFFF"/>
          <w:lang w:val="en-US" w:eastAsia="zh-CN"/>
        </w:rPr>
      </w:pPr>
    </w:p>
    <w:p w14:paraId="2DF04C92">
      <w:pPr>
        <w:rPr>
          <w:rFonts w:hint="eastAsia" w:ascii="宋体" w:hAnsi="宋体" w:eastAsia="宋体" w:cs="宋体"/>
          <w:color w:val="auto"/>
          <w:kern w:val="2"/>
          <w:sz w:val="24"/>
          <w:szCs w:val="24"/>
          <w:highlight w:val="none"/>
          <w:shd w:val="clear" w:color="auto" w:fill="FFFFFF"/>
          <w:lang w:val="en-US" w:eastAsia="zh-CN"/>
        </w:rPr>
      </w:pPr>
    </w:p>
    <w:p w14:paraId="35C532CE">
      <w:pPr>
        <w:pStyle w:val="5"/>
        <w:rPr>
          <w:rFonts w:hint="eastAsia" w:ascii="宋体" w:hAnsi="宋体" w:eastAsia="宋体" w:cs="宋体"/>
          <w:color w:val="auto"/>
          <w:kern w:val="2"/>
          <w:sz w:val="24"/>
          <w:szCs w:val="24"/>
          <w:highlight w:val="none"/>
          <w:shd w:val="clear" w:color="auto" w:fill="FFFFFF"/>
          <w:lang w:val="en-US" w:eastAsia="zh-CN"/>
        </w:rPr>
      </w:pPr>
    </w:p>
    <w:p w14:paraId="6CC5223D">
      <w:pPr>
        <w:rPr>
          <w:rFonts w:hint="eastAsia" w:ascii="宋体" w:hAnsi="宋体" w:eastAsia="宋体" w:cs="宋体"/>
          <w:color w:val="auto"/>
          <w:kern w:val="2"/>
          <w:sz w:val="24"/>
          <w:szCs w:val="24"/>
          <w:highlight w:val="none"/>
          <w:shd w:val="clear" w:color="auto" w:fill="FFFFFF"/>
          <w:lang w:val="en-US" w:eastAsia="zh-CN"/>
        </w:rPr>
      </w:pPr>
    </w:p>
    <w:p w14:paraId="7BDCA79A">
      <w:pPr>
        <w:jc w:val="center"/>
        <w:rPr>
          <w:rFonts w:hint="eastAsia" w:ascii="宋体" w:hAnsi="宋体" w:cs="宋体"/>
          <w:b/>
          <w:bCs/>
          <w:color w:val="auto"/>
          <w:sz w:val="28"/>
          <w:szCs w:val="28"/>
          <w:highlight w:val="none"/>
          <w:lang w:val="en-US" w:eastAsia="zh-CN"/>
        </w:rPr>
      </w:pPr>
    </w:p>
    <w:p w14:paraId="0DC25691">
      <w:pPr>
        <w:jc w:val="center"/>
        <w:rPr>
          <w:rFonts w:hint="eastAsia" w:ascii="宋体" w:hAnsi="宋体"/>
          <w:color w:val="auto"/>
          <w:sz w:val="24"/>
          <w:szCs w:val="24"/>
          <w:highlight w:val="none"/>
          <w:u w:val="single"/>
        </w:rPr>
      </w:pPr>
      <w:r>
        <w:rPr>
          <w:rFonts w:hint="eastAsia" w:ascii="宋体" w:hAnsi="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法定代表人授权</w:t>
      </w:r>
      <w:r>
        <w:rPr>
          <w:rFonts w:hint="eastAsia" w:ascii="宋体" w:hAnsi="宋体" w:cs="宋体"/>
          <w:b/>
          <w:bCs/>
          <w:color w:val="auto"/>
          <w:sz w:val="28"/>
          <w:szCs w:val="28"/>
          <w:highlight w:val="none"/>
          <w:lang w:eastAsia="zh-CN"/>
        </w:rPr>
        <w:t>委托</w:t>
      </w:r>
      <w:r>
        <w:rPr>
          <w:rFonts w:hint="eastAsia" w:ascii="宋体" w:hAnsi="宋体" w:eastAsia="宋体" w:cs="宋体"/>
          <w:b/>
          <w:bCs/>
          <w:color w:val="auto"/>
          <w:sz w:val="28"/>
          <w:szCs w:val="28"/>
          <w:highlight w:val="none"/>
        </w:rPr>
        <w:t>书</w:t>
      </w:r>
      <w:bookmarkEnd w:id="924"/>
      <w:bookmarkEnd w:id="925"/>
    </w:p>
    <w:p w14:paraId="0602A924">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采购</w:t>
      </w:r>
      <w:r>
        <w:rPr>
          <w:rFonts w:hint="eastAsia" w:ascii="宋体" w:hAnsi="宋体" w:eastAsia="宋体" w:cs="宋体"/>
          <w:color w:val="auto"/>
          <w:sz w:val="24"/>
          <w:highlight w:val="none"/>
          <w:u w:val="single"/>
        </w:rPr>
        <w:t>单位）</w:t>
      </w:r>
      <w:r>
        <w:rPr>
          <w:rFonts w:hint="eastAsia" w:ascii="宋体" w:hAnsi="宋体" w:eastAsia="宋体" w:cs="宋体"/>
          <w:color w:val="auto"/>
          <w:sz w:val="24"/>
          <w:highlight w:val="none"/>
        </w:rPr>
        <w:t>：</w:t>
      </w:r>
    </w:p>
    <w:p w14:paraId="225EBC88">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62F799FD">
      <w:pPr>
        <w:spacing w:line="360" w:lineRule="auto"/>
        <w:rPr>
          <w:rFonts w:hint="eastAsia"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单位名称)法定代表人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授权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为本公司的合法代理人，参加贵方组织的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（项目名称）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采购</w:t>
      </w:r>
      <w:r>
        <w:rPr>
          <w:rFonts w:hint="eastAsia" w:ascii="宋体" w:hAnsi="宋体"/>
          <w:color w:val="auto"/>
          <w:sz w:val="24"/>
          <w:szCs w:val="24"/>
          <w:highlight w:val="none"/>
          <w:lang w:eastAsia="zh-CN"/>
        </w:rPr>
        <w:t>谈判</w:t>
      </w:r>
      <w:r>
        <w:rPr>
          <w:rFonts w:hint="eastAsia" w:ascii="宋体" w:hAnsi="宋体"/>
          <w:color w:val="auto"/>
          <w:sz w:val="24"/>
          <w:szCs w:val="24"/>
          <w:highlight w:val="none"/>
        </w:rPr>
        <w:t>活动，全权代表我方处理</w:t>
      </w:r>
      <w:r>
        <w:rPr>
          <w:rFonts w:hint="eastAsia" w:ascii="宋体" w:hAnsi="宋体"/>
          <w:color w:val="auto"/>
          <w:sz w:val="24"/>
          <w:szCs w:val="24"/>
          <w:highlight w:val="none"/>
          <w:lang w:eastAsia="zh-CN"/>
        </w:rPr>
        <w:t>谈判</w:t>
      </w:r>
      <w:r>
        <w:rPr>
          <w:rFonts w:hint="eastAsia" w:ascii="宋体" w:hAnsi="宋体"/>
          <w:color w:val="auto"/>
          <w:sz w:val="24"/>
          <w:szCs w:val="24"/>
          <w:highlight w:val="none"/>
        </w:rPr>
        <w:t>活动中的一切事宜和签署一切文件，被授权人无转委托权，特此委托。</w:t>
      </w:r>
    </w:p>
    <w:p w14:paraId="378988F5">
      <w:pPr>
        <w:spacing w:line="360" w:lineRule="auto"/>
        <w:rPr>
          <w:rFonts w:hint="eastAsia" w:ascii="宋体" w:hAnsi="宋体"/>
          <w:color w:val="auto"/>
          <w:sz w:val="24"/>
          <w:szCs w:val="24"/>
          <w:highlight w:val="none"/>
          <w:u w:val="single"/>
        </w:rPr>
      </w:pPr>
      <w:r>
        <w:rPr>
          <w:rFonts w:hint="eastAsia" w:ascii="宋体" w:hAnsi="宋体"/>
          <w:color w:val="auto"/>
          <w:sz w:val="24"/>
          <w:szCs w:val="24"/>
          <w:highlight w:val="none"/>
        </w:rPr>
        <w:t xml:space="preserve">     法定代表人</w:t>
      </w:r>
      <w:r>
        <w:rPr>
          <w:rFonts w:hint="eastAsia" w:ascii="宋体" w:hAnsi="宋体"/>
          <w:color w:val="auto"/>
          <w:sz w:val="24"/>
          <w:szCs w:val="24"/>
          <w:highlight w:val="none"/>
          <w:lang w:eastAsia="zh-CN"/>
        </w:rPr>
        <w:t>（</w:t>
      </w:r>
      <w:r>
        <w:rPr>
          <w:rFonts w:hint="eastAsia" w:ascii="宋体" w:hAnsi="宋体" w:eastAsia="宋体" w:cs="宋体"/>
          <w:color w:val="auto"/>
          <w:sz w:val="24"/>
          <w:highlight w:val="none"/>
          <w:lang w:val="en-US" w:eastAsia="zh-CN"/>
        </w:rPr>
        <w:t>签字或盖章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p>
    <w:p w14:paraId="1A8196DC">
      <w:pPr>
        <w:spacing w:line="360" w:lineRule="auto"/>
        <w:ind w:firstLine="588" w:firstLineChars="245"/>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委托期限</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年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lang w:eastAsia="zh-CN"/>
        </w:rPr>
        <w:t>至</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年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57704363">
      <w:pPr>
        <w:spacing w:line="360" w:lineRule="auto"/>
        <w:ind w:firstLine="588" w:firstLineChars="245"/>
        <w:rPr>
          <w:rFonts w:hint="eastAsia" w:ascii="宋体" w:hAnsi="宋体"/>
          <w:color w:val="auto"/>
          <w:sz w:val="24"/>
          <w:szCs w:val="24"/>
          <w:highlight w:val="none"/>
          <w:u w:val="single"/>
        </w:rPr>
      </w:pPr>
      <w:r>
        <w:rPr>
          <w:rFonts w:hint="eastAsia" w:ascii="宋体" w:hAnsi="宋体"/>
          <w:color w:val="auto"/>
          <w:sz w:val="24"/>
          <w:szCs w:val="24"/>
          <w:highlight w:val="none"/>
        </w:rPr>
        <w:t>被授权人</w:t>
      </w:r>
      <w:r>
        <w:rPr>
          <w:rFonts w:hint="eastAsia" w:ascii="宋体" w:hAnsi="宋体"/>
          <w:color w:val="auto"/>
          <w:sz w:val="24"/>
          <w:szCs w:val="24"/>
          <w:highlight w:val="none"/>
          <w:lang w:val="en-US" w:eastAsia="zh-CN"/>
        </w:rPr>
        <w:t>（签字或盖章）</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p>
    <w:p w14:paraId="74BB6520">
      <w:pPr>
        <w:spacing w:line="360" w:lineRule="auto"/>
        <w:ind w:firstLine="588" w:firstLineChars="245"/>
        <w:rPr>
          <w:rFonts w:hint="eastAsia" w:ascii="宋体" w:hAnsi="宋体"/>
          <w:color w:val="auto"/>
          <w:sz w:val="24"/>
          <w:szCs w:val="24"/>
          <w:highlight w:val="none"/>
        </w:rPr>
      </w:pP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7B260B2C">
      <w:pPr>
        <w:spacing w:line="360" w:lineRule="auto"/>
        <w:ind w:firstLine="588" w:firstLineChars="245"/>
        <w:rPr>
          <w:rFonts w:hint="eastAsia" w:ascii="宋体" w:hAnsi="宋体"/>
          <w:color w:val="auto"/>
          <w:sz w:val="24"/>
          <w:szCs w:val="24"/>
          <w:highlight w:val="none"/>
          <w:u w:val="single"/>
        </w:rPr>
      </w:pPr>
      <w:r>
        <w:rPr>
          <w:rFonts w:hint="eastAsia" w:ascii="宋体" w:hAnsi="宋体"/>
          <w:color w:val="auto"/>
          <w:sz w:val="24"/>
          <w:szCs w:val="24"/>
          <w:highlight w:val="none"/>
        </w:rPr>
        <w:t>详细通讯地址：</w:t>
      </w:r>
      <w:r>
        <w:rPr>
          <w:rFonts w:hint="eastAsia" w:ascii="宋体" w:hAnsi="宋体"/>
          <w:color w:val="auto"/>
          <w:sz w:val="24"/>
          <w:szCs w:val="24"/>
          <w:highlight w:val="none"/>
          <w:u w:val="single"/>
        </w:rPr>
        <w:t xml:space="preserve">                 </w:t>
      </w:r>
    </w:p>
    <w:p w14:paraId="422F524B">
      <w:pPr>
        <w:spacing w:line="360" w:lineRule="auto"/>
        <w:ind w:firstLine="588" w:firstLineChars="245"/>
        <w:rPr>
          <w:rFonts w:hint="eastAsia" w:ascii="宋体" w:hAnsi="宋体"/>
          <w:color w:val="auto"/>
          <w:sz w:val="24"/>
          <w:szCs w:val="24"/>
          <w:highlight w:val="none"/>
          <w:u w:val="single"/>
        </w:rPr>
      </w:pPr>
      <w:r>
        <w:rPr>
          <w:rFonts w:hint="eastAsia" w:ascii="宋体" w:hAnsi="宋体"/>
          <w:color w:val="auto"/>
          <w:sz w:val="24"/>
          <w:szCs w:val="24"/>
          <w:highlight w:val="none"/>
        </w:rPr>
        <w:t>邮政编码：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4E798698">
      <w:pPr>
        <w:spacing w:line="360" w:lineRule="auto"/>
        <w:ind w:firstLine="588" w:firstLineChars="245"/>
        <w:rPr>
          <w:rFonts w:hint="eastAsia" w:ascii="宋体" w:hAnsi="宋体"/>
          <w:color w:val="auto"/>
          <w:sz w:val="24"/>
          <w:szCs w:val="24"/>
          <w:highlight w:val="none"/>
          <w:u w:val="single"/>
        </w:rPr>
      </w:pPr>
      <w:r>
        <w:rPr>
          <w:rFonts w:hint="eastAsia" w:ascii="宋体" w:hAnsi="宋体"/>
          <w:color w:val="auto"/>
          <w:sz w:val="24"/>
          <w:szCs w:val="24"/>
          <w:highlight w:val="none"/>
        </w:rPr>
        <w:t>电    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p>
    <w:p w14:paraId="0DF556AC">
      <w:pPr>
        <w:spacing w:line="360" w:lineRule="auto"/>
        <w:rPr>
          <w:rFonts w:hint="eastAsia" w:ascii="宋体" w:hAnsi="宋体"/>
          <w:b/>
          <w:color w:val="auto"/>
          <w:sz w:val="24"/>
          <w:szCs w:val="24"/>
          <w:highlight w:val="none"/>
        </w:rPr>
      </w:pPr>
      <w:r>
        <w:rPr>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2775585</wp:posOffset>
                </wp:positionH>
                <wp:positionV relativeFrom="paragraph">
                  <wp:posOffset>111125</wp:posOffset>
                </wp:positionV>
                <wp:extent cx="2619375" cy="1704975"/>
                <wp:effectExtent l="7620" t="7620" r="20955" b="20955"/>
                <wp:wrapNone/>
                <wp:docPr id="3" name="文本框 3"/>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14:paraId="46A247AE">
                            <w:pPr>
                              <w:jc w:val="center"/>
                              <w:rPr>
                                <w:rFonts w:hint="eastAsia"/>
                                <w:lang w:eastAsia="zh-CN"/>
                              </w:rPr>
                            </w:pPr>
                          </w:p>
                          <w:p w14:paraId="7761EDF8">
                            <w:pPr>
                              <w:jc w:val="center"/>
                              <w:rPr>
                                <w:rFonts w:hint="eastAsia"/>
                                <w:lang w:eastAsia="zh-CN"/>
                              </w:rPr>
                            </w:pPr>
                          </w:p>
                          <w:p w14:paraId="1CA72A8D">
                            <w:pPr>
                              <w:jc w:val="center"/>
                              <w:rPr>
                                <w:rFonts w:hint="eastAsia" w:eastAsia="宋体"/>
                                <w:lang w:eastAsia="zh-CN"/>
                              </w:rPr>
                            </w:pPr>
                            <w:r>
                              <w:rPr>
                                <w:rFonts w:hint="eastAsia"/>
                                <w:lang w:eastAsia="zh-CN"/>
                              </w:rPr>
                              <w:t>被委托人身份证正面</w:t>
                            </w:r>
                          </w:p>
                        </w:txbxContent>
                      </wps:txbx>
                      <wps:bodyPr upright="1"/>
                    </wps:wsp>
                  </a:graphicData>
                </a:graphic>
              </wp:anchor>
            </w:drawing>
          </mc:Choice>
          <mc:Fallback>
            <w:pict>
              <v:shape id="_x0000_s1026" o:spid="_x0000_s1026" o:spt="202" type="#_x0000_t202" style="position:absolute;left:0pt;margin-left:218.55pt;margin-top:8.75pt;height:134.25pt;width:206.25pt;z-index:251660288;mso-width-relative:page;mso-height-relative:page;" fillcolor="#FFFFFF" filled="t" stroked="t" coordsize="21600,21600" o:gfxdata="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LOA0/2QAAAAoBAAAPAAAAAAAA&#10;AAEAIAAAACIAAABkcnMvZG93bnJldi54bWxQSwECFAAUAAAACACHTuJADt2vxUoCAADNBAAADgAA&#10;AAAAAAABACAAAAAoAQAAZHJzL2Uyb0RvYy54bWxQSwUGAAAAAAYABgBZAQAA5AUAAAAA&#10;">
                <v:fill type="gradient" on="t" color2="#FFFFFF" angle="90" focus="100%" focussize="0,0">
                  <o:fill type="gradientUnscaled" v:ext="backwardCompatible"/>
                </v:fill>
                <v:stroke weight="1.25pt" color="#000000" joinstyle="miter"/>
                <v:imagedata o:title=""/>
                <o:lock v:ext="edit" aspectratio="f"/>
                <v:textbox>
                  <w:txbxContent>
                    <w:p w14:paraId="46A247AE">
                      <w:pPr>
                        <w:jc w:val="center"/>
                        <w:rPr>
                          <w:rFonts w:hint="eastAsia"/>
                          <w:lang w:eastAsia="zh-CN"/>
                        </w:rPr>
                      </w:pPr>
                    </w:p>
                    <w:p w14:paraId="7761EDF8">
                      <w:pPr>
                        <w:jc w:val="center"/>
                        <w:rPr>
                          <w:rFonts w:hint="eastAsia"/>
                          <w:lang w:eastAsia="zh-CN"/>
                        </w:rPr>
                      </w:pPr>
                    </w:p>
                    <w:p w14:paraId="1CA72A8D">
                      <w:pPr>
                        <w:jc w:val="center"/>
                        <w:rPr>
                          <w:rFonts w:hint="eastAsia" w:eastAsia="宋体"/>
                          <w:lang w:eastAsia="zh-CN"/>
                        </w:rPr>
                      </w:pPr>
                      <w:r>
                        <w:rPr>
                          <w:rFonts w:hint="eastAsia"/>
                          <w:lang w:eastAsia="zh-CN"/>
                        </w:rPr>
                        <w:t>被委托人身份证正面</w:t>
                      </w:r>
                    </w:p>
                  </w:txbxContent>
                </v:textbox>
              </v:shape>
            </w:pict>
          </mc:Fallback>
        </mc:AlternateContent>
      </w:r>
      <w:r>
        <w:rPr>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87630</wp:posOffset>
                </wp:positionV>
                <wp:extent cx="2619375" cy="1704975"/>
                <wp:effectExtent l="7620" t="7620" r="20955" b="20955"/>
                <wp:wrapNone/>
                <wp:docPr id="5" name="文本框 5"/>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14:paraId="03629FC6">
                            <w:pPr>
                              <w:jc w:val="center"/>
                              <w:rPr>
                                <w:rFonts w:hint="eastAsia"/>
                                <w:lang w:eastAsia="zh-CN"/>
                              </w:rPr>
                            </w:pPr>
                          </w:p>
                          <w:p w14:paraId="0D04B403">
                            <w:pPr>
                              <w:jc w:val="center"/>
                              <w:rPr>
                                <w:rFonts w:hint="eastAsia"/>
                                <w:lang w:eastAsia="zh-CN"/>
                              </w:rPr>
                            </w:pPr>
                          </w:p>
                          <w:p w14:paraId="2C6F1DB5">
                            <w:pPr>
                              <w:jc w:val="center"/>
                              <w:rPr>
                                <w:rFonts w:hint="eastAsia" w:eastAsia="宋体"/>
                                <w:lang w:eastAsia="zh-CN"/>
                              </w:rPr>
                            </w:pPr>
                            <w:r>
                              <w:rPr>
                                <w:rFonts w:hint="eastAsia"/>
                                <w:lang w:eastAsia="zh-CN"/>
                              </w:rPr>
                              <w:t>法定代表人身份证正面</w:t>
                            </w:r>
                          </w:p>
                        </w:txbxContent>
                      </wps:txbx>
                      <wps:bodyPr upright="1"/>
                    </wps:wsp>
                  </a:graphicData>
                </a:graphic>
              </wp:anchor>
            </w:drawing>
          </mc:Choice>
          <mc:Fallback>
            <w:pict>
              <v:shape id="_x0000_s1026" o:spid="_x0000_s1026" o:spt="202" type="#_x0000_t202" style="position:absolute;left:0pt;margin-left:0.9pt;margin-top:6.9pt;height:134.25pt;width:206.25pt;z-index:251659264;mso-width-relative:page;mso-height-relative:page;" fillcolor="#FFFFFF" filled="t" stroked="t" coordsize="21600,21600" o:gfxdata="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JuIRITVAAAACAEAAA8AAAAAAAAAAQAg&#10;AAAAIgAAAGRycy9kb3ducmV2LnhtbFBLAQIUABQAAAAIAIdO4kCtwrohSgIAAM0EAAAOAAAAAAAA&#10;AAEAIAAAACQBAABkcnMvZTJvRG9jLnhtbFBLBQYAAAAABgAGAFkBAADgBQAAAAA=&#10;">
                <v:fill type="gradient" on="t" color2="#FFFFFF" angle="90" focus="100%" focussize="0,0">
                  <o:fill type="gradientUnscaled" v:ext="backwardCompatible"/>
                </v:fill>
                <v:stroke weight="1.25pt" color="#000000" joinstyle="miter"/>
                <v:imagedata o:title=""/>
                <o:lock v:ext="edit" aspectratio="f"/>
                <v:textbox>
                  <w:txbxContent>
                    <w:p w14:paraId="03629FC6">
                      <w:pPr>
                        <w:jc w:val="center"/>
                        <w:rPr>
                          <w:rFonts w:hint="eastAsia"/>
                          <w:lang w:eastAsia="zh-CN"/>
                        </w:rPr>
                      </w:pPr>
                    </w:p>
                    <w:p w14:paraId="0D04B403">
                      <w:pPr>
                        <w:jc w:val="center"/>
                        <w:rPr>
                          <w:rFonts w:hint="eastAsia"/>
                          <w:lang w:eastAsia="zh-CN"/>
                        </w:rPr>
                      </w:pPr>
                    </w:p>
                    <w:p w14:paraId="2C6F1DB5">
                      <w:pPr>
                        <w:jc w:val="center"/>
                        <w:rPr>
                          <w:rFonts w:hint="eastAsia" w:eastAsia="宋体"/>
                          <w:lang w:eastAsia="zh-CN"/>
                        </w:rPr>
                      </w:pPr>
                      <w:r>
                        <w:rPr>
                          <w:rFonts w:hint="eastAsia"/>
                          <w:lang w:eastAsia="zh-CN"/>
                        </w:rPr>
                        <w:t>法定代表人身份证正面</w:t>
                      </w:r>
                    </w:p>
                  </w:txbxContent>
                </v:textbox>
              </v:shape>
            </w:pict>
          </mc:Fallback>
        </mc:AlternateContent>
      </w:r>
    </w:p>
    <w:p w14:paraId="110699CB">
      <w:pPr>
        <w:spacing w:line="360" w:lineRule="auto"/>
        <w:rPr>
          <w:rFonts w:hint="eastAsia" w:ascii="宋体" w:hAnsi="宋体"/>
          <w:b/>
          <w:color w:val="auto"/>
          <w:sz w:val="24"/>
          <w:szCs w:val="24"/>
          <w:highlight w:val="none"/>
        </w:rPr>
      </w:pPr>
    </w:p>
    <w:p w14:paraId="543BFFDC">
      <w:pPr>
        <w:spacing w:line="360" w:lineRule="auto"/>
        <w:rPr>
          <w:rFonts w:hint="eastAsia" w:ascii="宋体" w:hAnsi="宋体"/>
          <w:b/>
          <w:color w:val="auto"/>
          <w:sz w:val="24"/>
          <w:szCs w:val="24"/>
          <w:highlight w:val="none"/>
        </w:rPr>
      </w:pPr>
    </w:p>
    <w:p w14:paraId="26E3E264">
      <w:pPr>
        <w:spacing w:line="360" w:lineRule="auto"/>
        <w:rPr>
          <w:rFonts w:hint="eastAsia" w:ascii="宋体" w:hAnsi="宋体"/>
          <w:b/>
          <w:color w:val="auto"/>
          <w:sz w:val="24"/>
          <w:szCs w:val="24"/>
          <w:highlight w:val="none"/>
        </w:rPr>
      </w:pPr>
    </w:p>
    <w:p w14:paraId="4F13F630">
      <w:pPr>
        <w:spacing w:line="360" w:lineRule="auto"/>
        <w:rPr>
          <w:rFonts w:hint="eastAsia" w:ascii="宋体" w:hAnsi="宋体"/>
          <w:b/>
          <w:color w:val="auto"/>
          <w:sz w:val="24"/>
          <w:szCs w:val="24"/>
          <w:highlight w:val="none"/>
        </w:rPr>
      </w:pPr>
    </w:p>
    <w:p w14:paraId="5C40BF36">
      <w:pPr>
        <w:spacing w:line="360" w:lineRule="auto"/>
        <w:rPr>
          <w:rFonts w:hint="eastAsia" w:ascii="宋体" w:hAnsi="宋体"/>
          <w:b/>
          <w:color w:val="auto"/>
          <w:sz w:val="24"/>
          <w:szCs w:val="24"/>
          <w:highlight w:val="none"/>
        </w:rPr>
      </w:pPr>
    </w:p>
    <w:p w14:paraId="0D9F54F2">
      <w:pPr>
        <w:spacing w:line="360" w:lineRule="auto"/>
        <w:rPr>
          <w:rFonts w:hint="eastAsia" w:ascii="宋体" w:hAnsi="宋体"/>
          <w:b/>
          <w:color w:val="auto"/>
          <w:sz w:val="24"/>
          <w:szCs w:val="24"/>
          <w:highlight w:val="none"/>
        </w:rPr>
      </w:pPr>
      <w:r>
        <w:rPr>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59055</wp:posOffset>
                </wp:positionH>
                <wp:positionV relativeFrom="paragraph">
                  <wp:posOffset>142875</wp:posOffset>
                </wp:positionV>
                <wp:extent cx="2619375" cy="1704975"/>
                <wp:effectExtent l="7620" t="7620" r="20955" b="20955"/>
                <wp:wrapNone/>
                <wp:docPr id="4" name="文本框 4"/>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14:paraId="770B5720">
                            <w:pPr>
                              <w:jc w:val="center"/>
                              <w:rPr>
                                <w:rFonts w:hint="eastAsia"/>
                                <w:lang w:eastAsia="zh-CN"/>
                              </w:rPr>
                            </w:pPr>
                          </w:p>
                          <w:p w14:paraId="1FA7C2DE">
                            <w:pPr>
                              <w:jc w:val="center"/>
                              <w:rPr>
                                <w:rFonts w:hint="eastAsia"/>
                                <w:lang w:eastAsia="zh-CN"/>
                              </w:rPr>
                            </w:pPr>
                          </w:p>
                          <w:p w14:paraId="67A92678">
                            <w:pPr>
                              <w:jc w:val="center"/>
                              <w:rPr>
                                <w:rFonts w:hint="eastAsia" w:eastAsia="宋体"/>
                                <w:lang w:eastAsia="zh-CN"/>
                              </w:rPr>
                            </w:pPr>
                            <w:r>
                              <w:rPr>
                                <w:rFonts w:hint="eastAsia"/>
                                <w:lang w:eastAsia="zh-CN"/>
                              </w:rPr>
                              <w:t>法定代表人身份证反面</w:t>
                            </w:r>
                          </w:p>
                        </w:txbxContent>
                      </wps:txbx>
                      <wps:bodyPr upright="1"/>
                    </wps:wsp>
                  </a:graphicData>
                </a:graphic>
              </wp:anchor>
            </w:drawing>
          </mc:Choice>
          <mc:Fallback>
            <w:pict>
              <v:shape id="_x0000_s1026" o:spid="_x0000_s1026" o:spt="202" type="#_x0000_t202" style="position:absolute;left:0pt;margin-left:4.65pt;margin-top:11.25pt;height:134.25pt;width:206.25pt;z-index:251661312;mso-width-relative:page;mso-height-relative:page;" fillcolor="#FFFFFF" filled="t" stroked="t" coordsize="21600,21600" o:gfxdata="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rQ01v1gAAAAgBAAAPAAAAAAAAAAEA&#10;IAAAACIAAABkcnMvZG93bnJldi54bWxQSwECFAAUAAAACACHTuJAPTsE4koCAADNBAAADgAAAAAA&#10;AAABACAAAAAlAQAAZHJzL2Uyb0RvYy54bWxQSwUGAAAAAAYABgBZAQAA4QUAAAAA&#10;">
                <v:fill type="gradient" on="t" color2="#FFFFFF" angle="90" focus="100%" focussize="0,0">
                  <o:fill type="gradientUnscaled" v:ext="backwardCompatible"/>
                </v:fill>
                <v:stroke weight="1.25pt" color="#000000" joinstyle="miter"/>
                <v:imagedata o:title=""/>
                <o:lock v:ext="edit" aspectratio="f"/>
                <v:textbox>
                  <w:txbxContent>
                    <w:p w14:paraId="770B5720">
                      <w:pPr>
                        <w:jc w:val="center"/>
                        <w:rPr>
                          <w:rFonts w:hint="eastAsia"/>
                          <w:lang w:eastAsia="zh-CN"/>
                        </w:rPr>
                      </w:pPr>
                    </w:p>
                    <w:p w14:paraId="1FA7C2DE">
                      <w:pPr>
                        <w:jc w:val="center"/>
                        <w:rPr>
                          <w:rFonts w:hint="eastAsia"/>
                          <w:lang w:eastAsia="zh-CN"/>
                        </w:rPr>
                      </w:pPr>
                    </w:p>
                    <w:p w14:paraId="67A92678">
                      <w:pPr>
                        <w:jc w:val="center"/>
                        <w:rPr>
                          <w:rFonts w:hint="eastAsia" w:eastAsia="宋体"/>
                          <w:lang w:eastAsia="zh-CN"/>
                        </w:rPr>
                      </w:pPr>
                      <w:r>
                        <w:rPr>
                          <w:rFonts w:hint="eastAsia"/>
                          <w:lang w:eastAsia="zh-CN"/>
                        </w:rPr>
                        <w:t>法定代表人身份证反面</w:t>
                      </w:r>
                    </w:p>
                  </w:txbxContent>
                </v:textbox>
              </v:shape>
            </w:pict>
          </mc:Fallback>
        </mc:AlternateContent>
      </w:r>
      <w:r>
        <w:rPr>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2811780</wp:posOffset>
                </wp:positionH>
                <wp:positionV relativeFrom="paragraph">
                  <wp:posOffset>142875</wp:posOffset>
                </wp:positionV>
                <wp:extent cx="2619375" cy="1704975"/>
                <wp:effectExtent l="7620" t="7620" r="20955" b="20955"/>
                <wp:wrapNone/>
                <wp:docPr id="6" name="文本框 6"/>
                <wp:cNvGraphicFramePr/>
                <a:graphic xmlns:a="http://schemas.openxmlformats.org/drawingml/2006/main">
                  <a:graphicData uri="http://schemas.microsoft.com/office/word/2010/wordprocessingShape">
                    <wps:wsp>
                      <wps:cNvSpPr txBox="1"/>
                      <wps:spPr>
                        <a:xfrm>
                          <a:off x="0" y="0"/>
                          <a:ext cx="2619375" cy="170497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a:effectLst/>
                      </wps:spPr>
                      <wps:txbx>
                        <w:txbxContent>
                          <w:p w14:paraId="738F8B8C">
                            <w:pPr>
                              <w:jc w:val="center"/>
                              <w:rPr>
                                <w:rFonts w:hint="eastAsia"/>
                                <w:lang w:eastAsia="zh-CN"/>
                              </w:rPr>
                            </w:pPr>
                          </w:p>
                          <w:p w14:paraId="4ED83925">
                            <w:pPr>
                              <w:jc w:val="center"/>
                              <w:rPr>
                                <w:rFonts w:hint="eastAsia"/>
                                <w:lang w:eastAsia="zh-CN"/>
                              </w:rPr>
                            </w:pPr>
                          </w:p>
                          <w:p w14:paraId="38D70964">
                            <w:pPr>
                              <w:jc w:val="center"/>
                              <w:rPr>
                                <w:rFonts w:hint="eastAsia" w:eastAsia="宋体"/>
                                <w:lang w:eastAsia="zh-CN"/>
                              </w:rPr>
                            </w:pPr>
                            <w:r>
                              <w:rPr>
                                <w:rFonts w:hint="eastAsia"/>
                                <w:lang w:eastAsia="zh-CN"/>
                              </w:rPr>
                              <w:t>被委托人身份证反面</w:t>
                            </w:r>
                          </w:p>
                        </w:txbxContent>
                      </wps:txbx>
                      <wps:bodyPr upright="1"/>
                    </wps:wsp>
                  </a:graphicData>
                </a:graphic>
              </wp:anchor>
            </w:drawing>
          </mc:Choice>
          <mc:Fallback>
            <w:pict>
              <v:shape id="_x0000_s1026" o:spid="_x0000_s1026" o:spt="202" type="#_x0000_t202" style="position:absolute;left:0pt;margin-left:221.4pt;margin-top:11.25pt;height:134.25pt;width:206.25pt;z-index:251662336;mso-width-relative:page;mso-height-relative:page;" fillcolor="#FFFFFF" filled="t" stroked="t" coordsize="21600,21600" o:gfxdata="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J8HCn2AAAAAoBAAAPAAAAAAAA&#10;AAEAIAAAACIAAABkcnMvZG93bnJldi54bWxQSwECFAAUAAAACACHTuJAXM4IvksCAADNBAAADgAA&#10;AAAAAAABACAAAAAnAQAAZHJzL2Uyb0RvYy54bWxQSwUGAAAAAAYABgBZAQAA5AUAAAAA&#10;">
                <v:fill type="gradient" on="t" color2="#FFFFFF" angle="90" focus="100%" focussize="0,0">
                  <o:fill type="gradientUnscaled" v:ext="backwardCompatible"/>
                </v:fill>
                <v:stroke weight="1.25pt" color="#000000" joinstyle="miter"/>
                <v:imagedata o:title=""/>
                <o:lock v:ext="edit" aspectratio="f"/>
                <v:textbox>
                  <w:txbxContent>
                    <w:p w14:paraId="738F8B8C">
                      <w:pPr>
                        <w:jc w:val="center"/>
                        <w:rPr>
                          <w:rFonts w:hint="eastAsia"/>
                          <w:lang w:eastAsia="zh-CN"/>
                        </w:rPr>
                      </w:pPr>
                    </w:p>
                    <w:p w14:paraId="4ED83925">
                      <w:pPr>
                        <w:jc w:val="center"/>
                        <w:rPr>
                          <w:rFonts w:hint="eastAsia"/>
                          <w:lang w:eastAsia="zh-CN"/>
                        </w:rPr>
                      </w:pPr>
                    </w:p>
                    <w:p w14:paraId="38D70964">
                      <w:pPr>
                        <w:jc w:val="center"/>
                        <w:rPr>
                          <w:rFonts w:hint="eastAsia" w:eastAsia="宋体"/>
                          <w:lang w:eastAsia="zh-CN"/>
                        </w:rPr>
                      </w:pPr>
                      <w:r>
                        <w:rPr>
                          <w:rFonts w:hint="eastAsia"/>
                          <w:lang w:eastAsia="zh-CN"/>
                        </w:rPr>
                        <w:t>被委托人身份证反面</w:t>
                      </w:r>
                    </w:p>
                  </w:txbxContent>
                </v:textbox>
              </v:shape>
            </w:pict>
          </mc:Fallback>
        </mc:AlternateContent>
      </w:r>
    </w:p>
    <w:p w14:paraId="4CF212D6">
      <w:pPr>
        <w:spacing w:line="360" w:lineRule="auto"/>
        <w:rPr>
          <w:rFonts w:hint="eastAsia" w:ascii="宋体" w:hAnsi="宋体"/>
          <w:b/>
          <w:color w:val="auto"/>
          <w:sz w:val="24"/>
          <w:szCs w:val="24"/>
          <w:highlight w:val="none"/>
        </w:rPr>
      </w:pPr>
    </w:p>
    <w:p w14:paraId="2424A199">
      <w:pPr>
        <w:spacing w:line="360" w:lineRule="auto"/>
        <w:rPr>
          <w:rFonts w:hint="eastAsia" w:ascii="宋体" w:hAnsi="宋体"/>
          <w:b/>
          <w:color w:val="auto"/>
          <w:sz w:val="24"/>
          <w:szCs w:val="24"/>
          <w:highlight w:val="none"/>
        </w:rPr>
      </w:pPr>
    </w:p>
    <w:p w14:paraId="725E10CD">
      <w:pPr>
        <w:spacing w:line="360" w:lineRule="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w:t>
      </w:r>
    </w:p>
    <w:p w14:paraId="5FA7F738">
      <w:pPr>
        <w:spacing w:line="360" w:lineRule="auto"/>
        <w:rPr>
          <w:rFonts w:hint="eastAsia" w:ascii="宋体" w:hAnsi="宋体"/>
          <w:color w:val="auto"/>
          <w:sz w:val="24"/>
          <w:szCs w:val="24"/>
          <w:highlight w:val="none"/>
          <w:lang w:val="en-US" w:eastAsia="zh-CN"/>
        </w:rPr>
      </w:pPr>
    </w:p>
    <w:p w14:paraId="339980CF">
      <w:pPr>
        <w:spacing w:line="360" w:lineRule="auto"/>
        <w:rPr>
          <w:rFonts w:hint="eastAsia" w:ascii="宋体" w:hAnsi="宋体"/>
          <w:color w:val="auto"/>
          <w:sz w:val="24"/>
          <w:szCs w:val="24"/>
          <w:highlight w:val="none"/>
          <w:lang w:val="en-US" w:eastAsia="zh-CN"/>
        </w:rPr>
      </w:pPr>
    </w:p>
    <w:p w14:paraId="4BCCA907">
      <w:pPr>
        <w:pStyle w:val="5"/>
        <w:rPr>
          <w:rFonts w:hint="eastAsia" w:ascii="宋体" w:hAnsi="宋体"/>
          <w:color w:val="auto"/>
          <w:sz w:val="24"/>
          <w:szCs w:val="24"/>
          <w:highlight w:val="none"/>
          <w:lang w:val="en-US" w:eastAsia="zh-CN"/>
        </w:rPr>
      </w:pPr>
    </w:p>
    <w:p w14:paraId="7CC11F82">
      <w:pPr>
        <w:rPr>
          <w:rFonts w:hint="eastAsia" w:ascii="宋体" w:hAnsi="宋体"/>
          <w:color w:val="auto"/>
          <w:sz w:val="24"/>
          <w:szCs w:val="24"/>
          <w:highlight w:val="none"/>
          <w:lang w:val="en-US" w:eastAsia="zh-CN"/>
        </w:rPr>
      </w:pPr>
    </w:p>
    <w:p w14:paraId="063E2821">
      <w:pPr>
        <w:pStyle w:val="5"/>
        <w:jc w:val="center"/>
        <w:rPr>
          <w:rFonts w:hint="eastAsia"/>
          <w:color w:val="auto"/>
          <w:highlight w:val="none"/>
          <w:lang w:val="en-US" w:eastAsia="zh-CN"/>
        </w:rPr>
      </w:pPr>
      <w:r>
        <w:rPr>
          <w:rFonts w:hint="eastAsia" w:ascii="宋体" w:hAnsi="宋体" w:eastAsia="宋体" w:cs="宋体"/>
          <w:color w:val="auto"/>
          <w:sz w:val="24"/>
          <w:highlight w:val="none"/>
          <w:lang w:val="en-US" w:eastAsia="zh-CN"/>
        </w:rPr>
        <w:t xml:space="preserve">                                投标单位：</w:t>
      </w:r>
      <w:r>
        <w:rPr>
          <w:rFonts w:hint="eastAsia" w:ascii="宋体" w:hAnsi="宋体" w:eastAsia="宋体" w:cs="宋体"/>
          <w:color w:val="auto"/>
          <w:sz w:val="24"/>
          <w:highlight w:val="none"/>
          <w:u w:val="single"/>
          <w:lang w:val="en-US" w:eastAsia="zh-CN"/>
        </w:rPr>
        <w:t xml:space="preserve">           </w:t>
      </w:r>
      <w:r>
        <w:rPr>
          <w:rFonts w:hint="eastAsia"/>
          <w:color w:val="auto"/>
          <w:highlight w:val="none"/>
          <w:lang w:val="en-US" w:eastAsia="zh-CN"/>
        </w:rPr>
        <w:t>（盖章）</w:t>
      </w:r>
    </w:p>
    <w:p w14:paraId="2CC7F7E6">
      <w:pPr>
        <w:pageBreakBefore w:val="0"/>
        <w:kinsoku/>
        <w:wordWrap/>
        <w:overflowPunct/>
        <w:topLinePunct w:val="0"/>
        <w:bidi w:val="0"/>
        <w:spacing w:line="360" w:lineRule="auto"/>
        <w:ind w:firstLine="5280" w:firstLineChars="2200"/>
        <w:rPr>
          <w:rFonts w:hint="eastAsia" w:ascii="宋体" w:hAnsi="宋体"/>
          <w:color w:val="auto"/>
          <w:sz w:val="24"/>
          <w:szCs w:val="24"/>
          <w:highlight w:val="none"/>
        </w:rPr>
      </w:pPr>
      <w:r>
        <w:rPr>
          <w:rFonts w:hint="eastAsia" w:ascii="宋体" w:hAnsi="宋体"/>
          <w:color w:val="auto"/>
          <w:sz w:val="24"/>
          <w:szCs w:val="24"/>
          <w:highlight w:val="none"/>
        </w:rPr>
        <w:t>日期：  年   月   日</w:t>
      </w:r>
    </w:p>
    <w:p w14:paraId="22C6D186">
      <w:pPr>
        <w:pStyle w:val="16"/>
        <w:ind w:left="0" w:leftChars="0" w:firstLine="0" w:firstLineChars="0"/>
        <w:rPr>
          <w:rFonts w:hint="eastAsia" w:ascii="宋体" w:hAnsi="宋体" w:eastAsia="宋体" w:cs="宋体"/>
          <w:color w:val="auto"/>
          <w:kern w:val="2"/>
          <w:sz w:val="24"/>
          <w:szCs w:val="24"/>
          <w:highlight w:val="none"/>
          <w:shd w:val="clear" w:color="auto" w:fill="FFFFFF"/>
          <w:lang w:val="en-US" w:eastAsia="zh-CN"/>
        </w:rPr>
      </w:pPr>
    </w:p>
    <w:p w14:paraId="224B87D9">
      <w:pPr>
        <w:pStyle w:val="3"/>
        <w:pageBreakBefore w:val="0"/>
        <w:kinsoku/>
        <w:wordWrap/>
        <w:overflowPunct/>
        <w:topLinePunct w:val="0"/>
        <w:bidi w:val="0"/>
        <w:spacing w:line="360" w:lineRule="auto"/>
        <w:jc w:val="center"/>
        <w:rPr>
          <w:rFonts w:hint="eastAsia" w:ascii="宋体" w:hAnsi="宋体" w:eastAsia="宋体" w:cs="宋体"/>
          <w:b/>
          <w:color w:val="auto"/>
          <w:sz w:val="28"/>
          <w:szCs w:val="28"/>
          <w:highlight w:val="none"/>
        </w:rPr>
      </w:pPr>
      <w:bookmarkStart w:id="926" w:name="_Toc22"/>
      <w:bookmarkStart w:id="927" w:name="_Toc2638"/>
      <w:r>
        <w:rPr>
          <w:rFonts w:hint="eastAsia" w:ascii="宋体" w:hAnsi="宋体" w:eastAsia="宋体" w:cs="宋体"/>
          <w:color w:val="auto"/>
          <w:sz w:val="28"/>
          <w:szCs w:val="36"/>
          <w:highlight w:val="none"/>
          <w:lang w:val="en-US" w:eastAsia="zh-CN"/>
        </w:rPr>
        <w:t>8、</w:t>
      </w:r>
      <w:r>
        <w:rPr>
          <w:rFonts w:hint="eastAsia" w:ascii="宋体" w:hAnsi="宋体" w:eastAsia="宋体" w:cs="宋体"/>
          <w:color w:val="auto"/>
          <w:sz w:val="28"/>
          <w:highlight w:val="none"/>
        </w:rPr>
        <w:t>商务条款偏离表</w:t>
      </w:r>
    </w:p>
    <w:p w14:paraId="519CE4A6">
      <w:pPr>
        <w:spacing w:line="380" w:lineRule="exact"/>
        <w:ind w:left="240" w:leftChars="100" w:firstLine="134" w:firstLineChars="56"/>
        <w:rPr>
          <w:rFonts w:ascii="Tahoma" w:hAnsi="Tahoma" w:cs="Tahoma"/>
          <w:color w:val="auto"/>
          <w:szCs w:val="21"/>
          <w:highlight w:val="none"/>
        </w:rPr>
      </w:pPr>
      <w:r>
        <w:rPr>
          <w:rFonts w:hint="eastAsia" w:ascii="Tahoma" w:hAnsi="Tahoma" w:cs="Tahoma"/>
          <w:color w:val="auto"/>
          <w:szCs w:val="21"/>
          <w:highlight w:val="none"/>
        </w:rPr>
        <w:t>项目名称</w:t>
      </w:r>
      <w:r>
        <w:rPr>
          <w:rFonts w:ascii="Tahoma" w:hAnsi="Tahoma" w:cs="Tahoma"/>
          <w:color w:val="auto"/>
          <w:szCs w:val="21"/>
          <w:highlight w:val="none"/>
        </w:rPr>
        <w:t>∶</w:t>
      </w:r>
      <w:r>
        <w:rPr>
          <w:rFonts w:ascii="Tahoma" w:hAnsi="Tahoma" w:cs="Tahoma"/>
          <w:color w:val="auto"/>
          <w:szCs w:val="21"/>
          <w:highlight w:val="none"/>
          <w:u w:val="single"/>
        </w:rPr>
        <w:tab/>
      </w:r>
      <w:r>
        <w:rPr>
          <w:rFonts w:ascii="Tahoma" w:hAnsi="Tahoma" w:cs="Tahoma"/>
          <w:color w:val="auto"/>
          <w:szCs w:val="21"/>
          <w:highlight w:val="none"/>
          <w:u w:val="single"/>
        </w:rPr>
        <w:t xml:space="preserve">             </w:t>
      </w:r>
      <w:r>
        <w:rPr>
          <w:rFonts w:ascii="Tahoma" w:hAnsi="Tahoma" w:cs="Tahoma"/>
          <w:color w:val="auto"/>
          <w:szCs w:val="21"/>
          <w:highlight w:val="none"/>
        </w:rPr>
        <w:t xml:space="preserve">       </w:t>
      </w:r>
    </w:p>
    <w:p w14:paraId="55EDF208">
      <w:pPr>
        <w:spacing w:line="380" w:lineRule="exact"/>
        <w:ind w:left="105" w:hanging="105"/>
        <w:rPr>
          <w:rFonts w:ascii="Tahoma" w:hAnsi="Tahoma" w:cs="Tahoma"/>
          <w:color w:val="auto"/>
          <w:szCs w:val="21"/>
          <w:highlight w:val="none"/>
        </w:rPr>
      </w:pPr>
      <w:r>
        <w:rPr>
          <w:rFonts w:ascii="Tahoma" w:hAnsi="Tahoma" w:cs="Tahoma"/>
          <w:color w:val="auto"/>
          <w:szCs w:val="21"/>
          <w:highlight w:val="non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0"/>
        <w:gridCol w:w="2415"/>
        <w:gridCol w:w="2835"/>
        <w:gridCol w:w="1984"/>
      </w:tblGrid>
      <w:tr w14:paraId="32A3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5" w:type="dxa"/>
            <w:noWrap w:val="0"/>
            <w:vAlign w:val="center"/>
          </w:tcPr>
          <w:p w14:paraId="20BE705A">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260" w:type="dxa"/>
            <w:noWrap w:val="0"/>
            <w:vAlign w:val="center"/>
          </w:tcPr>
          <w:p w14:paraId="6BE9466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竞争性谈判文件</w:t>
            </w:r>
          </w:p>
          <w:p w14:paraId="1566CC6E">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名称</w:t>
            </w:r>
          </w:p>
        </w:tc>
        <w:tc>
          <w:tcPr>
            <w:tcW w:w="2415" w:type="dxa"/>
            <w:noWrap w:val="0"/>
            <w:vAlign w:val="center"/>
          </w:tcPr>
          <w:p w14:paraId="0D084697">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竞争性谈判文件</w:t>
            </w:r>
            <w:r>
              <w:rPr>
                <w:rFonts w:hint="eastAsia" w:ascii="宋体" w:hAnsi="宋体" w:cs="宋体"/>
                <w:color w:val="auto"/>
                <w:sz w:val="24"/>
                <w:szCs w:val="24"/>
                <w:highlight w:val="none"/>
              </w:rPr>
              <w:t>的商务条款</w:t>
            </w:r>
          </w:p>
        </w:tc>
        <w:tc>
          <w:tcPr>
            <w:tcW w:w="2835" w:type="dxa"/>
            <w:noWrap w:val="0"/>
            <w:vAlign w:val="center"/>
          </w:tcPr>
          <w:p w14:paraId="07DD1A24">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的商务条款</w:t>
            </w:r>
          </w:p>
        </w:tc>
        <w:tc>
          <w:tcPr>
            <w:tcW w:w="1984" w:type="dxa"/>
            <w:noWrap w:val="0"/>
            <w:vAlign w:val="center"/>
          </w:tcPr>
          <w:p w14:paraId="1EA80BD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说明</w:t>
            </w:r>
          </w:p>
        </w:tc>
      </w:tr>
      <w:tr w14:paraId="6558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noWrap w:val="0"/>
            <w:vAlign w:val="top"/>
          </w:tcPr>
          <w:p w14:paraId="030618E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260" w:type="dxa"/>
            <w:noWrap w:val="0"/>
            <w:vAlign w:val="top"/>
          </w:tcPr>
          <w:p w14:paraId="6712342A">
            <w:pPr>
              <w:keepNext w:val="0"/>
              <w:keepLines w:val="0"/>
              <w:widowControl/>
              <w:suppressLineNumbers w:val="0"/>
              <w:spacing w:before="0" w:beforeAutospacing="0" w:after="0" w:afterAutospacing="0"/>
              <w:ind w:left="0" w:right="0"/>
              <w:jc w:val="left"/>
              <w:rPr>
                <w:rFonts w:hint="eastAsia" w:ascii="宋体" w:hAnsi="宋体" w:cs="宋体"/>
                <w:color w:val="auto"/>
                <w:sz w:val="24"/>
                <w:szCs w:val="24"/>
                <w:highlight w:val="none"/>
              </w:rPr>
            </w:pPr>
          </w:p>
          <w:p w14:paraId="432BE9EF">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eastAsia="zh-CN"/>
              </w:rPr>
            </w:pPr>
          </w:p>
        </w:tc>
        <w:tc>
          <w:tcPr>
            <w:tcW w:w="2415" w:type="dxa"/>
            <w:noWrap w:val="0"/>
            <w:vAlign w:val="top"/>
          </w:tcPr>
          <w:p w14:paraId="25EDAE94">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eastAsia="zh-CN"/>
              </w:rPr>
            </w:pPr>
          </w:p>
        </w:tc>
        <w:tc>
          <w:tcPr>
            <w:tcW w:w="2835" w:type="dxa"/>
            <w:noWrap w:val="0"/>
            <w:vAlign w:val="top"/>
          </w:tcPr>
          <w:p w14:paraId="325A460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984" w:type="dxa"/>
            <w:noWrap w:val="0"/>
            <w:vAlign w:val="center"/>
          </w:tcPr>
          <w:p w14:paraId="3F308369">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（示例）无偏离</w:t>
            </w:r>
          </w:p>
        </w:tc>
      </w:tr>
      <w:tr w14:paraId="0DD4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75" w:type="dxa"/>
            <w:noWrap w:val="0"/>
            <w:vAlign w:val="top"/>
          </w:tcPr>
          <w:p w14:paraId="7575C6D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2</w:t>
            </w:r>
          </w:p>
          <w:p w14:paraId="7DD103A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260" w:type="dxa"/>
            <w:noWrap w:val="0"/>
            <w:vAlign w:val="top"/>
          </w:tcPr>
          <w:p w14:paraId="075A4377">
            <w:pPr>
              <w:keepNext w:val="0"/>
              <w:keepLines w:val="0"/>
              <w:widowControl/>
              <w:suppressLineNumbers w:val="0"/>
              <w:spacing w:before="0" w:beforeAutospacing="0" w:after="0" w:afterAutospacing="0"/>
              <w:ind w:left="0" w:right="0"/>
              <w:jc w:val="left"/>
              <w:rPr>
                <w:rFonts w:hint="eastAsia" w:ascii="宋体" w:hAnsi="宋体" w:cs="宋体"/>
                <w:color w:val="auto"/>
                <w:sz w:val="24"/>
                <w:szCs w:val="24"/>
                <w:highlight w:val="none"/>
              </w:rPr>
            </w:pPr>
          </w:p>
          <w:p w14:paraId="3EA33C2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2415" w:type="dxa"/>
            <w:noWrap w:val="0"/>
            <w:vAlign w:val="top"/>
          </w:tcPr>
          <w:p w14:paraId="1CD7DAA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2835" w:type="dxa"/>
            <w:noWrap w:val="0"/>
            <w:vAlign w:val="top"/>
          </w:tcPr>
          <w:p w14:paraId="2F3AD68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984" w:type="dxa"/>
            <w:noWrap w:val="0"/>
            <w:vAlign w:val="top"/>
          </w:tcPr>
          <w:p w14:paraId="4F1910B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r>
      <w:tr w14:paraId="0716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noWrap w:val="0"/>
            <w:vAlign w:val="top"/>
          </w:tcPr>
          <w:p w14:paraId="749F379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3</w:t>
            </w:r>
          </w:p>
          <w:p w14:paraId="38A8CF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260" w:type="dxa"/>
            <w:noWrap w:val="0"/>
            <w:vAlign w:val="top"/>
          </w:tcPr>
          <w:p w14:paraId="597E5D29">
            <w:pPr>
              <w:keepNext w:val="0"/>
              <w:keepLines w:val="0"/>
              <w:widowControl/>
              <w:suppressLineNumbers w:val="0"/>
              <w:spacing w:before="0" w:beforeAutospacing="0" w:after="0" w:afterAutospacing="0"/>
              <w:ind w:left="0" w:right="0"/>
              <w:jc w:val="left"/>
              <w:rPr>
                <w:rFonts w:hint="eastAsia" w:ascii="宋体" w:hAnsi="宋体" w:cs="宋体"/>
                <w:color w:val="auto"/>
                <w:sz w:val="24"/>
                <w:szCs w:val="24"/>
                <w:highlight w:val="none"/>
              </w:rPr>
            </w:pPr>
          </w:p>
          <w:p w14:paraId="465107B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2415" w:type="dxa"/>
            <w:noWrap w:val="0"/>
            <w:vAlign w:val="top"/>
          </w:tcPr>
          <w:p w14:paraId="1315B6C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2835" w:type="dxa"/>
            <w:noWrap w:val="0"/>
            <w:vAlign w:val="top"/>
          </w:tcPr>
          <w:p w14:paraId="69CFCDA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984" w:type="dxa"/>
            <w:noWrap w:val="0"/>
            <w:vAlign w:val="top"/>
          </w:tcPr>
          <w:p w14:paraId="3BBC143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r>
      <w:tr w14:paraId="6189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noWrap w:val="0"/>
            <w:vAlign w:val="top"/>
          </w:tcPr>
          <w:p w14:paraId="29C8FC8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w:t>
            </w:r>
          </w:p>
          <w:p w14:paraId="799250C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260" w:type="dxa"/>
            <w:noWrap w:val="0"/>
            <w:vAlign w:val="top"/>
          </w:tcPr>
          <w:p w14:paraId="4832EE8B">
            <w:pPr>
              <w:keepNext w:val="0"/>
              <w:keepLines w:val="0"/>
              <w:widowControl/>
              <w:suppressLineNumbers w:val="0"/>
              <w:spacing w:before="0" w:beforeAutospacing="0" w:after="0" w:afterAutospacing="0"/>
              <w:ind w:left="0" w:right="0"/>
              <w:jc w:val="left"/>
              <w:rPr>
                <w:rFonts w:hint="eastAsia" w:ascii="宋体" w:hAnsi="宋体" w:cs="宋体"/>
                <w:color w:val="auto"/>
                <w:sz w:val="24"/>
                <w:szCs w:val="24"/>
                <w:highlight w:val="none"/>
              </w:rPr>
            </w:pPr>
          </w:p>
          <w:p w14:paraId="42437E5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2415" w:type="dxa"/>
            <w:noWrap w:val="0"/>
            <w:vAlign w:val="top"/>
          </w:tcPr>
          <w:p w14:paraId="15178F7C">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2835" w:type="dxa"/>
            <w:noWrap w:val="0"/>
            <w:vAlign w:val="top"/>
          </w:tcPr>
          <w:p w14:paraId="7084BCC9">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984" w:type="dxa"/>
            <w:noWrap w:val="0"/>
            <w:vAlign w:val="top"/>
          </w:tcPr>
          <w:p w14:paraId="7AEC844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r>
    </w:tbl>
    <w:p w14:paraId="4D28295A">
      <w:pPr>
        <w:rPr>
          <w:rFonts w:hint="eastAsia" w:ascii="宋体" w:hAnsi="宋体" w:cs="宋体"/>
          <w:color w:val="auto"/>
          <w:sz w:val="24"/>
          <w:szCs w:val="24"/>
          <w:highlight w:val="none"/>
        </w:rPr>
      </w:pPr>
      <w:r>
        <w:rPr>
          <w:rFonts w:hint="eastAsia" w:ascii="宋体" w:hAnsi="宋体" w:cs="宋体"/>
          <w:color w:val="auto"/>
          <w:sz w:val="24"/>
          <w:szCs w:val="24"/>
          <w:highlight w:val="none"/>
        </w:rPr>
        <w:t>（此表可延长）</w:t>
      </w:r>
    </w:p>
    <w:p w14:paraId="0DBF5E6A">
      <w:pPr>
        <w:spacing w:line="380" w:lineRule="exact"/>
        <w:ind w:left="120" w:hanging="120"/>
        <w:rPr>
          <w:rFonts w:ascii="Tahoma" w:hAnsi="Tahoma" w:cs="Tahoma"/>
          <w:color w:val="auto"/>
          <w:sz w:val="24"/>
          <w:highlight w:val="none"/>
        </w:rPr>
      </w:pPr>
    </w:p>
    <w:p w14:paraId="04A6F150">
      <w:pPr>
        <w:ind w:left="0" w:right="0" w:firstLine="480" w:firstLineChars="200"/>
        <w:rPr>
          <w:rFonts w:ascii="宋体" w:hAnsi="宋体"/>
          <w:color w:val="auto"/>
          <w:sz w:val="24"/>
          <w:highlight w:val="none"/>
        </w:rPr>
      </w:pPr>
      <w:r>
        <w:rPr>
          <w:rFonts w:hint="eastAsia" w:ascii="宋体" w:hAnsi="宋体"/>
          <w:color w:val="auto"/>
          <w:sz w:val="24"/>
          <w:highlight w:val="none"/>
          <w:lang w:val="en-US" w:eastAsia="zh-CN"/>
        </w:rPr>
        <w:t>注：</w:t>
      </w:r>
      <w:r>
        <w:rPr>
          <w:rFonts w:hint="eastAsia" w:ascii="宋体" w:hAnsi="宋体"/>
          <w:color w:val="auto"/>
          <w:sz w:val="24"/>
          <w:highlight w:val="none"/>
        </w:rPr>
        <w:t>本项目商务条款至少包括:</w:t>
      </w:r>
      <w:r>
        <w:rPr>
          <w:rFonts w:hint="eastAsia" w:ascii="宋体" w:hAnsi="宋体"/>
          <w:color w:val="auto"/>
          <w:sz w:val="24"/>
          <w:highlight w:val="none"/>
          <w:lang w:val="en-US" w:eastAsia="zh-CN"/>
        </w:rPr>
        <w:t>工期</w:t>
      </w:r>
      <w:r>
        <w:rPr>
          <w:rFonts w:hint="eastAsia" w:ascii="宋体" w:hAnsi="宋体"/>
          <w:color w:val="auto"/>
          <w:sz w:val="24"/>
          <w:highlight w:val="none"/>
        </w:rPr>
        <w:t>、采购内容、投标保证金响应、</w:t>
      </w:r>
      <w:r>
        <w:rPr>
          <w:rFonts w:hint="eastAsia" w:ascii="宋体" w:hAnsi="宋体"/>
          <w:color w:val="auto"/>
          <w:sz w:val="24"/>
          <w:highlight w:val="none"/>
          <w:lang w:eastAsia="zh-CN"/>
        </w:rPr>
        <w:t>响应文件</w:t>
      </w:r>
      <w:r>
        <w:rPr>
          <w:rFonts w:hint="eastAsia" w:ascii="宋体" w:hAnsi="宋体"/>
          <w:color w:val="auto"/>
          <w:sz w:val="24"/>
          <w:highlight w:val="none"/>
        </w:rPr>
        <w:t>有效期、履约保证金</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付款方式</w:t>
      </w:r>
      <w:r>
        <w:rPr>
          <w:rFonts w:hint="eastAsia" w:ascii="宋体" w:hAnsi="宋体"/>
          <w:color w:val="auto"/>
          <w:sz w:val="24"/>
          <w:highlight w:val="none"/>
        </w:rPr>
        <w:t>等，</w:t>
      </w:r>
      <w:r>
        <w:rPr>
          <w:rFonts w:hint="eastAsia" w:ascii="宋体" w:hAnsi="宋体"/>
          <w:color w:val="auto"/>
          <w:sz w:val="24"/>
          <w:highlight w:val="none"/>
          <w:lang w:val="en-US" w:eastAsia="zh-CN"/>
        </w:rPr>
        <w:t>投</w:t>
      </w:r>
      <w:r>
        <w:rPr>
          <w:rFonts w:hint="eastAsia" w:ascii="宋体" w:hAnsi="宋体"/>
          <w:color w:val="auto"/>
          <w:sz w:val="24"/>
          <w:highlight w:val="none"/>
        </w:rPr>
        <w:t>标人必须按</w:t>
      </w:r>
      <w:r>
        <w:rPr>
          <w:rFonts w:hint="eastAsia" w:ascii="宋体" w:hAnsi="宋体"/>
          <w:color w:val="auto"/>
          <w:sz w:val="24"/>
          <w:highlight w:val="none"/>
          <w:lang w:eastAsia="zh-CN"/>
        </w:rPr>
        <w:t>谈判文件</w:t>
      </w:r>
      <w:r>
        <w:rPr>
          <w:rFonts w:hint="eastAsia" w:ascii="宋体" w:hAnsi="宋体"/>
          <w:color w:val="auto"/>
          <w:sz w:val="24"/>
          <w:highlight w:val="none"/>
          <w:lang w:val="en-US" w:eastAsia="zh-CN"/>
        </w:rPr>
        <w:t>商务</w:t>
      </w:r>
      <w:r>
        <w:rPr>
          <w:rFonts w:hint="eastAsia" w:ascii="宋体" w:hAnsi="宋体"/>
          <w:color w:val="auto"/>
          <w:sz w:val="24"/>
          <w:highlight w:val="none"/>
        </w:rPr>
        <w:t>条款</w:t>
      </w:r>
      <w:r>
        <w:rPr>
          <w:rFonts w:hint="eastAsia" w:ascii="宋体" w:hAnsi="宋体"/>
          <w:color w:val="auto"/>
          <w:sz w:val="24"/>
          <w:highlight w:val="none"/>
          <w:lang w:val="en-US" w:eastAsia="zh-CN"/>
        </w:rPr>
        <w:t>逐条</w:t>
      </w:r>
      <w:r>
        <w:rPr>
          <w:rFonts w:hint="eastAsia" w:ascii="宋体" w:hAnsi="宋体"/>
          <w:color w:val="auto"/>
          <w:sz w:val="24"/>
          <w:highlight w:val="none"/>
        </w:rPr>
        <w:t>填写，否则视为不响应招标。</w:t>
      </w:r>
    </w:p>
    <w:p w14:paraId="53D29AAC">
      <w:pPr>
        <w:ind w:left="0" w:right="0" w:firstLine="480" w:firstLineChars="200"/>
        <w:rPr>
          <w:rFonts w:hint="eastAsia" w:ascii="宋体" w:hAnsi="宋体" w:eastAsia="宋体" w:cs="宋体"/>
          <w:color w:val="auto"/>
          <w:sz w:val="24"/>
          <w:highlight w:val="none"/>
          <w:lang w:val="en-US" w:eastAsia="zh-CN"/>
        </w:rPr>
      </w:pPr>
    </w:p>
    <w:p w14:paraId="07FB90DF">
      <w:pPr>
        <w:ind w:left="0" w:right="0" w:firstLine="480" w:firstLineChars="200"/>
        <w:rPr>
          <w:rFonts w:hint="eastAsia" w:ascii="宋体" w:hAnsi="宋体" w:eastAsia="宋体" w:cs="宋体"/>
          <w:color w:val="auto"/>
          <w:sz w:val="24"/>
          <w:highlight w:val="none"/>
          <w:lang w:val="en-US" w:eastAsia="zh-CN"/>
        </w:rPr>
      </w:pPr>
    </w:p>
    <w:p w14:paraId="3EB1D11A">
      <w:pPr>
        <w:ind w:left="0" w:right="0" w:firstLine="480" w:firstLineChars="200"/>
        <w:rPr>
          <w:rFonts w:hint="eastAsia" w:ascii="宋体" w:hAnsi="宋体" w:eastAsia="宋体" w:cs="宋体"/>
          <w:color w:val="auto"/>
          <w:sz w:val="24"/>
          <w:highlight w:val="none"/>
          <w:lang w:val="en-US" w:eastAsia="zh-CN"/>
        </w:rPr>
      </w:pPr>
    </w:p>
    <w:p w14:paraId="42C6EBDB">
      <w:pPr>
        <w:ind w:left="0" w:right="0" w:firstLine="480" w:firstLineChars="200"/>
        <w:rPr>
          <w:rFonts w:hint="eastAsia" w:ascii="宋体" w:hAnsi="宋体" w:eastAsia="宋体" w:cs="宋体"/>
          <w:color w:val="auto"/>
          <w:sz w:val="24"/>
          <w:highlight w:val="none"/>
          <w:lang w:val="en-US" w:eastAsia="zh-CN"/>
        </w:rPr>
      </w:pPr>
    </w:p>
    <w:p w14:paraId="4F0107A6">
      <w:pPr>
        <w:spacing w:line="240" w:lineRule="auto"/>
        <w:ind w:left="0" w:right="0" w:firstLine="480" w:firstLineChars="200"/>
        <w:rPr>
          <w:rFonts w:ascii="宋体" w:hAnsi="宋体"/>
          <w:color w:val="auto"/>
          <w:sz w:val="24"/>
          <w:highlight w:val="none"/>
        </w:rPr>
      </w:pPr>
      <w:r>
        <w:rPr>
          <w:rFonts w:hint="eastAsia" w:ascii="宋体" w:hAnsi="宋体" w:eastAsia="宋体" w:cs="宋体"/>
          <w:color w:val="auto"/>
          <w:sz w:val="24"/>
          <w:highlight w:val="none"/>
          <w:lang w:val="en-US" w:eastAsia="zh-CN"/>
        </w:rPr>
        <w:t>投标单位：</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color w:val="auto"/>
          <w:highlight w:val="none"/>
          <w:lang w:val="en-US" w:eastAsia="zh-CN"/>
        </w:rPr>
        <w:t>（盖章）</w:t>
      </w:r>
    </w:p>
    <w:p w14:paraId="2A581122">
      <w:pPr>
        <w:spacing w:line="240" w:lineRule="auto"/>
        <w:ind w:left="0" w:right="0" w:firstLine="480" w:firstLineChars="200"/>
        <w:rPr>
          <w:rFonts w:ascii="宋体" w:hAnsi="宋体"/>
          <w:color w:val="auto"/>
          <w:sz w:val="24"/>
          <w:highlight w:val="none"/>
        </w:rPr>
      </w:pPr>
      <w:r>
        <w:rPr>
          <w:rFonts w:hint="eastAsia" w:ascii="宋体" w:hAnsi="宋体"/>
          <w:color w:val="auto"/>
          <w:sz w:val="24"/>
          <w:highlight w:val="none"/>
        </w:rPr>
        <w:t>法定代表人或授权代表</w:t>
      </w:r>
      <w:r>
        <w:rPr>
          <w:rFonts w:ascii="宋体" w:hAnsi="宋体"/>
          <w:color w:val="auto"/>
          <w:sz w:val="24"/>
          <w:highlight w:val="none"/>
        </w:rPr>
        <w:t>(</w:t>
      </w:r>
      <w:r>
        <w:rPr>
          <w:rFonts w:hint="eastAsia" w:ascii="宋体" w:hAnsi="宋体"/>
          <w:color w:val="auto"/>
          <w:sz w:val="24"/>
          <w:highlight w:val="none"/>
        </w:rPr>
        <w:t>签字或盖章</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____________</w:t>
      </w:r>
    </w:p>
    <w:p w14:paraId="4F237878">
      <w:pPr>
        <w:spacing w:line="240" w:lineRule="auto"/>
        <w:ind w:left="0" w:right="0" w:firstLine="480" w:firstLineChars="200"/>
        <w:rPr>
          <w:rFonts w:ascii="宋体" w:hAnsi="宋体"/>
          <w:color w:val="auto"/>
          <w:sz w:val="24"/>
          <w:highlight w:val="none"/>
        </w:rPr>
      </w:pPr>
      <w:r>
        <w:rPr>
          <w:rFonts w:hint="eastAsia" w:ascii="宋体" w:hAnsi="宋体"/>
          <w:color w:val="auto"/>
          <w:sz w:val="24"/>
          <w:highlight w:val="none"/>
        </w:rPr>
        <w:t>日期：</w:t>
      </w:r>
      <w:r>
        <w:rPr>
          <w:rFonts w:ascii="宋体" w:hAnsi="宋体"/>
          <w:color w:val="auto"/>
          <w:sz w:val="24"/>
          <w:highlight w:val="none"/>
        </w:rPr>
        <w:t>______</w:t>
      </w:r>
      <w:r>
        <w:rPr>
          <w:rFonts w:hint="eastAsia" w:ascii="宋体" w:hAnsi="宋体"/>
          <w:color w:val="auto"/>
          <w:sz w:val="24"/>
          <w:highlight w:val="none"/>
        </w:rPr>
        <w:t>年</w:t>
      </w:r>
      <w:r>
        <w:rPr>
          <w:rFonts w:ascii="宋体" w:hAnsi="宋体"/>
          <w:color w:val="auto"/>
          <w:sz w:val="24"/>
          <w:highlight w:val="none"/>
        </w:rPr>
        <w:t>____</w:t>
      </w:r>
      <w:r>
        <w:rPr>
          <w:rFonts w:hint="eastAsia" w:ascii="宋体" w:hAnsi="宋体"/>
          <w:color w:val="auto"/>
          <w:sz w:val="24"/>
          <w:highlight w:val="none"/>
        </w:rPr>
        <w:t>月</w:t>
      </w:r>
      <w:r>
        <w:rPr>
          <w:rFonts w:ascii="宋体" w:hAnsi="宋体"/>
          <w:color w:val="auto"/>
          <w:sz w:val="24"/>
          <w:highlight w:val="none"/>
        </w:rPr>
        <w:t>____</w:t>
      </w:r>
      <w:r>
        <w:rPr>
          <w:rFonts w:hint="eastAsia" w:ascii="宋体" w:hAnsi="宋体"/>
          <w:color w:val="auto"/>
          <w:sz w:val="24"/>
          <w:highlight w:val="none"/>
        </w:rPr>
        <w:t>日</w:t>
      </w:r>
    </w:p>
    <w:p w14:paraId="7051E9A4">
      <w:pPr>
        <w:pageBreakBefore w:val="0"/>
        <w:kinsoku/>
        <w:wordWrap/>
        <w:overflowPunct/>
        <w:topLinePunct w:val="0"/>
        <w:bidi w:val="0"/>
        <w:spacing w:line="360" w:lineRule="auto"/>
        <w:ind w:firstLine="5160" w:firstLineChars="2150"/>
        <w:rPr>
          <w:rFonts w:hint="eastAsia" w:ascii="宋体" w:hAnsi="宋体" w:eastAsia="宋体" w:cs="宋体"/>
          <w:color w:val="auto"/>
          <w:sz w:val="24"/>
          <w:szCs w:val="24"/>
          <w:highlight w:val="none"/>
        </w:rPr>
      </w:pPr>
    </w:p>
    <w:p w14:paraId="56E4B823">
      <w:pPr>
        <w:pageBreakBefore w:val="0"/>
        <w:kinsoku/>
        <w:wordWrap/>
        <w:overflowPunct/>
        <w:topLinePunct w:val="0"/>
        <w:bidi w:val="0"/>
        <w:spacing w:line="360" w:lineRule="auto"/>
        <w:ind w:firstLine="5160" w:firstLineChars="2150"/>
        <w:rPr>
          <w:rFonts w:hint="eastAsia" w:ascii="宋体" w:hAnsi="宋体" w:eastAsia="宋体" w:cs="宋体"/>
          <w:color w:val="auto"/>
          <w:sz w:val="24"/>
          <w:szCs w:val="24"/>
          <w:highlight w:val="none"/>
        </w:rPr>
      </w:pPr>
    </w:p>
    <w:p w14:paraId="6AEFD209">
      <w:pPr>
        <w:pageBreakBefore w:val="0"/>
        <w:kinsoku/>
        <w:wordWrap/>
        <w:overflowPunct/>
        <w:topLinePunct w:val="0"/>
        <w:bidi w:val="0"/>
        <w:spacing w:line="360" w:lineRule="auto"/>
        <w:ind w:firstLine="5160" w:firstLineChars="2150"/>
        <w:rPr>
          <w:rFonts w:hint="eastAsia" w:ascii="宋体" w:hAnsi="宋体" w:eastAsia="宋体" w:cs="宋体"/>
          <w:color w:val="auto"/>
          <w:sz w:val="24"/>
          <w:szCs w:val="24"/>
          <w:highlight w:val="none"/>
        </w:rPr>
      </w:pPr>
    </w:p>
    <w:p w14:paraId="21F411EB">
      <w:pPr>
        <w:pStyle w:val="24"/>
        <w:rPr>
          <w:rFonts w:hint="eastAsia" w:ascii="宋体" w:hAnsi="宋体" w:eastAsia="宋体" w:cs="宋体"/>
          <w:color w:val="auto"/>
          <w:sz w:val="24"/>
          <w:szCs w:val="24"/>
          <w:highlight w:val="none"/>
        </w:rPr>
      </w:pPr>
    </w:p>
    <w:p w14:paraId="70889E11">
      <w:pPr>
        <w:pStyle w:val="24"/>
        <w:rPr>
          <w:rFonts w:hint="eastAsia" w:ascii="宋体" w:hAnsi="宋体" w:eastAsia="宋体" w:cs="宋体"/>
          <w:color w:val="auto"/>
          <w:sz w:val="24"/>
          <w:szCs w:val="24"/>
          <w:highlight w:val="none"/>
        </w:rPr>
      </w:pPr>
    </w:p>
    <w:p w14:paraId="6700FE04">
      <w:pPr>
        <w:pStyle w:val="24"/>
        <w:rPr>
          <w:rFonts w:hint="eastAsia" w:ascii="宋体" w:hAnsi="宋体" w:eastAsia="宋体" w:cs="宋体"/>
          <w:color w:val="auto"/>
          <w:sz w:val="24"/>
          <w:szCs w:val="24"/>
          <w:highlight w:val="none"/>
        </w:rPr>
      </w:pPr>
    </w:p>
    <w:p w14:paraId="55B29487">
      <w:pPr>
        <w:pageBreakBefore w:val="0"/>
        <w:kinsoku/>
        <w:wordWrap/>
        <w:overflowPunct/>
        <w:topLinePunct w:val="0"/>
        <w:bidi w:val="0"/>
        <w:spacing w:line="360" w:lineRule="auto"/>
        <w:ind w:firstLine="5160" w:firstLineChars="2150"/>
        <w:rPr>
          <w:rFonts w:hint="eastAsia" w:ascii="宋体" w:hAnsi="宋体" w:eastAsia="宋体" w:cs="宋体"/>
          <w:color w:val="auto"/>
          <w:sz w:val="24"/>
          <w:szCs w:val="24"/>
          <w:highlight w:val="none"/>
        </w:rPr>
      </w:pPr>
    </w:p>
    <w:p w14:paraId="32FD8E30">
      <w:pPr>
        <w:pageBreakBefore w:val="0"/>
        <w:kinsoku/>
        <w:wordWrap/>
        <w:overflowPunct/>
        <w:topLinePunct w:val="0"/>
        <w:bidi w:val="0"/>
        <w:spacing w:line="360" w:lineRule="auto"/>
        <w:ind w:firstLine="5160" w:firstLineChars="2150"/>
        <w:rPr>
          <w:rFonts w:hint="eastAsia" w:ascii="宋体" w:hAnsi="宋体" w:eastAsia="宋体" w:cs="宋体"/>
          <w:color w:val="auto"/>
          <w:sz w:val="24"/>
          <w:szCs w:val="24"/>
          <w:highlight w:val="none"/>
        </w:rPr>
      </w:pPr>
    </w:p>
    <w:p w14:paraId="59D8C0CE">
      <w:pPr>
        <w:pageBreakBefore w:val="0"/>
        <w:kinsoku/>
        <w:wordWrap/>
        <w:overflowPunct/>
        <w:topLinePunct w:val="0"/>
        <w:bidi w:val="0"/>
        <w:spacing w:line="360" w:lineRule="auto"/>
        <w:rPr>
          <w:rFonts w:hint="eastAsia" w:ascii="宋体" w:hAnsi="宋体" w:eastAsia="宋体" w:cs="宋体"/>
          <w:color w:val="auto"/>
          <w:sz w:val="24"/>
          <w:szCs w:val="24"/>
          <w:highlight w:val="none"/>
        </w:rPr>
      </w:pPr>
    </w:p>
    <w:p w14:paraId="60A2E4F2">
      <w:pPr>
        <w:pStyle w:val="6"/>
        <w:rPr>
          <w:rFonts w:hint="eastAsia" w:ascii="宋体" w:hAnsi="宋体" w:eastAsia="宋体" w:cs="宋体"/>
          <w:color w:val="auto"/>
          <w:sz w:val="24"/>
          <w:szCs w:val="24"/>
          <w:highlight w:val="none"/>
        </w:rPr>
      </w:pPr>
    </w:p>
    <w:p w14:paraId="5CF46559">
      <w:pPr>
        <w:rPr>
          <w:rFonts w:hint="eastAsia" w:ascii="宋体" w:hAnsi="宋体" w:eastAsia="宋体" w:cs="宋体"/>
          <w:color w:val="auto"/>
          <w:sz w:val="24"/>
          <w:szCs w:val="24"/>
          <w:highlight w:val="none"/>
        </w:rPr>
      </w:pPr>
    </w:p>
    <w:p w14:paraId="56B7414A">
      <w:pPr>
        <w:pStyle w:val="6"/>
        <w:rPr>
          <w:rFonts w:hint="eastAsia" w:ascii="宋体" w:hAnsi="宋体" w:eastAsia="宋体" w:cs="宋体"/>
          <w:color w:val="auto"/>
          <w:sz w:val="24"/>
          <w:szCs w:val="24"/>
          <w:highlight w:val="none"/>
        </w:rPr>
      </w:pPr>
    </w:p>
    <w:p w14:paraId="650FC068">
      <w:pPr>
        <w:rPr>
          <w:rFonts w:hint="eastAsia" w:ascii="宋体" w:hAnsi="宋体" w:eastAsia="宋体" w:cs="宋体"/>
          <w:color w:val="auto"/>
          <w:sz w:val="24"/>
          <w:szCs w:val="24"/>
          <w:highlight w:val="none"/>
        </w:rPr>
      </w:pPr>
    </w:p>
    <w:p w14:paraId="733711C7">
      <w:pPr>
        <w:pStyle w:val="6"/>
        <w:rPr>
          <w:rFonts w:hint="eastAsia"/>
          <w:color w:val="auto"/>
          <w:highlight w:val="none"/>
        </w:rPr>
      </w:pPr>
    </w:p>
    <w:p w14:paraId="189D183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2"/>
          <w:sz w:val="28"/>
          <w:szCs w:val="28"/>
          <w:highlight w:val="none"/>
          <w:shd w:val="clear" w:color="auto" w:fill="FFFFFF"/>
          <w:lang w:val="en-US" w:eastAsia="zh-CN" w:bidi="ar-SA"/>
        </w:rPr>
      </w:pPr>
      <w:r>
        <w:rPr>
          <w:rFonts w:hint="eastAsia" w:ascii="宋体" w:hAnsi="宋体" w:cs="宋体"/>
          <w:b/>
          <w:bCs/>
          <w:color w:val="auto"/>
          <w:kern w:val="2"/>
          <w:sz w:val="28"/>
          <w:szCs w:val="28"/>
          <w:highlight w:val="none"/>
          <w:shd w:val="clear" w:color="auto" w:fill="FFFFFF"/>
          <w:lang w:val="en-US" w:eastAsia="zh-CN" w:bidi="ar-SA"/>
        </w:rPr>
        <w:t>9</w:t>
      </w:r>
      <w:r>
        <w:rPr>
          <w:rFonts w:hint="eastAsia" w:ascii="宋体" w:hAnsi="宋体" w:eastAsia="宋体" w:cs="宋体"/>
          <w:b/>
          <w:bCs/>
          <w:color w:val="auto"/>
          <w:kern w:val="2"/>
          <w:sz w:val="28"/>
          <w:szCs w:val="28"/>
          <w:highlight w:val="none"/>
          <w:shd w:val="clear" w:color="auto" w:fill="FFFFFF"/>
          <w:lang w:val="en-US" w:eastAsia="zh-CN" w:bidi="ar-SA"/>
        </w:rPr>
        <w:t>、</w:t>
      </w:r>
      <w:bookmarkEnd w:id="926"/>
      <w:r>
        <w:rPr>
          <w:rFonts w:hint="eastAsia" w:ascii="宋体" w:hAnsi="宋体" w:cs="宋体"/>
          <w:b/>
          <w:bCs/>
          <w:color w:val="auto"/>
          <w:kern w:val="2"/>
          <w:sz w:val="28"/>
          <w:szCs w:val="28"/>
          <w:highlight w:val="none"/>
          <w:shd w:val="clear" w:color="auto" w:fill="FFFFFF"/>
          <w:lang w:val="en-US" w:eastAsia="zh-CN" w:bidi="ar-SA"/>
        </w:rPr>
        <w:t>提供银行出具的近 1 年内资信证明或2025年度经审计的财务报告，从取得营业执照时间起到响应文件提交截止时间为止不足一年的，为新成立企业，提供财务状况良好承诺函（格式自拟）；</w:t>
      </w:r>
    </w:p>
    <w:p w14:paraId="095F41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val="0"/>
          <w:bCs w:val="0"/>
          <w:color w:val="auto"/>
          <w:kern w:val="2"/>
          <w:sz w:val="24"/>
          <w:szCs w:val="24"/>
          <w:highlight w:val="none"/>
          <w:shd w:val="clear" w:color="auto" w:fill="FFFFFF"/>
          <w:lang w:val="en-US" w:eastAsia="zh-CN" w:bidi="ar-SA"/>
        </w:rPr>
      </w:pPr>
      <w:r>
        <w:rPr>
          <w:rFonts w:hint="eastAsia" w:ascii="宋体" w:hAnsi="宋体" w:cs="宋体"/>
          <w:b w:val="0"/>
          <w:bCs w:val="0"/>
          <w:color w:val="auto"/>
          <w:kern w:val="2"/>
          <w:sz w:val="24"/>
          <w:szCs w:val="24"/>
          <w:highlight w:val="none"/>
          <w:shd w:val="clear" w:color="auto" w:fill="FFFFFF"/>
          <w:lang w:val="en-US" w:eastAsia="zh-CN" w:bidi="ar-SA"/>
        </w:rPr>
        <w:t>（须逐页加盖投标单位公章）</w:t>
      </w:r>
    </w:p>
    <w:p w14:paraId="1E295BF0">
      <w:pPr>
        <w:pStyle w:val="6"/>
        <w:rPr>
          <w:rFonts w:hint="eastAsia"/>
          <w:color w:val="auto"/>
          <w:highlight w:val="none"/>
          <w:lang w:val="en-US" w:eastAsia="zh-CN"/>
        </w:rPr>
      </w:pPr>
    </w:p>
    <w:p w14:paraId="60E1FBF0">
      <w:pPr>
        <w:rPr>
          <w:rFonts w:hint="eastAsia"/>
          <w:color w:val="auto"/>
          <w:highlight w:val="none"/>
          <w:lang w:val="en-US" w:eastAsia="zh-CN"/>
        </w:rPr>
      </w:pPr>
    </w:p>
    <w:p w14:paraId="6E52E94A">
      <w:pPr>
        <w:pStyle w:val="6"/>
        <w:rPr>
          <w:rFonts w:hint="eastAsia"/>
          <w:color w:val="auto"/>
          <w:highlight w:val="none"/>
          <w:lang w:val="en-US" w:eastAsia="zh-CN"/>
        </w:rPr>
      </w:pPr>
    </w:p>
    <w:p w14:paraId="7734EF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auto"/>
          <w:kern w:val="2"/>
          <w:sz w:val="28"/>
          <w:szCs w:val="28"/>
          <w:highlight w:val="none"/>
          <w:shd w:val="clear" w:color="auto" w:fill="FFFFFF"/>
          <w:lang w:val="en-US" w:eastAsia="zh-CN" w:bidi="ar-SA"/>
        </w:rPr>
      </w:pPr>
      <w:r>
        <w:rPr>
          <w:rFonts w:hint="eastAsia" w:ascii="宋体" w:hAnsi="宋体" w:eastAsia="宋体" w:cs="宋体"/>
          <w:b/>
          <w:bCs/>
          <w:color w:val="auto"/>
          <w:kern w:val="2"/>
          <w:sz w:val="28"/>
          <w:szCs w:val="28"/>
          <w:highlight w:val="none"/>
          <w:shd w:val="clear" w:color="auto" w:fill="FFFFFF"/>
          <w:lang w:val="en-US" w:eastAsia="zh-CN" w:bidi="ar-SA"/>
        </w:rPr>
        <w:t>1</w:t>
      </w:r>
      <w:r>
        <w:rPr>
          <w:rFonts w:hint="eastAsia" w:ascii="宋体" w:hAnsi="宋体" w:cs="宋体"/>
          <w:b/>
          <w:bCs/>
          <w:color w:val="auto"/>
          <w:kern w:val="2"/>
          <w:sz w:val="28"/>
          <w:szCs w:val="28"/>
          <w:highlight w:val="none"/>
          <w:shd w:val="clear" w:color="auto" w:fill="FFFFFF"/>
          <w:lang w:val="en-US" w:eastAsia="zh-CN" w:bidi="ar-SA"/>
        </w:rPr>
        <w:t>0</w:t>
      </w:r>
      <w:r>
        <w:rPr>
          <w:rFonts w:hint="eastAsia" w:ascii="宋体" w:hAnsi="宋体" w:eastAsia="宋体" w:cs="宋体"/>
          <w:b/>
          <w:bCs/>
          <w:color w:val="auto"/>
          <w:kern w:val="2"/>
          <w:sz w:val="28"/>
          <w:szCs w:val="28"/>
          <w:highlight w:val="none"/>
          <w:shd w:val="clear" w:color="auto" w:fill="FFFFFF"/>
          <w:lang w:val="en-US" w:eastAsia="zh-CN" w:bidi="ar-SA"/>
        </w:rPr>
        <w:t>、</w:t>
      </w:r>
      <w:r>
        <w:rPr>
          <w:rFonts w:hint="eastAsia" w:ascii="宋体" w:hAnsi="宋体" w:cs="宋体"/>
          <w:b/>
          <w:bCs/>
          <w:color w:val="auto"/>
          <w:kern w:val="2"/>
          <w:sz w:val="28"/>
          <w:szCs w:val="28"/>
          <w:highlight w:val="none"/>
          <w:shd w:val="clear" w:color="auto" w:fill="FFFFFF"/>
          <w:lang w:val="en-US" w:eastAsia="zh-CN" w:bidi="ar-SA"/>
        </w:rPr>
        <w:t>提供参加政府采购活动近12个月（任意1个月）依法缴纳税收的凭据和参加政府采购活动近12个月（任意1个月）缴纳社会保险的凭据(专用收据或社会保险缴纳清单)；依法免税或不需要缴纳社会保障资金的供应商，应提供相应证明文件</w:t>
      </w:r>
    </w:p>
    <w:p w14:paraId="6EFA0CD0">
      <w:pPr>
        <w:pStyle w:val="6"/>
        <w:numPr>
          <w:ilvl w:val="0"/>
          <w:numId w:val="0"/>
        </w:numPr>
        <w:rPr>
          <w:rFonts w:hint="eastAsia"/>
          <w:color w:val="auto"/>
          <w:highlight w:val="none"/>
          <w:lang w:val="en-US" w:eastAsia="zh-CN"/>
        </w:rPr>
      </w:pPr>
    </w:p>
    <w:p w14:paraId="4373EC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color w:val="auto"/>
          <w:kern w:val="2"/>
          <w:sz w:val="24"/>
          <w:szCs w:val="24"/>
          <w:highlight w:val="none"/>
          <w:shd w:val="clear" w:color="auto" w:fill="FFFFFF"/>
          <w:lang w:val="en-US" w:eastAsia="zh-CN" w:bidi="ar-SA"/>
        </w:rPr>
      </w:pPr>
      <w:r>
        <w:rPr>
          <w:rFonts w:hint="eastAsia" w:ascii="宋体" w:hAnsi="宋体" w:eastAsia="宋体" w:cs="宋体"/>
          <w:b w:val="0"/>
          <w:bCs w:val="0"/>
          <w:color w:val="auto"/>
          <w:kern w:val="2"/>
          <w:sz w:val="24"/>
          <w:szCs w:val="24"/>
          <w:highlight w:val="none"/>
          <w:shd w:val="clear" w:color="auto" w:fill="FFFFFF"/>
          <w:lang w:val="en-US" w:eastAsia="zh-CN" w:bidi="ar-SA"/>
        </w:rPr>
        <w:t>格式自拟（须逐页加盖投标单位公章）</w:t>
      </w:r>
    </w:p>
    <w:p w14:paraId="61329EC4">
      <w:pPr>
        <w:rPr>
          <w:rFonts w:hint="eastAsia"/>
          <w:color w:val="auto"/>
          <w:highlight w:val="none"/>
          <w:lang w:val="en-US" w:eastAsia="zh-CN"/>
        </w:rPr>
      </w:pPr>
    </w:p>
    <w:p w14:paraId="7C9F3981">
      <w:pPr>
        <w:pStyle w:val="6"/>
        <w:rPr>
          <w:rFonts w:hint="eastAsia"/>
          <w:color w:val="auto"/>
          <w:highlight w:val="none"/>
          <w:lang w:val="en-US" w:eastAsia="zh-CN"/>
        </w:rPr>
      </w:pPr>
    </w:p>
    <w:p w14:paraId="5501A443">
      <w:pPr>
        <w:pStyle w:val="6"/>
        <w:rPr>
          <w:rFonts w:hint="eastAsia"/>
          <w:color w:val="auto"/>
          <w:highlight w:val="none"/>
          <w:lang w:val="en-US" w:eastAsia="zh-CN"/>
        </w:rPr>
      </w:pPr>
    </w:p>
    <w:p w14:paraId="12F0DCB7">
      <w:pPr>
        <w:rPr>
          <w:rFonts w:hint="eastAsia"/>
          <w:color w:val="auto"/>
          <w:highlight w:val="none"/>
          <w:lang w:val="en-US" w:eastAsia="zh-CN"/>
        </w:rPr>
      </w:pPr>
    </w:p>
    <w:p w14:paraId="5DB3932E">
      <w:pPr>
        <w:numPr>
          <w:ilvl w:val="0"/>
          <w:numId w:val="0"/>
        </w:numPr>
        <w:ind w:left="0" w:leftChars="0" w:firstLine="0" w:firstLineChars="0"/>
        <w:jc w:val="both"/>
        <w:rPr>
          <w:rFonts w:hint="default" w:ascii="宋体" w:hAnsi="宋体" w:eastAsia="宋体" w:cs="宋体"/>
          <w:b/>
          <w:bCs/>
          <w:color w:val="auto"/>
          <w:kern w:val="2"/>
          <w:sz w:val="28"/>
          <w:szCs w:val="28"/>
          <w:highlight w:val="none"/>
          <w:shd w:val="clear" w:color="auto" w:fill="FFFFFF"/>
          <w:lang w:val="en-US" w:eastAsia="zh-CN" w:bidi="ar-SA"/>
        </w:rPr>
      </w:pPr>
      <w:r>
        <w:rPr>
          <w:rFonts w:hint="eastAsia" w:ascii="宋体" w:hAnsi="宋体" w:eastAsia="宋体" w:cs="宋体"/>
          <w:b/>
          <w:bCs/>
          <w:color w:val="auto"/>
          <w:kern w:val="2"/>
          <w:sz w:val="28"/>
          <w:szCs w:val="28"/>
          <w:highlight w:val="none"/>
          <w:shd w:val="clear" w:color="auto" w:fill="FFFFFF"/>
          <w:lang w:val="en-US" w:eastAsia="zh-CN" w:bidi="ar-SA"/>
        </w:rPr>
        <w:t>11、参加政府采购活动前三年内在经营活动中没有重大违法记录的书面声明(格式如下）</w:t>
      </w:r>
    </w:p>
    <w:p w14:paraId="47E956AB">
      <w:pPr>
        <w:rPr>
          <w:rFonts w:hint="eastAsia"/>
          <w:color w:val="auto"/>
          <w:highlight w:val="none"/>
          <w:lang w:val="en-US" w:eastAsia="zh-CN"/>
        </w:rPr>
      </w:pPr>
    </w:p>
    <w:p w14:paraId="35143FA0">
      <w:pPr>
        <w:pStyle w:val="6"/>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本单位郑重声明： 我单位在参加采购活动前三年内在经营活动中没有《政府采购法》第二十二条第一款第(五)项所称重大违法记录，包括： 我单位或者其法定代表人（或分公司负责人）、董事、监事、高级管理人员未因经营活动中的 违法行为受到刑事处罚或者责令停产停业、吊销许可证或者执照、较大数额罚款等行政处罚。 特此声明！ </w:t>
      </w:r>
    </w:p>
    <w:p w14:paraId="1333B839">
      <w:pPr>
        <w:pStyle w:val="6"/>
        <w:ind w:firstLine="4560" w:firstLineChars="19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供应商名称( 电子签章 )</w:t>
      </w:r>
    </w:p>
    <w:p w14:paraId="11689F00">
      <w:pPr>
        <w:pStyle w:val="6"/>
        <w:ind w:firstLine="4560" w:firstLineChars="19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日 期： 年 月 日</w:t>
      </w:r>
    </w:p>
    <w:p w14:paraId="087F3D4D">
      <w:pPr>
        <w:pStyle w:val="6"/>
        <w:rPr>
          <w:rFonts w:hint="eastAsia" w:ascii="宋体" w:hAnsi="宋体" w:eastAsia="宋体" w:cs="宋体"/>
          <w:b/>
          <w:bCs/>
          <w:color w:val="auto"/>
          <w:kern w:val="2"/>
          <w:sz w:val="28"/>
          <w:szCs w:val="28"/>
          <w:highlight w:val="none"/>
          <w:shd w:val="clear" w:color="auto" w:fill="FFFFFF"/>
          <w:lang w:val="en-US" w:eastAsia="zh-CN" w:bidi="ar-SA"/>
        </w:rPr>
      </w:pPr>
    </w:p>
    <w:p w14:paraId="3C382C0D">
      <w:pPr>
        <w:pStyle w:val="6"/>
        <w:rPr>
          <w:rFonts w:hint="eastAsia" w:ascii="宋体" w:hAnsi="宋体" w:eastAsia="宋体" w:cs="宋体"/>
          <w:b/>
          <w:bCs/>
          <w:color w:val="auto"/>
          <w:kern w:val="2"/>
          <w:sz w:val="28"/>
          <w:szCs w:val="28"/>
          <w:highlight w:val="none"/>
          <w:shd w:val="clear" w:color="auto" w:fill="FFFFFF"/>
          <w:lang w:val="en-US" w:eastAsia="zh-CN" w:bidi="ar-SA"/>
        </w:rPr>
      </w:pPr>
    </w:p>
    <w:p w14:paraId="3C8E8979">
      <w:pPr>
        <w:pStyle w:val="6"/>
        <w:rPr>
          <w:rFonts w:hint="eastAsia" w:ascii="宋体" w:hAnsi="宋体" w:eastAsia="宋体" w:cs="宋体"/>
          <w:b/>
          <w:bCs/>
          <w:color w:val="auto"/>
          <w:kern w:val="2"/>
          <w:sz w:val="28"/>
          <w:szCs w:val="28"/>
          <w:highlight w:val="none"/>
          <w:shd w:val="clear" w:color="auto" w:fill="FFFFFF"/>
          <w:lang w:val="en-US" w:eastAsia="zh-CN" w:bidi="ar-SA"/>
        </w:rPr>
      </w:pPr>
    </w:p>
    <w:p w14:paraId="00165437">
      <w:pPr>
        <w:pStyle w:val="6"/>
        <w:rPr>
          <w:rFonts w:hint="eastAsia" w:ascii="宋体" w:hAnsi="宋体" w:eastAsia="宋体" w:cs="宋体"/>
          <w:b/>
          <w:bCs/>
          <w:color w:val="auto"/>
          <w:kern w:val="2"/>
          <w:sz w:val="28"/>
          <w:szCs w:val="28"/>
          <w:highlight w:val="none"/>
          <w:shd w:val="clear" w:color="auto" w:fill="FFFFFF"/>
          <w:lang w:val="en-US" w:eastAsia="zh-CN" w:bidi="ar-SA"/>
        </w:rPr>
      </w:pPr>
    </w:p>
    <w:p w14:paraId="60806E7F">
      <w:pPr>
        <w:pStyle w:val="6"/>
        <w:rPr>
          <w:rFonts w:hint="eastAsia" w:ascii="宋体" w:hAnsi="宋体" w:eastAsia="宋体" w:cs="宋体"/>
          <w:b/>
          <w:bCs/>
          <w:color w:val="auto"/>
          <w:kern w:val="2"/>
          <w:sz w:val="28"/>
          <w:szCs w:val="28"/>
          <w:highlight w:val="none"/>
          <w:shd w:val="clear" w:color="auto" w:fill="FFFFFF"/>
          <w:lang w:val="en-US" w:eastAsia="zh-CN" w:bidi="ar-SA"/>
        </w:rPr>
      </w:pPr>
    </w:p>
    <w:p w14:paraId="62ACA207">
      <w:pPr>
        <w:pStyle w:val="6"/>
        <w:rPr>
          <w:rFonts w:hint="default" w:ascii="宋体" w:hAnsi="宋体" w:eastAsia="宋体" w:cs="宋体"/>
          <w:b/>
          <w:bCs/>
          <w:color w:val="auto"/>
          <w:kern w:val="2"/>
          <w:sz w:val="28"/>
          <w:szCs w:val="28"/>
          <w:highlight w:val="none"/>
          <w:shd w:val="clear" w:color="auto" w:fill="FFFFFF"/>
          <w:lang w:val="en-US" w:eastAsia="zh-CN" w:bidi="ar-SA"/>
        </w:rPr>
      </w:pPr>
      <w:r>
        <w:rPr>
          <w:rFonts w:hint="eastAsia" w:ascii="宋体" w:hAnsi="宋体" w:eastAsia="宋体" w:cs="宋体"/>
          <w:b/>
          <w:bCs/>
          <w:color w:val="auto"/>
          <w:kern w:val="2"/>
          <w:sz w:val="28"/>
          <w:szCs w:val="28"/>
          <w:highlight w:val="none"/>
          <w:shd w:val="clear" w:color="auto" w:fill="FFFFFF"/>
          <w:lang w:val="en-US" w:eastAsia="zh-CN" w:bidi="ar-SA"/>
        </w:rPr>
        <w:t>12、本项目特定资质证明资料</w:t>
      </w:r>
    </w:p>
    <w:p w14:paraId="3C0C1EEE">
      <w:pPr>
        <w:pStyle w:val="6"/>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须具备建筑工程施工总承包叁级及以上资质，并在有效期内的，有效的《安全生产许可证》，并在人员、设备、资金等方面具备相应的施工能力；拟派的项目负责人须具备建筑工程专业二级建造师及以上（含二级）注册执业资格，并具备有效的安全生产考核合格证书（B 证）。</w:t>
      </w:r>
    </w:p>
    <w:p w14:paraId="0ACA54F2">
      <w:pPr>
        <w:pStyle w:val="6"/>
        <w:rPr>
          <w:rFonts w:hint="eastAsia" w:ascii="宋体" w:hAnsi="宋体" w:eastAsia="宋体" w:cs="宋体"/>
          <w:b/>
          <w:bCs/>
          <w:color w:val="auto"/>
          <w:kern w:val="2"/>
          <w:sz w:val="28"/>
          <w:szCs w:val="28"/>
          <w:highlight w:val="none"/>
          <w:shd w:val="clear" w:color="auto" w:fill="FFFFFF"/>
          <w:lang w:val="en-US" w:eastAsia="zh-CN" w:bidi="ar-SA"/>
        </w:rPr>
      </w:pPr>
    </w:p>
    <w:p w14:paraId="5C2CC5F0">
      <w:pPr>
        <w:spacing w:line="360" w:lineRule="auto"/>
        <w:ind w:firstLine="2502" w:firstLineChars="890"/>
        <w:rPr>
          <w:rFonts w:hint="eastAsia" w:ascii="宋体" w:hAnsi="宋体" w:cs="宋体"/>
          <w:b/>
          <w:color w:val="auto"/>
          <w:sz w:val="28"/>
          <w:highlight w:val="none"/>
          <w:lang w:val="en-US" w:eastAsia="zh-CN"/>
        </w:rPr>
      </w:pPr>
    </w:p>
    <w:p w14:paraId="317C421E">
      <w:pPr>
        <w:spacing w:line="360" w:lineRule="auto"/>
        <w:ind w:firstLine="2502" w:firstLineChars="890"/>
        <w:jc w:val="left"/>
        <w:rPr>
          <w:rFonts w:hint="default" w:ascii="宋体" w:hAnsi="宋体" w:eastAsia="宋体" w:cs="宋体"/>
          <w:b/>
          <w:color w:val="auto"/>
          <w:sz w:val="28"/>
          <w:highlight w:val="none"/>
          <w:lang w:val="en-US" w:eastAsia="zh-CN"/>
        </w:rPr>
      </w:pPr>
      <w:r>
        <w:rPr>
          <w:rFonts w:hint="eastAsia" w:ascii="宋体" w:hAnsi="宋体" w:cs="宋体"/>
          <w:b/>
          <w:color w:val="auto"/>
          <w:sz w:val="28"/>
          <w:highlight w:val="none"/>
          <w:lang w:val="en-US" w:eastAsia="zh-CN"/>
        </w:rPr>
        <w:t>13、供应商反商业贿赂承诺书</w:t>
      </w:r>
    </w:p>
    <w:p w14:paraId="6D2D3EC9">
      <w:pPr>
        <w:autoSpaceDE w:val="0"/>
        <w:autoSpaceDN w:val="0"/>
        <w:adjustRightInd w:val="0"/>
        <w:ind w:firstLine="600" w:firstLineChars="25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我公司承诺在</w:t>
      </w:r>
      <w:r>
        <w:rPr>
          <w:rFonts w:hint="eastAsia" w:ascii="宋体" w:hAnsi="宋体" w:cs="宋体"/>
          <w:bCs/>
          <w:color w:val="auto"/>
          <w:sz w:val="24"/>
          <w:szCs w:val="24"/>
          <w:highlight w:val="none"/>
          <w:u w:val="single"/>
          <w:lang w:val="zh-CN"/>
        </w:rPr>
        <w:t xml:space="preserve">                             </w:t>
      </w:r>
      <w:r>
        <w:rPr>
          <w:rFonts w:hint="eastAsia" w:ascii="宋体" w:hAnsi="宋体" w:cs="宋体"/>
          <w:color w:val="auto"/>
          <w:kern w:val="0"/>
          <w:sz w:val="24"/>
          <w:szCs w:val="24"/>
          <w:highlight w:val="none"/>
          <w:lang w:val="zh-CN"/>
        </w:rPr>
        <w:t xml:space="preserve">竞争性谈判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14:paraId="3C3E91A1">
      <w:pPr>
        <w:pStyle w:val="6"/>
        <w:rPr>
          <w:rFonts w:hint="eastAsia"/>
          <w:color w:val="auto"/>
          <w:highlight w:val="none"/>
          <w:lang w:val="zh-CN"/>
        </w:rPr>
      </w:pPr>
    </w:p>
    <w:p w14:paraId="75389D1E">
      <w:pPr>
        <w:rPr>
          <w:rFonts w:hint="eastAsia"/>
          <w:color w:val="auto"/>
          <w:highlight w:val="none"/>
          <w:lang w:val="zh-CN"/>
        </w:rPr>
      </w:pPr>
    </w:p>
    <w:p w14:paraId="4DFB20ED">
      <w:pPr>
        <w:pageBreakBefore w:val="0"/>
        <w:kinsoku/>
        <w:wordWrap/>
        <w:overflowPunct/>
        <w:topLinePunct w:val="0"/>
        <w:bidi w:val="0"/>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投标单位</w:t>
      </w:r>
      <w:r>
        <w:rPr>
          <w:rFonts w:hint="eastAsia" w:ascii="宋体" w:hAnsi="宋体" w:cs="宋体"/>
          <w:color w:val="auto"/>
          <w:sz w:val="24"/>
          <w:highlight w:val="none"/>
        </w:rPr>
        <w:t>（</w:t>
      </w:r>
      <w:r>
        <w:rPr>
          <w:rFonts w:hint="eastAsia" w:ascii="宋体" w:hAnsi="宋体" w:cs="宋体"/>
          <w:color w:val="auto"/>
          <w:sz w:val="24"/>
          <w:highlight w:val="none"/>
          <w:lang w:eastAsia="zh-CN"/>
        </w:rPr>
        <w:t>盖</w:t>
      </w:r>
      <w:r>
        <w:rPr>
          <w:rFonts w:hint="eastAsia" w:ascii="宋体" w:hAnsi="宋体" w:cs="宋体"/>
          <w:color w:val="auto"/>
          <w:sz w:val="24"/>
          <w:highlight w:val="none"/>
        </w:rPr>
        <w:t>章）</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p>
    <w:p w14:paraId="198A19F9">
      <w:pPr>
        <w:pageBreakBefore w:val="0"/>
        <w:kinsoku/>
        <w:wordWrap/>
        <w:overflowPunct/>
        <w:topLinePunct w:val="0"/>
        <w:bidi w:val="0"/>
        <w:spacing w:line="360" w:lineRule="auto"/>
        <w:rPr>
          <w:rFonts w:hint="eastAsia" w:ascii="宋体" w:hAnsi="宋体" w:cs="宋体"/>
          <w:color w:val="auto"/>
          <w:sz w:val="24"/>
          <w:szCs w:val="24"/>
          <w:highlight w:val="none"/>
        </w:rPr>
      </w:pPr>
      <w:r>
        <w:rPr>
          <w:rFonts w:hint="eastAsia" w:ascii="宋体" w:hAnsi="宋体" w:eastAsia="宋体" w:cs="宋体"/>
          <w:color w:val="auto"/>
          <w:sz w:val="24"/>
          <w:highlight w:val="none"/>
          <w:lang w:val="en-US" w:eastAsia="zh-CN"/>
        </w:rPr>
        <w:t xml:space="preserve">法定代表人或授权代表人：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（签字或盖章）</w:t>
      </w:r>
      <w:r>
        <w:rPr>
          <w:rFonts w:hint="eastAsia" w:ascii="宋体" w:hAnsi="宋体" w:cs="宋体"/>
          <w:color w:val="auto"/>
          <w:sz w:val="24"/>
          <w:szCs w:val="24"/>
          <w:highlight w:val="none"/>
        </w:rPr>
        <w:t xml:space="preserve">  </w:t>
      </w:r>
    </w:p>
    <w:p w14:paraId="1415BAEB">
      <w:pPr>
        <w:pageBreakBefore w:val="0"/>
        <w:kinsoku/>
        <w:wordWrap/>
        <w:overflowPunct/>
        <w:topLinePunct w:val="0"/>
        <w:bidi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p w14:paraId="4B979926">
      <w:pPr>
        <w:spacing w:line="360" w:lineRule="auto"/>
        <w:jc w:val="both"/>
        <w:rPr>
          <w:rFonts w:ascii="宋体" w:hAnsi="宋体" w:cs="宋体"/>
          <w:b/>
          <w:bCs/>
          <w:color w:val="auto"/>
          <w:sz w:val="28"/>
          <w:szCs w:val="28"/>
          <w:highlight w:val="none"/>
        </w:rPr>
      </w:pPr>
    </w:p>
    <w:p w14:paraId="377A1F48">
      <w:pPr>
        <w:pStyle w:val="6"/>
        <w:jc w:val="both"/>
        <w:outlineLvl w:val="9"/>
        <w:rPr>
          <w:rFonts w:hint="eastAsia" w:ascii="宋体" w:hAnsi="宋体" w:cs="宋体"/>
          <w:b/>
          <w:bCs/>
          <w:color w:val="auto"/>
          <w:sz w:val="28"/>
          <w:szCs w:val="28"/>
          <w:highlight w:val="none"/>
          <w:lang w:val="en-US" w:eastAsia="zh-CN"/>
        </w:rPr>
      </w:pPr>
      <w:bookmarkStart w:id="928" w:name="_Toc1034"/>
      <w:bookmarkStart w:id="929" w:name="_Toc11727"/>
      <w:bookmarkStart w:id="930" w:name="_Toc13997"/>
    </w:p>
    <w:p w14:paraId="02D53B5B">
      <w:pPr>
        <w:pStyle w:val="15"/>
        <w:rPr>
          <w:rFonts w:hint="eastAsia" w:ascii="宋体" w:hAnsi="宋体" w:cs="宋体"/>
          <w:b/>
          <w:bCs/>
          <w:color w:val="auto"/>
          <w:sz w:val="28"/>
          <w:szCs w:val="28"/>
          <w:highlight w:val="none"/>
          <w:lang w:val="en-US" w:eastAsia="zh-CN"/>
        </w:rPr>
      </w:pPr>
    </w:p>
    <w:p w14:paraId="303B5FE0">
      <w:pPr>
        <w:pStyle w:val="13"/>
        <w:rPr>
          <w:rFonts w:hint="eastAsia" w:ascii="宋体" w:hAnsi="宋体" w:cs="宋体"/>
          <w:b/>
          <w:bCs/>
          <w:color w:val="auto"/>
          <w:sz w:val="28"/>
          <w:szCs w:val="28"/>
          <w:highlight w:val="none"/>
          <w:lang w:val="en-US" w:eastAsia="zh-CN"/>
        </w:rPr>
      </w:pPr>
    </w:p>
    <w:p w14:paraId="0264524B">
      <w:pPr>
        <w:rPr>
          <w:rFonts w:hint="eastAsia" w:ascii="宋体" w:hAnsi="宋体" w:cs="宋体"/>
          <w:b/>
          <w:bCs/>
          <w:color w:val="auto"/>
          <w:sz w:val="28"/>
          <w:szCs w:val="28"/>
          <w:highlight w:val="none"/>
          <w:lang w:val="en-US" w:eastAsia="zh-CN"/>
        </w:rPr>
      </w:pPr>
    </w:p>
    <w:p w14:paraId="5CABDADF">
      <w:pPr>
        <w:pStyle w:val="5"/>
        <w:rPr>
          <w:rFonts w:hint="eastAsia" w:ascii="宋体" w:hAnsi="宋体" w:cs="宋体"/>
          <w:b/>
          <w:bCs/>
          <w:color w:val="auto"/>
          <w:sz w:val="28"/>
          <w:szCs w:val="28"/>
          <w:highlight w:val="none"/>
          <w:lang w:val="en-US" w:eastAsia="zh-CN"/>
        </w:rPr>
      </w:pPr>
    </w:p>
    <w:p w14:paraId="5ED79E53">
      <w:pPr>
        <w:rPr>
          <w:rFonts w:hint="eastAsia" w:ascii="宋体" w:hAnsi="宋体" w:cs="宋体"/>
          <w:b/>
          <w:bCs/>
          <w:color w:val="auto"/>
          <w:sz w:val="28"/>
          <w:szCs w:val="28"/>
          <w:highlight w:val="none"/>
          <w:lang w:val="en-US" w:eastAsia="zh-CN"/>
        </w:rPr>
      </w:pPr>
    </w:p>
    <w:p w14:paraId="470D5C86">
      <w:pPr>
        <w:rPr>
          <w:rFonts w:hint="eastAsia" w:ascii="宋体" w:hAnsi="宋体" w:cs="宋体"/>
          <w:b/>
          <w:bCs/>
          <w:color w:val="auto"/>
          <w:sz w:val="28"/>
          <w:szCs w:val="28"/>
          <w:highlight w:val="none"/>
          <w:lang w:val="en-US" w:eastAsia="zh-CN"/>
        </w:rPr>
      </w:pPr>
    </w:p>
    <w:p w14:paraId="09761005">
      <w:pPr>
        <w:rPr>
          <w:rFonts w:hint="eastAsia" w:ascii="宋体" w:hAnsi="宋体" w:cs="宋体"/>
          <w:b/>
          <w:bCs/>
          <w:color w:val="auto"/>
          <w:sz w:val="28"/>
          <w:szCs w:val="28"/>
          <w:highlight w:val="none"/>
          <w:lang w:val="en-US" w:eastAsia="zh-CN"/>
        </w:rPr>
      </w:pPr>
    </w:p>
    <w:p w14:paraId="0BC9B294">
      <w:pPr>
        <w:rPr>
          <w:rFonts w:hint="eastAsia" w:ascii="宋体" w:hAnsi="宋体" w:cs="宋体"/>
          <w:b/>
          <w:bCs/>
          <w:color w:val="auto"/>
          <w:sz w:val="28"/>
          <w:szCs w:val="28"/>
          <w:highlight w:val="none"/>
          <w:lang w:val="en-US" w:eastAsia="zh-CN"/>
        </w:rPr>
      </w:pPr>
    </w:p>
    <w:p w14:paraId="41D85478">
      <w:pPr>
        <w:rPr>
          <w:rFonts w:hint="eastAsia" w:ascii="宋体" w:hAnsi="宋体" w:cs="宋体"/>
          <w:b/>
          <w:bCs/>
          <w:color w:val="auto"/>
          <w:sz w:val="28"/>
          <w:szCs w:val="28"/>
          <w:highlight w:val="none"/>
          <w:lang w:val="en-US" w:eastAsia="zh-CN"/>
        </w:rPr>
      </w:pPr>
    </w:p>
    <w:p w14:paraId="05E39D06">
      <w:pPr>
        <w:rPr>
          <w:rFonts w:hint="eastAsia" w:ascii="宋体" w:hAnsi="宋体" w:cs="宋体"/>
          <w:b/>
          <w:bCs/>
          <w:color w:val="auto"/>
          <w:sz w:val="28"/>
          <w:szCs w:val="28"/>
          <w:highlight w:val="none"/>
          <w:lang w:val="en-US" w:eastAsia="zh-CN"/>
        </w:rPr>
      </w:pPr>
    </w:p>
    <w:p w14:paraId="36D2C66F">
      <w:pPr>
        <w:rPr>
          <w:rFonts w:hint="eastAsia" w:ascii="宋体" w:hAnsi="宋体" w:cs="宋体"/>
          <w:b/>
          <w:bCs/>
          <w:color w:val="auto"/>
          <w:sz w:val="28"/>
          <w:szCs w:val="28"/>
          <w:highlight w:val="none"/>
          <w:lang w:val="en-US" w:eastAsia="zh-CN"/>
        </w:rPr>
      </w:pPr>
      <w:bookmarkStart w:id="942" w:name="_GoBack"/>
      <w:bookmarkEnd w:id="942"/>
    </w:p>
    <w:p w14:paraId="106566C7">
      <w:pPr>
        <w:rPr>
          <w:rFonts w:hint="eastAsia" w:ascii="宋体" w:hAnsi="宋体" w:cs="宋体"/>
          <w:b/>
          <w:bCs/>
          <w:color w:val="auto"/>
          <w:sz w:val="28"/>
          <w:szCs w:val="28"/>
          <w:highlight w:val="none"/>
          <w:lang w:val="en-US" w:eastAsia="zh-CN"/>
        </w:rPr>
      </w:pPr>
    </w:p>
    <w:bookmarkEnd w:id="927"/>
    <w:bookmarkEnd w:id="928"/>
    <w:bookmarkEnd w:id="929"/>
    <w:bookmarkEnd w:id="930"/>
    <w:p w14:paraId="4D4509EB">
      <w:pPr>
        <w:jc w:val="both"/>
        <w:rPr>
          <w:rFonts w:hint="eastAsia" w:ascii="宋体" w:hAnsi="宋体" w:eastAsia="宋体" w:cs="宋体"/>
          <w:b/>
          <w:color w:val="auto"/>
          <w:kern w:val="0"/>
          <w:sz w:val="28"/>
          <w:szCs w:val="28"/>
          <w:highlight w:val="none"/>
          <w:lang w:val="en-US" w:eastAsia="zh-CN"/>
        </w:rPr>
      </w:pPr>
      <w:bookmarkStart w:id="931" w:name="_Toc12366"/>
      <w:bookmarkStart w:id="932" w:name="_Toc5804"/>
    </w:p>
    <w:p w14:paraId="279BE84E">
      <w:pPr>
        <w:jc w:val="center"/>
        <w:rPr>
          <w:rFonts w:hint="eastAsia" w:ascii="宋体" w:hAnsi="宋体" w:eastAsia="宋体" w:cs="宋体"/>
          <w:color w:val="auto"/>
          <w:kern w:val="0"/>
          <w:sz w:val="28"/>
          <w:szCs w:val="28"/>
          <w:highlight w:val="none"/>
        </w:rPr>
      </w:pPr>
      <w:r>
        <w:rPr>
          <w:rFonts w:hint="eastAsia" w:ascii="宋体" w:hAnsi="宋体" w:eastAsia="宋体" w:cs="宋体"/>
          <w:b/>
          <w:color w:val="auto"/>
          <w:kern w:val="0"/>
          <w:sz w:val="28"/>
          <w:szCs w:val="28"/>
          <w:highlight w:val="none"/>
          <w:lang w:val="en-US" w:eastAsia="zh-CN"/>
        </w:rPr>
        <w:t>14.1中小企业声明函</w:t>
      </w:r>
    </w:p>
    <w:p w14:paraId="39990077">
      <w:pPr>
        <w:jc w:val="center"/>
        <w:rPr>
          <w:rFonts w:hint="eastAsia" w:ascii="宋体" w:hAnsi="宋体"/>
          <w:color w:val="auto"/>
          <w:sz w:val="24"/>
          <w:highlight w:val="none"/>
        </w:rPr>
      </w:pPr>
    </w:p>
    <w:p w14:paraId="652EED6F">
      <w:pPr>
        <w:pStyle w:val="14"/>
        <w:keepNext w:val="0"/>
        <w:keepLines w:val="0"/>
        <w:widowControl/>
        <w:suppressLineNumbers w:val="0"/>
        <w:spacing w:before="75" w:beforeAutospacing="0" w:after="75" w:afterAutospacing="0" w:line="420" w:lineRule="atLeast"/>
        <w:ind w:left="0" w:right="0" w:firstLine="420"/>
        <w:jc w:val="center"/>
        <w:rPr>
          <w:rFonts w:hint="default" w:ascii="sans-serif" w:hAnsi="sans-serif" w:eastAsia="sans-serif" w:cs="sans-serif"/>
          <w:i w:val="0"/>
          <w:iCs w:val="0"/>
          <w:caps w:val="0"/>
          <w:color w:val="auto"/>
          <w:spacing w:val="0"/>
          <w:sz w:val="24"/>
          <w:szCs w:val="24"/>
          <w:highlight w:val="none"/>
        </w:rPr>
      </w:pPr>
      <w:r>
        <w:rPr>
          <w:rStyle w:val="19"/>
          <w:rFonts w:hint="default" w:ascii="sans-serif" w:hAnsi="sans-serif" w:eastAsia="sans-serif" w:cs="sans-serif"/>
          <w:i w:val="0"/>
          <w:iCs w:val="0"/>
          <w:caps w:val="0"/>
          <w:color w:val="auto"/>
          <w:spacing w:val="0"/>
          <w:sz w:val="27"/>
          <w:szCs w:val="27"/>
          <w:highlight w:val="none"/>
        </w:rPr>
        <w:t>中小企业声明函（工程）</w:t>
      </w:r>
    </w:p>
    <w:p w14:paraId="3F41C9D4">
      <w:pPr>
        <w:pStyle w:val="14"/>
        <w:keepNext w:val="0"/>
        <w:keepLines w:val="0"/>
        <w:widowControl/>
        <w:suppressLineNumbers w:val="0"/>
        <w:spacing w:before="75" w:beforeAutospacing="0" w:after="75" w:afterAutospacing="0" w:line="420" w:lineRule="atLeast"/>
        <w:ind w:left="0" w:right="0" w:firstLine="420"/>
        <w:rPr>
          <w:rFonts w:hint="default" w:ascii="sans-serif" w:hAnsi="sans-serif" w:eastAsia="sans-serif" w:cs="sans-serif"/>
          <w:i w:val="0"/>
          <w:iCs w:val="0"/>
          <w:caps w:val="0"/>
          <w:color w:val="auto"/>
          <w:spacing w:val="0"/>
          <w:sz w:val="24"/>
          <w:szCs w:val="24"/>
          <w:highlight w:val="none"/>
        </w:rPr>
      </w:pPr>
      <w:r>
        <w:rPr>
          <w:rFonts w:hint="default" w:ascii="sans-serif" w:hAnsi="sans-serif" w:eastAsia="sans-serif" w:cs="sans-serif"/>
          <w:i w:val="0"/>
          <w:iCs w:val="0"/>
          <w:caps w:val="0"/>
          <w:color w:val="auto"/>
          <w:spacing w:val="0"/>
          <w:sz w:val="24"/>
          <w:szCs w:val="24"/>
          <w:highlight w:val="none"/>
        </w:rPr>
        <w:t> </w:t>
      </w:r>
    </w:p>
    <w:p w14:paraId="0EE230FD">
      <w:pPr>
        <w:pStyle w:val="14"/>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9157A19">
      <w:pPr>
        <w:pStyle w:val="14"/>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1.（标的名称），属于（采购文件中明确的所属行业）；承建（承接）企业为（企业名称），从业人员  人，营业收入为  万元，资产总额为  万元，属于（中型企业、小型企业、微型企业）；</w:t>
      </w:r>
    </w:p>
    <w:p w14:paraId="7F24DE12">
      <w:pPr>
        <w:pStyle w:val="14"/>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 （标的名称），属于（采购文件中明确的所属行业）；承建（承接）企业为（企业名称），从业人员  人，营业收入为  万元，资产总额为  万元，属于（中型企业、小型企业、微型企业）；</w:t>
      </w:r>
    </w:p>
    <w:p w14:paraId="3015D4FD">
      <w:pPr>
        <w:pStyle w:val="14"/>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w:t>
      </w:r>
    </w:p>
    <w:p w14:paraId="54260E16">
      <w:pPr>
        <w:pStyle w:val="14"/>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18C15E93">
      <w:pPr>
        <w:pStyle w:val="14"/>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本企业对上述声明内容的真实性负责。如有虚假，将依法承担相应责任。</w:t>
      </w:r>
    </w:p>
    <w:p w14:paraId="51597FA2">
      <w:pPr>
        <w:pStyle w:val="14"/>
        <w:keepNext w:val="0"/>
        <w:keepLines w:val="0"/>
        <w:widowControl/>
        <w:suppressLineNumbers w:val="0"/>
        <w:spacing w:before="75" w:beforeAutospacing="0" w:after="75" w:afterAutospacing="0" w:line="420" w:lineRule="atLeast"/>
        <w:ind w:left="0" w:right="0" w:firstLine="420"/>
        <w:jc w:val="right"/>
        <w:rPr>
          <w:rFonts w:hint="default" w:ascii="sans-serif" w:hAnsi="sans-serif" w:eastAsia="sans-serif" w:cs="sans-serif"/>
          <w:i w:val="0"/>
          <w:iCs w:val="0"/>
          <w:caps w:val="0"/>
          <w:color w:val="auto"/>
          <w:spacing w:val="0"/>
          <w:sz w:val="24"/>
          <w:szCs w:val="24"/>
          <w:highlight w:val="none"/>
        </w:rPr>
      </w:pPr>
      <w:r>
        <w:rPr>
          <w:rFonts w:hint="default" w:ascii="sans-serif" w:hAnsi="sans-serif" w:eastAsia="sans-serif" w:cs="sans-serif"/>
          <w:i w:val="0"/>
          <w:iCs w:val="0"/>
          <w:caps w:val="0"/>
          <w:color w:val="auto"/>
          <w:spacing w:val="0"/>
          <w:sz w:val="24"/>
          <w:szCs w:val="24"/>
          <w:highlight w:val="none"/>
        </w:rPr>
        <w:t>     </w:t>
      </w:r>
    </w:p>
    <w:p w14:paraId="437F3A23">
      <w:pPr>
        <w:pStyle w:val="14"/>
        <w:keepNext w:val="0"/>
        <w:keepLines w:val="0"/>
        <w:widowControl/>
        <w:suppressLineNumbers w:val="0"/>
        <w:spacing w:before="75" w:beforeAutospacing="0" w:after="75" w:afterAutospacing="0" w:line="420" w:lineRule="atLeast"/>
        <w:ind w:left="0" w:right="0" w:firstLine="420"/>
        <w:jc w:val="center"/>
        <w:rPr>
          <w:rFonts w:hint="default" w:ascii="sans-serif" w:hAnsi="sans-serif" w:eastAsia="sans-serif" w:cs="sans-serif"/>
          <w:i w:val="0"/>
          <w:iCs w:val="0"/>
          <w:caps w:val="0"/>
          <w:color w:val="auto"/>
          <w:spacing w:val="0"/>
          <w:sz w:val="24"/>
          <w:szCs w:val="24"/>
          <w:highlight w:val="none"/>
        </w:rPr>
      </w:pPr>
      <w:r>
        <w:rPr>
          <w:rFonts w:hint="eastAsia" w:ascii="sans-serif" w:hAnsi="sans-serif" w:eastAsia="宋体" w:cs="sans-serif"/>
          <w:i w:val="0"/>
          <w:iCs w:val="0"/>
          <w:caps w:val="0"/>
          <w:color w:val="auto"/>
          <w:spacing w:val="0"/>
          <w:sz w:val="24"/>
          <w:szCs w:val="24"/>
          <w:highlight w:val="none"/>
          <w:lang w:val="en-US" w:eastAsia="zh-CN"/>
        </w:rPr>
        <w:t xml:space="preserve">                                                 </w:t>
      </w:r>
      <w:r>
        <w:rPr>
          <w:rFonts w:hint="default" w:ascii="sans-serif" w:hAnsi="sans-serif" w:eastAsia="sans-serif" w:cs="sans-serif"/>
          <w:i w:val="0"/>
          <w:iCs w:val="0"/>
          <w:caps w:val="0"/>
          <w:color w:val="auto"/>
          <w:spacing w:val="0"/>
          <w:sz w:val="24"/>
          <w:szCs w:val="24"/>
          <w:highlight w:val="none"/>
        </w:rPr>
        <w:t>企业名称（盖章）：</w:t>
      </w:r>
    </w:p>
    <w:p w14:paraId="40DD570A">
      <w:pPr>
        <w:pStyle w:val="14"/>
        <w:keepNext w:val="0"/>
        <w:keepLines w:val="0"/>
        <w:widowControl/>
        <w:suppressLineNumbers w:val="0"/>
        <w:spacing w:before="75" w:beforeAutospacing="0" w:after="75" w:afterAutospacing="0" w:line="420" w:lineRule="atLeast"/>
        <w:ind w:left="0" w:right="0" w:firstLine="420"/>
        <w:jc w:val="right"/>
        <w:rPr>
          <w:rFonts w:hint="default" w:ascii="sans-serif" w:hAnsi="sans-serif" w:eastAsia="sans-serif" w:cs="sans-serif"/>
          <w:i w:val="0"/>
          <w:iCs w:val="0"/>
          <w:caps w:val="0"/>
          <w:color w:val="auto"/>
          <w:spacing w:val="0"/>
          <w:sz w:val="24"/>
          <w:szCs w:val="24"/>
          <w:highlight w:val="none"/>
        </w:rPr>
      </w:pPr>
      <w:r>
        <w:rPr>
          <w:rFonts w:hint="default" w:ascii="sans-serif" w:hAnsi="sans-serif" w:eastAsia="sans-serif" w:cs="sans-serif"/>
          <w:i w:val="0"/>
          <w:iCs w:val="0"/>
          <w:caps w:val="0"/>
          <w:color w:val="auto"/>
          <w:spacing w:val="0"/>
          <w:sz w:val="24"/>
          <w:szCs w:val="24"/>
          <w:highlight w:val="none"/>
        </w:rPr>
        <w:t>              日期：                    </w:t>
      </w:r>
    </w:p>
    <w:p w14:paraId="10D16CC5">
      <w:pPr>
        <w:tabs>
          <w:tab w:val="left" w:pos="3777"/>
          <w:tab w:val="center" w:pos="4819"/>
        </w:tabs>
        <w:spacing w:line="360" w:lineRule="auto"/>
        <w:ind w:firstLine="1800" w:firstLineChars="750"/>
        <w:jc w:val="both"/>
        <w:rPr>
          <w:rFonts w:ascii="宋体" w:hAnsi="宋体" w:cs="宋体"/>
          <w:color w:val="auto"/>
          <w:highlight w:val="none"/>
        </w:rPr>
      </w:pPr>
    </w:p>
    <w:p w14:paraId="7D2E54BB">
      <w:pPr>
        <w:tabs>
          <w:tab w:val="left" w:pos="3777"/>
          <w:tab w:val="center" w:pos="4819"/>
        </w:tabs>
        <w:spacing w:line="360" w:lineRule="auto"/>
        <w:ind w:firstLine="1800" w:firstLineChars="750"/>
        <w:jc w:val="both"/>
        <w:rPr>
          <w:rFonts w:ascii="宋体" w:hAnsi="宋体" w:cs="宋体"/>
          <w:color w:val="auto"/>
          <w:highlight w:val="none"/>
        </w:rPr>
      </w:pPr>
    </w:p>
    <w:p w14:paraId="16EF823A">
      <w:pPr>
        <w:tabs>
          <w:tab w:val="left" w:pos="3777"/>
          <w:tab w:val="center" w:pos="4819"/>
        </w:tabs>
        <w:spacing w:line="360" w:lineRule="auto"/>
        <w:ind w:firstLine="1800" w:firstLineChars="750"/>
        <w:jc w:val="both"/>
        <w:rPr>
          <w:rFonts w:ascii="宋体" w:hAnsi="宋体" w:cs="宋体"/>
          <w:color w:val="auto"/>
          <w:highlight w:val="none"/>
        </w:rPr>
      </w:pPr>
    </w:p>
    <w:p w14:paraId="6E148AAB">
      <w:pPr>
        <w:tabs>
          <w:tab w:val="left" w:pos="3777"/>
          <w:tab w:val="center" w:pos="4819"/>
        </w:tabs>
        <w:spacing w:line="360" w:lineRule="auto"/>
        <w:ind w:firstLine="1800" w:firstLineChars="750"/>
        <w:jc w:val="both"/>
        <w:rPr>
          <w:rFonts w:ascii="宋体" w:hAnsi="宋体" w:cs="宋体"/>
          <w:color w:val="auto"/>
          <w:highlight w:val="none"/>
        </w:rPr>
      </w:pPr>
    </w:p>
    <w:p w14:paraId="7F9778FE">
      <w:pPr>
        <w:tabs>
          <w:tab w:val="left" w:pos="3777"/>
          <w:tab w:val="center" w:pos="4819"/>
        </w:tabs>
        <w:spacing w:line="360" w:lineRule="auto"/>
        <w:ind w:firstLine="1800" w:firstLineChars="750"/>
        <w:jc w:val="both"/>
        <w:rPr>
          <w:rFonts w:ascii="宋体" w:hAnsi="宋体" w:cs="宋体"/>
          <w:color w:val="auto"/>
          <w:highlight w:val="none"/>
        </w:rPr>
      </w:pPr>
    </w:p>
    <w:p w14:paraId="21D6A2F8">
      <w:pPr>
        <w:tabs>
          <w:tab w:val="left" w:pos="3777"/>
          <w:tab w:val="center" w:pos="4819"/>
        </w:tabs>
        <w:spacing w:line="360" w:lineRule="auto"/>
        <w:ind w:firstLine="1800" w:firstLineChars="750"/>
        <w:jc w:val="both"/>
        <w:rPr>
          <w:rFonts w:ascii="宋体" w:hAnsi="宋体" w:cs="宋体"/>
          <w:color w:val="auto"/>
          <w:highlight w:val="none"/>
        </w:rPr>
      </w:pPr>
    </w:p>
    <w:p w14:paraId="72D7FFEB">
      <w:pPr>
        <w:tabs>
          <w:tab w:val="left" w:pos="3777"/>
          <w:tab w:val="center" w:pos="4819"/>
        </w:tabs>
        <w:spacing w:line="360" w:lineRule="auto"/>
        <w:ind w:firstLine="1800" w:firstLineChars="750"/>
        <w:jc w:val="both"/>
        <w:rPr>
          <w:rFonts w:ascii="宋体" w:hAnsi="宋体" w:cs="宋体"/>
          <w:color w:val="auto"/>
          <w:highlight w:val="none"/>
        </w:rPr>
      </w:pPr>
    </w:p>
    <w:p w14:paraId="28CB8487">
      <w:pPr>
        <w:tabs>
          <w:tab w:val="left" w:pos="3777"/>
          <w:tab w:val="center" w:pos="4819"/>
        </w:tabs>
        <w:spacing w:line="360" w:lineRule="auto"/>
        <w:ind w:firstLine="1800" w:firstLineChars="750"/>
        <w:jc w:val="both"/>
        <w:rPr>
          <w:rFonts w:ascii="宋体" w:hAnsi="宋体" w:cs="宋体"/>
          <w:color w:val="auto"/>
          <w:highlight w:val="none"/>
        </w:rPr>
      </w:pPr>
    </w:p>
    <w:p w14:paraId="2C533E7E">
      <w:pPr>
        <w:tabs>
          <w:tab w:val="left" w:pos="3777"/>
          <w:tab w:val="center" w:pos="4819"/>
        </w:tabs>
        <w:spacing w:line="360" w:lineRule="auto"/>
        <w:jc w:val="both"/>
        <w:rPr>
          <w:rFonts w:ascii="宋体" w:hAnsi="宋体" w:cs="宋体"/>
          <w:color w:val="auto"/>
          <w:highlight w:val="none"/>
        </w:rPr>
      </w:pPr>
    </w:p>
    <w:p w14:paraId="4684F85B">
      <w:pPr>
        <w:tabs>
          <w:tab w:val="left" w:pos="3777"/>
          <w:tab w:val="center" w:pos="4819"/>
        </w:tabs>
        <w:spacing w:line="360" w:lineRule="auto"/>
        <w:jc w:val="both"/>
        <w:rPr>
          <w:rFonts w:ascii="宋体" w:hAnsi="宋体" w:cs="宋体"/>
          <w:b/>
          <w:color w:val="auto"/>
          <w:kern w:val="0"/>
          <w:sz w:val="32"/>
          <w:szCs w:val="32"/>
          <w:highlight w:val="none"/>
        </w:rPr>
      </w:pPr>
      <w:r>
        <w:rPr>
          <w:rFonts w:ascii="宋体" w:hAnsi="宋体" w:cs="宋体"/>
          <w:color w:val="auto"/>
          <w:highlight w:val="none"/>
        </w:rPr>
        <w:br w:type="page"/>
      </w:r>
      <w:r>
        <w:rPr>
          <w:rFonts w:hint="eastAsia" w:ascii="宋体" w:hAnsi="宋体" w:cs="宋体"/>
          <w:color w:val="auto"/>
          <w:highlight w:val="non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14</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kern w:val="0"/>
          <w:sz w:val="28"/>
          <w:szCs w:val="28"/>
          <w:highlight w:val="none"/>
        </w:rPr>
        <w:t>监狱企业声明函</w:t>
      </w:r>
    </w:p>
    <w:p w14:paraId="1E6D84E3">
      <w:pPr>
        <w:spacing w:line="360" w:lineRule="auto"/>
        <w:jc w:val="center"/>
        <w:rPr>
          <w:rFonts w:ascii="宋体" w:hAnsi="宋体"/>
          <w:color w:val="auto"/>
          <w:kern w:val="0"/>
          <w:sz w:val="24"/>
          <w:highlight w:val="none"/>
        </w:rPr>
      </w:pPr>
      <w:r>
        <w:rPr>
          <w:rFonts w:hint="eastAsia" w:ascii="宋体" w:hAnsi="宋体"/>
          <w:color w:val="auto"/>
          <w:kern w:val="0"/>
          <w:sz w:val="24"/>
          <w:highlight w:val="none"/>
        </w:rPr>
        <w:t>（监狱企业适用）</w:t>
      </w:r>
    </w:p>
    <w:p w14:paraId="37F01AD9">
      <w:pPr>
        <w:spacing w:line="360" w:lineRule="auto"/>
        <w:ind w:firstLine="540" w:firstLineChars="225"/>
        <w:rPr>
          <w:rFonts w:hint="eastAsia" w:ascii="宋体" w:hAnsi="宋体" w:eastAsia="宋体" w:cs="宋体"/>
          <w:color w:val="auto"/>
          <w:kern w:val="0"/>
          <w:sz w:val="24"/>
          <w:highlight w:val="none"/>
        </w:rPr>
      </w:pPr>
    </w:p>
    <w:p w14:paraId="64A3F352">
      <w:pPr>
        <w:spacing w:line="360" w:lineRule="auto"/>
        <w:ind w:firstLine="540" w:firstLineChars="22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本公司郑重声明，根据《关于政府采购支持监狱企业发展有关问题的通知》（财库[2014]68号）的规定，本公司为监狱企业。</w:t>
      </w:r>
    </w:p>
    <w:p w14:paraId="53E3C40C">
      <w:pPr>
        <w:spacing w:line="360" w:lineRule="auto"/>
        <w:ind w:firstLine="540" w:firstLineChars="22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本公司参加______单位的______项目采购活动，采购活动提供本企业（填写制造的货物，由本企业承担工程、提供服务）。</w:t>
      </w:r>
    </w:p>
    <w:p w14:paraId="1F84F47A">
      <w:pPr>
        <w:spacing w:line="360" w:lineRule="auto"/>
        <w:ind w:firstLine="540" w:firstLineChars="22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本条所称货物不包括使用大型企业注册商标的货物和服务。</w:t>
      </w:r>
    </w:p>
    <w:p w14:paraId="0280071F">
      <w:pPr>
        <w:spacing w:line="360" w:lineRule="auto"/>
        <w:ind w:firstLine="540" w:firstLineChars="22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本公司对上述声明的真实性负责。如有虚假，将依法承担相应责任。</w:t>
      </w:r>
    </w:p>
    <w:p w14:paraId="724E601E">
      <w:pPr>
        <w:spacing w:line="360" w:lineRule="auto"/>
        <w:ind w:firstLine="4860" w:firstLineChars="2025"/>
        <w:rPr>
          <w:rFonts w:hint="eastAsia" w:ascii="宋体" w:hAnsi="宋体" w:eastAsia="宋体" w:cs="宋体"/>
          <w:color w:val="auto"/>
          <w:kern w:val="0"/>
          <w:sz w:val="24"/>
          <w:highlight w:val="none"/>
        </w:rPr>
      </w:pPr>
    </w:p>
    <w:p w14:paraId="30AD4DA7">
      <w:pPr>
        <w:ind w:left="1"/>
        <w:rPr>
          <w:rFonts w:hint="eastAsia" w:ascii="宋体" w:hAnsi="宋体" w:eastAsia="宋体" w:cs="宋体"/>
          <w:color w:val="auto"/>
          <w:sz w:val="24"/>
          <w:szCs w:val="24"/>
          <w:highlight w:val="none"/>
        </w:rPr>
      </w:pPr>
    </w:p>
    <w:p w14:paraId="70A34318">
      <w:pPr>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w:t>
      </w:r>
      <w:r>
        <w:rPr>
          <w:rFonts w:hint="eastAsia" w:ascii="宋体" w:hAnsi="宋体" w:cs="宋体"/>
          <w:color w:val="auto"/>
          <w:sz w:val="24"/>
          <w:szCs w:val="24"/>
          <w:highlight w:val="none"/>
          <w:lang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257B5CE">
      <w:pPr>
        <w:rPr>
          <w:rFonts w:hint="eastAsia" w:ascii="宋体" w:hAnsi="宋体" w:eastAsia="宋体" w:cs="宋体"/>
          <w:color w:val="auto"/>
          <w:sz w:val="24"/>
          <w:szCs w:val="24"/>
          <w:highlight w:val="none"/>
        </w:rPr>
      </w:pPr>
    </w:p>
    <w:p w14:paraId="6CCC7984">
      <w:pPr>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p>
    <w:p w14:paraId="041A8B7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26F8F9E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7525BAC9">
      <w:pPr>
        <w:spacing w:line="360" w:lineRule="auto"/>
        <w:rPr>
          <w:rFonts w:hint="eastAsia" w:ascii="宋体" w:hAnsi="宋体"/>
          <w:color w:val="auto"/>
          <w:kern w:val="0"/>
          <w:sz w:val="24"/>
          <w:highlight w:val="none"/>
        </w:rPr>
      </w:pPr>
    </w:p>
    <w:p w14:paraId="079A91AD">
      <w:pPr>
        <w:spacing w:line="360" w:lineRule="auto"/>
        <w:ind w:firstLine="480" w:firstLineChars="200"/>
        <w:rPr>
          <w:rFonts w:hint="eastAsia" w:ascii="宋体" w:hAnsi="宋体"/>
          <w:color w:val="auto"/>
          <w:kern w:val="0"/>
          <w:sz w:val="24"/>
          <w:highlight w:val="none"/>
        </w:rPr>
      </w:pPr>
    </w:p>
    <w:p w14:paraId="5D5F433F">
      <w:pPr>
        <w:spacing w:line="360" w:lineRule="auto"/>
        <w:ind w:firstLine="480" w:firstLineChars="200"/>
        <w:rPr>
          <w:rFonts w:hint="eastAsia" w:ascii="宋体" w:hAnsi="宋体"/>
          <w:color w:val="auto"/>
          <w:kern w:val="0"/>
          <w:sz w:val="24"/>
          <w:highlight w:val="none"/>
        </w:rPr>
      </w:pPr>
    </w:p>
    <w:p w14:paraId="07B649FE">
      <w:pP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注：后附监狱企业资格证明文件</w:t>
      </w:r>
    </w:p>
    <w:p w14:paraId="67FBB18E">
      <w:pPr>
        <w:spacing w:line="440" w:lineRule="exact"/>
        <w:ind w:firstLine="567"/>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highlight w:val="none"/>
        </w:rPr>
        <w:t xml:space="preserve"> </w:t>
      </w:r>
      <w:r>
        <w:rPr>
          <w:rFonts w:hint="eastAsia" w:ascii="宋体" w:hAnsi="宋体"/>
          <w:color w:val="auto"/>
          <w:sz w:val="24"/>
          <w:highlight w:val="none"/>
        </w:rPr>
        <w:t>省级以上监狱管理局、戒毒管理局（含新疆生产建设兵团）出具的属于监狱企业的证明文件；</w:t>
      </w:r>
    </w:p>
    <w:p w14:paraId="2CAD695B">
      <w:pPr>
        <w:tabs>
          <w:tab w:val="left" w:pos="2880"/>
        </w:tabs>
        <w:spacing w:line="460" w:lineRule="atLeast"/>
        <w:ind w:firstLine="566" w:firstLineChars="236"/>
        <w:jc w:val="left"/>
        <w:rPr>
          <w:rFonts w:hint="eastAsia" w:ascii="宋体" w:hAnsi="宋体"/>
          <w:color w:val="auto"/>
          <w:kern w:val="0"/>
          <w:sz w:val="24"/>
          <w:highlight w:val="none"/>
        </w:rPr>
      </w:pPr>
      <w:r>
        <w:rPr>
          <w:rFonts w:hint="eastAsia" w:ascii="宋体" w:hAnsi="宋体"/>
          <w:color w:val="auto"/>
          <w:sz w:val="24"/>
          <w:highlight w:val="none"/>
        </w:rPr>
        <w:t>2.证明材料加盖供应商公章。</w:t>
      </w:r>
      <w:r>
        <w:rPr>
          <w:rFonts w:hint="eastAsia" w:ascii="宋体" w:hAnsi="宋体"/>
          <w:color w:val="auto"/>
          <w:kern w:val="0"/>
          <w:sz w:val="24"/>
          <w:highlight w:val="none"/>
        </w:rPr>
        <w:t xml:space="preserve">（若响应性文件中无上述证明文件，则在评审时不考虑对该监狱企业的相关优惠。） </w:t>
      </w:r>
    </w:p>
    <w:p w14:paraId="609A7159">
      <w:pPr>
        <w:tabs>
          <w:tab w:val="left" w:pos="3600"/>
        </w:tabs>
        <w:adjustRightInd w:val="0"/>
        <w:snapToGrid w:val="0"/>
        <w:spacing w:line="440" w:lineRule="exact"/>
        <w:jc w:val="center"/>
        <w:rPr>
          <w:rFonts w:hint="eastAsia" w:ascii="宋体" w:hAnsi="宋体"/>
          <w:color w:val="auto"/>
          <w:sz w:val="24"/>
          <w:highlight w:val="none"/>
        </w:rPr>
      </w:pPr>
    </w:p>
    <w:p w14:paraId="5A281325">
      <w:pPr>
        <w:tabs>
          <w:tab w:val="left" w:pos="3600"/>
        </w:tabs>
        <w:adjustRightInd w:val="0"/>
        <w:snapToGrid w:val="0"/>
        <w:spacing w:line="440" w:lineRule="exact"/>
        <w:jc w:val="center"/>
        <w:rPr>
          <w:rFonts w:hint="eastAsia" w:ascii="宋体" w:hAnsi="宋体"/>
          <w:b/>
          <w:color w:val="auto"/>
          <w:sz w:val="30"/>
          <w:szCs w:val="30"/>
          <w:highlight w:val="none"/>
        </w:rPr>
      </w:pPr>
    </w:p>
    <w:p w14:paraId="1622B058">
      <w:pPr>
        <w:tabs>
          <w:tab w:val="left" w:pos="3600"/>
        </w:tabs>
        <w:adjustRightInd w:val="0"/>
        <w:snapToGrid w:val="0"/>
        <w:spacing w:line="440" w:lineRule="exact"/>
        <w:jc w:val="center"/>
        <w:rPr>
          <w:rFonts w:hint="eastAsia" w:ascii="宋体" w:hAnsi="宋体"/>
          <w:b/>
          <w:color w:val="auto"/>
          <w:sz w:val="30"/>
          <w:szCs w:val="30"/>
          <w:highlight w:val="none"/>
        </w:rPr>
      </w:pPr>
    </w:p>
    <w:p w14:paraId="6F772C9C">
      <w:pPr>
        <w:tabs>
          <w:tab w:val="left" w:pos="3600"/>
        </w:tabs>
        <w:adjustRightInd w:val="0"/>
        <w:snapToGrid w:val="0"/>
        <w:spacing w:line="440" w:lineRule="exact"/>
        <w:jc w:val="center"/>
        <w:rPr>
          <w:rFonts w:hint="eastAsia" w:ascii="宋体" w:hAnsi="宋体"/>
          <w:b/>
          <w:color w:val="auto"/>
          <w:sz w:val="30"/>
          <w:szCs w:val="30"/>
          <w:highlight w:val="none"/>
        </w:rPr>
      </w:pPr>
    </w:p>
    <w:p w14:paraId="510F16D2">
      <w:pPr>
        <w:tabs>
          <w:tab w:val="left" w:pos="3600"/>
        </w:tabs>
        <w:adjustRightInd w:val="0"/>
        <w:snapToGrid w:val="0"/>
        <w:spacing w:line="440" w:lineRule="exact"/>
        <w:jc w:val="center"/>
        <w:rPr>
          <w:rFonts w:hint="eastAsia" w:ascii="宋体" w:hAnsi="宋体"/>
          <w:b/>
          <w:color w:val="auto"/>
          <w:sz w:val="30"/>
          <w:szCs w:val="30"/>
          <w:highlight w:val="none"/>
        </w:rPr>
      </w:pPr>
    </w:p>
    <w:p w14:paraId="480C557F">
      <w:pPr>
        <w:tabs>
          <w:tab w:val="left" w:pos="3600"/>
        </w:tabs>
        <w:adjustRightInd w:val="0"/>
        <w:snapToGrid w:val="0"/>
        <w:spacing w:line="440" w:lineRule="exact"/>
        <w:jc w:val="center"/>
        <w:rPr>
          <w:rFonts w:hint="eastAsia" w:ascii="宋体" w:hAnsi="宋体"/>
          <w:b/>
          <w:color w:val="auto"/>
          <w:sz w:val="30"/>
          <w:szCs w:val="30"/>
          <w:highlight w:val="none"/>
        </w:rPr>
      </w:pPr>
    </w:p>
    <w:p w14:paraId="1A1FF25E">
      <w:pPr>
        <w:tabs>
          <w:tab w:val="left" w:pos="3600"/>
        </w:tabs>
        <w:adjustRightInd w:val="0"/>
        <w:snapToGrid w:val="0"/>
        <w:spacing w:line="440" w:lineRule="exact"/>
        <w:jc w:val="center"/>
        <w:rPr>
          <w:rFonts w:hint="eastAsia" w:ascii="宋体" w:hAnsi="宋体"/>
          <w:b/>
          <w:color w:val="auto"/>
          <w:sz w:val="30"/>
          <w:szCs w:val="30"/>
          <w:highlight w:val="none"/>
        </w:rPr>
      </w:pPr>
    </w:p>
    <w:p w14:paraId="6057E469">
      <w:pPr>
        <w:tabs>
          <w:tab w:val="left" w:pos="3600"/>
        </w:tabs>
        <w:adjustRightInd w:val="0"/>
        <w:snapToGrid w:val="0"/>
        <w:spacing w:line="440" w:lineRule="exact"/>
        <w:jc w:val="center"/>
        <w:rPr>
          <w:rFonts w:hint="eastAsia" w:ascii="宋体" w:hAnsi="宋体"/>
          <w:b/>
          <w:color w:val="auto"/>
          <w:sz w:val="30"/>
          <w:szCs w:val="30"/>
          <w:highlight w:val="none"/>
        </w:rPr>
      </w:pPr>
    </w:p>
    <w:p w14:paraId="196580F9">
      <w:pPr>
        <w:tabs>
          <w:tab w:val="left" w:pos="3600"/>
        </w:tabs>
        <w:adjustRightInd w:val="0"/>
        <w:snapToGrid w:val="0"/>
        <w:spacing w:line="440" w:lineRule="exact"/>
        <w:jc w:val="center"/>
        <w:rPr>
          <w:rFonts w:hint="eastAsia" w:ascii="宋体" w:hAnsi="宋体" w:eastAsia="宋体" w:cs="宋体"/>
          <w:b/>
          <w:bCs/>
          <w:color w:val="auto"/>
          <w:spacing w:val="6"/>
          <w:kern w:val="0"/>
          <w:sz w:val="28"/>
          <w:szCs w:val="28"/>
          <w:highlight w:val="none"/>
        </w:rPr>
      </w:pPr>
      <w:r>
        <w:rPr>
          <w:rFonts w:hint="eastAsia" w:ascii="宋体" w:hAnsi="宋体" w:cs="宋体"/>
          <w:b/>
          <w:color w:val="auto"/>
          <w:sz w:val="28"/>
          <w:szCs w:val="28"/>
          <w:highlight w:val="none"/>
          <w:lang w:val="en-US" w:eastAsia="zh-CN"/>
        </w:rPr>
        <w:t>14</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bCs/>
          <w:color w:val="auto"/>
          <w:spacing w:val="6"/>
          <w:kern w:val="0"/>
          <w:sz w:val="28"/>
          <w:szCs w:val="28"/>
          <w:highlight w:val="none"/>
        </w:rPr>
        <w:t>残疾人福利性单位声明函</w:t>
      </w:r>
    </w:p>
    <w:p w14:paraId="70961C7D">
      <w:pPr>
        <w:autoSpaceDE w:val="0"/>
        <w:autoSpaceDN w:val="0"/>
        <w:adjustRightInd w:val="0"/>
        <w:spacing w:line="440" w:lineRule="exact"/>
        <w:rPr>
          <w:rFonts w:ascii="宋体" w:hAnsi="宋体" w:cs="??_GB2312"/>
          <w:b/>
          <w:bCs/>
          <w:color w:val="auto"/>
          <w:spacing w:val="6"/>
          <w:kern w:val="0"/>
          <w:sz w:val="24"/>
          <w:highlight w:val="none"/>
        </w:rPr>
      </w:pPr>
    </w:p>
    <w:p w14:paraId="6A3B5DF4">
      <w:pPr>
        <w:keepNext w:val="0"/>
        <w:keepLines w:val="0"/>
        <w:pageBreakBefore w:val="0"/>
        <w:widowControl/>
        <w:kinsoku/>
        <w:wordWrap/>
        <w:overflowPunct/>
        <w:topLinePunct w:val="0"/>
        <w:autoSpaceDE/>
        <w:autoSpaceDN/>
        <w:bidi w:val="0"/>
        <w:adjustRightInd w:val="0"/>
        <w:snapToGrid w:val="0"/>
        <w:spacing w:line="500" w:lineRule="exact"/>
        <w:ind w:firstLine="504" w:firstLineChars="200"/>
        <w:jc w:val="left"/>
        <w:textAlignment w:val="auto"/>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23B6D9B">
      <w:pPr>
        <w:keepNext w:val="0"/>
        <w:keepLines w:val="0"/>
        <w:pageBreakBefore w:val="0"/>
        <w:widowControl/>
        <w:kinsoku/>
        <w:wordWrap/>
        <w:overflowPunct/>
        <w:topLinePunct w:val="0"/>
        <w:autoSpaceDE/>
        <w:autoSpaceDN/>
        <w:bidi w:val="0"/>
        <w:adjustRightInd w:val="0"/>
        <w:snapToGrid w:val="0"/>
        <w:spacing w:line="500" w:lineRule="exact"/>
        <w:ind w:firstLine="504" w:firstLineChars="200"/>
        <w:jc w:val="left"/>
        <w:textAlignment w:val="auto"/>
        <w:rPr>
          <w:rFonts w:ascii="宋体" w:hAnsi="宋体" w:cs="宋体"/>
          <w:color w:val="auto"/>
          <w:spacing w:val="6"/>
          <w:kern w:val="0"/>
          <w:sz w:val="24"/>
          <w:highlight w:val="none"/>
        </w:rPr>
      </w:pPr>
      <w:r>
        <w:rPr>
          <w:rFonts w:hint="eastAsia" w:ascii="宋体" w:hAnsi="宋体" w:eastAsia="宋体" w:cs="宋体"/>
          <w:color w:val="auto"/>
          <w:spacing w:val="6"/>
          <w:kern w:val="0"/>
          <w:sz w:val="24"/>
          <w:highlight w:val="none"/>
        </w:rPr>
        <w:t>本单位对上述声明的真实性负责。如有虚假，将依法承担相应责任。</w:t>
      </w:r>
      <w:r>
        <w:rPr>
          <w:rFonts w:ascii="宋体" w:hAnsi="宋体" w:cs="宋体"/>
          <w:color w:val="auto"/>
          <w:spacing w:val="6"/>
          <w:kern w:val="0"/>
          <w:sz w:val="24"/>
          <w:highlight w:val="none"/>
        </w:rPr>
        <w:t xml:space="preserve"> </w:t>
      </w:r>
    </w:p>
    <w:p w14:paraId="1CB13075">
      <w:pPr>
        <w:ind w:left="1"/>
        <w:rPr>
          <w:rFonts w:hint="eastAsia" w:ascii="宋体" w:hAnsi="宋体" w:cs="宋体"/>
          <w:color w:val="auto"/>
          <w:sz w:val="24"/>
          <w:szCs w:val="24"/>
          <w:highlight w:val="none"/>
        </w:rPr>
      </w:pPr>
    </w:p>
    <w:p w14:paraId="3801F3D5">
      <w:pPr>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投标单位（</w:t>
      </w:r>
      <w:r>
        <w:rPr>
          <w:rFonts w:hint="eastAsia" w:ascii="宋体" w:hAnsi="宋体" w:cs="宋体"/>
          <w:color w:val="auto"/>
          <w:sz w:val="24"/>
          <w:szCs w:val="24"/>
          <w:highlight w:val="none"/>
          <w:lang w:eastAsia="zh-CN"/>
        </w:rPr>
        <w:t>盖</w:t>
      </w:r>
      <w:r>
        <w:rPr>
          <w:rFonts w:hint="eastAsia" w:ascii="宋体" w:hAnsi="宋体" w:cs="宋体"/>
          <w:color w:val="auto"/>
          <w:sz w:val="24"/>
          <w:szCs w:val="24"/>
          <w:highlight w:val="none"/>
        </w:rPr>
        <w:t>章）：</w:t>
      </w:r>
      <w:r>
        <w:rPr>
          <w:rFonts w:hint="eastAsia" w:ascii="宋体" w:hAnsi="宋体" w:cs="宋体"/>
          <w:color w:val="auto"/>
          <w:sz w:val="24"/>
          <w:szCs w:val="24"/>
          <w:highlight w:val="none"/>
          <w:u w:val="single"/>
        </w:rPr>
        <w:t xml:space="preserve">                                      </w:t>
      </w:r>
    </w:p>
    <w:p w14:paraId="76509B50">
      <w:pPr>
        <w:rPr>
          <w:rFonts w:hint="eastAsia" w:ascii="宋体" w:hAnsi="宋体" w:cs="宋体"/>
          <w:color w:val="auto"/>
          <w:sz w:val="24"/>
          <w:szCs w:val="24"/>
          <w:highlight w:val="none"/>
        </w:rPr>
      </w:pPr>
    </w:p>
    <w:p w14:paraId="6C9D34E3">
      <w:pPr>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法定代表人或授权代表人（签字或盖章）：</w:t>
      </w:r>
      <w:r>
        <w:rPr>
          <w:rFonts w:hint="eastAsia" w:ascii="宋体" w:hAnsi="宋体" w:cs="宋体"/>
          <w:color w:val="auto"/>
          <w:sz w:val="24"/>
          <w:szCs w:val="24"/>
          <w:highlight w:val="none"/>
          <w:u w:val="single"/>
        </w:rPr>
        <w:t xml:space="preserve">                      </w:t>
      </w:r>
    </w:p>
    <w:p w14:paraId="0D99B58E">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p>
    <w:p w14:paraId="5E0EA3B0">
      <w:pP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日期：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月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155DAD7A">
      <w:pPr>
        <w:pStyle w:val="28"/>
        <w:spacing w:line="240" w:lineRule="auto"/>
        <w:jc w:val="both"/>
        <w:rPr>
          <w:rFonts w:hint="eastAsia" w:ascii="宋体" w:hAnsi="宋体"/>
          <w:color w:val="auto"/>
          <w:kern w:val="2"/>
          <w:sz w:val="32"/>
          <w:szCs w:val="28"/>
          <w:highlight w:val="none"/>
        </w:rPr>
      </w:pPr>
    </w:p>
    <w:p w14:paraId="0003DCB9">
      <w:pPr>
        <w:pStyle w:val="28"/>
        <w:spacing w:line="240" w:lineRule="auto"/>
        <w:jc w:val="both"/>
        <w:rPr>
          <w:rFonts w:hint="eastAsia" w:ascii="宋体" w:hAnsi="宋体"/>
          <w:color w:val="auto"/>
          <w:kern w:val="2"/>
          <w:sz w:val="32"/>
          <w:szCs w:val="28"/>
          <w:highlight w:val="none"/>
        </w:rPr>
      </w:pPr>
    </w:p>
    <w:p w14:paraId="73DCC0E4">
      <w:pPr>
        <w:pStyle w:val="28"/>
        <w:spacing w:line="240" w:lineRule="auto"/>
        <w:jc w:val="both"/>
        <w:rPr>
          <w:rFonts w:hint="eastAsia" w:ascii="宋体" w:hAnsi="宋体"/>
          <w:color w:val="auto"/>
          <w:kern w:val="2"/>
          <w:sz w:val="32"/>
          <w:szCs w:val="28"/>
          <w:highlight w:val="none"/>
        </w:rPr>
      </w:pPr>
    </w:p>
    <w:p w14:paraId="09B33DB5">
      <w:pPr>
        <w:pStyle w:val="28"/>
        <w:spacing w:line="240" w:lineRule="auto"/>
        <w:jc w:val="both"/>
        <w:rPr>
          <w:rFonts w:hint="eastAsia" w:ascii="宋体" w:hAnsi="宋体"/>
          <w:color w:val="auto"/>
          <w:kern w:val="2"/>
          <w:sz w:val="32"/>
          <w:szCs w:val="28"/>
          <w:highlight w:val="none"/>
        </w:rPr>
      </w:pPr>
    </w:p>
    <w:p w14:paraId="6B798D5F">
      <w:pPr>
        <w:pStyle w:val="28"/>
        <w:spacing w:line="240" w:lineRule="auto"/>
        <w:jc w:val="both"/>
        <w:rPr>
          <w:rFonts w:hint="eastAsia" w:ascii="宋体" w:hAnsi="宋体"/>
          <w:color w:val="auto"/>
          <w:kern w:val="2"/>
          <w:sz w:val="32"/>
          <w:szCs w:val="28"/>
          <w:highlight w:val="none"/>
        </w:rPr>
      </w:pPr>
    </w:p>
    <w:p w14:paraId="77EA7661">
      <w:pPr>
        <w:pStyle w:val="28"/>
        <w:spacing w:line="240" w:lineRule="auto"/>
        <w:jc w:val="both"/>
        <w:rPr>
          <w:rFonts w:hint="eastAsia" w:ascii="宋体" w:hAnsi="宋体"/>
          <w:color w:val="auto"/>
          <w:kern w:val="2"/>
          <w:sz w:val="32"/>
          <w:szCs w:val="28"/>
          <w:highlight w:val="none"/>
        </w:rPr>
      </w:pPr>
    </w:p>
    <w:p w14:paraId="40663459">
      <w:pPr>
        <w:pStyle w:val="28"/>
        <w:spacing w:line="240" w:lineRule="auto"/>
        <w:jc w:val="both"/>
        <w:rPr>
          <w:rFonts w:hint="eastAsia" w:ascii="宋体" w:hAnsi="宋体"/>
          <w:color w:val="auto"/>
          <w:kern w:val="2"/>
          <w:sz w:val="32"/>
          <w:szCs w:val="28"/>
          <w:highlight w:val="none"/>
        </w:rPr>
      </w:pPr>
    </w:p>
    <w:p w14:paraId="061E6E0F">
      <w:pPr>
        <w:pStyle w:val="28"/>
        <w:spacing w:line="240" w:lineRule="auto"/>
        <w:jc w:val="both"/>
        <w:rPr>
          <w:rFonts w:hint="eastAsia" w:ascii="宋体" w:hAnsi="宋体"/>
          <w:color w:val="auto"/>
          <w:kern w:val="2"/>
          <w:sz w:val="32"/>
          <w:szCs w:val="28"/>
          <w:highlight w:val="none"/>
        </w:rPr>
      </w:pPr>
    </w:p>
    <w:p w14:paraId="36747DCC">
      <w:pPr>
        <w:pStyle w:val="28"/>
        <w:spacing w:line="240" w:lineRule="auto"/>
        <w:jc w:val="both"/>
        <w:rPr>
          <w:rFonts w:hint="eastAsia" w:ascii="宋体" w:hAnsi="宋体"/>
          <w:color w:val="auto"/>
          <w:kern w:val="2"/>
          <w:sz w:val="32"/>
          <w:szCs w:val="28"/>
          <w:highlight w:val="none"/>
        </w:rPr>
      </w:pPr>
    </w:p>
    <w:p w14:paraId="0B414064">
      <w:pPr>
        <w:pStyle w:val="28"/>
        <w:spacing w:line="240" w:lineRule="auto"/>
        <w:jc w:val="both"/>
        <w:rPr>
          <w:rFonts w:hint="eastAsia" w:ascii="宋体" w:hAnsi="宋体"/>
          <w:color w:val="auto"/>
          <w:kern w:val="2"/>
          <w:sz w:val="32"/>
          <w:szCs w:val="28"/>
          <w:highlight w:val="none"/>
        </w:rPr>
      </w:pPr>
    </w:p>
    <w:p w14:paraId="7DA1CE03">
      <w:pPr>
        <w:pStyle w:val="28"/>
        <w:spacing w:line="240" w:lineRule="auto"/>
        <w:jc w:val="both"/>
        <w:rPr>
          <w:rFonts w:hint="eastAsia" w:ascii="宋体" w:hAnsi="宋体"/>
          <w:color w:val="auto"/>
          <w:kern w:val="2"/>
          <w:sz w:val="32"/>
          <w:szCs w:val="28"/>
          <w:highlight w:val="none"/>
        </w:rPr>
      </w:pPr>
    </w:p>
    <w:p w14:paraId="2563E425">
      <w:pPr>
        <w:pStyle w:val="28"/>
        <w:spacing w:line="240" w:lineRule="auto"/>
        <w:jc w:val="both"/>
        <w:rPr>
          <w:rFonts w:hint="eastAsia" w:ascii="宋体" w:hAnsi="宋体"/>
          <w:color w:val="auto"/>
          <w:kern w:val="2"/>
          <w:sz w:val="32"/>
          <w:szCs w:val="28"/>
          <w:highlight w:val="none"/>
        </w:rPr>
      </w:pPr>
    </w:p>
    <w:p w14:paraId="4ACC318C">
      <w:pPr>
        <w:pStyle w:val="28"/>
        <w:spacing w:line="240" w:lineRule="auto"/>
        <w:jc w:val="both"/>
        <w:rPr>
          <w:rFonts w:hint="eastAsia" w:ascii="宋体" w:hAnsi="宋体"/>
          <w:color w:val="auto"/>
          <w:kern w:val="2"/>
          <w:sz w:val="32"/>
          <w:szCs w:val="28"/>
          <w:highlight w:val="none"/>
        </w:rPr>
      </w:pPr>
    </w:p>
    <w:p w14:paraId="6886A248">
      <w:pPr>
        <w:pStyle w:val="28"/>
        <w:spacing w:line="240" w:lineRule="auto"/>
        <w:jc w:val="both"/>
        <w:rPr>
          <w:rFonts w:hint="eastAsia" w:ascii="宋体" w:hAnsi="宋体"/>
          <w:color w:val="auto"/>
          <w:kern w:val="2"/>
          <w:sz w:val="32"/>
          <w:szCs w:val="28"/>
          <w:highlight w:val="none"/>
        </w:rPr>
      </w:pPr>
    </w:p>
    <w:p w14:paraId="1F03E9C8">
      <w:pPr>
        <w:pStyle w:val="28"/>
        <w:spacing w:line="240" w:lineRule="auto"/>
        <w:jc w:val="both"/>
        <w:rPr>
          <w:rFonts w:hint="eastAsia" w:ascii="宋体" w:hAnsi="宋体"/>
          <w:color w:val="auto"/>
          <w:kern w:val="2"/>
          <w:sz w:val="32"/>
          <w:szCs w:val="28"/>
          <w:highlight w:val="none"/>
        </w:rPr>
      </w:pPr>
    </w:p>
    <w:p w14:paraId="34DB1C02">
      <w:pPr>
        <w:pStyle w:val="28"/>
        <w:spacing w:line="240" w:lineRule="auto"/>
        <w:jc w:val="both"/>
        <w:rPr>
          <w:rFonts w:hint="eastAsia" w:ascii="宋体" w:hAnsi="宋体"/>
          <w:color w:val="auto"/>
          <w:kern w:val="2"/>
          <w:sz w:val="32"/>
          <w:szCs w:val="28"/>
          <w:highlight w:val="none"/>
        </w:rPr>
      </w:pPr>
    </w:p>
    <w:p w14:paraId="3C5AD198">
      <w:pPr>
        <w:pStyle w:val="28"/>
        <w:spacing w:line="240" w:lineRule="auto"/>
        <w:jc w:val="both"/>
        <w:rPr>
          <w:rFonts w:hint="eastAsia" w:ascii="宋体" w:hAnsi="宋体"/>
          <w:color w:val="auto"/>
          <w:kern w:val="2"/>
          <w:sz w:val="32"/>
          <w:szCs w:val="28"/>
          <w:highlight w:val="none"/>
        </w:rPr>
      </w:pPr>
    </w:p>
    <w:p w14:paraId="615A1B6D">
      <w:pPr>
        <w:pStyle w:val="28"/>
        <w:spacing w:line="240" w:lineRule="auto"/>
        <w:jc w:val="both"/>
        <w:rPr>
          <w:rFonts w:hint="eastAsia" w:ascii="宋体" w:hAnsi="宋体"/>
          <w:color w:val="auto"/>
          <w:kern w:val="2"/>
          <w:sz w:val="32"/>
          <w:szCs w:val="28"/>
          <w:highlight w:val="none"/>
        </w:rPr>
      </w:pPr>
    </w:p>
    <w:p w14:paraId="25091C86">
      <w:pPr>
        <w:pStyle w:val="28"/>
        <w:spacing w:line="240" w:lineRule="auto"/>
        <w:jc w:val="both"/>
        <w:rPr>
          <w:rFonts w:hint="eastAsia" w:ascii="宋体" w:hAnsi="宋体"/>
          <w:color w:val="auto"/>
          <w:kern w:val="2"/>
          <w:sz w:val="32"/>
          <w:szCs w:val="28"/>
          <w:highlight w:val="none"/>
        </w:rPr>
      </w:pPr>
    </w:p>
    <w:p w14:paraId="44337B4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2"/>
          <w:szCs w:val="22"/>
          <w:highlight w:val="none"/>
        </w:rPr>
      </w:pPr>
      <w:r>
        <w:rPr>
          <w:rFonts w:hint="eastAsia" w:ascii="宋体" w:hAnsi="宋体" w:cs="宋体"/>
          <w:b/>
          <w:color w:val="auto"/>
          <w:kern w:val="0"/>
          <w:sz w:val="24"/>
          <w:highlight w:val="none"/>
          <w:lang w:val="en-US" w:eastAsia="zh-CN" w:bidi="ar"/>
        </w:rPr>
        <w:t xml:space="preserve">                          </w:t>
      </w:r>
      <w:r>
        <w:rPr>
          <w:rStyle w:val="29"/>
          <w:rFonts w:hint="eastAsia" w:ascii="Times New Roman" w:hAnsi="Times New Roman" w:eastAsia="宋体" w:cs="Times New Roman"/>
          <w:color w:val="auto"/>
          <w:sz w:val="28"/>
          <w:szCs w:val="36"/>
          <w:highlight w:val="none"/>
          <w:lang w:val="en-US" w:eastAsia="zh-CN"/>
        </w:rPr>
        <w:t xml:space="preserve">15.1联合体协议书（如有） </w:t>
      </w:r>
    </w:p>
    <w:p w14:paraId="2FC62DBE">
      <w:pPr>
        <w:keepNext w:val="0"/>
        <w:keepLines w:val="0"/>
        <w:pageBreakBefore w:val="0"/>
        <w:widowControl/>
        <w:kinsoku/>
        <w:wordWrap/>
        <w:overflowPunct/>
        <w:topLinePunct w:val="0"/>
        <w:autoSpaceDE/>
        <w:autoSpaceDN/>
        <w:bidi w:val="0"/>
        <w:adjustRightInd w:val="0"/>
        <w:snapToGrid w:val="0"/>
        <w:spacing w:line="500" w:lineRule="exact"/>
        <w:ind w:firstLine="504" w:firstLineChars="2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u w:val="single"/>
          <w:lang w:val="zh-TW" w:eastAsia="zh-TW"/>
        </w:rPr>
        <w:t>（采购人名称）</w:t>
      </w:r>
      <w:r>
        <w:rPr>
          <w:rFonts w:hint="eastAsia" w:ascii="宋体" w:hAnsi="宋体" w:eastAsia="宋体" w:cs="宋体"/>
          <w:color w:val="auto"/>
          <w:spacing w:val="6"/>
          <w:kern w:val="0"/>
          <w:sz w:val="24"/>
          <w:highlight w:val="none"/>
          <w:lang w:val="zh-TW" w:eastAsia="zh-TW"/>
        </w:rPr>
        <w:t xml:space="preserve">： </w:t>
      </w:r>
    </w:p>
    <w:p w14:paraId="25A9BDC3">
      <w:pPr>
        <w:keepNext w:val="0"/>
        <w:keepLines w:val="0"/>
        <w:pageBreakBefore w:val="0"/>
        <w:widowControl/>
        <w:kinsoku/>
        <w:wordWrap/>
        <w:overflowPunct/>
        <w:topLinePunct w:val="0"/>
        <w:autoSpaceDE/>
        <w:autoSpaceDN/>
        <w:bidi w:val="0"/>
        <w:adjustRightInd w:val="0"/>
        <w:snapToGrid w:val="0"/>
        <w:spacing w:line="500" w:lineRule="exact"/>
        <w:ind w:firstLine="1008" w:firstLineChars="4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u w:val="single"/>
          <w:lang w:val="zh-TW" w:eastAsia="zh-TW"/>
        </w:rPr>
        <w:t>（所有成员单位名称 ）</w:t>
      </w: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zh-TW" w:eastAsia="zh-TW"/>
        </w:rPr>
        <w:t xml:space="preserve"> 自愿组成联合体 ，共同参加 （项目名称）投标。现就联合体 投标事宜订立如下协议。</w:t>
      </w:r>
    </w:p>
    <w:p w14:paraId="037A473B">
      <w:pPr>
        <w:keepNext w:val="0"/>
        <w:keepLines w:val="0"/>
        <w:pageBreakBefore w:val="0"/>
        <w:widowControl/>
        <w:numPr>
          <w:ilvl w:val="0"/>
          <w:numId w:val="11"/>
        </w:numPr>
        <w:kinsoku/>
        <w:wordWrap/>
        <w:overflowPunct/>
        <w:topLinePunct w:val="0"/>
        <w:autoSpaceDE/>
        <w:autoSpaceDN/>
        <w:bidi w:val="0"/>
        <w:adjustRightInd w:val="0"/>
        <w:snapToGrid w:val="0"/>
        <w:spacing w:line="500" w:lineRule="exact"/>
        <w:ind w:left="636" w:leftChars="0" w:firstLine="0" w:firstLineChars="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zh-TW" w:eastAsia="zh-TW"/>
        </w:rPr>
        <w:t>（某成员单位名称）为牵头人。</w:t>
      </w:r>
    </w:p>
    <w:p w14:paraId="4A29E072">
      <w:pPr>
        <w:keepNext w:val="0"/>
        <w:keepLines w:val="0"/>
        <w:pageBreakBefore w:val="0"/>
        <w:widowControl/>
        <w:numPr>
          <w:ilvl w:val="0"/>
          <w:numId w:val="11"/>
        </w:numPr>
        <w:kinsoku/>
        <w:wordWrap/>
        <w:overflowPunct/>
        <w:topLinePunct w:val="0"/>
        <w:autoSpaceDE/>
        <w:autoSpaceDN/>
        <w:bidi w:val="0"/>
        <w:adjustRightInd w:val="0"/>
        <w:snapToGrid w:val="0"/>
        <w:spacing w:line="500" w:lineRule="exact"/>
        <w:ind w:left="636" w:leftChars="0" w:firstLine="0" w:firstLineChars="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 xml:space="preserve">联合体牵头人合法代表联合体各成员负责本招标项目响应文件编制和合 同谈判活动，并代表 联合体提交和接收相关的资料、信息及指示，并处理与之有关的一切事务，负责合同实施阶段的主办、 组织和协调工作。 </w:t>
      </w:r>
    </w:p>
    <w:p w14:paraId="01D80514">
      <w:pPr>
        <w:keepNext w:val="0"/>
        <w:keepLines w:val="0"/>
        <w:pageBreakBefore w:val="0"/>
        <w:widowControl/>
        <w:numPr>
          <w:ilvl w:val="0"/>
          <w:numId w:val="11"/>
        </w:numPr>
        <w:kinsoku/>
        <w:wordWrap/>
        <w:overflowPunct/>
        <w:topLinePunct w:val="0"/>
        <w:autoSpaceDE/>
        <w:autoSpaceDN/>
        <w:bidi w:val="0"/>
        <w:adjustRightInd w:val="0"/>
        <w:snapToGrid w:val="0"/>
        <w:spacing w:line="500" w:lineRule="exact"/>
        <w:ind w:left="636" w:leftChars="0" w:firstLine="0" w:firstLineChars="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联合体将严格按照招标文件的各项要求，递交响应文件，履行合同，并 对外承担连带责任。</w:t>
      </w:r>
    </w:p>
    <w:p w14:paraId="4B9A170D">
      <w:pPr>
        <w:keepNext w:val="0"/>
        <w:keepLines w:val="0"/>
        <w:pageBreakBefore w:val="0"/>
        <w:widowControl/>
        <w:numPr>
          <w:ilvl w:val="0"/>
          <w:numId w:val="11"/>
        </w:numPr>
        <w:kinsoku/>
        <w:wordWrap/>
        <w:overflowPunct/>
        <w:topLinePunct w:val="0"/>
        <w:autoSpaceDE/>
        <w:autoSpaceDN/>
        <w:bidi w:val="0"/>
        <w:adjustRightInd w:val="0"/>
        <w:snapToGrid w:val="0"/>
        <w:spacing w:line="500" w:lineRule="exact"/>
        <w:ind w:left="636" w:leftChars="0" w:firstLine="0" w:firstLineChars="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联合体各成员单位内部的职责分工如下：</w:t>
      </w:r>
      <w:r>
        <w:rPr>
          <w:rFonts w:hint="eastAsia" w:ascii="宋体" w:hAnsi="宋体" w:eastAsia="宋体" w:cs="宋体"/>
          <w:color w:val="auto"/>
          <w:spacing w:val="6"/>
          <w:kern w:val="0"/>
          <w:sz w:val="24"/>
          <w:highlight w:val="none"/>
          <w:u w:val="single"/>
          <w:lang w:val="zh-TW" w:eastAsia="zh-TW"/>
        </w:rPr>
        <w:t xml:space="preserve"> </w:t>
      </w: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en-US" w:eastAsia="zh-CN"/>
        </w:rPr>
        <w:t xml:space="preserve"> </w:t>
      </w:r>
      <w:r>
        <w:rPr>
          <w:rFonts w:hint="eastAsia" w:ascii="宋体" w:hAnsi="宋体" w:eastAsia="宋体" w:cs="宋体"/>
          <w:color w:val="auto"/>
          <w:spacing w:val="6"/>
          <w:kern w:val="0"/>
          <w:sz w:val="24"/>
          <w:highlight w:val="none"/>
          <w:lang w:val="zh-TW" w:eastAsia="zh-TW"/>
        </w:rPr>
        <w:t>。</w:t>
      </w:r>
    </w:p>
    <w:p w14:paraId="0D176216">
      <w:pPr>
        <w:keepNext w:val="0"/>
        <w:keepLines w:val="0"/>
        <w:pageBreakBefore w:val="0"/>
        <w:widowControl/>
        <w:numPr>
          <w:ilvl w:val="0"/>
          <w:numId w:val="11"/>
        </w:numPr>
        <w:kinsoku/>
        <w:wordWrap/>
        <w:overflowPunct/>
        <w:topLinePunct w:val="0"/>
        <w:autoSpaceDE/>
        <w:autoSpaceDN/>
        <w:bidi w:val="0"/>
        <w:adjustRightInd w:val="0"/>
        <w:snapToGrid w:val="0"/>
        <w:spacing w:line="500" w:lineRule="exact"/>
        <w:ind w:left="636" w:leftChars="0" w:firstLine="0" w:firstLineChars="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本协议书自签署之日起生效，合同履行完毕后自动失效。</w:t>
      </w:r>
    </w:p>
    <w:p w14:paraId="3C7F5500">
      <w:pPr>
        <w:keepNext w:val="0"/>
        <w:keepLines w:val="0"/>
        <w:pageBreakBefore w:val="0"/>
        <w:widowControl/>
        <w:numPr>
          <w:ilvl w:val="0"/>
          <w:numId w:val="11"/>
        </w:numPr>
        <w:kinsoku/>
        <w:wordWrap/>
        <w:overflowPunct/>
        <w:topLinePunct w:val="0"/>
        <w:autoSpaceDE/>
        <w:autoSpaceDN/>
        <w:bidi w:val="0"/>
        <w:adjustRightInd w:val="0"/>
        <w:snapToGrid w:val="0"/>
        <w:spacing w:line="500" w:lineRule="exact"/>
        <w:ind w:left="636" w:leftChars="0" w:firstLine="0" w:firstLineChars="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 xml:space="preserve">本协议书一式 </w:t>
      </w: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zh-TW" w:eastAsia="zh-TW"/>
        </w:rPr>
        <w:t>份，联合体成员和采购人各执</w:t>
      </w: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zh-TW" w:eastAsia="zh-TW"/>
        </w:rPr>
        <w:t xml:space="preserve">份。 </w:t>
      </w:r>
    </w:p>
    <w:p w14:paraId="0508A38B">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636" w:leftChars="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 xml:space="preserve">注：本协议书由委托代理人签字的，应附法定代表人签字的授权委托书。 </w:t>
      </w:r>
    </w:p>
    <w:p w14:paraId="74C6F642">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636" w:leftChars="0" w:firstLine="504" w:firstLineChars="2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牵头人名称：</w:t>
      </w:r>
      <w:r>
        <w:rPr>
          <w:rFonts w:hint="eastAsia" w:ascii="宋体" w:hAnsi="宋体" w:eastAsia="宋体" w:cs="宋体"/>
          <w:color w:val="auto"/>
          <w:spacing w:val="6"/>
          <w:kern w:val="0"/>
          <w:sz w:val="24"/>
          <w:highlight w:val="none"/>
          <w:u w:val="single"/>
          <w:lang w:val="zh-TW" w:eastAsia="zh-TW"/>
        </w:rPr>
        <w:t xml:space="preserve"> </w:t>
      </w: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en-US" w:eastAsia="zh-CN"/>
        </w:rPr>
        <w:t xml:space="preserve"> </w:t>
      </w:r>
      <w:r>
        <w:rPr>
          <w:rFonts w:hint="eastAsia" w:ascii="宋体" w:hAnsi="宋体" w:eastAsia="宋体" w:cs="宋体"/>
          <w:color w:val="auto"/>
          <w:spacing w:val="6"/>
          <w:kern w:val="0"/>
          <w:sz w:val="24"/>
          <w:highlight w:val="none"/>
          <w:lang w:val="zh-TW" w:eastAsia="zh-TW"/>
        </w:rPr>
        <w:t xml:space="preserve">（盖章） </w:t>
      </w:r>
    </w:p>
    <w:p w14:paraId="6417CE6D">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636" w:leftChars="0" w:firstLine="504" w:firstLineChars="2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法定代表人或其委托代理人：</w:t>
      </w:r>
      <w:r>
        <w:rPr>
          <w:rFonts w:hint="eastAsia" w:ascii="宋体" w:hAnsi="宋体" w:eastAsia="宋体" w:cs="宋体"/>
          <w:color w:val="auto"/>
          <w:spacing w:val="6"/>
          <w:kern w:val="0"/>
          <w:sz w:val="24"/>
          <w:highlight w:val="none"/>
          <w:u w:val="single"/>
          <w:lang w:val="zh-TW" w:eastAsia="zh-TW"/>
        </w:rPr>
        <w:t xml:space="preserve"> </w:t>
      </w: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zh-TW" w:eastAsia="zh-TW"/>
        </w:rPr>
        <w:t>（签字或盖章）</w:t>
      </w:r>
    </w:p>
    <w:p w14:paraId="26BBC960">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636" w:leftChars="0" w:firstLine="504" w:firstLineChars="2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 xml:space="preserve"> </w:t>
      </w:r>
    </w:p>
    <w:p w14:paraId="73EBA2FC">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636" w:leftChars="0" w:firstLine="504" w:firstLineChars="2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成员</w:t>
      </w:r>
      <w:r>
        <w:rPr>
          <w:rFonts w:hint="eastAsia" w:ascii="宋体" w:hAnsi="宋体" w:eastAsia="宋体" w:cs="宋体"/>
          <w:color w:val="auto"/>
          <w:spacing w:val="6"/>
          <w:kern w:val="0"/>
          <w:sz w:val="24"/>
          <w:highlight w:val="none"/>
          <w:lang w:val="en-US" w:eastAsia="zh-CN"/>
        </w:rPr>
        <w:t>一</w:t>
      </w:r>
      <w:r>
        <w:rPr>
          <w:rFonts w:hint="eastAsia" w:ascii="宋体" w:hAnsi="宋体" w:eastAsia="宋体" w:cs="宋体"/>
          <w:color w:val="auto"/>
          <w:spacing w:val="6"/>
          <w:kern w:val="0"/>
          <w:sz w:val="24"/>
          <w:highlight w:val="none"/>
          <w:lang w:val="zh-TW" w:eastAsia="zh-TW"/>
        </w:rPr>
        <w:t>名称：</w:t>
      </w: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zh-TW" w:eastAsia="zh-TW"/>
        </w:rPr>
        <w:t xml:space="preserve"> （盖章） </w:t>
      </w:r>
    </w:p>
    <w:p w14:paraId="6E6B4A2C">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636" w:leftChars="0" w:firstLine="504" w:firstLineChars="2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 xml:space="preserve">法定代表人或其委托代理人： </w:t>
      </w: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zh-TW" w:eastAsia="zh-TW"/>
        </w:rPr>
        <w:t>（签字或盖章）</w:t>
      </w:r>
    </w:p>
    <w:p w14:paraId="319E186D">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1008" w:firstLineChars="4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 xml:space="preserve"> 成员二名称：</w:t>
      </w: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zh-TW" w:eastAsia="zh-TW"/>
        </w:rPr>
        <w:t xml:space="preserve"> （盖章） </w:t>
      </w:r>
    </w:p>
    <w:p w14:paraId="4248D895">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1008" w:firstLineChars="4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法定代表人或其委托代理人：</w:t>
      </w:r>
      <w:r>
        <w:rPr>
          <w:rFonts w:hint="eastAsia" w:ascii="宋体" w:hAnsi="宋体" w:eastAsia="宋体" w:cs="宋体"/>
          <w:color w:val="auto"/>
          <w:spacing w:val="6"/>
          <w:kern w:val="0"/>
          <w:sz w:val="24"/>
          <w:highlight w:val="none"/>
          <w:u w:val="single"/>
          <w:lang w:val="zh-TW" w:eastAsia="zh-TW"/>
        </w:rPr>
        <w:t xml:space="preserve"> </w:t>
      </w:r>
      <w:r>
        <w:rPr>
          <w:rFonts w:hint="eastAsia" w:ascii="宋体" w:hAnsi="宋体" w:eastAsia="宋体" w:cs="宋体"/>
          <w:color w:val="auto"/>
          <w:spacing w:val="6"/>
          <w:kern w:val="0"/>
          <w:sz w:val="24"/>
          <w:highlight w:val="none"/>
          <w:u w:val="single"/>
          <w:lang w:val="en-US" w:eastAsia="zh-CN"/>
        </w:rPr>
        <w:t xml:space="preserve">        </w:t>
      </w:r>
      <w:r>
        <w:rPr>
          <w:rFonts w:hint="eastAsia" w:ascii="宋体" w:hAnsi="宋体" w:eastAsia="宋体" w:cs="宋体"/>
          <w:color w:val="auto"/>
          <w:spacing w:val="6"/>
          <w:kern w:val="0"/>
          <w:sz w:val="24"/>
          <w:highlight w:val="none"/>
          <w:lang w:val="zh-TW" w:eastAsia="zh-TW"/>
        </w:rPr>
        <w:t>（签字或盖章）</w:t>
      </w:r>
    </w:p>
    <w:p w14:paraId="2FA8929B">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4284" w:firstLineChars="17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 xml:space="preserve"> 年</w:t>
      </w:r>
      <w:r>
        <w:rPr>
          <w:rFonts w:hint="eastAsia" w:ascii="宋体" w:hAnsi="宋体" w:eastAsia="宋体" w:cs="宋体"/>
          <w:color w:val="auto"/>
          <w:spacing w:val="6"/>
          <w:kern w:val="0"/>
          <w:sz w:val="24"/>
          <w:highlight w:val="none"/>
          <w:lang w:val="en-US" w:eastAsia="zh-CN"/>
        </w:rPr>
        <w:t xml:space="preserve">     </w:t>
      </w:r>
      <w:r>
        <w:rPr>
          <w:rFonts w:hint="eastAsia" w:ascii="宋体" w:hAnsi="宋体" w:eastAsia="宋体" w:cs="宋体"/>
          <w:color w:val="auto"/>
          <w:spacing w:val="6"/>
          <w:kern w:val="0"/>
          <w:sz w:val="24"/>
          <w:highlight w:val="none"/>
          <w:lang w:val="zh-TW" w:eastAsia="zh-TW"/>
        </w:rPr>
        <w:t xml:space="preserve"> 月</w:t>
      </w:r>
      <w:r>
        <w:rPr>
          <w:rFonts w:hint="eastAsia" w:ascii="宋体" w:hAnsi="宋体" w:eastAsia="宋体" w:cs="宋体"/>
          <w:color w:val="auto"/>
          <w:spacing w:val="6"/>
          <w:kern w:val="0"/>
          <w:sz w:val="24"/>
          <w:highlight w:val="none"/>
          <w:lang w:val="en-US" w:eastAsia="zh-CN"/>
        </w:rPr>
        <w:t xml:space="preserve">  </w:t>
      </w:r>
      <w:r>
        <w:rPr>
          <w:rFonts w:hint="eastAsia" w:ascii="宋体" w:hAnsi="宋体" w:eastAsia="宋体" w:cs="宋体"/>
          <w:color w:val="auto"/>
          <w:spacing w:val="6"/>
          <w:kern w:val="0"/>
          <w:sz w:val="24"/>
          <w:highlight w:val="none"/>
          <w:lang w:val="zh-TW" w:eastAsia="zh-TW"/>
        </w:rPr>
        <w:t xml:space="preserve"> 日</w:t>
      </w:r>
    </w:p>
    <w:p w14:paraId="2A4DBF25">
      <w:pPr>
        <w:pStyle w:val="6"/>
        <w:rPr>
          <w:rFonts w:hint="eastAsia" w:ascii="宋体" w:hAnsi="宋体" w:eastAsia="宋体" w:cs="宋体"/>
          <w:color w:val="auto"/>
          <w:spacing w:val="6"/>
          <w:kern w:val="0"/>
          <w:sz w:val="24"/>
          <w:highlight w:val="none"/>
          <w:lang w:val="zh-TW" w:eastAsia="zh-TW"/>
        </w:rPr>
      </w:pPr>
    </w:p>
    <w:p w14:paraId="5C86997F">
      <w:pPr>
        <w:pStyle w:val="6"/>
        <w:rPr>
          <w:rFonts w:hint="eastAsia" w:ascii="宋体" w:hAnsi="宋体" w:eastAsia="宋体" w:cs="宋体"/>
          <w:color w:val="auto"/>
          <w:spacing w:val="6"/>
          <w:kern w:val="0"/>
          <w:sz w:val="24"/>
          <w:highlight w:val="none"/>
          <w:lang w:val="zh-TW" w:eastAsia="zh-TW"/>
        </w:rPr>
      </w:pPr>
    </w:p>
    <w:p w14:paraId="6BF8C666">
      <w:pPr>
        <w:pStyle w:val="6"/>
        <w:rPr>
          <w:rFonts w:hint="eastAsia" w:ascii="宋体" w:hAnsi="宋体" w:eastAsia="宋体" w:cs="宋体"/>
          <w:color w:val="auto"/>
          <w:spacing w:val="6"/>
          <w:kern w:val="0"/>
          <w:sz w:val="24"/>
          <w:highlight w:val="none"/>
          <w:lang w:val="zh-TW" w:eastAsia="zh-TW"/>
        </w:rPr>
      </w:pPr>
    </w:p>
    <w:p w14:paraId="01B3E462">
      <w:pPr>
        <w:pStyle w:val="6"/>
        <w:rPr>
          <w:rFonts w:hint="eastAsia" w:ascii="宋体" w:hAnsi="宋体" w:eastAsia="宋体" w:cs="宋体"/>
          <w:color w:val="auto"/>
          <w:spacing w:val="6"/>
          <w:kern w:val="0"/>
          <w:sz w:val="24"/>
          <w:highlight w:val="none"/>
          <w:lang w:val="zh-TW" w:eastAsia="zh-TW"/>
        </w:rPr>
      </w:pPr>
    </w:p>
    <w:p w14:paraId="0B33A544">
      <w:pPr>
        <w:pStyle w:val="6"/>
        <w:rPr>
          <w:rFonts w:hint="eastAsia" w:ascii="宋体" w:hAnsi="宋体" w:eastAsia="宋体" w:cs="宋体"/>
          <w:color w:val="auto"/>
          <w:spacing w:val="6"/>
          <w:kern w:val="0"/>
          <w:sz w:val="24"/>
          <w:highlight w:val="none"/>
          <w:lang w:val="zh-TW" w:eastAsia="zh-TW"/>
        </w:rPr>
      </w:pPr>
    </w:p>
    <w:p w14:paraId="60643603">
      <w:pPr>
        <w:pStyle w:val="6"/>
        <w:rPr>
          <w:rFonts w:hint="eastAsia" w:ascii="宋体" w:hAnsi="宋体" w:eastAsia="宋体" w:cs="宋体"/>
          <w:color w:val="auto"/>
          <w:spacing w:val="6"/>
          <w:kern w:val="0"/>
          <w:sz w:val="24"/>
          <w:highlight w:val="none"/>
          <w:lang w:val="zh-TW" w:eastAsia="zh-TW"/>
        </w:rPr>
      </w:pPr>
    </w:p>
    <w:p w14:paraId="315D8D78">
      <w:pPr>
        <w:pStyle w:val="6"/>
        <w:rPr>
          <w:rFonts w:hint="eastAsia" w:ascii="宋体" w:hAnsi="宋体" w:eastAsia="宋体" w:cs="宋体"/>
          <w:color w:val="auto"/>
          <w:spacing w:val="6"/>
          <w:kern w:val="0"/>
          <w:sz w:val="24"/>
          <w:highlight w:val="none"/>
          <w:lang w:val="zh-TW" w:eastAsia="zh-TW"/>
        </w:rPr>
      </w:pPr>
    </w:p>
    <w:p w14:paraId="2362328A">
      <w:pPr>
        <w:pStyle w:val="6"/>
        <w:ind w:firstLine="3373" w:firstLineChars="1200"/>
        <w:rPr>
          <w:rStyle w:val="29"/>
          <w:rFonts w:hint="eastAsia" w:ascii="Times New Roman" w:hAnsi="Times New Roman" w:eastAsia="宋体" w:cs="Times New Roman"/>
          <w:color w:val="auto"/>
          <w:sz w:val="28"/>
          <w:szCs w:val="36"/>
          <w:highlight w:val="none"/>
          <w:lang w:val="en-US" w:eastAsia="zh-CN" w:bidi="ar-SA"/>
        </w:rPr>
      </w:pPr>
      <w:r>
        <w:rPr>
          <w:rStyle w:val="29"/>
          <w:rFonts w:hint="eastAsia" w:ascii="Times New Roman" w:hAnsi="Times New Roman" w:eastAsia="宋体" w:cs="Times New Roman"/>
          <w:color w:val="auto"/>
          <w:sz w:val="28"/>
          <w:szCs w:val="36"/>
          <w:highlight w:val="none"/>
          <w:lang w:val="en-US" w:eastAsia="zh-CN" w:bidi="ar-SA"/>
        </w:rPr>
        <w:t xml:space="preserve">15.2联合协议（如有） </w:t>
      </w:r>
    </w:p>
    <w:p w14:paraId="7F923EB3">
      <w:pPr>
        <w:pStyle w:val="6"/>
        <w:ind w:firstLine="1008" w:firstLineChars="40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u w:val="single"/>
          <w:lang w:val="zh-TW" w:eastAsia="zh-TW" w:bidi="ar-SA"/>
        </w:rPr>
        <w:t>（采购人名称）</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 xml:space="preserve">： </w:t>
      </w:r>
    </w:p>
    <w:p w14:paraId="11AFD322">
      <w:pPr>
        <w:pStyle w:val="6"/>
        <w:ind w:left="240" w:leftChars="100" w:firstLine="756" w:firstLineChars="30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u w:val="single"/>
          <w:lang w:val="zh-TW" w:eastAsia="zh-TW" w:bidi="ar-SA"/>
        </w:rPr>
        <w:t xml:space="preserve">（所有成员单位名称 ） </w:t>
      </w:r>
      <w:r>
        <w:rPr>
          <w:rFonts w:hint="eastAsia" w:ascii="宋体" w:hAnsi="宋体" w:eastAsia="宋体" w:cs="宋体"/>
          <w:color w:val="auto"/>
          <w:spacing w:val="6"/>
          <w:kern w:val="0"/>
          <w:sz w:val="24"/>
          <w:szCs w:val="24"/>
          <w:highlight w:val="none"/>
          <w:lang w:val="zh-TW" w:eastAsia="zh-TW" w:bidi="ar-SA"/>
        </w:rPr>
        <w:t>自愿组成联合体</w:t>
      </w:r>
      <w:r>
        <w:rPr>
          <w:rFonts w:hint="eastAsia" w:ascii="宋体" w:hAnsi="宋体" w:eastAsia="宋体" w:cs="宋体"/>
          <w:color w:val="auto"/>
          <w:spacing w:val="6"/>
          <w:kern w:val="0"/>
          <w:sz w:val="24"/>
          <w:szCs w:val="24"/>
          <w:highlight w:val="none"/>
          <w:lang w:val="zh-TW" w:eastAsia="zh-CN" w:bidi="ar-SA"/>
        </w:rPr>
        <w:t>，</w:t>
      </w:r>
      <w:r>
        <w:rPr>
          <w:rFonts w:hint="eastAsia" w:ascii="宋体" w:hAnsi="宋体" w:eastAsia="宋体" w:cs="宋体"/>
          <w:color w:val="auto"/>
          <w:spacing w:val="6"/>
          <w:kern w:val="0"/>
          <w:sz w:val="24"/>
          <w:szCs w:val="24"/>
          <w:highlight w:val="none"/>
          <w:lang w:val="zh-TW" w:eastAsia="zh-TW" w:bidi="ar-SA"/>
        </w:rPr>
        <w:t xml:space="preserve">共同参加 </w:t>
      </w:r>
      <w:r>
        <w:rPr>
          <w:rFonts w:hint="eastAsia" w:ascii="宋体" w:hAnsi="宋体" w:eastAsia="宋体" w:cs="宋体"/>
          <w:color w:val="auto"/>
          <w:spacing w:val="6"/>
          <w:kern w:val="0"/>
          <w:sz w:val="24"/>
          <w:szCs w:val="24"/>
          <w:highlight w:val="none"/>
          <w:u w:val="single"/>
          <w:lang w:val="zh-TW" w:eastAsia="zh-TW" w:bidi="ar-SA"/>
        </w:rPr>
        <w:t>（项目名称）</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投标。现就联合体投标事宜订立如下协议。</w:t>
      </w:r>
    </w:p>
    <w:p w14:paraId="3F976EDB">
      <w:pPr>
        <w:pStyle w:val="6"/>
        <w:numPr>
          <w:ilvl w:val="0"/>
          <w:numId w:val="12"/>
        </w:numPr>
        <w:ind w:left="132" w:leftChars="0" w:firstLine="0" w:firstLine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u w:val="single"/>
          <w:lang w:val="zh-TW" w:eastAsia="zh-TW" w:bidi="ar-SA"/>
        </w:rPr>
        <w:t>（</w:t>
      </w:r>
      <w:r>
        <w:rPr>
          <w:rFonts w:hint="eastAsia" w:ascii="宋体" w:hAnsi="宋体" w:eastAsia="宋体" w:cs="宋体"/>
          <w:color w:val="auto"/>
          <w:spacing w:val="6"/>
          <w:kern w:val="0"/>
          <w:sz w:val="24"/>
          <w:szCs w:val="24"/>
          <w:highlight w:val="none"/>
          <w:lang w:val="zh-TW" w:eastAsia="zh-TW" w:bidi="ar-SA"/>
        </w:rPr>
        <w:t xml:space="preserve">某成员单位名称）为牵头人。 </w:t>
      </w:r>
    </w:p>
    <w:p w14:paraId="7582505A">
      <w:pPr>
        <w:pStyle w:val="6"/>
        <w:numPr>
          <w:ilvl w:val="0"/>
          <w:numId w:val="12"/>
        </w:numPr>
        <w:ind w:left="132" w:leftChars="0" w:firstLine="0" w:firstLine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联合体牵头人合法代表联合体各成员负责本招标项目响应文件编制和合同谈判活动，并代表联合体提交和接收相关的资料、信息及指示，并处理与之有 关的一切事务，负责合同实施阶段的主办、组织和协调工作。</w:t>
      </w:r>
    </w:p>
    <w:p w14:paraId="3A398341">
      <w:pPr>
        <w:pStyle w:val="6"/>
        <w:numPr>
          <w:ilvl w:val="0"/>
          <w:numId w:val="12"/>
        </w:numPr>
        <w:ind w:left="132" w:leftChars="0" w:firstLine="0" w:firstLine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 xml:space="preserve">联合体将严格按照招标文件的各项要求，递交响应文件，履行合同，并对外承担连带责任。 </w:t>
      </w:r>
    </w:p>
    <w:p w14:paraId="0916766D">
      <w:pPr>
        <w:pStyle w:val="6"/>
        <w:numPr>
          <w:ilvl w:val="0"/>
          <w:numId w:val="12"/>
        </w:numPr>
        <w:ind w:left="132" w:leftChars="0" w:firstLine="0" w:firstLine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联合体中</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为</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企业，承担合同金额及工作的比例为</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 联合体中</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为</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企业，承担合同金额及工作的比例为</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 xml:space="preserve">%。 </w:t>
      </w:r>
    </w:p>
    <w:p w14:paraId="2376BCEC">
      <w:pPr>
        <w:pStyle w:val="6"/>
        <w:numPr>
          <w:ilvl w:val="0"/>
          <w:numId w:val="12"/>
        </w:numPr>
        <w:ind w:left="132" w:leftChars="0" w:firstLine="0" w:firstLine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 xml:space="preserve">本协议书自签署之日起生效，合同履行完毕后自动失效。 </w:t>
      </w:r>
    </w:p>
    <w:p w14:paraId="066C35A0">
      <w:pPr>
        <w:pStyle w:val="6"/>
        <w:numPr>
          <w:ilvl w:val="0"/>
          <w:numId w:val="12"/>
        </w:numPr>
        <w:ind w:left="132" w:leftChars="0" w:firstLine="0" w:firstLine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本协议书一式</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份，联合体成员和采购人各执</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 xml:space="preserve"> 份。 </w:t>
      </w:r>
    </w:p>
    <w:p w14:paraId="0CD737B5">
      <w:pPr>
        <w:pStyle w:val="6"/>
        <w:numPr>
          <w:ilvl w:val="0"/>
          <w:numId w:val="0"/>
        </w:numPr>
        <w:ind w:left="132" w:left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注：本协议书由委托代理人签字的，应附法定代表人签字的授权委托书。</w:t>
      </w:r>
    </w:p>
    <w:p w14:paraId="0B8D6504">
      <w:pPr>
        <w:pStyle w:val="6"/>
        <w:numPr>
          <w:ilvl w:val="0"/>
          <w:numId w:val="0"/>
        </w:numPr>
        <w:ind w:left="132" w:left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 xml:space="preserve"> 牵头人名称：</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（盖章）</w:t>
      </w:r>
    </w:p>
    <w:p w14:paraId="775FA89A">
      <w:pPr>
        <w:pStyle w:val="6"/>
        <w:numPr>
          <w:ilvl w:val="0"/>
          <w:numId w:val="0"/>
        </w:numPr>
        <w:ind w:left="132" w:left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 xml:space="preserve"> 法定代表人或其委托代理人：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 xml:space="preserve">（签字或盖章） </w:t>
      </w:r>
    </w:p>
    <w:p w14:paraId="5721A182">
      <w:pPr>
        <w:pStyle w:val="6"/>
        <w:numPr>
          <w:ilvl w:val="0"/>
          <w:numId w:val="0"/>
        </w:numPr>
        <w:ind w:left="132" w:leftChars="0"/>
        <w:rPr>
          <w:rFonts w:hint="eastAsia" w:ascii="宋体" w:hAnsi="宋体" w:eastAsia="宋体" w:cs="宋体"/>
          <w:color w:val="auto"/>
          <w:spacing w:val="6"/>
          <w:kern w:val="0"/>
          <w:sz w:val="24"/>
          <w:szCs w:val="24"/>
          <w:highlight w:val="none"/>
          <w:lang w:val="zh-TW" w:eastAsia="zh-TW" w:bidi="ar-SA"/>
        </w:rPr>
      </w:pPr>
    </w:p>
    <w:p w14:paraId="25352100">
      <w:pPr>
        <w:pStyle w:val="6"/>
        <w:numPr>
          <w:ilvl w:val="0"/>
          <w:numId w:val="0"/>
        </w:numPr>
        <w:ind w:left="132" w:left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成员一名称：</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 xml:space="preserve">（盖章） </w:t>
      </w:r>
    </w:p>
    <w:p w14:paraId="2B459D70">
      <w:pPr>
        <w:pStyle w:val="6"/>
        <w:numPr>
          <w:ilvl w:val="0"/>
          <w:numId w:val="0"/>
        </w:numPr>
        <w:ind w:left="132" w:leftChars="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法定代表人或其委托代理人：</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（签字或盖章）</w:t>
      </w:r>
    </w:p>
    <w:p w14:paraId="3412E4A3">
      <w:pPr>
        <w:pStyle w:val="6"/>
        <w:numPr>
          <w:ilvl w:val="0"/>
          <w:numId w:val="0"/>
        </w:numPr>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 xml:space="preserve"> 成员二名称：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 xml:space="preserve">（盖章） </w:t>
      </w:r>
    </w:p>
    <w:p w14:paraId="5BFAA64E">
      <w:pPr>
        <w:pStyle w:val="6"/>
        <w:numPr>
          <w:ilvl w:val="0"/>
          <w:numId w:val="0"/>
        </w:numPr>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法定代表人或其委托代理人：</w:t>
      </w:r>
      <w:r>
        <w:rPr>
          <w:rFonts w:hint="eastAsia" w:ascii="宋体" w:hAnsi="宋体" w:eastAsia="宋体" w:cs="宋体"/>
          <w:color w:val="auto"/>
          <w:spacing w:val="6"/>
          <w:kern w:val="0"/>
          <w:sz w:val="24"/>
          <w:szCs w:val="24"/>
          <w:highlight w:val="none"/>
          <w:u w:val="single"/>
          <w:lang w:val="zh-TW" w:eastAsia="zh-TW" w:bidi="ar-SA"/>
        </w:rPr>
        <w:t xml:space="preserve"> </w:t>
      </w:r>
      <w:r>
        <w:rPr>
          <w:rFonts w:hint="eastAsia" w:ascii="宋体" w:hAnsi="宋体" w:eastAsia="宋体" w:cs="宋体"/>
          <w:color w:val="auto"/>
          <w:spacing w:val="6"/>
          <w:kern w:val="0"/>
          <w:sz w:val="24"/>
          <w:szCs w:val="24"/>
          <w:highlight w:val="none"/>
          <w:u w:val="singl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 xml:space="preserve">（签字或盖章） </w:t>
      </w:r>
    </w:p>
    <w:p w14:paraId="2493DD2F">
      <w:pPr>
        <w:pStyle w:val="6"/>
        <w:numPr>
          <w:ilvl w:val="0"/>
          <w:numId w:val="0"/>
        </w:numPr>
        <w:rPr>
          <w:rFonts w:hint="eastAsia" w:ascii="宋体" w:hAnsi="宋体" w:eastAsia="宋体" w:cs="宋体"/>
          <w:color w:val="auto"/>
          <w:spacing w:val="6"/>
          <w:kern w:val="0"/>
          <w:sz w:val="24"/>
          <w:szCs w:val="24"/>
          <w:highlight w:val="none"/>
          <w:lang w:val="zh-TW" w:eastAsia="zh-TW" w:bidi="ar-SA"/>
        </w:rPr>
      </w:pPr>
    </w:p>
    <w:p w14:paraId="70494BBF">
      <w:pPr>
        <w:pStyle w:val="6"/>
        <w:numPr>
          <w:ilvl w:val="0"/>
          <w:numId w:val="0"/>
        </w:numPr>
        <w:ind w:firstLine="3528" w:firstLineChars="1400"/>
        <w:rPr>
          <w:rFonts w:hint="eastAsia" w:ascii="宋体" w:hAnsi="宋体" w:eastAsia="宋体" w:cs="宋体"/>
          <w:color w:val="auto"/>
          <w:spacing w:val="6"/>
          <w:kern w:val="0"/>
          <w:sz w:val="24"/>
          <w:szCs w:val="24"/>
          <w:highlight w:val="none"/>
          <w:lang w:val="zh-TW" w:eastAsia="zh-TW" w:bidi="ar-SA"/>
        </w:rPr>
      </w:pPr>
      <w:r>
        <w:rPr>
          <w:rFonts w:hint="eastAsia" w:ascii="宋体" w:hAnsi="宋体" w:eastAsia="宋体" w:cs="宋体"/>
          <w:color w:val="auto"/>
          <w:spacing w:val="6"/>
          <w:kern w:val="0"/>
          <w:sz w:val="24"/>
          <w:szCs w:val="24"/>
          <w:highlight w:val="none"/>
          <w:lang w:val="zh-TW" w:eastAsia="zh-TW" w:bidi="ar-SA"/>
        </w:rPr>
        <w:t>年</w:t>
      </w:r>
      <w:r>
        <w:rPr>
          <w:rFonts w:hint="eastAsia" w:ascii="宋体" w:hAnsi="宋体" w:eastAsia="宋体" w:cs="宋体"/>
          <w:color w:val="auto"/>
          <w:spacing w:val="6"/>
          <w:kern w:val="0"/>
          <w:sz w:val="24"/>
          <w:szCs w:val="24"/>
          <w:highlight w:val="non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 xml:space="preserve"> 月 </w:t>
      </w:r>
      <w:r>
        <w:rPr>
          <w:rFonts w:hint="eastAsia" w:ascii="宋体" w:hAnsi="宋体" w:eastAsia="宋体" w:cs="宋体"/>
          <w:color w:val="auto"/>
          <w:spacing w:val="6"/>
          <w:kern w:val="0"/>
          <w:sz w:val="24"/>
          <w:szCs w:val="24"/>
          <w:highlight w:val="none"/>
          <w:lang w:val="en-US" w:eastAsia="zh-CN" w:bidi="ar-SA"/>
        </w:rPr>
        <w:t xml:space="preserve">   </w:t>
      </w:r>
      <w:r>
        <w:rPr>
          <w:rFonts w:hint="eastAsia" w:ascii="宋体" w:hAnsi="宋体" w:eastAsia="宋体" w:cs="宋体"/>
          <w:color w:val="auto"/>
          <w:spacing w:val="6"/>
          <w:kern w:val="0"/>
          <w:sz w:val="24"/>
          <w:szCs w:val="24"/>
          <w:highlight w:val="none"/>
          <w:lang w:val="zh-TW" w:eastAsia="zh-TW" w:bidi="ar-SA"/>
        </w:rPr>
        <w:t>日</w:t>
      </w:r>
    </w:p>
    <w:p w14:paraId="0BB570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Style w:val="29"/>
          <w:rFonts w:hint="eastAsia"/>
          <w:color w:val="auto"/>
          <w:sz w:val="28"/>
          <w:szCs w:val="36"/>
          <w:highlight w:val="none"/>
          <w:lang w:val="en-US" w:eastAsia="zh-CN"/>
        </w:rPr>
      </w:pPr>
    </w:p>
    <w:p w14:paraId="1F9415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29"/>
          <w:rFonts w:hint="eastAsia"/>
          <w:color w:val="auto"/>
          <w:sz w:val="28"/>
          <w:szCs w:val="36"/>
          <w:highlight w:val="none"/>
          <w:lang w:eastAsia="zh-CN"/>
        </w:rPr>
      </w:pPr>
      <w:bookmarkStart w:id="933" w:name="_Toc27292"/>
      <w:r>
        <w:rPr>
          <w:rStyle w:val="29"/>
          <w:rFonts w:hint="eastAsia"/>
          <w:color w:val="auto"/>
          <w:sz w:val="28"/>
          <w:szCs w:val="36"/>
          <w:highlight w:val="none"/>
          <w:lang w:val="en-US" w:eastAsia="zh-CN"/>
        </w:rPr>
        <w:t>16、</w:t>
      </w:r>
      <w:r>
        <w:rPr>
          <w:rStyle w:val="29"/>
          <w:rFonts w:hint="eastAsia"/>
          <w:color w:val="auto"/>
          <w:sz w:val="28"/>
          <w:szCs w:val="36"/>
          <w:highlight w:val="none"/>
        </w:rPr>
        <w:t>其他投标人认为有必要</w:t>
      </w:r>
      <w:r>
        <w:rPr>
          <w:rStyle w:val="29"/>
          <w:rFonts w:hint="eastAsia"/>
          <w:color w:val="auto"/>
          <w:sz w:val="28"/>
          <w:szCs w:val="36"/>
          <w:highlight w:val="none"/>
          <w:lang w:eastAsia="zh-CN"/>
        </w:rPr>
        <w:t>提供的商务资料（如有）。</w:t>
      </w:r>
    </w:p>
    <w:bookmarkEnd w:id="931"/>
    <w:bookmarkEnd w:id="932"/>
    <w:bookmarkEnd w:id="933"/>
    <w:p w14:paraId="76E96277">
      <w:pPr>
        <w:rPr>
          <w:rFonts w:hint="eastAsia" w:ascii="宋体" w:hAnsi="宋体" w:eastAsia="宋体" w:cs="宋体"/>
          <w:color w:val="auto"/>
          <w:sz w:val="24"/>
          <w:szCs w:val="24"/>
          <w:highlight w:val="none"/>
        </w:rPr>
      </w:pPr>
    </w:p>
    <w:p w14:paraId="3FB2E6FC">
      <w:pPr>
        <w:jc w:val="center"/>
        <w:rPr>
          <w:rFonts w:hint="eastAsia"/>
          <w:color w:val="auto"/>
          <w:highlight w:val="none"/>
          <w:lang w:val="en-US" w:eastAsia="zh-CN"/>
        </w:rPr>
      </w:pPr>
      <w:bookmarkStart w:id="934" w:name="_Toc7247"/>
      <w:r>
        <w:rPr>
          <w:rFonts w:hint="eastAsia"/>
          <w:color w:val="auto"/>
          <w:highlight w:val="none"/>
          <w:lang w:val="en-US" w:eastAsia="zh-CN"/>
        </w:rPr>
        <w:t>格式自拟（须逐页加盖投标单位公章）</w:t>
      </w:r>
    </w:p>
    <w:p w14:paraId="20A91C7D">
      <w:pPr>
        <w:jc w:val="both"/>
        <w:rPr>
          <w:rFonts w:hint="eastAsia" w:ascii="宋体" w:hAnsi="宋体" w:cs="宋体"/>
          <w:b/>
          <w:bCs/>
          <w:color w:val="auto"/>
          <w:sz w:val="52"/>
          <w:szCs w:val="52"/>
          <w:highlight w:val="none"/>
          <w:lang w:eastAsia="zh-CN"/>
        </w:rPr>
      </w:pPr>
    </w:p>
    <w:p w14:paraId="2E2CE252">
      <w:pPr>
        <w:pStyle w:val="6"/>
        <w:rPr>
          <w:rFonts w:hint="eastAsia" w:ascii="宋体" w:hAnsi="宋体" w:cs="宋体"/>
          <w:b/>
          <w:bCs/>
          <w:color w:val="auto"/>
          <w:sz w:val="52"/>
          <w:szCs w:val="52"/>
          <w:highlight w:val="none"/>
          <w:lang w:eastAsia="zh-CN"/>
        </w:rPr>
      </w:pPr>
    </w:p>
    <w:p w14:paraId="16F3943A">
      <w:pPr>
        <w:rPr>
          <w:rFonts w:hint="eastAsia" w:ascii="宋体" w:hAnsi="宋体" w:cs="宋体"/>
          <w:b/>
          <w:bCs/>
          <w:color w:val="auto"/>
          <w:sz w:val="52"/>
          <w:szCs w:val="52"/>
          <w:highlight w:val="none"/>
          <w:lang w:eastAsia="zh-CN"/>
        </w:rPr>
      </w:pPr>
    </w:p>
    <w:p w14:paraId="38164642">
      <w:pPr>
        <w:rPr>
          <w:rFonts w:hint="eastAsia"/>
          <w:color w:val="auto"/>
          <w:highlight w:val="none"/>
          <w:lang w:eastAsia="zh-CN"/>
        </w:rPr>
      </w:pPr>
    </w:p>
    <w:p w14:paraId="54AD3A0B">
      <w:pPr>
        <w:rPr>
          <w:rFonts w:hint="eastAsia"/>
          <w:color w:val="auto"/>
          <w:highlight w:val="none"/>
          <w:lang w:eastAsia="zh-CN"/>
        </w:rPr>
      </w:pPr>
    </w:p>
    <w:p w14:paraId="6A103DA6">
      <w:pPr>
        <w:spacing w:before="91" w:line="219" w:lineRule="auto"/>
        <w:ind w:left="370"/>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pacing w:val="-3"/>
          <w:sz w:val="32"/>
          <w:szCs w:val="32"/>
          <w:highlight w:val="none"/>
        </w:rPr>
        <w:t>项目管理机构</w:t>
      </w:r>
    </w:p>
    <w:p w14:paraId="176F7299">
      <w:pPr>
        <w:spacing w:before="198" w:line="219" w:lineRule="auto"/>
        <w:ind w:left="3334"/>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1、项目管理机构组成表</w:t>
      </w:r>
    </w:p>
    <w:p w14:paraId="3B992B72">
      <w:pPr>
        <w:spacing w:before="188"/>
        <w:rPr>
          <w:rFonts w:hint="eastAsia" w:ascii="宋体" w:hAnsi="宋体" w:eastAsia="宋体" w:cs="宋体"/>
          <w:color w:val="auto"/>
          <w:highlight w:val="none"/>
        </w:rPr>
      </w:pPr>
    </w:p>
    <w:tbl>
      <w:tblPr>
        <w:tblStyle w:val="30"/>
        <w:tblW w:w="9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2"/>
        <w:gridCol w:w="1152"/>
        <w:gridCol w:w="929"/>
        <w:gridCol w:w="1564"/>
        <w:gridCol w:w="954"/>
        <w:gridCol w:w="1935"/>
        <w:gridCol w:w="788"/>
        <w:gridCol w:w="746"/>
      </w:tblGrid>
      <w:tr w14:paraId="7E5F5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72" w:type="dxa"/>
            <w:vMerge w:val="restart"/>
            <w:tcBorders>
              <w:bottom w:val="nil"/>
            </w:tcBorders>
            <w:noWrap w:val="0"/>
            <w:vAlign w:val="top"/>
          </w:tcPr>
          <w:p w14:paraId="69E47970">
            <w:pPr>
              <w:autoSpaceDE w:val="0"/>
              <w:autoSpaceDN w:val="0"/>
              <w:spacing w:line="333" w:lineRule="auto"/>
              <w:rPr>
                <w:rFonts w:hint="eastAsia" w:ascii="宋体" w:hAnsi="宋体" w:eastAsia="宋体" w:cs="宋体"/>
                <w:color w:val="auto"/>
                <w:sz w:val="24"/>
                <w:szCs w:val="24"/>
                <w:highlight w:val="none"/>
              </w:rPr>
            </w:pPr>
          </w:p>
          <w:p w14:paraId="2FCC5D07">
            <w:pPr>
              <w:autoSpaceDE w:val="0"/>
              <w:autoSpaceDN w:val="0"/>
              <w:spacing w:before="65" w:line="228" w:lineRule="auto"/>
              <w:ind w:left="53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职务</w:t>
            </w:r>
          </w:p>
        </w:tc>
        <w:tc>
          <w:tcPr>
            <w:tcW w:w="1152" w:type="dxa"/>
            <w:vMerge w:val="restart"/>
            <w:tcBorders>
              <w:bottom w:val="nil"/>
            </w:tcBorders>
            <w:noWrap w:val="0"/>
            <w:vAlign w:val="top"/>
          </w:tcPr>
          <w:p w14:paraId="46EE23F4">
            <w:pPr>
              <w:autoSpaceDE w:val="0"/>
              <w:autoSpaceDN w:val="0"/>
              <w:spacing w:line="333" w:lineRule="auto"/>
              <w:rPr>
                <w:rFonts w:hint="eastAsia" w:ascii="宋体" w:hAnsi="宋体" w:eastAsia="宋体" w:cs="宋体"/>
                <w:color w:val="auto"/>
                <w:sz w:val="24"/>
                <w:szCs w:val="24"/>
                <w:highlight w:val="none"/>
              </w:rPr>
            </w:pPr>
          </w:p>
          <w:p w14:paraId="6DF55F42">
            <w:pPr>
              <w:autoSpaceDE w:val="0"/>
              <w:autoSpaceDN w:val="0"/>
              <w:spacing w:before="65" w:line="228" w:lineRule="auto"/>
              <w:ind w:left="37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929" w:type="dxa"/>
            <w:vMerge w:val="restart"/>
            <w:tcBorders>
              <w:bottom w:val="nil"/>
            </w:tcBorders>
            <w:noWrap w:val="0"/>
            <w:vAlign w:val="top"/>
          </w:tcPr>
          <w:p w14:paraId="10CCF90B">
            <w:pPr>
              <w:autoSpaceDE w:val="0"/>
              <w:autoSpaceDN w:val="0"/>
              <w:spacing w:line="333" w:lineRule="auto"/>
              <w:rPr>
                <w:rFonts w:hint="eastAsia" w:ascii="宋体" w:hAnsi="宋体" w:eastAsia="宋体" w:cs="宋体"/>
                <w:color w:val="auto"/>
                <w:sz w:val="24"/>
                <w:szCs w:val="24"/>
                <w:highlight w:val="none"/>
              </w:rPr>
            </w:pPr>
          </w:p>
          <w:p w14:paraId="066D491D">
            <w:pPr>
              <w:autoSpaceDE w:val="0"/>
              <w:autoSpaceDN w:val="0"/>
              <w:spacing w:before="65" w:line="230"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5241" w:type="dxa"/>
            <w:gridSpan w:val="4"/>
            <w:noWrap w:val="0"/>
            <w:vAlign w:val="top"/>
          </w:tcPr>
          <w:p w14:paraId="2CDFA785">
            <w:pPr>
              <w:autoSpaceDE w:val="0"/>
              <w:autoSpaceDN w:val="0"/>
              <w:spacing w:before="175" w:line="228" w:lineRule="auto"/>
              <w:ind w:left="1682"/>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执业或职业资格证明</w:t>
            </w:r>
          </w:p>
        </w:tc>
        <w:tc>
          <w:tcPr>
            <w:tcW w:w="746" w:type="dxa"/>
            <w:noWrap w:val="0"/>
            <w:vAlign w:val="top"/>
          </w:tcPr>
          <w:p w14:paraId="1DFD8239">
            <w:pPr>
              <w:autoSpaceDE w:val="0"/>
              <w:autoSpaceDN w:val="0"/>
              <w:spacing w:before="175" w:line="229" w:lineRule="auto"/>
              <w:ind w:left="17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r>
      <w:tr w14:paraId="7F7C2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vMerge w:val="continue"/>
            <w:tcBorders>
              <w:top w:val="nil"/>
            </w:tcBorders>
            <w:noWrap w:val="0"/>
            <w:vAlign w:val="top"/>
          </w:tcPr>
          <w:p w14:paraId="11B4C9E1">
            <w:pPr>
              <w:autoSpaceDE w:val="0"/>
              <w:autoSpaceDN w:val="0"/>
              <w:rPr>
                <w:rFonts w:hint="eastAsia" w:ascii="宋体" w:hAnsi="宋体" w:eastAsia="宋体" w:cs="宋体"/>
                <w:color w:val="auto"/>
                <w:sz w:val="24"/>
                <w:szCs w:val="24"/>
                <w:highlight w:val="none"/>
              </w:rPr>
            </w:pPr>
          </w:p>
        </w:tc>
        <w:tc>
          <w:tcPr>
            <w:tcW w:w="1152" w:type="dxa"/>
            <w:vMerge w:val="continue"/>
            <w:tcBorders>
              <w:top w:val="nil"/>
            </w:tcBorders>
            <w:noWrap w:val="0"/>
            <w:vAlign w:val="top"/>
          </w:tcPr>
          <w:p w14:paraId="154695BE">
            <w:pPr>
              <w:autoSpaceDE w:val="0"/>
              <w:autoSpaceDN w:val="0"/>
              <w:rPr>
                <w:rFonts w:hint="eastAsia" w:ascii="宋体" w:hAnsi="宋体" w:eastAsia="宋体" w:cs="宋体"/>
                <w:color w:val="auto"/>
                <w:sz w:val="24"/>
                <w:szCs w:val="24"/>
                <w:highlight w:val="none"/>
              </w:rPr>
            </w:pPr>
          </w:p>
        </w:tc>
        <w:tc>
          <w:tcPr>
            <w:tcW w:w="929" w:type="dxa"/>
            <w:vMerge w:val="continue"/>
            <w:tcBorders>
              <w:top w:val="nil"/>
            </w:tcBorders>
            <w:noWrap w:val="0"/>
            <w:vAlign w:val="top"/>
          </w:tcPr>
          <w:p w14:paraId="2CC2492B">
            <w:pPr>
              <w:autoSpaceDE w:val="0"/>
              <w:autoSpaceDN w:val="0"/>
              <w:rPr>
                <w:rFonts w:hint="eastAsia" w:ascii="宋体" w:hAnsi="宋体" w:eastAsia="宋体" w:cs="宋体"/>
                <w:color w:val="auto"/>
                <w:sz w:val="24"/>
                <w:szCs w:val="24"/>
                <w:highlight w:val="none"/>
              </w:rPr>
            </w:pPr>
          </w:p>
        </w:tc>
        <w:tc>
          <w:tcPr>
            <w:tcW w:w="1564" w:type="dxa"/>
            <w:noWrap w:val="0"/>
            <w:vAlign w:val="top"/>
          </w:tcPr>
          <w:p w14:paraId="514C3F37">
            <w:pPr>
              <w:autoSpaceDE w:val="0"/>
              <w:autoSpaceDN w:val="0"/>
              <w:spacing w:before="172" w:line="227"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证书名称</w:t>
            </w:r>
          </w:p>
        </w:tc>
        <w:tc>
          <w:tcPr>
            <w:tcW w:w="954" w:type="dxa"/>
            <w:noWrap w:val="0"/>
            <w:vAlign w:val="top"/>
          </w:tcPr>
          <w:p w14:paraId="146739BD">
            <w:pPr>
              <w:autoSpaceDE w:val="0"/>
              <w:autoSpaceDN w:val="0"/>
              <w:spacing w:before="173" w:line="228" w:lineRule="auto"/>
              <w:ind w:left="27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级别</w:t>
            </w:r>
          </w:p>
        </w:tc>
        <w:tc>
          <w:tcPr>
            <w:tcW w:w="1935" w:type="dxa"/>
            <w:noWrap w:val="0"/>
            <w:vAlign w:val="top"/>
          </w:tcPr>
          <w:p w14:paraId="6B1025EE">
            <w:pPr>
              <w:autoSpaceDE w:val="0"/>
              <w:autoSpaceDN w:val="0"/>
              <w:spacing w:before="172" w:line="229" w:lineRule="auto"/>
              <w:ind w:left="76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证号</w:t>
            </w:r>
          </w:p>
        </w:tc>
        <w:tc>
          <w:tcPr>
            <w:tcW w:w="788" w:type="dxa"/>
            <w:noWrap w:val="0"/>
            <w:vAlign w:val="top"/>
          </w:tcPr>
          <w:p w14:paraId="2B6C137A">
            <w:pPr>
              <w:autoSpaceDE w:val="0"/>
              <w:autoSpaceDN w:val="0"/>
              <w:spacing w:before="173" w:line="228" w:lineRule="auto"/>
              <w:ind w:left="1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专业</w:t>
            </w:r>
          </w:p>
        </w:tc>
        <w:tc>
          <w:tcPr>
            <w:tcW w:w="746" w:type="dxa"/>
            <w:noWrap w:val="0"/>
            <w:vAlign w:val="top"/>
          </w:tcPr>
          <w:p w14:paraId="624B7A04">
            <w:pPr>
              <w:autoSpaceDE w:val="0"/>
              <w:autoSpaceDN w:val="0"/>
              <w:rPr>
                <w:rFonts w:hint="eastAsia" w:ascii="宋体" w:hAnsi="宋体" w:eastAsia="宋体" w:cs="宋体"/>
                <w:color w:val="auto"/>
                <w:sz w:val="24"/>
                <w:szCs w:val="24"/>
                <w:highlight w:val="none"/>
              </w:rPr>
            </w:pPr>
          </w:p>
        </w:tc>
      </w:tr>
      <w:tr w14:paraId="30D14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2" w:type="dxa"/>
            <w:noWrap w:val="0"/>
            <w:vAlign w:val="top"/>
          </w:tcPr>
          <w:p w14:paraId="455CEE86">
            <w:pPr>
              <w:autoSpaceDE w:val="0"/>
              <w:autoSpaceDN w:val="0"/>
              <w:rPr>
                <w:rFonts w:hint="eastAsia" w:ascii="宋体" w:hAnsi="宋体" w:eastAsia="宋体" w:cs="宋体"/>
                <w:color w:val="auto"/>
                <w:sz w:val="24"/>
                <w:szCs w:val="24"/>
                <w:highlight w:val="none"/>
              </w:rPr>
            </w:pPr>
          </w:p>
        </w:tc>
        <w:tc>
          <w:tcPr>
            <w:tcW w:w="1152" w:type="dxa"/>
            <w:noWrap w:val="0"/>
            <w:vAlign w:val="top"/>
          </w:tcPr>
          <w:p w14:paraId="0760FC84">
            <w:pPr>
              <w:autoSpaceDE w:val="0"/>
              <w:autoSpaceDN w:val="0"/>
              <w:rPr>
                <w:rFonts w:hint="eastAsia" w:ascii="宋体" w:hAnsi="宋体" w:eastAsia="宋体" w:cs="宋体"/>
                <w:color w:val="auto"/>
                <w:sz w:val="24"/>
                <w:szCs w:val="24"/>
                <w:highlight w:val="none"/>
              </w:rPr>
            </w:pPr>
          </w:p>
        </w:tc>
        <w:tc>
          <w:tcPr>
            <w:tcW w:w="929" w:type="dxa"/>
            <w:noWrap w:val="0"/>
            <w:vAlign w:val="top"/>
          </w:tcPr>
          <w:p w14:paraId="34411477">
            <w:pPr>
              <w:autoSpaceDE w:val="0"/>
              <w:autoSpaceDN w:val="0"/>
              <w:rPr>
                <w:rFonts w:hint="eastAsia" w:ascii="宋体" w:hAnsi="宋体" w:eastAsia="宋体" w:cs="宋体"/>
                <w:color w:val="auto"/>
                <w:sz w:val="24"/>
                <w:szCs w:val="24"/>
                <w:highlight w:val="none"/>
              </w:rPr>
            </w:pPr>
          </w:p>
        </w:tc>
        <w:tc>
          <w:tcPr>
            <w:tcW w:w="1564" w:type="dxa"/>
            <w:noWrap w:val="0"/>
            <w:vAlign w:val="top"/>
          </w:tcPr>
          <w:p w14:paraId="6C6AB3FB">
            <w:pPr>
              <w:autoSpaceDE w:val="0"/>
              <w:autoSpaceDN w:val="0"/>
              <w:rPr>
                <w:rFonts w:hint="eastAsia" w:ascii="宋体" w:hAnsi="宋体" w:eastAsia="宋体" w:cs="宋体"/>
                <w:color w:val="auto"/>
                <w:sz w:val="24"/>
                <w:szCs w:val="24"/>
                <w:highlight w:val="none"/>
              </w:rPr>
            </w:pPr>
          </w:p>
        </w:tc>
        <w:tc>
          <w:tcPr>
            <w:tcW w:w="954" w:type="dxa"/>
            <w:noWrap w:val="0"/>
            <w:vAlign w:val="top"/>
          </w:tcPr>
          <w:p w14:paraId="022B14FC">
            <w:pPr>
              <w:autoSpaceDE w:val="0"/>
              <w:autoSpaceDN w:val="0"/>
              <w:rPr>
                <w:rFonts w:hint="eastAsia" w:ascii="宋体" w:hAnsi="宋体" w:eastAsia="宋体" w:cs="宋体"/>
                <w:color w:val="auto"/>
                <w:sz w:val="24"/>
                <w:szCs w:val="24"/>
                <w:highlight w:val="none"/>
              </w:rPr>
            </w:pPr>
          </w:p>
        </w:tc>
        <w:tc>
          <w:tcPr>
            <w:tcW w:w="1935" w:type="dxa"/>
            <w:noWrap w:val="0"/>
            <w:vAlign w:val="top"/>
          </w:tcPr>
          <w:p w14:paraId="20BB646C">
            <w:pPr>
              <w:autoSpaceDE w:val="0"/>
              <w:autoSpaceDN w:val="0"/>
              <w:rPr>
                <w:rFonts w:hint="eastAsia" w:ascii="宋体" w:hAnsi="宋体" w:eastAsia="宋体" w:cs="宋体"/>
                <w:color w:val="auto"/>
                <w:sz w:val="24"/>
                <w:szCs w:val="24"/>
                <w:highlight w:val="none"/>
              </w:rPr>
            </w:pPr>
          </w:p>
        </w:tc>
        <w:tc>
          <w:tcPr>
            <w:tcW w:w="788" w:type="dxa"/>
            <w:noWrap w:val="0"/>
            <w:vAlign w:val="top"/>
          </w:tcPr>
          <w:p w14:paraId="6835E1CB">
            <w:pPr>
              <w:autoSpaceDE w:val="0"/>
              <w:autoSpaceDN w:val="0"/>
              <w:rPr>
                <w:rFonts w:hint="eastAsia" w:ascii="宋体" w:hAnsi="宋体" w:eastAsia="宋体" w:cs="宋体"/>
                <w:color w:val="auto"/>
                <w:sz w:val="24"/>
                <w:szCs w:val="24"/>
                <w:highlight w:val="none"/>
              </w:rPr>
            </w:pPr>
          </w:p>
        </w:tc>
        <w:tc>
          <w:tcPr>
            <w:tcW w:w="746" w:type="dxa"/>
            <w:noWrap w:val="0"/>
            <w:vAlign w:val="top"/>
          </w:tcPr>
          <w:p w14:paraId="7C1344BD">
            <w:pPr>
              <w:autoSpaceDE w:val="0"/>
              <w:autoSpaceDN w:val="0"/>
              <w:rPr>
                <w:rFonts w:hint="eastAsia" w:ascii="宋体" w:hAnsi="宋体" w:eastAsia="宋体" w:cs="宋体"/>
                <w:color w:val="auto"/>
                <w:sz w:val="24"/>
                <w:szCs w:val="24"/>
                <w:highlight w:val="none"/>
              </w:rPr>
            </w:pPr>
          </w:p>
        </w:tc>
      </w:tr>
      <w:tr w14:paraId="08413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noWrap w:val="0"/>
            <w:vAlign w:val="top"/>
          </w:tcPr>
          <w:p w14:paraId="469B738A">
            <w:pPr>
              <w:autoSpaceDE w:val="0"/>
              <w:autoSpaceDN w:val="0"/>
              <w:rPr>
                <w:rFonts w:hint="eastAsia" w:ascii="宋体" w:hAnsi="宋体" w:eastAsia="宋体" w:cs="宋体"/>
                <w:color w:val="auto"/>
                <w:sz w:val="24"/>
                <w:szCs w:val="24"/>
                <w:highlight w:val="none"/>
              </w:rPr>
            </w:pPr>
          </w:p>
        </w:tc>
        <w:tc>
          <w:tcPr>
            <w:tcW w:w="1152" w:type="dxa"/>
            <w:noWrap w:val="0"/>
            <w:vAlign w:val="top"/>
          </w:tcPr>
          <w:p w14:paraId="10F5D0DA">
            <w:pPr>
              <w:autoSpaceDE w:val="0"/>
              <w:autoSpaceDN w:val="0"/>
              <w:rPr>
                <w:rFonts w:hint="eastAsia" w:ascii="宋体" w:hAnsi="宋体" w:eastAsia="宋体" w:cs="宋体"/>
                <w:color w:val="auto"/>
                <w:sz w:val="24"/>
                <w:szCs w:val="24"/>
                <w:highlight w:val="none"/>
              </w:rPr>
            </w:pPr>
          </w:p>
        </w:tc>
        <w:tc>
          <w:tcPr>
            <w:tcW w:w="929" w:type="dxa"/>
            <w:noWrap w:val="0"/>
            <w:vAlign w:val="top"/>
          </w:tcPr>
          <w:p w14:paraId="3C552389">
            <w:pPr>
              <w:autoSpaceDE w:val="0"/>
              <w:autoSpaceDN w:val="0"/>
              <w:rPr>
                <w:rFonts w:hint="eastAsia" w:ascii="宋体" w:hAnsi="宋体" w:eastAsia="宋体" w:cs="宋体"/>
                <w:color w:val="auto"/>
                <w:sz w:val="24"/>
                <w:szCs w:val="24"/>
                <w:highlight w:val="none"/>
              </w:rPr>
            </w:pPr>
          </w:p>
        </w:tc>
        <w:tc>
          <w:tcPr>
            <w:tcW w:w="1564" w:type="dxa"/>
            <w:noWrap w:val="0"/>
            <w:vAlign w:val="top"/>
          </w:tcPr>
          <w:p w14:paraId="15972C84">
            <w:pPr>
              <w:autoSpaceDE w:val="0"/>
              <w:autoSpaceDN w:val="0"/>
              <w:rPr>
                <w:rFonts w:hint="eastAsia" w:ascii="宋体" w:hAnsi="宋体" w:eastAsia="宋体" w:cs="宋体"/>
                <w:color w:val="auto"/>
                <w:sz w:val="24"/>
                <w:szCs w:val="24"/>
                <w:highlight w:val="none"/>
              </w:rPr>
            </w:pPr>
          </w:p>
        </w:tc>
        <w:tc>
          <w:tcPr>
            <w:tcW w:w="954" w:type="dxa"/>
            <w:noWrap w:val="0"/>
            <w:vAlign w:val="top"/>
          </w:tcPr>
          <w:p w14:paraId="68EF0CD3">
            <w:pPr>
              <w:autoSpaceDE w:val="0"/>
              <w:autoSpaceDN w:val="0"/>
              <w:rPr>
                <w:rFonts w:hint="eastAsia" w:ascii="宋体" w:hAnsi="宋体" w:eastAsia="宋体" w:cs="宋体"/>
                <w:color w:val="auto"/>
                <w:sz w:val="24"/>
                <w:szCs w:val="24"/>
                <w:highlight w:val="none"/>
              </w:rPr>
            </w:pPr>
          </w:p>
        </w:tc>
        <w:tc>
          <w:tcPr>
            <w:tcW w:w="1935" w:type="dxa"/>
            <w:noWrap w:val="0"/>
            <w:vAlign w:val="top"/>
          </w:tcPr>
          <w:p w14:paraId="300F0551">
            <w:pPr>
              <w:autoSpaceDE w:val="0"/>
              <w:autoSpaceDN w:val="0"/>
              <w:rPr>
                <w:rFonts w:hint="eastAsia" w:ascii="宋体" w:hAnsi="宋体" w:eastAsia="宋体" w:cs="宋体"/>
                <w:color w:val="auto"/>
                <w:sz w:val="24"/>
                <w:szCs w:val="24"/>
                <w:highlight w:val="none"/>
              </w:rPr>
            </w:pPr>
          </w:p>
        </w:tc>
        <w:tc>
          <w:tcPr>
            <w:tcW w:w="788" w:type="dxa"/>
            <w:noWrap w:val="0"/>
            <w:vAlign w:val="top"/>
          </w:tcPr>
          <w:p w14:paraId="608BBB8B">
            <w:pPr>
              <w:autoSpaceDE w:val="0"/>
              <w:autoSpaceDN w:val="0"/>
              <w:rPr>
                <w:rFonts w:hint="eastAsia" w:ascii="宋体" w:hAnsi="宋体" w:eastAsia="宋体" w:cs="宋体"/>
                <w:color w:val="auto"/>
                <w:sz w:val="24"/>
                <w:szCs w:val="24"/>
                <w:highlight w:val="none"/>
              </w:rPr>
            </w:pPr>
          </w:p>
        </w:tc>
        <w:tc>
          <w:tcPr>
            <w:tcW w:w="746" w:type="dxa"/>
            <w:noWrap w:val="0"/>
            <w:vAlign w:val="top"/>
          </w:tcPr>
          <w:p w14:paraId="6D11F55C">
            <w:pPr>
              <w:autoSpaceDE w:val="0"/>
              <w:autoSpaceDN w:val="0"/>
              <w:rPr>
                <w:rFonts w:hint="eastAsia" w:ascii="宋体" w:hAnsi="宋体" w:eastAsia="宋体" w:cs="宋体"/>
                <w:color w:val="auto"/>
                <w:sz w:val="24"/>
                <w:szCs w:val="24"/>
                <w:highlight w:val="none"/>
              </w:rPr>
            </w:pPr>
          </w:p>
        </w:tc>
      </w:tr>
      <w:tr w14:paraId="4EE35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noWrap w:val="0"/>
            <w:vAlign w:val="top"/>
          </w:tcPr>
          <w:p w14:paraId="3612A268">
            <w:pPr>
              <w:autoSpaceDE w:val="0"/>
              <w:autoSpaceDN w:val="0"/>
              <w:rPr>
                <w:rFonts w:hint="eastAsia" w:ascii="宋体" w:hAnsi="宋体" w:eastAsia="宋体" w:cs="宋体"/>
                <w:color w:val="auto"/>
                <w:sz w:val="24"/>
                <w:szCs w:val="24"/>
                <w:highlight w:val="none"/>
              </w:rPr>
            </w:pPr>
          </w:p>
        </w:tc>
        <w:tc>
          <w:tcPr>
            <w:tcW w:w="1152" w:type="dxa"/>
            <w:noWrap w:val="0"/>
            <w:vAlign w:val="top"/>
          </w:tcPr>
          <w:p w14:paraId="5CCD9227">
            <w:pPr>
              <w:autoSpaceDE w:val="0"/>
              <w:autoSpaceDN w:val="0"/>
              <w:rPr>
                <w:rFonts w:hint="eastAsia" w:ascii="宋体" w:hAnsi="宋体" w:eastAsia="宋体" w:cs="宋体"/>
                <w:color w:val="auto"/>
                <w:sz w:val="24"/>
                <w:szCs w:val="24"/>
                <w:highlight w:val="none"/>
              </w:rPr>
            </w:pPr>
          </w:p>
        </w:tc>
        <w:tc>
          <w:tcPr>
            <w:tcW w:w="929" w:type="dxa"/>
            <w:noWrap w:val="0"/>
            <w:vAlign w:val="top"/>
          </w:tcPr>
          <w:p w14:paraId="06B6CA4B">
            <w:pPr>
              <w:autoSpaceDE w:val="0"/>
              <w:autoSpaceDN w:val="0"/>
              <w:rPr>
                <w:rFonts w:hint="eastAsia" w:ascii="宋体" w:hAnsi="宋体" w:eastAsia="宋体" w:cs="宋体"/>
                <w:color w:val="auto"/>
                <w:sz w:val="24"/>
                <w:szCs w:val="24"/>
                <w:highlight w:val="none"/>
              </w:rPr>
            </w:pPr>
          </w:p>
        </w:tc>
        <w:tc>
          <w:tcPr>
            <w:tcW w:w="1564" w:type="dxa"/>
            <w:noWrap w:val="0"/>
            <w:vAlign w:val="top"/>
          </w:tcPr>
          <w:p w14:paraId="539110DC">
            <w:pPr>
              <w:autoSpaceDE w:val="0"/>
              <w:autoSpaceDN w:val="0"/>
              <w:rPr>
                <w:rFonts w:hint="eastAsia" w:ascii="宋体" w:hAnsi="宋体" w:eastAsia="宋体" w:cs="宋体"/>
                <w:color w:val="auto"/>
                <w:sz w:val="24"/>
                <w:szCs w:val="24"/>
                <w:highlight w:val="none"/>
              </w:rPr>
            </w:pPr>
          </w:p>
        </w:tc>
        <w:tc>
          <w:tcPr>
            <w:tcW w:w="954" w:type="dxa"/>
            <w:noWrap w:val="0"/>
            <w:vAlign w:val="top"/>
          </w:tcPr>
          <w:p w14:paraId="4CED38E1">
            <w:pPr>
              <w:autoSpaceDE w:val="0"/>
              <w:autoSpaceDN w:val="0"/>
              <w:rPr>
                <w:rFonts w:hint="eastAsia" w:ascii="宋体" w:hAnsi="宋体" w:eastAsia="宋体" w:cs="宋体"/>
                <w:color w:val="auto"/>
                <w:sz w:val="24"/>
                <w:szCs w:val="24"/>
                <w:highlight w:val="none"/>
              </w:rPr>
            </w:pPr>
          </w:p>
        </w:tc>
        <w:tc>
          <w:tcPr>
            <w:tcW w:w="1935" w:type="dxa"/>
            <w:noWrap w:val="0"/>
            <w:vAlign w:val="top"/>
          </w:tcPr>
          <w:p w14:paraId="58E35671">
            <w:pPr>
              <w:autoSpaceDE w:val="0"/>
              <w:autoSpaceDN w:val="0"/>
              <w:rPr>
                <w:rFonts w:hint="eastAsia" w:ascii="宋体" w:hAnsi="宋体" w:eastAsia="宋体" w:cs="宋体"/>
                <w:color w:val="auto"/>
                <w:sz w:val="24"/>
                <w:szCs w:val="24"/>
                <w:highlight w:val="none"/>
              </w:rPr>
            </w:pPr>
          </w:p>
        </w:tc>
        <w:tc>
          <w:tcPr>
            <w:tcW w:w="788" w:type="dxa"/>
            <w:noWrap w:val="0"/>
            <w:vAlign w:val="top"/>
          </w:tcPr>
          <w:p w14:paraId="06AF56C1">
            <w:pPr>
              <w:autoSpaceDE w:val="0"/>
              <w:autoSpaceDN w:val="0"/>
              <w:rPr>
                <w:rFonts w:hint="eastAsia" w:ascii="宋体" w:hAnsi="宋体" w:eastAsia="宋体" w:cs="宋体"/>
                <w:color w:val="auto"/>
                <w:sz w:val="24"/>
                <w:szCs w:val="24"/>
                <w:highlight w:val="none"/>
              </w:rPr>
            </w:pPr>
          </w:p>
        </w:tc>
        <w:tc>
          <w:tcPr>
            <w:tcW w:w="746" w:type="dxa"/>
            <w:noWrap w:val="0"/>
            <w:vAlign w:val="top"/>
          </w:tcPr>
          <w:p w14:paraId="6AE43BDC">
            <w:pPr>
              <w:autoSpaceDE w:val="0"/>
              <w:autoSpaceDN w:val="0"/>
              <w:rPr>
                <w:rFonts w:hint="eastAsia" w:ascii="宋体" w:hAnsi="宋体" w:eastAsia="宋体" w:cs="宋体"/>
                <w:color w:val="auto"/>
                <w:sz w:val="24"/>
                <w:szCs w:val="24"/>
                <w:highlight w:val="none"/>
              </w:rPr>
            </w:pPr>
          </w:p>
        </w:tc>
      </w:tr>
      <w:tr w14:paraId="34825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noWrap w:val="0"/>
            <w:vAlign w:val="top"/>
          </w:tcPr>
          <w:p w14:paraId="0476BCCA">
            <w:pPr>
              <w:autoSpaceDE w:val="0"/>
              <w:autoSpaceDN w:val="0"/>
              <w:rPr>
                <w:rFonts w:hint="eastAsia" w:ascii="宋体" w:hAnsi="宋体" w:eastAsia="宋体" w:cs="宋体"/>
                <w:color w:val="auto"/>
                <w:sz w:val="24"/>
                <w:szCs w:val="24"/>
                <w:highlight w:val="none"/>
              </w:rPr>
            </w:pPr>
          </w:p>
        </w:tc>
        <w:tc>
          <w:tcPr>
            <w:tcW w:w="1152" w:type="dxa"/>
            <w:noWrap w:val="0"/>
            <w:vAlign w:val="top"/>
          </w:tcPr>
          <w:p w14:paraId="4BACFB5A">
            <w:pPr>
              <w:autoSpaceDE w:val="0"/>
              <w:autoSpaceDN w:val="0"/>
              <w:rPr>
                <w:rFonts w:hint="eastAsia" w:ascii="宋体" w:hAnsi="宋体" w:eastAsia="宋体" w:cs="宋体"/>
                <w:color w:val="auto"/>
                <w:sz w:val="24"/>
                <w:szCs w:val="24"/>
                <w:highlight w:val="none"/>
              </w:rPr>
            </w:pPr>
          </w:p>
        </w:tc>
        <w:tc>
          <w:tcPr>
            <w:tcW w:w="929" w:type="dxa"/>
            <w:noWrap w:val="0"/>
            <w:vAlign w:val="top"/>
          </w:tcPr>
          <w:p w14:paraId="76410A7F">
            <w:pPr>
              <w:autoSpaceDE w:val="0"/>
              <w:autoSpaceDN w:val="0"/>
              <w:rPr>
                <w:rFonts w:hint="eastAsia" w:ascii="宋体" w:hAnsi="宋体" w:eastAsia="宋体" w:cs="宋体"/>
                <w:color w:val="auto"/>
                <w:sz w:val="24"/>
                <w:szCs w:val="24"/>
                <w:highlight w:val="none"/>
              </w:rPr>
            </w:pPr>
          </w:p>
        </w:tc>
        <w:tc>
          <w:tcPr>
            <w:tcW w:w="1564" w:type="dxa"/>
            <w:noWrap w:val="0"/>
            <w:vAlign w:val="top"/>
          </w:tcPr>
          <w:p w14:paraId="3284E386">
            <w:pPr>
              <w:autoSpaceDE w:val="0"/>
              <w:autoSpaceDN w:val="0"/>
              <w:rPr>
                <w:rFonts w:hint="eastAsia" w:ascii="宋体" w:hAnsi="宋体" w:eastAsia="宋体" w:cs="宋体"/>
                <w:color w:val="auto"/>
                <w:sz w:val="24"/>
                <w:szCs w:val="24"/>
                <w:highlight w:val="none"/>
              </w:rPr>
            </w:pPr>
          </w:p>
        </w:tc>
        <w:tc>
          <w:tcPr>
            <w:tcW w:w="954" w:type="dxa"/>
            <w:noWrap w:val="0"/>
            <w:vAlign w:val="top"/>
          </w:tcPr>
          <w:p w14:paraId="16C21F87">
            <w:pPr>
              <w:autoSpaceDE w:val="0"/>
              <w:autoSpaceDN w:val="0"/>
              <w:rPr>
                <w:rFonts w:hint="eastAsia" w:ascii="宋体" w:hAnsi="宋体" w:eastAsia="宋体" w:cs="宋体"/>
                <w:color w:val="auto"/>
                <w:sz w:val="24"/>
                <w:szCs w:val="24"/>
                <w:highlight w:val="none"/>
              </w:rPr>
            </w:pPr>
          </w:p>
        </w:tc>
        <w:tc>
          <w:tcPr>
            <w:tcW w:w="1935" w:type="dxa"/>
            <w:noWrap w:val="0"/>
            <w:vAlign w:val="top"/>
          </w:tcPr>
          <w:p w14:paraId="6214E3F3">
            <w:pPr>
              <w:autoSpaceDE w:val="0"/>
              <w:autoSpaceDN w:val="0"/>
              <w:rPr>
                <w:rFonts w:hint="eastAsia" w:ascii="宋体" w:hAnsi="宋体" w:eastAsia="宋体" w:cs="宋体"/>
                <w:color w:val="auto"/>
                <w:sz w:val="24"/>
                <w:szCs w:val="24"/>
                <w:highlight w:val="none"/>
              </w:rPr>
            </w:pPr>
          </w:p>
        </w:tc>
        <w:tc>
          <w:tcPr>
            <w:tcW w:w="788" w:type="dxa"/>
            <w:noWrap w:val="0"/>
            <w:vAlign w:val="top"/>
          </w:tcPr>
          <w:p w14:paraId="0E712690">
            <w:pPr>
              <w:autoSpaceDE w:val="0"/>
              <w:autoSpaceDN w:val="0"/>
              <w:rPr>
                <w:rFonts w:hint="eastAsia" w:ascii="宋体" w:hAnsi="宋体" w:eastAsia="宋体" w:cs="宋体"/>
                <w:color w:val="auto"/>
                <w:sz w:val="24"/>
                <w:szCs w:val="24"/>
                <w:highlight w:val="none"/>
              </w:rPr>
            </w:pPr>
          </w:p>
        </w:tc>
        <w:tc>
          <w:tcPr>
            <w:tcW w:w="746" w:type="dxa"/>
            <w:noWrap w:val="0"/>
            <w:vAlign w:val="top"/>
          </w:tcPr>
          <w:p w14:paraId="596DC01B">
            <w:pPr>
              <w:autoSpaceDE w:val="0"/>
              <w:autoSpaceDN w:val="0"/>
              <w:rPr>
                <w:rFonts w:hint="eastAsia" w:ascii="宋体" w:hAnsi="宋体" w:eastAsia="宋体" w:cs="宋体"/>
                <w:color w:val="auto"/>
                <w:sz w:val="24"/>
                <w:szCs w:val="24"/>
                <w:highlight w:val="none"/>
              </w:rPr>
            </w:pPr>
          </w:p>
        </w:tc>
      </w:tr>
      <w:tr w14:paraId="7990B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2" w:type="dxa"/>
            <w:noWrap w:val="0"/>
            <w:vAlign w:val="top"/>
          </w:tcPr>
          <w:p w14:paraId="3E99BD47">
            <w:pPr>
              <w:autoSpaceDE w:val="0"/>
              <w:autoSpaceDN w:val="0"/>
              <w:rPr>
                <w:rFonts w:hint="eastAsia" w:ascii="宋体" w:hAnsi="宋体" w:eastAsia="宋体" w:cs="宋体"/>
                <w:color w:val="auto"/>
                <w:sz w:val="24"/>
                <w:szCs w:val="24"/>
                <w:highlight w:val="none"/>
              </w:rPr>
            </w:pPr>
          </w:p>
        </w:tc>
        <w:tc>
          <w:tcPr>
            <w:tcW w:w="1152" w:type="dxa"/>
            <w:noWrap w:val="0"/>
            <w:vAlign w:val="top"/>
          </w:tcPr>
          <w:p w14:paraId="12D2004B">
            <w:pPr>
              <w:autoSpaceDE w:val="0"/>
              <w:autoSpaceDN w:val="0"/>
              <w:rPr>
                <w:rFonts w:hint="eastAsia" w:ascii="宋体" w:hAnsi="宋体" w:eastAsia="宋体" w:cs="宋体"/>
                <w:color w:val="auto"/>
                <w:sz w:val="24"/>
                <w:szCs w:val="24"/>
                <w:highlight w:val="none"/>
              </w:rPr>
            </w:pPr>
          </w:p>
        </w:tc>
        <w:tc>
          <w:tcPr>
            <w:tcW w:w="929" w:type="dxa"/>
            <w:noWrap w:val="0"/>
            <w:vAlign w:val="top"/>
          </w:tcPr>
          <w:p w14:paraId="0A639241">
            <w:pPr>
              <w:autoSpaceDE w:val="0"/>
              <w:autoSpaceDN w:val="0"/>
              <w:rPr>
                <w:rFonts w:hint="eastAsia" w:ascii="宋体" w:hAnsi="宋体" w:eastAsia="宋体" w:cs="宋体"/>
                <w:color w:val="auto"/>
                <w:sz w:val="24"/>
                <w:szCs w:val="24"/>
                <w:highlight w:val="none"/>
              </w:rPr>
            </w:pPr>
          </w:p>
        </w:tc>
        <w:tc>
          <w:tcPr>
            <w:tcW w:w="1564" w:type="dxa"/>
            <w:noWrap w:val="0"/>
            <w:vAlign w:val="top"/>
          </w:tcPr>
          <w:p w14:paraId="559D63AC">
            <w:pPr>
              <w:autoSpaceDE w:val="0"/>
              <w:autoSpaceDN w:val="0"/>
              <w:rPr>
                <w:rFonts w:hint="eastAsia" w:ascii="宋体" w:hAnsi="宋体" w:eastAsia="宋体" w:cs="宋体"/>
                <w:color w:val="auto"/>
                <w:sz w:val="24"/>
                <w:szCs w:val="24"/>
                <w:highlight w:val="none"/>
              </w:rPr>
            </w:pPr>
          </w:p>
        </w:tc>
        <w:tc>
          <w:tcPr>
            <w:tcW w:w="954" w:type="dxa"/>
            <w:noWrap w:val="0"/>
            <w:vAlign w:val="top"/>
          </w:tcPr>
          <w:p w14:paraId="09086760">
            <w:pPr>
              <w:autoSpaceDE w:val="0"/>
              <w:autoSpaceDN w:val="0"/>
              <w:rPr>
                <w:rFonts w:hint="eastAsia" w:ascii="宋体" w:hAnsi="宋体" w:eastAsia="宋体" w:cs="宋体"/>
                <w:color w:val="auto"/>
                <w:sz w:val="24"/>
                <w:szCs w:val="24"/>
                <w:highlight w:val="none"/>
              </w:rPr>
            </w:pPr>
          </w:p>
        </w:tc>
        <w:tc>
          <w:tcPr>
            <w:tcW w:w="1935" w:type="dxa"/>
            <w:noWrap w:val="0"/>
            <w:vAlign w:val="top"/>
          </w:tcPr>
          <w:p w14:paraId="5AA4EB31">
            <w:pPr>
              <w:autoSpaceDE w:val="0"/>
              <w:autoSpaceDN w:val="0"/>
              <w:rPr>
                <w:rFonts w:hint="eastAsia" w:ascii="宋体" w:hAnsi="宋体" w:eastAsia="宋体" w:cs="宋体"/>
                <w:color w:val="auto"/>
                <w:sz w:val="24"/>
                <w:szCs w:val="24"/>
                <w:highlight w:val="none"/>
              </w:rPr>
            </w:pPr>
          </w:p>
        </w:tc>
        <w:tc>
          <w:tcPr>
            <w:tcW w:w="788" w:type="dxa"/>
            <w:noWrap w:val="0"/>
            <w:vAlign w:val="top"/>
          </w:tcPr>
          <w:p w14:paraId="329D8C1A">
            <w:pPr>
              <w:autoSpaceDE w:val="0"/>
              <w:autoSpaceDN w:val="0"/>
              <w:rPr>
                <w:rFonts w:hint="eastAsia" w:ascii="宋体" w:hAnsi="宋体" w:eastAsia="宋体" w:cs="宋体"/>
                <w:color w:val="auto"/>
                <w:sz w:val="24"/>
                <w:szCs w:val="24"/>
                <w:highlight w:val="none"/>
              </w:rPr>
            </w:pPr>
          </w:p>
        </w:tc>
        <w:tc>
          <w:tcPr>
            <w:tcW w:w="746" w:type="dxa"/>
            <w:noWrap w:val="0"/>
            <w:vAlign w:val="top"/>
          </w:tcPr>
          <w:p w14:paraId="56CA1A6D">
            <w:pPr>
              <w:autoSpaceDE w:val="0"/>
              <w:autoSpaceDN w:val="0"/>
              <w:rPr>
                <w:rFonts w:hint="eastAsia" w:ascii="宋体" w:hAnsi="宋体" w:eastAsia="宋体" w:cs="宋体"/>
                <w:color w:val="auto"/>
                <w:sz w:val="24"/>
                <w:szCs w:val="24"/>
                <w:highlight w:val="none"/>
              </w:rPr>
            </w:pPr>
          </w:p>
        </w:tc>
      </w:tr>
      <w:tr w14:paraId="4E560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noWrap w:val="0"/>
            <w:vAlign w:val="top"/>
          </w:tcPr>
          <w:p w14:paraId="35BDEC57">
            <w:pPr>
              <w:autoSpaceDE w:val="0"/>
              <w:autoSpaceDN w:val="0"/>
              <w:rPr>
                <w:rFonts w:hint="eastAsia" w:ascii="宋体" w:hAnsi="宋体" w:eastAsia="宋体" w:cs="宋体"/>
                <w:color w:val="auto"/>
                <w:sz w:val="24"/>
                <w:szCs w:val="24"/>
                <w:highlight w:val="none"/>
              </w:rPr>
            </w:pPr>
          </w:p>
        </w:tc>
        <w:tc>
          <w:tcPr>
            <w:tcW w:w="1152" w:type="dxa"/>
            <w:noWrap w:val="0"/>
            <w:vAlign w:val="top"/>
          </w:tcPr>
          <w:p w14:paraId="2E2FE283">
            <w:pPr>
              <w:autoSpaceDE w:val="0"/>
              <w:autoSpaceDN w:val="0"/>
              <w:rPr>
                <w:rFonts w:hint="eastAsia" w:ascii="宋体" w:hAnsi="宋体" w:eastAsia="宋体" w:cs="宋体"/>
                <w:color w:val="auto"/>
                <w:sz w:val="24"/>
                <w:szCs w:val="24"/>
                <w:highlight w:val="none"/>
              </w:rPr>
            </w:pPr>
          </w:p>
        </w:tc>
        <w:tc>
          <w:tcPr>
            <w:tcW w:w="929" w:type="dxa"/>
            <w:noWrap w:val="0"/>
            <w:vAlign w:val="top"/>
          </w:tcPr>
          <w:p w14:paraId="4C5622ED">
            <w:pPr>
              <w:autoSpaceDE w:val="0"/>
              <w:autoSpaceDN w:val="0"/>
              <w:rPr>
                <w:rFonts w:hint="eastAsia" w:ascii="宋体" w:hAnsi="宋体" w:eastAsia="宋体" w:cs="宋体"/>
                <w:color w:val="auto"/>
                <w:sz w:val="24"/>
                <w:szCs w:val="24"/>
                <w:highlight w:val="none"/>
              </w:rPr>
            </w:pPr>
          </w:p>
        </w:tc>
        <w:tc>
          <w:tcPr>
            <w:tcW w:w="1564" w:type="dxa"/>
            <w:noWrap w:val="0"/>
            <w:vAlign w:val="top"/>
          </w:tcPr>
          <w:p w14:paraId="37DE68C6">
            <w:pPr>
              <w:autoSpaceDE w:val="0"/>
              <w:autoSpaceDN w:val="0"/>
              <w:rPr>
                <w:rFonts w:hint="eastAsia" w:ascii="宋体" w:hAnsi="宋体" w:eastAsia="宋体" w:cs="宋体"/>
                <w:color w:val="auto"/>
                <w:sz w:val="24"/>
                <w:szCs w:val="24"/>
                <w:highlight w:val="none"/>
              </w:rPr>
            </w:pPr>
          </w:p>
        </w:tc>
        <w:tc>
          <w:tcPr>
            <w:tcW w:w="954" w:type="dxa"/>
            <w:noWrap w:val="0"/>
            <w:vAlign w:val="top"/>
          </w:tcPr>
          <w:p w14:paraId="2B2FADAC">
            <w:pPr>
              <w:autoSpaceDE w:val="0"/>
              <w:autoSpaceDN w:val="0"/>
              <w:rPr>
                <w:rFonts w:hint="eastAsia" w:ascii="宋体" w:hAnsi="宋体" w:eastAsia="宋体" w:cs="宋体"/>
                <w:color w:val="auto"/>
                <w:sz w:val="24"/>
                <w:szCs w:val="24"/>
                <w:highlight w:val="none"/>
              </w:rPr>
            </w:pPr>
          </w:p>
        </w:tc>
        <w:tc>
          <w:tcPr>
            <w:tcW w:w="1935" w:type="dxa"/>
            <w:noWrap w:val="0"/>
            <w:vAlign w:val="top"/>
          </w:tcPr>
          <w:p w14:paraId="00CA871B">
            <w:pPr>
              <w:autoSpaceDE w:val="0"/>
              <w:autoSpaceDN w:val="0"/>
              <w:rPr>
                <w:rFonts w:hint="eastAsia" w:ascii="宋体" w:hAnsi="宋体" w:eastAsia="宋体" w:cs="宋体"/>
                <w:color w:val="auto"/>
                <w:sz w:val="24"/>
                <w:szCs w:val="24"/>
                <w:highlight w:val="none"/>
              </w:rPr>
            </w:pPr>
          </w:p>
        </w:tc>
        <w:tc>
          <w:tcPr>
            <w:tcW w:w="788" w:type="dxa"/>
            <w:noWrap w:val="0"/>
            <w:vAlign w:val="top"/>
          </w:tcPr>
          <w:p w14:paraId="585E5EDD">
            <w:pPr>
              <w:autoSpaceDE w:val="0"/>
              <w:autoSpaceDN w:val="0"/>
              <w:rPr>
                <w:rFonts w:hint="eastAsia" w:ascii="宋体" w:hAnsi="宋体" w:eastAsia="宋体" w:cs="宋体"/>
                <w:color w:val="auto"/>
                <w:sz w:val="24"/>
                <w:szCs w:val="24"/>
                <w:highlight w:val="none"/>
              </w:rPr>
            </w:pPr>
          </w:p>
        </w:tc>
        <w:tc>
          <w:tcPr>
            <w:tcW w:w="746" w:type="dxa"/>
            <w:noWrap w:val="0"/>
            <w:vAlign w:val="top"/>
          </w:tcPr>
          <w:p w14:paraId="66573217">
            <w:pPr>
              <w:autoSpaceDE w:val="0"/>
              <w:autoSpaceDN w:val="0"/>
              <w:rPr>
                <w:rFonts w:hint="eastAsia" w:ascii="宋体" w:hAnsi="宋体" w:eastAsia="宋体" w:cs="宋体"/>
                <w:color w:val="auto"/>
                <w:sz w:val="24"/>
                <w:szCs w:val="24"/>
                <w:highlight w:val="none"/>
              </w:rPr>
            </w:pPr>
          </w:p>
        </w:tc>
      </w:tr>
      <w:tr w14:paraId="330AF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2" w:type="dxa"/>
            <w:noWrap w:val="0"/>
            <w:vAlign w:val="top"/>
          </w:tcPr>
          <w:p w14:paraId="0F05B1F1">
            <w:pPr>
              <w:autoSpaceDE w:val="0"/>
              <w:autoSpaceDN w:val="0"/>
              <w:rPr>
                <w:rFonts w:hint="eastAsia" w:ascii="宋体" w:hAnsi="宋体" w:eastAsia="宋体" w:cs="宋体"/>
                <w:color w:val="auto"/>
                <w:sz w:val="24"/>
                <w:szCs w:val="24"/>
                <w:highlight w:val="none"/>
              </w:rPr>
            </w:pPr>
          </w:p>
        </w:tc>
        <w:tc>
          <w:tcPr>
            <w:tcW w:w="1152" w:type="dxa"/>
            <w:noWrap w:val="0"/>
            <w:vAlign w:val="top"/>
          </w:tcPr>
          <w:p w14:paraId="72F77954">
            <w:pPr>
              <w:autoSpaceDE w:val="0"/>
              <w:autoSpaceDN w:val="0"/>
              <w:rPr>
                <w:rFonts w:hint="eastAsia" w:ascii="宋体" w:hAnsi="宋体" w:eastAsia="宋体" w:cs="宋体"/>
                <w:color w:val="auto"/>
                <w:sz w:val="24"/>
                <w:szCs w:val="24"/>
                <w:highlight w:val="none"/>
              </w:rPr>
            </w:pPr>
          </w:p>
        </w:tc>
        <w:tc>
          <w:tcPr>
            <w:tcW w:w="929" w:type="dxa"/>
            <w:noWrap w:val="0"/>
            <w:vAlign w:val="top"/>
          </w:tcPr>
          <w:p w14:paraId="6653CDE4">
            <w:pPr>
              <w:autoSpaceDE w:val="0"/>
              <w:autoSpaceDN w:val="0"/>
              <w:rPr>
                <w:rFonts w:hint="eastAsia" w:ascii="宋体" w:hAnsi="宋体" w:eastAsia="宋体" w:cs="宋体"/>
                <w:color w:val="auto"/>
                <w:sz w:val="24"/>
                <w:szCs w:val="24"/>
                <w:highlight w:val="none"/>
              </w:rPr>
            </w:pPr>
          </w:p>
        </w:tc>
        <w:tc>
          <w:tcPr>
            <w:tcW w:w="1564" w:type="dxa"/>
            <w:noWrap w:val="0"/>
            <w:vAlign w:val="top"/>
          </w:tcPr>
          <w:p w14:paraId="25735476">
            <w:pPr>
              <w:autoSpaceDE w:val="0"/>
              <w:autoSpaceDN w:val="0"/>
              <w:rPr>
                <w:rFonts w:hint="eastAsia" w:ascii="宋体" w:hAnsi="宋体" w:eastAsia="宋体" w:cs="宋体"/>
                <w:color w:val="auto"/>
                <w:sz w:val="24"/>
                <w:szCs w:val="24"/>
                <w:highlight w:val="none"/>
              </w:rPr>
            </w:pPr>
          </w:p>
        </w:tc>
        <w:tc>
          <w:tcPr>
            <w:tcW w:w="954" w:type="dxa"/>
            <w:noWrap w:val="0"/>
            <w:vAlign w:val="top"/>
          </w:tcPr>
          <w:p w14:paraId="0FC0D755">
            <w:pPr>
              <w:autoSpaceDE w:val="0"/>
              <w:autoSpaceDN w:val="0"/>
              <w:rPr>
                <w:rFonts w:hint="eastAsia" w:ascii="宋体" w:hAnsi="宋体" w:eastAsia="宋体" w:cs="宋体"/>
                <w:color w:val="auto"/>
                <w:sz w:val="24"/>
                <w:szCs w:val="24"/>
                <w:highlight w:val="none"/>
              </w:rPr>
            </w:pPr>
          </w:p>
        </w:tc>
        <w:tc>
          <w:tcPr>
            <w:tcW w:w="1935" w:type="dxa"/>
            <w:noWrap w:val="0"/>
            <w:vAlign w:val="top"/>
          </w:tcPr>
          <w:p w14:paraId="24FCC199">
            <w:pPr>
              <w:autoSpaceDE w:val="0"/>
              <w:autoSpaceDN w:val="0"/>
              <w:rPr>
                <w:rFonts w:hint="eastAsia" w:ascii="宋体" w:hAnsi="宋体" w:eastAsia="宋体" w:cs="宋体"/>
                <w:color w:val="auto"/>
                <w:sz w:val="24"/>
                <w:szCs w:val="24"/>
                <w:highlight w:val="none"/>
              </w:rPr>
            </w:pPr>
          </w:p>
        </w:tc>
        <w:tc>
          <w:tcPr>
            <w:tcW w:w="788" w:type="dxa"/>
            <w:noWrap w:val="0"/>
            <w:vAlign w:val="top"/>
          </w:tcPr>
          <w:p w14:paraId="54AE3017">
            <w:pPr>
              <w:autoSpaceDE w:val="0"/>
              <w:autoSpaceDN w:val="0"/>
              <w:rPr>
                <w:rFonts w:hint="eastAsia" w:ascii="宋体" w:hAnsi="宋体" w:eastAsia="宋体" w:cs="宋体"/>
                <w:color w:val="auto"/>
                <w:sz w:val="24"/>
                <w:szCs w:val="24"/>
                <w:highlight w:val="none"/>
              </w:rPr>
            </w:pPr>
          </w:p>
        </w:tc>
        <w:tc>
          <w:tcPr>
            <w:tcW w:w="746" w:type="dxa"/>
            <w:noWrap w:val="0"/>
            <w:vAlign w:val="top"/>
          </w:tcPr>
          <w:p w14:paraId="00AFAD65">
            <w:pPr>
              <w:autoSpaceDE w:val="0"/>
              <w:autoSpaceDN w:val="0"/>
              <w:rPr>
                <w:rFonts w:hint="eastAsia" w:ascii="宋体" w:hAnsi="宋体" w:eastAsia="宋体" w:cs="宋体"/>
                <w:color w:val="auto"/>
                <w:sz w:val="24"/>
                <w:szCs w:val="24"/>
                <w:highlight w:val="none"/>
              </w:rPr>
            </w:pPr>
          </w:p>
        </w:tc>
      </w:tr>
      <w:tr w14:paraId="44BBE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noWrap w:val="0"/>
            <w:vAlign w:val="top"/>
          </w:tcPr>
          <w:p w14:paraId="2196AB9C">
            <w:pPr>
              <w:autoSpaceDE w:val="0"/>
              <w:autoSpaceDN w:val="0"/>
              <w:rPr>
                <w:rFonts w:hint="eastAsia" w:ascii="宋体" w:hAnsi="宋体" w:eastAsia="宋体" w:cs="宋体"/>
                <w:color w:val="auto"/>
                <w:sz w:val="24"/>
                <w:szCs w:val="24"/>
                <w:highlight w:val="none"/>
              </w:rPr>
            </w:pPr>
          </w:p>
        </w:tc>
        <w:tc>
          <w:tcPr>
            <w:tcW w:w="1152" w:type="dxa"/>
            <w:noWrap w:val="0"/>
            <w:vAlign w:val="top"/>
          </w:tcPr>
          <w:p w14:paraId="633FBFD7">
            <w:pPr>
              <w:autoSpaceDE w:val="0"/>
              <w:autoSpaceDN w:val="0"/>
              <w:rPr>
                <w:rFonts w:hint="eastAsia" w:ascii="宋体" w:hAnsi="宋体" w:eastAsia="宋体" w:cs="宋体"/>
                <w:color w:val="auto"/>
                <w:sz w:val="24"/>
                <w:szCs w:val="24"/>
                <w:highlight w:val="none"/>
              </w:rPr>
            </w:pPr>
          </w:p>
        </w:tc>
        <w:tc>
          <w:tcPr>
            <w:tcW w:w="929" w:type="dxa"/>
            <w:noWrap w:val="0"/>
            <w:vAlign w:val="top"/>
          </w:tcPr>
          <w:p w14:paraId="2A71C8E7">
            <w:pPr>
              <w:autoSpaceDE w:val="0"/>
              <w:autoSpaceDN w:val="0"/>
              <w:rPr>
                <w:rFonts w:hint="eastAsia" w:ascii="宋体" w:hAnsi="宋体" w:eastAsia="宋体" w:cs="宋体"/>
                <w:color w:val="auto"/>
                <w:sz w:val="24"/>
                <w:szCs w:val="24"/>
                <w:highlight w:val="none"/>
              </w:rPr>
            </w:pPr>
          </w:p>
        </w:tc>
        <w:tc>
          <w:tcPr>
            <w:tcW w:w="1564" w:type="dxa"/>
            <w:noWrap w:val="0"/>
            <w:vAlign w:val="top"/>
          </w:tcPr>
          <w:p w14:paraId="4B51245F">
            <w:pPr>
              <w:autoSpaceDE w:val="0"/>
              <w:autoSpaceDN w:val="0"/>
              <w:rPr>
                <w:rFonts w:hint="eastAsia" w:ascii="宋体" w:hAnsi="宋体" w:eastAsia="宋体" w:cs="宋体"/>
                <w:color w:val="auto"/>
                <w:sz w:val="24"/>
                <w:szCs w:val="24"/>
                <w:highlight w:val="none"/>
              </w:rPr>
            </w:pPr>
          </w:p>
        </w:tc>
        <w:tc>
          <w:tcPr>
            <w:tcW w:w="954" w:type="dxa"/>
            <w:noWrap w:val="0"/>
            <w:vAlign w:val="top"/>
          </w:tcPr>
          <w:p w14:paraId="5BAF70CD">
            <w:pPr>
              <w:autoSpaceDE w:val="0"/>
              <w:autoSpaceDN w:val="0"/>
              <w:rPr>
                <w:rFonts w:hint="eastAsia" w:ascii="宋体" w:hAnsi="宋体" w:eastAsia="宋体" w:cs="宋体"/>
                <w:color w:val="auto"/>
                <w:sz w:val="24"/>
                <w:szCs w:val="24"/>
                <w:highlight w:val="none"/>
              </w:rPr>
            </w:pPr>
          </w:p>
        </w:tc>
        <w:tc>
          <w:tcPr>
            <w:tcW w:w="1935" w:type="dxa"/>
            <w:noWrap w:val="0"/>
            <w:vAlign w:val="top"/>
          </w:tcPr>
          <w:p w14:paraId="4AB72428">
            <w:pPr>
              <w:autoSpaceDE w:val="0"/>
              <w:autoSpaceDN w:val="0"/>
              <w:rPr>
                <w:rFonts w:hint="eastAsia" w:ascii="宋体" w:hAnsi="宋体" w:eastAsia="宋体" w:cs="宋体"/>
                <w:color w:val="auto"/>
                <w:sz w:val="24"/>
                <w:szCs w:val="24"/>
                <w:highlight w:val="none"/>
              </w:rPr>
            </w:pPr>
          </w:p>
        </w:tc>
        <w:tc>
          <w:tcPr>
            <w:tcW w:w="788" w:type="dxa"/>
            <w:noWrap w:val="0"/>
            <w:vAlign w:val="top"/>
          </w:tcPr>
          <w:p w14:paraId="1B9706E5">
            <w:pPr>
              <w:autoSpaceDE w:val="0"/>
              <w:autoSpaceDN w:val="0"/>
              <w:rPr>
                <w:rFonts w:hint="eastAsia" w:ascii="宋体" w:hAnsi="宋体" w:eastAsia="宋体" w:cs="宋体"/>
                <w:color w:val="auto"/>
                <w:sz w:val="24"/>
                <w:szCs w:val="24"/>
                <w:highlight w:val="none"/>
              </w:rPr>
            </w:pPr>
          </w:p>
        </w:tc>
        <w:tc>
          <w:tcPr>
            <w:tcW w:w="746" w:type="dxa"/>
            <w:noWrap w:val="0"/>
            <w:vAlign w:val="top"/>
          </w:tcPr>
          <w:p w14:paraId="74681FE5">
            <w:pPr>
              <w:autoSpaceDE w:val="0"/>
              <w:autoSpaceDN w:val="0"/>
              <w:rPr>
                <w:rFonts w:hint="eastAsia" w:ascii="宋体" w:hAnsi="宋体" w:eastAsia="宋体" w:cs="宋体"/>
                <w:color w:val="auto"/>
                <w:sz w:val="24"/>
                <w:szCs w:val="24"/>
                <w:highlight w:val="none"/>
              </w:rPr>
            </w:pPr>
          </w:p>
        </w:tc>
      </w:tr>
      <w:tr w14:paraId="7236D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2" w:type="dxa"/>
            <w:noWrap w:val="0"/>
            <w:vAlign w:val="top"/>
          </w:tcPr>
          <w:p w14:paraId="5A4AB2DC">
            <w:pPr>
              <w:autoSpaceDE w:val="0"/>
              <w:autoSpaceDN w:val="0"/>
              <w:rPr>
                <w:rFonts w:hint="eastAsia" w:ascii="宋体" w:hAnsi="宋体" w:eastAsia="宋体" w:cs="宋体"/>
                <w:color w:val="auto"/>
                <w:sz w:val="24"/>
                <w:szCs w:val="24"/>
                <w:highlight w:val="none"/>
              </w:rPr>
            </w:pPr>
          </w:p>
        </w:tc>
        <w:tc>
          <w:tcPr>
            <w:tcW w:w="1152" w:type="dxa"/>
            <w:noWrap w:val="0"/>
            <w:vAlign w:val="top"/>
          </w:tcPr>
          <w:p w14:paraId="290F0EB9">
            <w:pPr>
              <w:autoSpaceDE w:val="0"/>
              <w:autoSpaceDN w:val="0"/>
              <w:rPr>
                <w:rFonts w:hint="eastAsia" w:ascii="宋体" w:hAnsi="宋体" w:eastAsia="宋体" w:cs="宋体"/>
                <w:color w:val="auto"/>
                <w:sz w:val="24"/>
                <w:szCs w:val="24"/>
                <w:highlight w:val="none"/>
              </w:rPr>
            </w:pPr>
          </w:p>
        </w:tc>
        <w:tc>
          <w:tcPr>
            <w:tcW w:w="929" w:type="dxa"/>
            <w:noWrap w:val="0"/>
            <w:vAlign w:val="top"/>
          </w:tcPr>
          <w:p w14:paraId="2FCA48FD">
            <w:pPr>
              <w:autoSpaceDE w:val="0"/>
              <w:autoSpaceDN w:val="0"/>
              <w:rPr>
                <w:rFonts w:hint="eastAsia" w:ascii="宋体" w:hAnsi="宋体" w:eastAsia="宋体" w:cs="宋体"/>
                <w:color w:val="auto"/>
                <w:sz w:val="24"/>
                <w:szCs w:val="24"/>
                <w:highlight w:val="none"/>
              </w:rPr>
            </w:pPr>
          </w:p>
        </w:tc>
        <w:tc>
          <w:tcPr>
            <w:tcW w:w="1564" w:type="dxa"/>
            <w:noWrap w:val="0"/>
            <w:vAlign w:val="top"/>
          </w:tcPr>
          <w:p w14:paraId="3857EA55">
            <w:pPr>
              <w:autoSpaceDE w:val="0"/>
              <w:autoSpaceDN w:val="0"/>
              <w:rPr>
                <w:rFonts w:hint="eastAsia" w:ascii="宋体" w:hAnsi="宋体" w:eastAsia="宋体" w:cs="宋体"/>
                <w:color w:val="auto"/>
                <w:sz w:val="24"/>
                <w:szCs w:val="24"/>
                <w:highlight w:val="none"/>
              </w:rPr>
            </w:pPr>
          </w:p>
        </w:tc>
        <w:tc>
          <w:tcPr>
            <w:tcW w:w="954" w:type="dxa"/>
            <w:noWrap w:val="0"/>
            <w:vAlign w:val="top"/>
          </w:tcPr>
          <w:p w14:paraId="59C00E11">
            <w:pPr>
              <w:autoSpaceDE w:val="0"/>
              <w:autoSpaceDN w:val="0"/>
              <w:rPr>
                <w:rFonts w:hint="eastAsia" w:ascii="宋体" w:hAnsi="宋体" w:eastAsia="宋体" w:cs="宋体"/>
                <w:color w:val="auto"/>
                <w:sz w:val="24"/>
                <w:szCs w:val="24"/>
                <w:highlight w:val="none"/>
              </w:rPr>
            </w:pPr>
          </w:p>
        </w:tc>
        <w:tc>
          <w:tcPr>
            <w:tcW w:w="1935" w:type="dxa"/>
            <w:noWrap w:val="0"/>
            <w:vAlign w:val="top"/>
          </w:tcPr>
          <w:p w14:paraId="27DED2C9">
            <w:pPr>
              <w:autoSpaceDE w:val="0"/>
              <w:autoSpaceDN w:val="0"/>
              <w:rPr>
                <w:rFonts w:hint="eastAsia" w:ascii="宋体" w:hAnsi="宋体" w:eastAsia="宋体" w:cs="宋体"/>
                <w:color w:val="auto"/>
                <w:sz w:val="24"/>
                <w:szCs w:val="24"/>
                <w:highlight w:val="none"/>
              </w:rPr>
            </w:pPr>
          </w:p>
        </w:tc>
        <w:tc>
          <w:tcPr>
            <w:tcW w:w="788" w:type="dxa"/>
            <w:noWrap w:val="0"/>
            <w:vAlign w:val="top"/>
          </w:tcPr>
          <w:p w14:paraId="6739B22F">
            <w:pPr>
              <w:autoSpaceDE w:val="0"/>
              <w:autoSpaceDN w:val="0"/>
              <w:rPr>
                <w:rFonts w:hint="eastAsia" w:ascii="宋体" w:hAnsi="宋体" w:eastAsia="宋体" w:cs="宋体"/>
                <w:color w:val="auto"/>
                <w:sz w:val="24"/>
                <w:szCs w:val="24"/>
                <w:highlight w:val="none"/>
              </w:rPr>
            </w:pPr>
          </w:p>
        </w:tc>
        <w:tc>
          <w:tcPr>
            <w:tcW w:w="746" w:type="dxa"/>
            <w:noWrap w:val="0"/>
            <w:vAlign w:val="top"/>
          </w:tcPr>
          <w:p w14:paraId="76E0C1ED">
            <w:pPr>
              <w:autoSpaceDE w:val="0"/>
              <w:autoSpaceDN w:val="0"/>
              <w:rPr>
                <w:rFonts w:hint="eastAsia" w:ascii="宋体" w:hAnsi="宋体" w:eastAsia="宋体" w:cs="宋体"/>
                <w:color w:val="auto"/>
                <w:sz w:val="24"/>
                <w:szCs w:val="24"/>
                <w:highlight w:val="none"/>
              </w:rPr>
            </w:pPr>
          </w:p>
        </w:tc>
      </w:tr>
      <w:tr w14:paraId="0581C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noWrap w:val="0"/>
            <w:vAlign w:val="top"/>
          </w:tcPr>
          <w:p w14:paraId="7CD30EBA">
            <w:pPr>
              <w:autoSpaceDE w:val="0"/>
              <w:autoSpaceDN w:val="0"/>
              <w:rPr>
                <w:rFonts w:hint="eastAsia" w:ascii="宋体" w:hAnsi="宋体" w:eastAsia="宋体" w:cs="宋体"/>
                <w:color w:val="auto"/>
                <w:sz w:val="24"/>
                <w:szCs w:val="24"/>
                <w:highlight w:val="none"/>
              </w:rPr>
            </w:pPr>
          </w:p>
        </w:tc>
        <w:tc>
          <w:tcPr>
            <w:tcW w:w="1152" w:type="dxa"/>
            <w:noWrap w:val="0"/>
            <w:vAlign w:val="top"/>
          </w:tcPr>
          <w:p w14:paraId="24E6CA64">
            <w:pPr>
              <w:autoSpaceDE w:val="0"/>
              <w:autoSpaceDN w:val="0"/>
              <w:rPr>
                <w:rFonts w:hint="eastAsia" w:ascii="宋体" w:hAnsi="宋体" w:eastAsia="宋体" w:cs="宋体"/>
                <w:color w:val="auto"/>
                <w:sz w:val="24"/>
                <w:szCs w:val="24"/>
                <w:highlight w:val="none"/>
              </w:rPr>
            </w:pPr>
          </w:p>
        </w:tc>
        <w:tc>
          <w:tcPr>
            <w:tcW w:w="929" w:type="dxa"/>
            <w:noWrap w:val="0"/>
            <w:vAlign w:val="top"/>
          </w:tcPr>
          <w:p w14:paraId="509B825A">
            <w:pPr>
              <w:autoSpaceDE w:val="0"/>
              <w:autoSpaceDN w:val="0"/>
              <w:rPr>
                <w:rFonts w:hint="eastAsia" w:ascii="宋体" w:hAnsi="宋体" w:eastAsia="宋体" w:cs="宋体"/>
                <w:color w:val="auto"/>
                <w:sz w:val="24"/>
                <w:szCs w:val="24"/>
                <w:highlight w:val="none"/>
              </w:rPr>
            </w:pPr>
          </w:p>
        </w:tc>
        <w:tc>
          <w:tcPr>
            <w:tcW w:w="1564" w:type="dxa"/>
            <w:noWrap w:val="0"/>
            <w:vAlign w:val="top"/>
          </w:tcPr>
          <w:p w14:paraId="445D62ED">
            <w:pPr>
              <w:autoSpaceDE w:val="0"/>
              <w:autoSpaceDN w:val="0"/>
              <w:rPr>
                <w:rFonts w:hint="eastAsia" w:ascii="宋体" w:hAnsi="宋体" w:eastAsia="宋体" w:cs="宋体"/>
                <w:color w:val="auto"/>
                <w:sz w:val="24"/>
                <w:szCs w:val="24"/>
                <w:highlight w:val="none"/>
              </w:rPr>
            </w:pPr>
          </w:p>
        </w:tc>
        <w:tc>
          <w:tcPr>
            <w:tcW w:w="954" w:type="dxa"/>
            <w:noWrap w:val="0"/>
            <w:vAlign w:val="top"/>
          </w:tcPr>
          <w:p w14:paraId="596A90F4">
            <w:pPr>
              <w:autoSpaceDE w:val="0"/>
              <w:autoSpaceDN w:val="0"/>
              <w:rPr>
                <w:rFonts w:hint="eastAsia" w:ascii="宋体" w:hAnsi="宋体" w:eastAsia="宋体" w:cs="宋体"/>
                <w:color w:val="auto"/>
                <w:sz w:val="24"/>
                <w:szCs w:val="24"/>
                <w:highlight w:val="none"/>
              </w:rPr>
            </w:pPr>
          </w:p>
        </w:tc>
        <w:tc>
          <w:tcPr>
            <w:tcW w:w="1935" w:type="dxa"/>
            <w:noWrap w:val="0"/>
            <w:vAlign w:val="top"/>
          </w:tcPr>
          <w:p w14:paraId="3ABBCCA1">
            <w:pPr>
              <w:autoSpaceDE w:val="0"/>
              <w:autoSpaceDN w:val="0"/>
              <w:rPr>
                <w:rFonts w:hint="eastAsia" w:ascii="宋体" w:hAnsi="宋体" w:eastAsia="宋体" w:cs="宋体"/>
                <w:color w:val="auto"/>
                <w:sz w:val="24"/>
                <w:szCs w:val="24"/>
                <w:highlight w:val="none"/>
              </w:rPr>
            </w:pPr>
          </w:p>
        </w:tc>
        <w:tc>
          <w:tcPr>
            <w:tcW w:w="788" w:type="dxa"/>
            <w:noWrap w:val="0"/>
            <w:vAlign w:val="top"/>
          </w:tcPr>
          <w:p w14:paraId="7B3B85FB">
            <w:pPr>
              <w:autoSpaceDE w:val="0"/>
              <w:autoSpaceDN w:val="0"/>
              <w:rPr>
                <w:rFonts w:hint="eastAsia" w:ascii="宋体" w:hAnsi="宋体" w:eastAsia="宋体" w:cs="宋体"/>
                <w:color w:val="auto"/>
                <w:sz w:val="24"/>
                <w:szCs w:val="24"/>
                <w:highlight w:val="none"/>
              </w:rPr>
            </w:pPr>
          </w:p>
        </w:tc>
        <w:tc>
          <w:tcPr>
            <w:tcW w:w="746" w:type="dxa"/>
            <w:noWrap w:val="0"/>
            <w:vAlign w:val="top"/>
          </w:tcPr>
          <w:p w14:paraId="642B19E5">
            <w:pPr>
              <w:autoSpaceDE w:val="0"/>
              <w:autoSpaceDN w:val="0"/>
              <w:rPr>
                <w:rFonts w:hint="eastAsia" w:ascii="宋体" w:hAnsi="宋体" w:eastAsia="宋体" w:cs="宋体"/>
                <w:color w:val="auto"/>
                <w:sz w:val="24"/>
                <w:szCs w:val="24"/>
                <w:highlight w:val="none"/>
              </w:rPr>
            </w:pPr>
          </w:p>
        </w:tc>
      </w:tr>
      <w:tr w14:paraId="6A511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noWrap w:val="0"/>
            <w:vAlign w:val="top"/>
          </w:tcPr>
          <w:p w14:paraId="3E38F24E">
            <w:pPr>
              <w:autoSpaceDE w:val="0"/>
              <w:autoSpaceDN w:val="0"/>
              <w:rPr>
                <w:rFonts w:hint="eastAsia" w:ascii="宋体" w:hAnsi="宋体" w:eastAsia="宋体" w:cs="宋体"/>
                <w:color w:val="auto"/>
                <w:sz w:val="24"/>
                <w:szCs w:val="24"/>
                <w:highlight w:val="none"/>
              </w:rPr>
            </w:pPr>
          </w:p>
        </w:tc>
        <w:tc>
          <w:tcPr>
            <w:tcW w:w="1152" w:type="dxa"/>
            <w:noWrap w:val="0"/>
            <w:vAlign w:val="top"/>
          </w:tcPr>
          <w:p w14:paraId="7DE712E2">
            <w:pPr>
              <w:autoSpaceDE w:val="0"/>
              <w:autoSpaceDN w:val="0"/>
              <w:rPr>
                <w:rFonts w:hint="eastAsia" w:ascii="宋体" w:hAnsi="宋体" w:eastAsia="宋体" w:cs="宋体"/>
                <w:color w:val="auto"/>
                <w:sz w:val="24"/>
                <w:szCs w:val="24"/>
                <w:highlight w:val="none"/>
              </w:rPr>
            </w:pPr>
          </w:p>
        </w:tc>
        <w:tc>
          <w:tcPr>
            <w:tcW w:w="929" w:type="dxa"/>
            <w:noWrap w:val="0"/>
            <w:vAlign w:val="top"/>
          </w:tcPr>
          <w:p w14:paraId="243FFE04">
            <w:pPr>
              <w:autoSpaceDE w:val="0"/>
              <w:autoSpaceDN w:val="0"/>
              <w:rPr>
                <w:rFonts w:hint="eastAsia" w:ascii="宋体" w:hAnsi="宋体" w:eastAsia="宋体" w:cs="宋体"/>
                <w:color w:val="auto"/>
                <w:sz w:val="24"/>
                <w:szCs w:val="24"/>
                <w:highlight w:val="none"/>
              </w:rPr>
            </w:pPr>
          </w:p>
        </w:tc>
        <w:tc>
          <w:tcPr>
            <w:tcW w:w="1564" w:type="dxa"/>
            <w:noWrap w:val="0"/>
            <w:vAlign w:val="top"/>
          </w:tcPr>
          <w:p w14:paraId="5B707143">
            <w:pPr>
              <w:autoSpaceDE w:val="0"/>
              <w:autoSpaceDN w:val="0"/>
              <w:rPr>
                <w:rFonts w:hint="eastAsia" w:ascii="宋体" w:hAnsi="宋体" w:eastAsia="宋体" w:cs="宋体"/>
                <w:color w:val="auto"/>
                <w:sz w:val="24"/>
                <w:szCs w:val="24"/>
                <w:highlight w:val="none"/>
              </w:rPr>
            </w:pPr>
          </w:p>
        </w:tc>
        <w:tc>
          <w:tcPr>
            <w:tcW w:w="954" w:type="dxa"/>
            <w:noWrap w:val="0"/>
            <w:vAlign w:val="top"/>
          </w:tcPr>
          <w:p w14:paraId="3C8C762C">
            <w:pPr>
              <w:autoSpaceDE w:val="0"/>
              <w:autoSpaceDN w:val="0"/>
              <w:rPr>
                <w:rFonts w:hint="eastAsia" w:ascii="宋体" w:hAnsi="宋体" w:eastAsia="宋体" w:cs="宋体"/>
                <w:color w:val="auto"/>
                <w:sz w:val="24"/>
                <w:szCs w:val="24"/>
                <w:highlight w:val="none"/>
              </w:rPr>
            </w:pPr>
          </w:p>
        </w:tc>
        <w:tc>
          <w:tcPr>
            <w:tcW w:w="1935" w:type="dxa"/>
            <w:noWrap w:val="0"/>
            <w:vAlign w:val="top"/>
          </w:tcPr>
          <w:p w14:paraId="45B3DA4F">
            <w:pPr>
              <w:autoSpaceDE w:val="0"/>
              <w:autoSpaceDN w:val="0"/>
              <w:rPr>
                <w:rFonts w:hint="eastAsia" w:ascii="宋体" w:hAnsi="宋体" w:eastAsia="宋体" w:cs="宋体"/>
                <w:color w:val="auto"/>
                <w:sz w:val="24"/>
                <w:szCs w:val="24"/>
                <w:highlight w:val="none"/>
              </w:rPr>
            </w:pPr>
          </w:p>
        </w:tc>
        <w:tc>
          <w:tcPr>
            <w:tcW w:w="788" w:type="dxa"/>
            <w:noWrap w:val="0"/>
            <w:vAlign w:val="top"/>
          </w:tcPr>
          <w:p w14:paraId="0CD4FE15">
            <w:pPr>
              <w:autoSpaceDE w:val="0"/>
              <w:autoSpaceDN w:val="0"/>
              <w:rPr>
                <w:rFonts w:hint="eastAsia" w:ascii="宋体" w:hAnsi="宋体" w:eastAsia="宋体" w:cs="宋体"/>
                <w:color w:val="auto"/>
                <w:sz w:val="24"/>
                <w:szCs w:val="24"/>
                <w:highlight w:val="none"/>
              </w:rPr>
            </w:pPr>
          </w:p>
        </w:tc>
        <w:tc>
          <w:tcPr>
            <w:tcW w:w="746" w:type="dxa"/>
            <w:noWrap w:val="0"/>
            <w:vAlign w:val="top"/>
          </w:tcPr>
          <w:p w14:paraId="64D74E4D">
            <w:pPr>
              <w:autoSpaceDE w:val="0"/>
              <w:autoSpaceDN w:val="0"/>
              <w:rPr>
                <w:rFonts w:hint="eastAsia" w:ascii="宋体" w:hAnsi="宋体" w:eastAsia="宋体" w:cs="宋体"/>
                <w:color w:val="auto"/>
                <w:sz w:val="24"/>
                <w:szCs w:val="24"/>
                <w:highlight w:val="none"/>
              </w:rPr>
            </w:pPr>
          </w:p>
        </w:tc>
      </w:tr>
      <w:tr w14:paraId="36E8B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noWrap w:val="0"/>
            <w:vAlign w:val="top"/>
          </w:tcPr>
          <w:p w14:paraId="4CB84F99">
            <w:pPr>
              <w:autoSpaceDE w:val="0"/>
              <w:autoSpaceDN w:val="0"/>
              <w:rPr>
                <w:rFonts w:hint="eastAsia" w:ascii="宋体" w:hAnsi="宋体" w:eastAsia="宋体" w:cs="宋体"/>
                <w:color w:val="auto"/>
                <w:sz w:val="24"/>
                <w:szCs w:val="24"/>
                <w:highlight w:val="none"/>
              </w:rPr>
            </w:pPr>
          </w:p>
        </w:tc>
        <w:tc>
          <w:tcPr>
            <w:tcW w:w="1152" w:type="dxa"/>
            <w:noWrap w:val="0"/>
            <w:vAlign w:val="top"/>
          </w:tcPr>
          <w:p w14:paraId="5F0DEB45">
            <w:pPr>
              <w:autoSpaceDE w:val="0"/>
              <w:autoSpaceDN w:val="0"/>
              <w:rPr>
                <w:rFonts w:hint="eastAsia" w:ascii="宋体" w:hAnsi="宋体" w:eastAsia="宋体" w:cs="宋体"/>
                <w:color w:val="auto"/>
                <w:sz w:val="24"/>
                <w:szCs w:val="24"/>
                <w:highlight w:val="none"/>
              </w:rPr>
            </w:pPr>
          </w:p>
        </w:tc>
        <w:tc>
          <w:tcPr>
            <w:tcW w:w="929" w:type="dxa"/>
            <w:noWrap w:val="0"/>
            <w:vAlign w:val="top"/>
          </w:tcPr>
          <w:p w14:paraId="126796F4">
            <w:pPr>
              <w:autoSpaceDE w:val="0"/>
              <w:autoSpaceDN w:val="0"/>
              <w:rPr>
                <w:rFonts w:hint="eastAsia" w:ascii="宋体" w:hAnsi="宋体" w:eastAsia="宋体" w:cs="宋体"/>
                <w:color w:val="auto"/>
                <w:sz w:val="24"/>
                <w:szCs w:val="24"/>
                <w:highlight w:val="none"/>
              </w:rPr>
            </w:pPr>
          </w:p>
        </w:tc>
        <w:tc>
          <w:tcPr>
            <w:tcW w:w="1564" w:type="dxa"/>
            <w:noWrap w:val="0"/>
            <w:vAlign w:val="top"/>
          </w:tcPr>
          <w:p w14:paraId="2D1B0F34">
            <w:pPr>
              <w:autoSpaceDE w:val="0"/>
              <w:autoSpaceDN w:val="0"/>
              <w:rPr>
                <w:rFonts w:hint="eastAsia" w:ascii="宋体" w:hAnsi="宋体" w:eastAsia="宋体" w:cs="宋体"/>
                <w:color w:val="auto"/>
                <w:sz w:val="24"/>
                <w:szCs w:val="24"/>
                <w:highlight w:val="none"/>
              </w:rPr>
            </w:pPr>
          </w:p>
        </w:tc>
        <w:tc>
          <w:tcPr>
            <w:tcW w:w="954" w:type="dxa"/>
            <w:noWrap w:val="0"/>
            <w:vAlign w:val="top"/>
          </w:tcPr>
          <w:p w14:paraId="70D20A34">
            <w:pPr>
              <w:autoSpaceDE w:val="0"/>
              <w:autoSpaceDN w:val="0"/>
              <w:rPr>
                <w:rFonts w:hint="eastAsia" w:ascii="宋体" w:hAnsi="宋体" w:eastAsia="宋体" w:cs="宋体"/>
                <w:color w:val="auto"/>
                <w:sz w:val="24"/>
                <w:szCs w:val="24"/>
                <w:highlight w:val="none"/>
              </w:rPr>
            </w:pPr>
          </w:p>
        </w:tc>
        <w:tc>
          <w:tcPr>
            <w:tcW w:w="1935" w:type="dxa"/>
            <w:noWrap w:val="0"/>
            <w:vAlign w:val="top"/>
          </w:tcPr>
          <w:p w14:paraId="4606AEDA">
            <w:pPr>
              <w:autoSpaceDE w:val="0"/>
              <w:autoSpaceDN w:val="0"/>
              <w:rPr>
                <w:rFonts w:hint="eastAsia" w:ascii="宋体" w:hAnsi="宋体" w:eastAsia="宋体" w:cs="宋体"/>
                <w:color w:val="auto"/>
                <w:sz w:val="24"/>
                <w:szCs w:val="24"/>
                <w:highlight w:val="none"/>
              </w:rPr>
            </w:pPr>
          </w:p>
        </w:tc>
        <w:tc>
          <w:tcPr>
            <w:tcW w:w="788" w:type="dxa"/>
            <w:noWrap w:val="0"/>
            <w:vAlign w:val="top"/>
          </w:tcPr>
          <w:p w14:paraId="4AD0032E">
            <w:pPr>
              <w:autoSpaceDE w:val="0"/>
              <w:autoSpaceDN w:val="0"/>
              <w:rPr>
                <w:rFonts w:hint="eastAsia" w:ascii="宋体" w:hAnsi="宋体" w:eastAsia="宋体" w:cs="宋体"/>
                <w:color w:val="auto"/>
                <w:sz w:val="24"/>
                <w:szCs w:val="24"/>
                <w:highlight w:val="none"/>
              </w:rPr>
            </w:pPr>
          </w:p>
        </w:tc>
        <w:tc>
          <w:tcPr>
            <w:tcW w:w="746" w:type="dxa"/>
            <w:noWrap w:val="0"/>
            <w:vAlign w:val="top"/>
          </w:tcPr>
          <w:p w14:paraId="29BDE32E">
            <w:pPr>
              <w:autoSpaceDE w:val="0"/>
              <w:autoSpaceDN w:val="0"/>
              <w:rPr>
                <w:rFonts w:hint="eastAsia" w:ascii="宋体" w:hAnsi="宋体" w:eastAsia="宋体" w:cs="宋体"/>
                <w:color w:val="auto"/>
                <w:sz w:val="24"/>
                <w:szCs w:val="24"/>
                <w:highlight w:val="none"/>
              </w:rPr>
            </w:pPr>
          </w:p>
        </w:tc>
      </w:tr>
      <w:tr w14:paraId="6ECB3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2" w:type="dxa"/>
            <w:noWrap w:val="0"/>
            <w:vAlign w:val="top"/>
          </w:tcPr>
          <w:p w14:paraId="073BCB06">
            <w:pPr>
              <w:autoSpaceDE w:val="0"/>
              <w:autoSpaceDN w:val="0"/>
              <w:rPr>
                <w:rFonts w:hint="eastAsia" w:ascii="宋体" w:hAnsi="宋体" w:eastAsia="宋体" w:cs="宋体"/>
                <w:color w:val="auto"/>
                <w:sz w:val="24"/>
                <w:szCs w:val="24"/>
                <w:highlight w:val="none"/>
              </w:rPr>
            </w:pPr>
          </w:p>
        </w:tc>
        <w:tc>
          <w:tcPr>
            <w:tcW w:w="1152" w:type="dxa"/>
            <w:noWrap w:val="0"/>
            <w:vAlign w:val="top"/>
          </w:tcPr>
          <w:p w14:paraId="16B87F85">
            <w:pPr>
              <w:autoSpaceDE w:val="0"/>
              <w:autoSpaceDN w:val="0"/>
              <w:rPr>
                <w:rFonts w:hint="eastAsia" w:ascii="宋体" w:hAnsi="宋体" w:eastAsia="宋体" w:cs="宋体"/>
                <w:color w:val="auto"/>
                <w:sz w:val="24"/>
                <w:szCs w:val="24"/>
                <w:highlight w:val="none"/>
              </w:rPr>
            </w:pPr>
          </w:p>
        </w:tc>
        <w:tc>
          <w:tcPr>
            <w:tcW w:w="929" w:type="dxa"/>
            <w:noWrap w:val="0"/>
            <w:vAlign w:val="top"/>
          </w:tcPr>
          <w:p w14:paraId="3BA9F302">
            <w:pPr>
              <w:autoSpaceDE w:val="0"/>
              <w:autoSpaceDN w:val="0"/>
              <w:rPr>
                <w:rFonts w:hint="eastAsia" w:ascii="宋体" w:hAnsi="宋体" w:eastAsia="宋体" w:cs="宋体"/>
                <w:color w:val="auto"/>
                <w:sz w:val="24"/>
                <w:szCs w:val="24"/>
                <w:highlight w:val="none"/>
              </w:rPr>
            </w:pPr>
          </w:p>
        </w:tc>
        <w:tc>
          <w:tcPr>
            <w:tcW w:w="1564" w:type="dxa"/>
            <w:noWrap w:val="0"/>
            <w:vAlign w:val="top"/>
          </w:tcPr>
          <w:p w14:paraId="73A0C115">
            <w:pPr>
              <w:autoSpaceDE w:val="0"/>
              <w:autoSpaceDN w:val="0"/>
              <w:rPr>
                <w:rFonts w:hint="eastAsia" w:ascii="宋体" w:hAnsi="宋体" w:eastAsia="宋体" w:cs="宋体"/>
                <w:color w:val="auto"/>
                <w:sz w:val="24"/>
                <w:szCs w:val="24"/>
                <w:highlight w:val="none"/>
              </w:rPr>
            </w:pPr>
          </w:p>
        </w:tc>
        <w:tc>
          <w:tcPr>
            <w:tcW w:w="954" w:type="dxa"/>
            <w:noWrap w:val="0"/>
            <w:vAlign w:val="top"/>
          </w:tcPr>
          <w:p w14:paraId="4EEEA8B9">
            <w:pPr>
              <w:autoSpaceDE w:val="0"/>
              <w:autoSpaceDN w:val="0"/>
              <w:rPr>
                <w:rFonts w:hint="eastAsia" w:ascii="宋体" w:hAnsi="宋体" w:eastAsia="宋体" w:cs="宋体"/>
                <w:color w:val="auto"/>
                <w:sz w:val="24"/>
                <w:szCs w:val="24"/>
                <w:highlight w:val="none"/>
              </w:rPr>
            </w:pPr>
          </w:p>
        </w:tc>
        <w:tc>
          <w:tcPr>
            <w:tcW w:w="1935" w:type="dxa"/>
            <w:noWrap w:val="0"/>
            <w:vAlign w:val="top"/>
          </w:tcPr>
          <w:p w14:paraId="1DF8A8D8">
            <w:pPr>
              <w:autoSpaceDE w:val="0"/>
              <w:autoSpaceDN w:val="0"/>
              <w:rPr>
                <w:rFonts w:hint="eastAsia" w:ascii="宋体" w:hAnsi="宋体" w:eastAsia="宋体" w:cs="宋体"/>
                <w:color w:val="auto"/>
                <w:sz w:val="24"/>
                <w:szCs w:val="24"/>
                <w:highlight w:val="none"/>
              </w:rPr>
            </w:pPr>
          </w:p>
        </w:tc>
        <w:tc>
          <w:tcPr>
            <w:tcW w:w="788" w:type="dxa"/>
            <w:noWrap w:val="0"/>
            <w:vAlign w:val="top"/>
          </w:tcPr>
          <w:p w14:paraId="06110B28">
            <w:pPr>
              <w:autoSpaceDE w:val="0"/>
              <w:autoSpaceDN w:val="0"/>
              <w:rPr>
                <w:rFonts w:hint="eastAsia" w:ascii="宋体" w:hAnsi="宋体" w:eastAsia="宋体" w:cs="宋体"/>
                <w:color w:val="auto"/>
                <w:sz w:val="24"/>
                <w:szCs w:val="24"/>
                <w:highlight w:val="none"/>
              </w:rPr>
            </w:pPr>
          </w:p>
        </w:tc>
        <w:tc>
          <w:tcPr>
            <w:tcW w:w="746" w:type="dxa"/>
            <w:noWrap w:val="0"/>
            <w:vAlign w:val="top"/>
          </w:tcPr>
          <w:p w14:paraId="2B2F5F50">
            <w:pPr>
              <w:autoSpaceDE w:val="0"/>
              <w:autoSpaceDN w:val="0"/>
              <w:rPr>
                <w:rFonts w:hint="eastAsia" w:ascii="宋体" w:hAnsi="宋体" w:eastAsia="宋体" w:cs="宋体"/>
                <w:color w:val="auto"/>
                <w:sz w:val="24"/>
                <w:szCs w:val="24"/>
                <w:highlight w:val="none"/>
              </w:rPr>
            </w:pPr>
          </w:p>
        </w:tc>
      </w:tr>
      <w:tr w14:paraId="7EC6D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72" w:type="dxa"/>
            <w:noWrap w:val="0"/>
            <w:vAlign w:val="top"/>
          </w:tcPr>
          <w:p w14:paraId="43953762">
            <w:pPr>
              <w:autoSpaceDE w:val="0"/>
              <w:autoSpaceDN w:val="0"/>
              <w:rPr>
                <w:rFonts w:hint="eastAsia" w:ascii="宋体" w:hAnsi="宋体" w:eastAsia="宋体" w:cs="宋体"/>
                <w:color w:val="auto"/>
                <w:sz w:val="24"/>
                <w:szCs w:val="24"/>
                <w:highlight w:val="none"/>
              </w:rPr>
            </w:pPr>
          </w:p>
        </w:tc>
        <w:tc>
          <w:tcPr>
            <w:tcW w:w="1152" w:type="dxa"/>
            <w:noWrap w:val="0"/>
            <w:vAlign w:val="top"/>
          </w:tcPr>
          <w:p w14:paraId="17B38845">
            <w:pPr>
              <w:autoSpaceDE w:val="0"/>
              <w:autoSpaceDN w:val="0"/>
              <w:rPr>
                <w:rFonts w:hint="eastAsia" w:ascii="宋体" w:hAnsi="宋体" w:eastAsia="宋体" w:cs="宋体"/>
                <w:color w:val="auto"/>
                <w:sz w:val="24"/>
                <w:szCs w:val="24"/>
                <w:highlight w:val="none"/>
              </w:rPr>
            </w:pPr>
          </w:p>
        </w:tc>
        <w:tc>
          <w:tcPr>
            <w:tcW w:w="929" w:type="dxa"/>
            <w:noWrap w:val="0"/>
            <w:vAlign w:val="top"/>
          </w:tcPr>
          <w:p w14:paraId="0938859F">
            <w:pPr>
              <w:autoSpaceDE w:val="0"/>
              <w:autoSpaceDN w:val="0"/>
              <w:rPr>
                <w:rFonts w:hint="eastAsia" w:ascii="宋体" w:hAnsi="宋体" w:eastAsia="宋体" w:cs="宋体"/>
                <w:color w:val="auto"/>
                <w:sz w:val="24"/>
                <w:szCs w:val="24"/>
                <w:highlight w:val="none"/>
              </w:rPr>
            </w:pPr>
          </w:p>
        </w:tc>
        <w:tc>
          <w:tcPr>
            <w:tcW w:w="1564" w:type="dxa"/>
            <w:noWrap w:val="0"/>
            <w:vAlign w:val="top"/>
          </w:tcPr>
          <w:p w14:paraId="030D69EA">
            <w:pPr>
              <w:autoSpaceDE w:val="0"/>
              <w:autoSpaceDN w:val="0"/>
              <w:rPr>
                <w:rFonts w:hint="eastAsia" w:ascii="宋体" w:hAnsi="宋体" w:eastAsia="宋体" w:cs="宋体"/>
                <w:color w:val="auto"/>
                <w:sz w:val="24"/>
                <w:szCs w:val="24"/>
                <w:highlight w:val="none"/>
              </w:rPr>
            </w:pPr>
          </w:p>
        </w:tc>
        <w:tc>
          <w:tcPr>
            <w:tcW w:w="954" w:type="dxa"/>
            <w:noWrap w:val="0"/>
            <w:vAlign w:val="top"/>
          </w:tcPr>
          <w:p w14:paraId="4D7634B7">
            <w:pPr>
              <w:autoSpaceDE w:val="0"/>
              <w:autoSpaceDN w:val="0"/>
              <w:rPr>
                <w:rFonts w:hint="eastAsia" w:ascii="宋体" w:hAnsi="宋体" w:eastAsia="宋体" w:cs="宋体"/>
                <w:color w:val="auto"/>
                <w:sz w:val="24"/>
                <w:szCs w:val="24"/>
                <w:highlight w:val="none"/>
              </w:rPr>
            </w:pPr>
          </w:p>
        </w:tc>
        <w:tc>
          <w:tcPr>
            <w:tcW w:w="1935" w:type="dxa"/>
            <w:noWrap w:val="0"/>
            <w:vAlign w:val="top"/>
          </w:tcPr>
          <w:p w14:paraId="0FFDA00B">
            <w:pPr>
              <w:autoSpaceDE w:val="0"/>
              <w:autoSpaceDN w:val="0"/>
              <w:rPr>
                <w:rFonts w:hint="eastAsia" w:ascii="宋体" w:hAnsi="宋体" w:eastAsia="宋体" w:cs="宋体"/>
                <w:color w:val="auto"/>
                <w:sz w:val="24"/>
                <w:szCs w:val="24"/>
                <w:highlight w:val="none"/>
              </w:rPr>
            </w:pPr>
          </w:p>
        </w:tc>
        <w:tc>
          <w:tcPr>
            <w:tcW w:w="788" w:type="dxa"/>
            <w:noWrap w:val="0"/>
            <w:vAlign w:val="top"/>
          </w:tcPr>
          <w:p w14:paraId="441C8C7F">
            <w:pPr>
              <w:autoSpaceDE w:val="0"/>
              <w:autoSpaceDN w:val="0"/>
              <w:rPr>
                <w:rFonts w:hint="eastAsia" w:ascii="宋体" w:hAnsi="宋体" w:eastAsia="宋体" w:cs="宋体"/>
                <w:color w:val="auto"/>
                <w:sz w:val="24"/>
                <w:szCs w:val="24"/>
                <w:highlight w:val="none"/>
              </w:rPr>
            </w:pPr>
          </w:p>
        </w:tc>
        <w:tc>
          <w:tcPr>
            <w:tcW w:w="746" w:type="dxa"/>
            <w:noWrap w:val="0"/>
            <w:vAlign w:val="top"/>
          </w:tcPr>
          <w:p w14:paraId="59B9DE4B">
            <w:pPr>
              <w:autoSpaceDE w:val="0"/>
              <w:autoSpaceDN w:val="0"/>
              <w:rPr>
                <w:rFonts w:hint="eastAsia" w:ascii="宋体" w:hAnsi="宋体" w:eastAsia="宋体" w:cs="宋体"/>
                <w:color w:val="auto"/>
                <w:sz w:val="24"/>
                <w:szCs w:val="24"/>
                <w:highlight w:val="none"/>
              </w:rPr>
            </w:pPr>
          </w:p>
        </w:tc>
      </w:tr>
    </w:tbl>
    <w:p w14:paraId="4410994D">
      <w:pPr>
        <w:pStyle w:val="6"/>
        <w:spacing w:line="253" w:lineRule="auto"/>
        <w:rPr>
          <w:rFonts w:hint="eastAsia" w:ascii="宋体" w:hAnsi="宋体" w:eastAsia="宋体" w:cs="宋体"/>
          <w:color w:val="auto"/>
          <w:highlight w:val="none"/>
        </w:rPr>
      </w:pPr>
    </w:p>
    <w:p w14:paraId="23A6B630">
      <w:pPr>
        <w:pStyle w:val="6"/>
        <w:spacing w:line="254" w:lineRule="auto"/>
        <w:rPr>
          <w:rFonts w:hint="eastAsia" w:ascii="宋体" w:hAnsi="宋体" w:eastAsia="宋体" w:cs="宋体"/>
          <w:color w:val="auto"/>
          <w:highlight w:val="none"/>
        </w:rPr>
      </w:pPr>
    </w:p>
    <w:p w14:paraId="6122D8AF">
      <w:pPr>
        <w:spacing w:before="75" w:line="439" w:lineRule="exact"/>
        <w:ind w:left="360"/>
        <w:rPr>
          <w:rFonts w:hint="eastAsia" w:ascii="宋体" w:hAnsi="宋体" w:eastAsia="宋体" w:cs="宋体"/>
          <w:color w:val="auto"/>
          <w:sz w:val="23"/>
          <w:szCs w:val="23"/>
          <w:highlight w:val="none"/>
        </w:rPr>
      </w:pPr>
      <w:r>
        <w:rPr>
          <w:rFonts w:hint="eastAsia" w:ascii="宋体" w:hAnsi="宋体" w:eastAsia="宋体" w:cs="宋体"/>
          <w:color w:val="auto"/>
          <w:spacing w:val="9"/>
          <w:position w:val="15"/>
          <w:sz w:val="23"/>
          <w:szCs w:val="23"/>
          <w:highlight w:val="none"/>
        </w:rPr>
        <w:t>注：本工程一旦我单位中标，将配备上述项目管理人员。上述</w:t>
      </w:r>
      <w:r>
        <w:rPr>
          <w:rFonts w:hint="eastAsia" w:ascii="宋体" w:hAnsi="宋体" w:eastAsia="宋体" w:cs="宋体"/>
          <w:color w:val="auto"/>
          <w:spacing w:val="8"/>
          <w:position w:val="15"/>
          <w:sz w:val="23"/>
          <w:szCs w:val="23"/>
          <w:highlight w:val="none"/>
        </w:rPr>
        <w:t>填报内容真实，如不真</w:t>
      </w:r>
    </w:p>
    <w:p w14:paraId="78315C84">
      <w:pPr>
        <w:spacing w:line="227" w:lineRule="auto"/>
        <w:ind w:left="366"/>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实，将按照有关规定接受处理。</w:t>
      </w:r>
    </w:p>
    <w:p w14:paraId="6CDB81A4">
      <w:pPr>
        <w:spacing w:line="227" w:lineRule="auto"/>
        <w:rPr>
          <w:rFonts w:hint="eastAsia" w:ascii="宋体" w:hAnsi="宋体" w:eastAsia="宋体" w:cs="宋体"/>
          <w:color w:val="auto"/>
          <w:sz w:val="23"/>
          <w:szCs w:val="23"/>
          <w:highlight w:val="none"/>
        </w:rPr>
        <w:sectPr>
          <w:footerReference r:id="rId5" w:type="default"/>
          <w:pgSz w:w="11906" w:h="16838"/>
          <w:pgMar w:top="1440" w:right="1080" w:bottom="1440" w:left="1080" w:header="0" w:footer="1204" w:gutter="0"/>
          <w:pgNumType w:fmt="decimal" w:start="1"/>
          <w:cols w:space="720" w:num="1"/>
        </w:sectPr>
      </w:pPr>
    </w:p>
    <w:p w14:paraId="07185A2D">
      <w:pPr>
        <w:pStyle w:val="6"/>
        <w:spacing w:line="256" w:lineRule="auto"/>
        <w:ind w:left="0" w:leftChars="0" w:firstLine="0" w:firstLineChars="0"/>
        <w:rPr>
          <w:rFonts w:hint="eastAsia" w:ascii="宋体" w:hAnsi="宋体" w:eastAsia="宋体" w:cs="宋体"/>
          <w:color w:val="auto"/>
          <w:highlight w:val="none"/>
        </w:rPr>
      </w:pPr>
    </w:p>
    <w:p w14:paraId="640A44D1">
      <w:pPr>
        <w:spacing w:before="91" w:line="219" w:lineRule="auto"/>
        <w:ind w:left="3048"/>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2、现场主要人员简历表</w:t>
      </w:r>
    </w:p>
    <w:p w14:paraId="650BF9DA">
      <w:pPr>
        <w:spacing w:before="85" w:line="219" w:lineRule="auto"/>
        <w:ind w:left="3281"/>
        <w:rPr>
          <w:rFonts w:hint="eastAsia" w:ascii="宋体" w:hAnsi="宋体" w:eastAsia="宋体" w:cs="宋体"/>
          <w:color w:val="auto"/>
          <w:sz w:val="28"/>
          <w:szCs w:val="28"/>
          <w:highlight w:val="none"/>
        </w:rPr>
      </w:pPr>
      <w:r>
        <w:rPr>
          <w:rFonts w:hint="eastAsia" w:ascii="宋体" w:hAnsi="宋体" w:cs="宋体"/>
          <w:color w:val="auto"/>
          <w:spacing w:val="-3"/>
          <w:sz w:val="28"/>
          <w:szCs w:val="28"/>
          <w:highlight w:val="none"/>
          <w:lang w:eastAsia="zh-CN"/>
        </w:rPr>
        <w:t>（</w:t>
      </w:r>
      <w:r>
        <w:rPr>
          <w:rFonts w:hint="eastAsia" w:ascii="宋体" w:hAnsi="宋体" w:cs="宋体"/>
          <w:color w:val="auto"/>
          <w:spacing w:val="-3"/>
          <w:sz w:val="28"/>
          <w:szCs w:val="28"/>
          <w:highlight w:val="none"/>
          <w:lang w:val="en-US" w:eastAsia="zh-CN"/>
        </w:rPr>
        <w:t>1</w:t>
      </w:r>
      <w:r>
        <w:rPr>
          <w:rFonts w:hint="eastAsia" w:ascii="宋体" w:hAnsi="宋体" w:cs="宋体"/>
          <w:color w:val="auto"/>
          <w:spacing w:val="-3"/>
          <w:sz w:val="28"/>
          <w:szCs w:val="28"/>
          <w:highlight w:val="none"/>
          <w:lang w:eastAsia="zh-CN"/>
        </w:rPr>
        <w:t>）</w:t>
      </w:r>
      <w:r>
        <w:rPr>
          <w:rFonts w:hint="eastAsia" w:ascii="宋体" w:hAnsi="宋体" w:eastAsia="宋体" w:cs="宋体"/>
          <w:color w:val="auto"/>
          <w:spacing w:val="-3"/>
          <w:sz w:val="28"/>
          <w:szCs w:val="28"/>
          <w:highlight w:val="none"/>
        </w:rPr>
        <w:t>项目负责人简历表</w:t>
      </w:r>
    </w:p>
    <w:p w14:paraId="5D9ABED8">
      <w:pPr>
        <w:spacing w:before="36"/>
        <w:rPr>
          <w:rFonts w:hint="eastAsia" w:ascii="宋体" w:hAnsi="宋体" w:eastAsia="宋体" w:cs="宋体"/>
          <w:color w:val="auto"/>
          <w:highlight w:val="none"/>
        </w:rPr>
      </w:pPr>
    </w:p>
    <w:p w14:paraId="0FE5503E">
      <w:pPr>
        <w:spacing w:before="35"/>
        <w:rPr>
          <w:rFonts w:hint="eastAsia" w:ascii="宋体" w:hAnsi="宋体" w:eastAsia="宋体" w:cs="宋体"/>
          <w:color w:val="auto"/>
          <w:highlight w:val="none"/>
        </w:rPr>
      </w:pPr>
    </w:p>
    <w:tbl>
      <w:tblPr>
        <w:tblStyle w:val="30"/>
        <w:tblW w:w="90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507"/>
        <w:gridCol w:w="1034"/>
        <w:gridCol w:w="1133"/>
        <w:gridCol w:w="767"/>
        <w:gridCol w:w="507"/>
        <w:gridCol w:w="1335"/>
        <w:gridCol w:w="507"/>
        <w:gridCol w:w="2130"/>
      </w:tblGrid>
      <w:tr w14:paraId="6E4F9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03" w:type="dxa"/>
            <w:gridSpan w:val="2"/>
            <w:noWrap w:val="0"/>
            <w:vAlign w:val="top"/>
          </w:tcPr>
          <w:p w14:paraId="00CC4E66">
            <w:pPr>
              <w:autoSpaceDE w:val="0"/>
              <w:autoSpaceDN w:val="0"/>
              <w:spacing w:before="125" w:line="228" w:lineRule="auto"/>
              <w:ind w:left="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名</w:t>
            </w:r>
          </w:p>
        </w:tc>
        <w:tc>
          <w:tcPr>
            <w:tcW w:w="1034" w:type="dxa"/>
            <w:noWrap w:val="0"/>
            <w:vAlign w:val="top"/>
          </w:tcPr>
          <w:p w14:paraId="5499B182">
            <w:pPr>
              <w:autoSpaceDE w:val="0"/>
              <w:autoSpaceDN w:val="0"/>
              <w:rPr>
                <w:rFonts w:hint="eastAsia" w:ascii="宋体" w:hAnsi="宋体" w:eastAsia="宋体" w:cs="宋体"/>
                <w:color w:val="auto"/>
                <w:sz w:val="24"/>
                <w:szCs w:val="24"/>
                <w:highlight w:val="none"/>
              </w:rPr>
            </w:pPr>
          </w:p>
        </w:tc>
        <w:tc>
          <w:tcPr>
            <w:tcW w:w="1133" w:type="dxa"/>
            <w:noWrap w:val="0"/>
            <w:vAlign w:val="top"/>
          </w:tcPr>
          <w:p w14:paraId="1ECCA464">
            <w:pPr>
              <w:autoSpaceDE w:val="0"/>
              <w:autoSpaceDN w:val="0"/>
              <w:spacing w:before="125" w:line="228" w:lineRule="auto"/>
              <w:ind w:left="2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龄</w:t>
            </w:r>
          </w:p>
        </w:tc>
        <w:tc>
          <w:tcPr>
            <w:tcW w:w="1274" w:type="dxa"/>
            <w:gridSpan w:val="2"/>
            <w:noWrap w:val="0"/>
            <w:vAlign w:val="top"/>
          </w:tcPr>
          <w:p w14:paraId="23182DD7">
            <w:pPr>
              <w:autoSpaceDE w:val="0"/>
              <w:autoSpaceDN w:val="0"/>
              <w:rPr>
                <w:rFonts w:hint="eastAsia" w:ascii="宋体" w:hAnsi="宋体" w:eastAsia="宋体" w:cs="宋体"/>
                <w:color w:val="auto"/>
                <w:sz w:val="24"/>
                <w:szCs w:val="24"/>
                <w:highlight w:val="none"/>
              </w:rPr>
            </w:pPr>
          </w:p>
        </w:tc>
        <w:tc>
          <w:tcPr>
            <w:tcW w:w="1842" w:type="dxa"/>
            <w:gridSpan w:val="2"/>
            <w:noWrap w:val="0"/>
            <w:vAlign w:val="top"/>
          </w:tcPr>
          <w:p w14:paraId="21D89683">
            <w:pPr>
              <w:autoSpaceDE w:val="0"/>
              <w:autoSpaceDN w:val="0"/>
              <w:spacing w:before="125" w:line="229" w:lineRule="auto"/>
              <w:ind w:left="72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学历</w:t>
            </w:r>
          </w:p>
        </w:tc>
        <w:tc>
          <w:tcPr>
            <w:tcW w:w="2130" w:type="dxa"/>
            <w:noWrap w:val="0"/>
            <w:vAlign w:val="top"/>
          </w:tcPr>
          <w:p w14:paraId="6134D148">
            <w:pPr>
              <w:autoSpaceDE w:val="0"/>
              <w:autoSpaceDN w:val="0"/>
              <w:rPr>
                <w:rFonts w:hint="eastAsia" w:ascii="宋体" w:hAnsi="宋体" w:eastAsia="宋体" w:cs="宋体"/>
                <w:color w:val="auto"/>
                <w:sz w:val="24"/>
                <w:szCs w:val="24"/>
                <w:highlight w:val="none"/>
              </w:rPr>
            </w:pPr>
          </w:p>
        </w:tc>
      </w:tr>
      <w:tr w14:paraId="05DD1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03" w:type="dxa"/>
            <w:gridSpan w:val="2"/>
            <w:noWrap w:val="0"/>
            <w:vAlign w:val="top"/>
          </w:tcPr>
          <w:p w14:paraId="3B4A6F5E">
            <w:pPr>
              <w:autoSpaceDE w:val="0"/>
              <w:autoSpaceDN w:val="0"/>
              <w:spacing w:before="123" w:line="230" w:lineRule="auto"/>
              <w:ind w:left="49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1034" w:type="dxa"/>
            <w:noWrap w:val="0"/>
            <w:vAlign w:val="top"/>
          </w:tcPr>
          <w:p w14:paraId="7856AFE8">
            <w:pPr>
              <w:autoSpaceDE w:val="0"/>
              <w:autoSpaceDN w:val="0"/>
              <w:rPr>
                <w:rFonts w:hint="eastAsia" w:ascii="宋体" w:hAnsi="宋体" w:eastAsia="宋体" w:cs="宋体"/>
                <w:color w:val="auto"/>
                <w:sz w:val="24"/>
                <w:szCs w:val="24"/>
                <w:highlight w:val="none"/>
              </w:rPr>
            </w:pPr>
          </w:p>
        </w:tc>
        <w:tc>
          <w:tcPr>
            <w:tcW w:w="1133" w:type="dxa"/>
            <w:noWrap w:val="0"/>
            <w:vAlign w:val="top"/>
          </w:tcPr>
          <w:p w14:paraId="112EE628">
            <w:pPr>
              <w:autoSpaceDE w:val="0"/>
              <w:autoSpaceDN w:val="0"/>
              <w:spacing w:before="123" w:line="228" w:lineRule="auto"/>
              <w:ind w:left="2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务</w:t>
            </w:r>
          </w:p>
        </w:tc>
        <w:tc>
          <w:tcPr>
            <w:tcW w:w="1274" w:type="dxa"/>
            <w:gridSpan w:val="2"/>
            <w:noWrap w:val="0"/>
            <w:vAlign w:val="top"/>
          </w:tcPr>
          <w:p w14:paraId="41C20FE1">
            <w:pPr>
              <w:autoSpaceDE w:val="0"/>
              <w:autoSpaceDN w:val="0"/>
              <w:rPr>
                <w:rFonts w:hint="eastAsia" w:ascii="宋体" w:hAnsi="宋体" w:eastAsia="宋体" w:cs="宋体"/>
                <w:color w:val="auto"/>
                <w:sz w:val="24"/>
                <w:szCs w:val="24"/>
                <w:highlight w:val="none"/>
              </w:rPr>
            </w:pPr>
          </w:p>
        </w:tc>
        <w:tc>
          <w:tcPr>
            <w:tcW w:w="1842" w:type="dxa"/>
            <w:gridSpan w:val="2"/>
            <w:noWrap w:val="0"/>
            <w:vAlign w:val="top"/>
          </w:tcPr>
          <w:p w14:paraId="4DB6D8F4">
            <w:pPr>
              <w:autoSpaceDE w:val="0"/>
              <w:autoSpaceDN w:val="0"/>
              <w:spacing w:before="123" w:line="227" w:lineRule="auto"/>
              <w:ind w:left="19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拟在本工程任职</w:t>
            </w:r>
          </w:p>
        </w:tc>
        <w:tc>
          <w:tcPr>
            <w:tcW w:w="2130" w:type="dxa"/>
            <w:noWrap w:val="0"/>
            <w:vAlign w:val="top"/>
          </w:tcPr>
          <w:p w14:paraId="2B107F19">
            <w:pPr>
              <w:autoSpaceDE w:val="0"/>
              <w:autoSpaceDN w:val="0"/>
              <w:spacing w:before="123" w:line="228" w:lineRule="auto"/>
              <w:ind w:left="5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项目负责人</w:t>
            </w:r>
          </w:p>
        </w:tc>
      </w:tr>
      <w:tr w14:paraId="3510F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noWrap w:val="0"/>
            <w:vAlign w:val="top"/>
          </w:tcPr>
          <w:p w14:paraId="22E9C8D7">
            <w:pPr>
              <w:autoSpaceDE w:val="0"/>
              <w:autoSpaceDN w:val="0"/>
              <w:spacing w:before="122" w:line="228" w:lineRule="auto"/>
              <w:ind w:left="13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毕业学校</w:t>
            </w:r>
          </w:p>
        </w:tc>
        <w:tc>
          <w:tcPr>
            <w:tcW w:w="7920" w:type="dxa"/>
            <w:gridSpan w:val="8"/>
            <w:noWrap w:val="0"/>
            <w:vAlign w:val="top"/>
          </w:tcPr>
          <w:p w14:paraId="3E36034E">
            <w:pPr>
              <w:autoSpaceDE w:val="0"/>
              <w:autoSpaceDN w:val="0"/>
              <w:spacing w:before="122" w:line="228" w:lineRule="auto"/>
              <w:ind w:left="15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年毕业于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学校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5"/>
                <w:sz w:val="24"/>
                <w:szCs w:val="24"/>
                <w:highlight w:val="none"/>
              </w:rPr>
              <w:t>专业</w:t>
            </w:r>
          </w:p>
        </w:tc>
      </w:tr>
      <w:tr w14:paraId="0C741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016" w:type="dxa"/>
            <w:gridSpan w:val="9"/>
            <w:noWrap w:val="0"/>
            <w:vAlign w:val="top"/>
          </w:tcPr>
          <w:p w14:paraId="5A1DDBE7">
            <w:pPr>
              <w:autoSpaceDE w:val="0"/>
              <w:autoSpaceDN w:val="0"/>
              <w:spacing w:before="122" w:line="228" w:lineRule="auto"/>
              <w:ind w:left="388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主要工作经历</w:t>
            </w:r>
          </w:p>
        </w:tc>
      </w:tr>
      <w:tr w14:paraId="21D07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noWrap w:val="0"/>
            <w:vAlign w:val="top"/>
          </w:tcPr>
          <w:p w14:paraId="640C189D">
            <w:pPr>
              <w:autoSpaceDE w:val="0"/>
              <w:autoSpaceDN w:val="0"/>
              <w:spacing w:before="123" w:line="230"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时</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间</w:t>
            </w:r>
          </w:p>
        </w:tc>
        <w:tc>
          <w:tcPr>
            <w:tcW w:w="3441" w:type="dxa"/>
            <w:gridSpan w:val="4"/>
            <w:noWrap w:val="0"/>
            <w:vAlign w:val="top"/>
          </w:tcPr>
          <w:p w14:paraId="1E97342F">
            <w:pPr>
              <w:autoSpaceDE w:val="0"/>
              <w:autoSpaceDN w:val="0"/>
              <w:spacing w:before="123" w:line="228" w:lineRule="auto"/>
              <w:ind w:left="6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参加过的类似项目名称</w:t>
            </w:r>
          </w:p>
        </w:tc>
        <w:tc>
          <w:tcPr>
            <w:tcW w:w="1842" w:type="dxa"/>
            <w:gridSpan w:val="2"/>
            <w:noWrap w:val="0"/>
            <w:vAlign w:val="top"/>
          </w:tcPr>
          <w:p w14:paraId="4AF72682">
            <w:pPr>
              <w:autoSpaceDE w:val="0"/>
              <w:autoSpaceDN w:val="0"/>
              <w:spacing w:before="123" w:line="228" w:lineRule="auto"/>
              <w:ind w:left="29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工程概况说明</w:t>
            </w:r>
          </w:p>
        </w:tc>
        <w:tc>
          <w:tcPr>
            <w:tcW w:w="2637" w:type="dxa"/>
            <w:gridSpan w:val="2"/>
            <w:noWrap w:val="0"/>
            <w:vAlign w:val="top"/>
          </w:tcPr>
          <w:p w14:paraId="36FA69EF">
            <w:pPr>
              <w:autoSpaceDE w:val="0"/>
              <w:autoSpaceDN w:val="0"/>
              <w:spacing w:before="123" w:line="228"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发包人及联系电话</w:t>
            </w:r>
          </w:p>
        </w:tc>
      </w:tr>
      <w:tr w14:paraId="074C1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noWrap w:val="0"/>
            <w:vAlign w:val="top"/>
          </w:tcPr>
          <w:p w14:paraId="4A0CBFAF">
            <w:pPr>
              <w:autoSpaceDE w:val="0"/>
              <w:autoSpaceDN w:val="0"/>
              <w:rPr>
                <w:rFonts w:hint="eastAsia" w:ascii="宋体" w:hAnsi="宋体" w:eastAsia="宋体" w:cs="宋体"/>
                <w:color w:val="auto"/>
                <w:sz w:val="21"/>
                <w:highlight w:val="none"/>
              </w:rPr>
            </w:pPr>
          </w:p>
        </w:tc>
        <w:tc>
          <w:tcPr>
            <w:tcW w:w="3441" w:type="dxa"/>
            <w:gridSpan w:val="4"/>
            <w:noWrap w:val="0"/>
            <w:vAlign w:val="top"/>
          </w:tcPr>
          <w:p w14:paraId="7D48F77D">
            <w:pPr>
              <w:autoSpaceDE w:val="0"/>
              <w:autoSpaceDN w:val="0"/>
              <w:rPr>
                <w:rFonts w:hint="eastAsia" w:ascii="宋体" w:hAnsi="宋体" w:eastAsia="宋体" w:cs="宋体"/>
                <w:color w:val="auto"/>
                <w:sz w:val="21"/>
                <w:highlight w:val="none"/>
              </w:rPr>
            </w:pPr>
          </w:p>
        </w:tc>
        <w:tc>
          <w:tcPr>
            <w:tcW w:w="1842" w:type="dxa"/>
            <w:gridSpan w:val="2"/>
            <w:noWrap w:val="0"/>
            <w:vAlign w:val="top"/>
          </w:tcPr>
          <w:p w14:paraId="1C852E93">
            <w:pPr>
              <w:autoSpaceDE w:val="0"/>
              <w:autoSpaceDN w:val="0"/>
              <w:rPr>
                <w:rFonts w:hint="eastAsia" w:ascii="宋体" w:hAnsi="宋体" w:eastAsia="宋体" w:cs="宋体"/>
                <w:color w:val="auto"/>
                <w:sz w:val="21"/>
                <w:highlight w:val="none"/>
              </w:rPr>
            </w:pPr>
          </w:p>
        </w:tc>
        <w:tc>
          <w:tcPr>
            <w:tcW w:w="2637" w:type="dxa"/>
            <w:gridSpan w:val="2"/>
            <w:noWrap w:val="0"/>
            <w:vAlign w:val="top"/>
          </w:tcPr>
          <w:p w14:paraId="6CC1FF43">
            <w:pPr>
              <w:autoSpaceDE w:val="0"/>
              <w:autoSpaceDN w:val="0"/>
              <w:rPr>
                <w:rFonts w:hint="eastAsia" w:ascii="宋体" w:hAnsi="宋体" w:eastAsia="宋体" w:cs="宋体"/>
                <w:color w:val="auto"/>
                <w:sz w:val="21"/>
                <w:highlight w:val="none"/>
              </w:rPr>
            </w:pPr>
          </w:p>
        </w:tc>
      </w:tr>
      <w:tr w14:paraId="3A619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noWrap w:val="0"/>
            <w:vAlign w:val="top"/>
          </w:tcPr>
          <w:p w14:paraId="5853C938">
            <w:pPr>
              <w:autoSpaceDE w:val="0"/>
              <w:autoSpaceDN w:val="0"/>
              <w:rPr>
                <w:rFonts w:hint="eastAsia" w:ascii="宋体" w:hAnsi="宋体" w:eastAsia="宋体" w:cs="宋体"/>
                <w:color w:val="auto"/>
                <w:sz w:val="21"/>
                <w:highlight w:val="none"/>
              </w:rPr>
            </w:pPr>
          </w:p>
        </w:tc>
        <w:tc>
          <w:tcPr>
            <w:tcW w:w="3441" w:type="dxa"/>
            <w:gridSpan w:val="4"/>
            <w:noWrap w:val="0"/>
            <w:vAlign w:val="top"/>
          </w:tcPr>
          <w:p w14:paraId="148CED59">
            <w:pPr>
              <w:autoSpaceDE w:val="0"/>
              <w:autoSpaceDN w:val="0"/>
              <w:rPr>
                <w:rFonts w:hint="eastAsia" w:ascii="宋体" w:hAnsi="宋体" w:eastAsia="宋体" w:cs="宋体"/>
                <w:color w:val="auto"/>
                <w:sz w:val="21"/>
                <w:highlight w:val="none"/>
              </w:rPr>
            </w:pPr>
          </w:p>
        </w:tc>
        <w:tc>
          <w:tcPr>
            <w:tcW w:w="1842" w:type="dxa"/>
            <w:gridSpan w:val="2"/>
            <w:noWrap w:val="0"/>
            <w:vAlign w:val="top"/>
          </w:tcPr>
          <w:p w14:paraId="0A350804">
            <w:pPr>
              <w:autoSpaceDE w:val="0"/>
              <w:autoSpaceDN w:val="0"/>
              <w:rPr>
                <w:rFonts w:hint="eastAsia" w:ascii="宋体" w:hAnsi="宋体" w:eastAsia="宋体" w:cs="宋体"/>
                <w:color w:val="auto"/>
                <w:sz w:val="21"/>
                <w:highlight w:val="none"/>
              </w:rPr>
            </w:pPr>
          </w:p>
        </w:tc>
        <w:tc>
          <w:tcPr>
            <w:tcW w:w="2637" w:type="dxa"/>
            <w:gridSpan w:val="2"/>
            <w:noWrap w:val="0"/>
            <w:vAlign w:val="top"/>
          </w:tcPr>
          <w:p w14:paraId="213FBF41">
            <w:pPr>
              <w:autoSpaceDE w:val="0"/>
              <w:autoSpaceDN w:val="0"/>
              <w:rPr>
                <w:rFonts w:hint="eastAsia" w:ascii="宋体" w:hAnsi="宋体" w:eastAsia="宋体" w:cs="宋体"/>
                <w:color w:val="auto"/>
                <w:sz w:val="21"/>
                <w:highlight w:val="none"/>
              </w:rPr>
            </w:pPr>
          </w:p>
        </w:tc>
      </w:tr>
      <w:tr w14:paraId="1C70E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noWrap w:val="0"/>
            <w:vAlign w:val="top"/>
          </w:tcPr>
          <w:p w14:paraId="486566A2">
            <w:pPr>
              <w:autoSpaceDE w:val="0"/>
              <w:autoSpaceDN w:val="0"/>
              <w:rPr>
                <w:rFonts w:hint="eastAsia" w:ascii="宋体" w:hAnsi="宋体" w:eastAsia="宋体" w:cs="宋体"/>
                <w:color w:val="auto"/>
                <w:sz w:val="21"/>
                <w:highlight w:val="none"/>
              </w:rPr>
            </w:pPr>
          </w:p>
        </w:tc>
        <w:tc>
          <w:tcPr>
            <w:tcW w:w="3441" w:type="dxa"/>
            <w:gridSpan w:val="4"/>
            <w:noWrap w:val="0"/>
            <w:vAlign w:val="top"/>
          </w:tcPr>
          <w:p w14:paraId="7B8114A2">
            <w:pPr>
              <w:autoSpaceDE w:val="0"/>
              <w:autoSpaceDN w:val="0"/>
              <w:rPr>
                <w:rFonts w:hint="eastAsia" w:ascii="宋体" w:hAnsi="宋体" w:eastAsia="宋体" w:cs="宋体"/>
                <w:color w:val="auto"/>
                <w:sz w:val="21"/>
                <w:highlight w:val="none"/>
              </w:rPr>
            </w:pPr>
          </w:p>
        </w:tc>
        <w:tc>
          <w:tcPr>
            <w:tcW w:w="1842" w:type="dxa"/>
            <w:gridSpan w:val="2"/>
            <w:noWrap w:val="0"/>
            <w:vAlign w:val="top"/>
          </w:tcPr>
          <w:p w14:paraId="601FE71C">
            <w:pPr>
              <w:autoSpaceDE w:val="0"/>
              <w:autoSpaceDN w:val="0"/>
              <w:rPr>
                <w:rFonts w:hint="eastAsia" w:ascii="宋体" w:hAnsi="宋体" w:eastAsia="宋体" w:cs="宋体"/>
                <w:color w:val="auto"/>
                <w:sz w:val="21"/>
                <w:highlight w:val="none"/>
              </w:rPr>
            </w:pPr>
          </w:p>
        </w:tc>
        <w:tc>
          <w:tcPr>
            <w:tcW w:w="2637" w:type="dxa"/>
            <w:gridSpan w:val="2"/>
            <w:noWrap w:val="0"/>
            <w:vAlign w:val="top"/>
          </w:tcPr>
          <w:p w14:paraId="53F0675E">
            <w:pPr>
              <w:autoSpaceDE w:val="0"/>
              <w:autoSpaceDN w:val="0"/>
              <w:rPr>
                <w:rFonts w:hint="eastAsia" w:ascii="宋体" w:hAnsi="宋体" w:eastAsia="宋体" w:cs="宋体"/>
                <w:color w:val="auto"/>
                <w:sz w:val="21"/>
                <w:highlight w:val="none"/>
              </w:rPr>
            </w:pPr>
          </w:p>
        </w:tc>
      </w:tr>
      <w:tr w14:paraId="54887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noWrap w:val="0"/>
            <w:vAlign w:val="top"/>
          </w:tcPr>
          <w:p w14:paraId="0D8D7A98">
            <w:pPr>
              <w:autoSpaceDE w:val="0"/>
              <w:autoSpaceDN w:val="0"/>
              <w:rPr>
                <w:rFonts w:hint="eastAsia" w:ascii="宋体" w:hAnsi="宋体" w:eastAsia="宋体" w:cs="宋体"/>
                <w:color w:val="auto"/>
                <w:sz w:val="21"/>
                <w:highlight w:val="none"/>
              </w:rPr>
            </w:pPr>
          </w:p>
        </w:tc>
        <w:tc>
          <w:tcPr>
            <w:tcW w:w="3441" w:type="dxa"/>
            <w:gridSpan w:val="4"/>
            <w:noWrap w:val="0"/>
            <w:vAlign w:val="top"/>
          </w:tcPr>
          <w:p w14:paraId="23FE4784">
            <w:pPr>
              <w:autoSpaceDE w:val="0"/>
              <w:autoSpaceDN w:val="0"/>
              <w:rPr>
                <w:rFonts w:hint="eastAsia" w:ascii="宋体" w:hAnsi="宋体" w:eastAsia="宋体" w:cs="宋体"/>
                <w:color w:val="auto"/>
                <w:sz w:val="21"/>
                <w:highlight w:val="none"/>
              </w:rPr>
            </w:pPr>
          </w:p>
        </w:tc>
        <w:tc>
          <w:tcPr>
            <w:tcW w:w="1842" w:type="dxa"/>
            <w:gridSpan w:val="2"/>
            <w:noWrap w:val="0"/>
            <w:vAlign w:val="top"/>
          </w:tcPr>
          <w:p w14:paraId="00C7A9AC">
            <w:pPr>
              <w:autoSpaceDE w:val="0"/>
              <w:autoSpaceDN w:val="0"/>
              <w:rPr>
                <w:rFonts w:hint="eastAsia" w:ascii="宋体" w:hAnsi="宋体" w:eastAsia="宋体" w:cs="宋体"/>
                <w:color w:val="auto"/>
                <w:sz w:val="21"/>
                <w:highlight w:val="none"/>
              </w:rPr>
            </w:pPr>
          </w:p>
        </w:tc>
        <w:tc>
          <w:tcPr>
            <w:tcW w:w="2637" w:type="dxa"/>
            <w:gridSpan w:val="2"/>
            <w:noWrap w:val="0"/>
            <w:vAlign w:val="top"/>
          </w:tcPr>
          <w:p w14:paraId="141279BA">
            <w:pPr>
              <w:autoSpaceDE w:val="0"/>
              <w:autoSpaceDN w:val="0"/>
              <w:rPr>
                <w:rFonts w:hint="eastAsia" w:ascii="宋体" w:hAnsi="宋体" w:eastAsia="宋体" w:cs="宋体"/>
                <w:color w:val="auto"/>
                <w:sz w:val="21"/>
                <w:highlight w:val="none"/>
              </w:rPr>
            </w:pPr>
          </w:p>
        </w:tc>
      </w:tr>
      <w:tr w14:paraId="3752B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noWrap w:val="0"/>
            <w:vAlign w:val="top"/>
          </w:tcPr>
          <w:p w14:paraId="597F140D">
            <w:pPr>
              <w:autoSpaceDE w:val="0"/>
              <w:autoSpaceDN w:val="0"/>
              <w:rPr>
                <w:rFonts w:hint="eastAsia" w:ascii="宋体" w:hAnsi="宋体" w:eastAsia="宋体" w:cs="宋体"/>
                <w:color w:val="auto"/>
                <w:sz w:val="21"/>
                <w:highlight w:val="none"/>
              </w:rPr>
            </w:pPr>
          </w:p>
        </w:tc>
        <w:tc>
          <w:tcPr>
            <w:tcW w:w="3441" w:type="dxa"/>
            <w:gridSpan w:val="4"/>
            <w:noWrap w:val="0"/>
            <w:vAlign w:val="top"/>
          </w:tcPr>
          <w:p w14:paraId="13CA13BA">
            <w:pPr>
              <w:autoSpaceDE w:val="0"/>
              <w:autoSpaceDN w:val="0"/>
              <w:rPr>
                <w:rFonts w:hint="eastAsia" w:ascii="宋体" w:hAnsi="宋体" w:eastAsia="宋体" w:cs="宋体"/>
                <w:color w:val="auto"/>
                <w:sz w:val="21"/>
                <w:highlight w:val="none"/>
              </w:rPr>
            </w:pPr>
          </w:p>
        </w:tc>
        <w:tc>
          <w:tcPr>
            <w:tcW w:w="1842" w:type="dxa"/>
            <w:gridSpan w:val="2"/>
            <w:noWrap w:val="0"/>
            <w:vAlign w:val="top"/>
          </w:tcPr>
          <w:p w14:paraId="0EC7A2A8">
            <w:pPr>
              <w:autoSpaceDE w:val="0"/>
              <w:autoSpaceDN w:val="0"/>
              <w:rPr>
                <w:rFonts w:hint="eastAsia" w:ascii="宋体" w:hAnsi="宋体" w:eastAsia="宋体" w:cs="宋体"/>
                <w:color w:val="auto"/>
                <w:sz w:val="21"/>
                <w:highlight w:val="none"/>
              </w:rPr>
            </w:pPr>
          </w:p>
        </w:tc>
        <w:tc>
          <w:tcPr>
            <w:tcW w:w="2637" w:type="dxa"/>
            <w:gridSpan w:val="2"/>
            <w:noWrap w:val="0"/>
            <w:vAlign w:val="top"/>
          </w:tcPr>
          <w:p w14:paraId="1A334B6B">
            <w:pPr>
              <w:autoSpaceDE w:val="0"/>
              <w:autoSpaceDN w:val="0"/>
              <w:rPr>
                <w:rFonts w:hint="eastAsia" w:ascii="宋体" w:hAnsi="宋体" w:eastAsia="宋体" w:cs="宋体"/>
                <w:color w:val="auto"/>
                <w:sz w:val="21"/>
                <w:highlight w:val="none"/>
              </w:rPr>
            </w:pPr>
          </w:p>
        </w:tc>
      </w:tr>
      <w:tr w14:paraId="61D19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noWrap w:val="0"/>
            <w:vAlign w:val="top"/>
          </w:tcPr>
          <w:p w14:paraId="5D3C101C">
            <w:pPr>
              <w:autoSpaceDE w:val="0"/>
              <w:autoSpaceDN w:val="0"/>
              <w:rPr>
                <w:rFonts w:hint="eastAsia" w:ascii="宋体" w:hAnsi="宋体" w:eastAsia="宋体" w:cs="宋体"/>
                <w:color w:val="auto"/>
                <w:sz w:val="21"/>
                <w:highlight w:val="none"/>
              </w:rPr>
            </w:pPr>
          </w:p>
        </w:tc>
        <w:tc>
          <w:tcPr>
            <w:tcW w:w="3441" w:type="dxa"/>
            <w:gridSpan w:val="4"/>
            <w:noWrap w:val="0"/>
            <w:vAlign w:val="top"/>
          </w:tcPr>
          <w:p w14:paraId="4DE81459">
            <w:pPr>
              <w:autoSpaceDE w:val="0"/>
              <w:autoSpaceDN w:val="0"/>
              <w:rPr>
                <w:rFonts w:hint="eastAsia" w:ascii="宋体" w:hAnsi="宋体" w:eastAsia="宋体" w:cs="宋体"/>
                <w:color w:val="auto"/>
                <w:sz w:val="21"/>
                <w:highlight w:val="none"/>
              </w:rPr>
            </w:pPr>
          </w:p>
        </w:tc>
        <w:tc>
          <w:tcPr>
            <w:tcW w:w="1842" w:type="dxa"/>
            <w:gridSpan w:val="2"/>
            <w:noWrap w:val="0"/>
            <w:vAlign w:val="top"/>
          </w:tcPr>
          <w:p w14:paraId="7EBA7502">
            <w:pPr>
              <w:autoSpaceDE w:val="0"/>
              <w:autoSpaceDN w:val="0"/>
              <w:rPr>
                <w:rFonts w:hint="eastAsia" w:ascii="宋体" w:hAnsi="宋体" w:eastAsia="宋体" w:cs="宋体"/>
                <w:color w:val="auto"/>
                <w:sz w:val="21"/>
                <w:highlight w:val="none"/>
              </w:rPr>
            </w:pPr>
          </w:p>
        </w:tc>
        <w:tc>
          <w:tcPr>
            <w:tcW w:w="2637" w:type="dxa"/>
            <w:gridSpan w:val="2"/>
            <w:noWrap w:val="0"/>
            <w:vAlign w:val="top"/>
          </w:tcPr>
          <w:p w14:paraId="663976E8">
            <w:pPr>
              <w:autoSpaceDE w:val="0"/>
              <w:autoSpaceDN w:val="0"/>
              <w:rPr>
                <w:rFonts w:hint="eastAsia" w:ascii="宋体" w:hAnsi="宋体" w:eastAsia="宋体" w:cs="宋体"/>
                <w:color w:val="auto"/>
                <w:sz w:val="21"/>
                <w:highlight w:val="none"/>
              </w:rPr>
            </w:pPr>
          </w:p>
        </w:tc>
      </w:tr>
      <w:tr w14:paraId="29867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noWrap w:val="0"/>
            <w:vAlign w:val="top"/>
          </w:tcPr>
          <w:p w14:paraId="2787D04B">
            <w:pPr>
              <w:autoSpaceDE w:val="0"/>
              <w:autoSpaceDN w:val="0"/>
              <w:rPr>
                <w:rFonts w:hint="eastAsia" w:ascii="宋体" w:hAnsi="宋体" w:eastAsia="宋体" w:cs="宋体"/>
                <w:color w:val="auto"/>
                <w:sz w:val="21"/>
                <w:highlight w:val="none"/>
              </w:rPr>
            </w:pPr>
          </w:p>
        </w:tc>
        <w:tc>
          <w:tcPr>
            <w:tcW w:w="3441" w:type="dxa"/>
            <w:gridSpan w:val="4"/>
            <w:noWrap w:val="0"/>
            <w:vAlign w:val="top"/>
          </w:tcPr>
          <w:p w14:paraId="40543E2F">
            <w:pPr>
              <w:autoSpaceDE w:val="0"/>
              <w:autoSpaceDN w:val="0"/>
              <w:rPr>
                <w:rFonts w:hint="eastAsia" w:ascii="宋体" w:hAnsi="宋体" w:eastAsia="宋体" w:cs="宋体"/>
                <w:color w:val="auto"/>
                <w:sz w:val="21"/>
                <w:highlight w:val="none"/>
              </w:rPr>
            </w:pPr>
          </w:p>
        </w:tc>
        <w:tc>
          <w:tcPr>
            <w:tcW w:w="1842" w:type="dxa"/>
            <w:gridSpan w:val="2"/>
            <w:noWrap w:val="0"/>
            <w:vAlign w:val="top"/>
          </w:tcPr>
          <w:p w14:paraId="6502A46A">
            <w:pPr>
              <w:autoSpaceDE w:val="0"/>
              <w:autoSpaceDN w:val="0"/>
              <w:rPr>
                <w:rFonts w:hint="eastAsia" w:ascii="宋体" w:hAnsi="宋体" w:eastAsia="宋体" w:cs="宋体"/>
                <w:color w:val="auto"/>
                <w:sz w:val="21"/>
                <w:highlight w:val="none"/>
              </w:rPr>
            </w:pPr>
          </w:p>
        </w:tc>
        <w:tc>
          <w:tcPr>
            <w:tcW w:w="2637" w:type="dxa"/>
            <w:gridSpan w:val="2"/>
            <w:noWrap w:val="0"/>
            <w:vAlign w:val="top"/>
          </w:tcPr>
          <w:p w14:paraId="0573E17F">
            <w:pPr>
              <w:autoSpaceDE w:val="0"/>
              <w:autoSpaceDN w:val="0"/>
              <w:rPr>
                <w:rFonts w:hint="eastAsia" w:ascii="宋体" w:hAnsi="宋体" w:eastAsia="宋体" w:cs="宋体"/>
                <w:color w:val="auto"/>
                <w:sz w:val="21"/>
                <w:highlight w:val="none"/>
              </w:rPr>
            </w:pPr>
          </w:p>
        </w:tc>
      </w:tr>
    </w:tbl>
    <w:p w14:paraId="6AFAB65A">
      <w:pPr>
        <w:pStyle w:val="6"/>
        <w:spacing w:line="390" w:lineRule="auto"/>
        <w:rPr>
          <w:rFonts w:hint="eastAsia" w:ascii="宋体" w:hAnsi="宋体" w:eastAsia="宋体" w:cs="宋体"/>
          <w:color w:val="auto"/>
          <w:highlight w:val="none"/>
        </w:rPr>
      </w:pPr>
    </w:p>
    <w:p w14:paraId="682DDE2C">
      <w:pPr>
        <w:spacing w:before="75" w:line="239" w:lineRule="auto"/>
        <w:ind w:left="99" w:right="24" w:hanging="61"/>
        <w:rPr>
          <w:rFonts w:hint="eastAsia" w:ascii="宋体" w:hAnsi="宋体" w:eastAsia="宋体" w:cs="宋体"/>
          <w:color w:val="auto"/>
          <w:spacing w:val="5"/>
          <w:sz w:val="23"/>
          <w:szCs w:val="23"/>
          <w:highlight w:val="none"/>
        </w:rPr>
      </w:pPr>
      <w:r>
        <w:rPr>
          <w:rFonts w:hint="eastAsia" w:ascii="宋体" w:hAnsi="宋体" w:eastAsia="宋体" w:cs="宋体"/>
          <w:color w:val="auto"/>
          <w:spacing w:val="6"/>
          <w:sz w:val="23"/>
          <w:szCs w:val="23"/>
          <w:highlight w:val="none"/>
        </w:rPr>
        <w:t>注：后附项目负责人注册资格证书、安全考核合格证书、职称</w:t>
      </w:r>
      <w:r>
        <w:rPr>
          <w:rFonts w:hint="eastAsia" w:ascii="宋体" w:hAnsi="宋体" w:eastAsia="宋体" w:cs="宋体"/>
          <w:color w:val="auto"/>
          <w:spacing w:val="5"/>
          <w:sz w:val="23"/>
          <w:szCs w:val="23"/>
          <w:highlight w:val="none"/>
        </w:rPr>
        <w:t>证书、身份证、学历证，提供</w:t>
      </w:r>
      <w:r>
        <w:rPr>
          <w:rFonts w:hint="eastAsia" w:ascii="宋体" w:hAnsi="宋体" w:eastAsia="宋体" w:cs="宋体"/>
          <w:color w:val="auto"/>
          <w:spacing w:val="5"/>
          <w:sz w:val="23"/>
          <w:szCs w:val="23"/>
          <w:highlight w:val="none"/>
          <w:lang w:val="en-US" w:eastAsia="zh-CN"/>
        </w:rPr>
        <w:t>近12个月</w:t>
      </w:r>
      <w:r>
        <w:rPr>
          <w:rFonts w:hint="eastAsia" w:ascii="宋体" w:hAnsi="宋体" w:eastAsia="宋体" w:cs="宋体"/>
          <w:color w:val="auto"/>
          <w:spacing w:val="5"/>
          <w:sz w:val="23"/>
          <w:szCs w:val="23"/>
          <w:highlight w:val="none"/>
        </w:rPr>
        <w:t>（</w:t>
      </w:r>
      <w:r>
        <w:rPr>
          <w:rFonts w:hint="eastAsia" w:ascii="宋体" w:hAnsi="宋体" w:eastAsia="宋体" w:cs="宋体"/>
          <w:color w:val="auto"/>
          <w:spacing w:val="5"/>
          <w:sz w:val="23"/>
          <w:szCs w:val="23"/>
          <w:highlight w:val="none"/>
          <w:lang w:val="en-US" w:eastAsia="zh-CN"/>
        </w:rPr>
        <w:t>任意1个月</w:t>
      </w:r>
      <w:r>
        <w:rPr>
          <w:rFonts w:hint="eastAsia" w:ascii="宋体" w:hAnsi="宋体" w:eastAsia="宋体" w:cs="宋体"/>
          <w:color w:val="auto"/>
          <w:spacing w:val="5"/>
          <w:sz w:val="23"/>
          <w:szCs w:val="23"/>
          <w:highlight w:val="none"/>
        </w:rPr>
        <w:t>）</w:t>
      </w:r>
      <w:r>
        <w:rPr>
          <w:rFonts w:hint="eastAsia" w:ascii="宋体" w:hAnsi="宋体" w:eastAsia="宋体" w:cs="宋体"/>
          <w:color w:val="auto"/>
          <w:spacing w:val="5"/>
          <w:sz w:val="23"/>
          <w:szCs w:val="23"/>
          <w:highlight w:val="none"/>
          <w:lang w:val="en-US" w:eastAsia="zh-CN"/>
        </w:rPr>
        <w:t>本单位</w:t>
      </w:r>
      <w:r>
        <w:rPr>
          <w:rFonts w:hint="eastAsia" w:ascii="宋体" w:hAnsi="宋体" w:eastAsia="宋体" w:cs="宋体"/>
          <w:color w:val="auto"/>
          <w:spacing w:val="5"/>
          <w:sz w:val="23"/>
          <w:szCs w:val="23"/>
          <w:highlight w:val="none"/>
        </w:rPr>
        <w:t>缴纳社保证明</w:t>
      </w:r>
      <w:r>
        <w:rPr>
          <w:rFonts w:hint="eastAsia" w:ascii="宋体" w:hAnsi="宋体" w:eastAsia="宋体" w:cs="宋体"/>
          <w:color w:val="auto"/>
          <w:sz w:val="23"/>
          <w:szCs w:val="23"/>
          <w:highlight w:val="none"/>
        </w:rPr>
        <w:t xml:space="preserve"> </w:t>
      </w:r>
      <w:r>
        <w:rPr>
          <w:rFonts w:hint="eastAsia" w:ascii="宋体" w:hAnsi="宋体" w:eastAsia="宋体" w:cs="宋体"/>
          <w:color w:val="auto"/>
          <w:sz w:val="23"/>
          <w:szCs w:val="23"/>
          <w:highlight w:val="none"/>
          <w:lang w:eastAsia="zh-CN"/>
        </w:rPr>
        <w:t>。</w:t>
      </w:r>
      <w:r>
        <w:rPr>
          <w:rFonts w:hint="eastAsia" w:ascii="宋体" w:hAnsi="宋体" w:eastAsia="宋体" w:cs="宋体"/>
          <w:color w:val="auto"/>
          <w:spacing w:val="5"/>
          <w:sz w:val="23"/>
          <w:szCs w:val="23"/>
          <w:highlight w:val="none"/>
        </w:rPr>
        <w:t>主要业绩须附</w:t>
      </w:r>
      <w:r>
        <w:rPr>
          <w:rFonts w:hint="eastAsia" w:ascii="宋体" w:hAnsi="宋体" w:eastAsia="宋体" w:cs="宋体"/>
          <w:color w:val="auto"/>
          <w:spacing w:val="5"/>
          <w:sz w:val="23"/>
          <w:szCs w:val="23"/>
          <w:highlight w:val="none"/>
          <w:lang w:val="en-US" w:eastAsia="zh-CN"/>
        </w:rPr>
        <w:t>中标通知书、合同协议书、完工证明</w:t>
      </w:r>
      <w:r>
        <w:rPr>
          <w:rFonts w:hint="eastAsia" w:ascii="宋体" w:hAnsi="宋体" w:eastAsia="宋体" w:cs="宋体"/>
          <w:color w:val="auto"/>
          <w:spacing w:val="5"/>
          <w:sz w:val="23"/>
          <w:szCs w:val="23"/>
          <w:highlight w:val="none"/>
        </w:rPr>
        <w:t>。</w:t>
      </w:r>
    </w:p>
    <w:p w14:paraId="14B3698B">
      <w:pPr>
        <w:pStyle w:val="5"/>
        <w:rPr>
          <w:rFonts w:hint="eastAsia" w:ascii="宋体" w:hAnsi="宋体" w:eastAsia="宋体" w:cs="宋体"/>
          <w:color w:val="auto"/>
          <w:spacing w:val="5"/>
          <w:sz w:val="23"/>
          <w:szCs w:val="23"/>
          <w:highlight w:val="none"/>
        </w:rPr>
      </w:pPr>
    </w:p>
    <w:p w14:paraId="7C7846DF">
      <w:pPr>
        <w:rPr>
          <w:rFonts w:hint="eastAsia" w:ascii="宋体" w:hAnsi="宋体" w:eastAsia="宋体" w:cs="宋体"/>
          <w:color w:val="auto"/>
          <w:spacing w:val="5"/>
          <w:sz w:val="23"/>
          <w:szCs w:val="23"/>
          <w:highlight w:val="none"/>
        </w:rPr>
      </w:pPr>
    </w:p>
    <w:p w14:paraId="0D3142BD">
      <w:pPr>
        <w:pStyle w:val="5"/>
        <w:rPr>
          <w:rFonts w:hint="eastAsia" w:ascii="宋体" w:hAnsi="宋体" w:eastAsia="宋体" w:cs="宋体"/>
          <w:color w:val="auto"/>
          <w:spacing w:val="5"/>
          <w:sz w:val="23"/>
          <w:szCs w:val="23"/>
          <w:highlight w:val="none"/>
        </w:rPr>
      </w:pPr>
    </w:p>
    <w:p w14:paraId="76F6FCE6">
      <w:pPr>
        <w:rPr>
          <w:rFonts w:hint="eastAsia" w:ascii="宋体" w:hAnsi="宋体" w:eastAsia="宋体" w:cs="宋体"/>
          <w:color w:val="auto"/>
          <w:spacing w:val="5"/>
          <w:sz w:val="23"/>
          <w:szCs w:val="23"/>
          <w:highlight w:val="none"/>
        </w:rPr>
      </w:pPr>
    </w:p>
    <w:p w14:paraId="446F58BC">
      <w:pPr>
        <w:pStyle w:val="5"/>
        <w:rPr>
          <w:rFonts w:hint="eastAsia" w:ascii="宋体" w:hAnsi="宋体" w:eastAsia="宋体" w:cs="宋体"/>
          <w:color w:val="auto"/>
          <w:spacing w:val="5"/>
          <w:sz w:val="23"/>
          <w:szCs w:val="23"/>
          <w:highlight w:val="none"/>
        </w:rPr>
      </w:pPr>
    </w:p>
    <w:p w14:paraId="5DAF97B9">
      <w:pPr>
        <w:rPr>
          <w:rFonts w:hint="eastAsia" w:ascii="宋体" w:hAnsi="宋体" w:eastAsia="宋体" w:cs="宋体"/>
          <w:color w:val="auto"/>
          <w:spacing w:val="5"/>
          <w:sz w:val="23"/>
          <w:szCs w:val="23"/>
          <w:highlight w:val="none"/>
        </w:rPr>
      </w:pPr>
    </w:p>
    <w:p w14:paraId="0F362EC5">
      <w:pPr>
        <w:pStyle w:val="5"/>
        <w:rPr>
          <w:rFonts w:hint="eastAsia" w:ascii="宋体" w:hAnsi="宋体" w:eastAsia="宋体" w:cs="宋体"/>
          <w:color w:val="auto"/>
          <w:spacing w:val="5"/>
          <w:sz w:val="23"/>
          <w:szCs w:val="23"/>
          <w:highlight w:val="none"/>
        </w:rPr>
      </w:pPr>
    </w:p>
    <w:p w14:paraId="60CCEB2A">
      <w:pPr>
        <w:rPr>
          <w:rFonts w:hint="eastAsia" w:ascii="宋体" w:hAnsi="宋体" w:eastAsia="宋体" w:cs="宋体"/>
          <w:color w:val="auto"/>
          <w:spacing w:val="5"/>
          <w:sz w:val="23"/>
          <w:szCs w:val="23"/>
          <w:highlight w:val="none"/>
        </w:rPr>
      </w:pPr>
    </w:p>
    <w:p w14:paraId="682D9FFF">
      <w:pPr>
        <w:pStyle w:val="5"/>
        <w:rPr>
          <w:rFonts w:hint="eastAsia" w:ascii="宋体" w:hAnsi="宋体" w:eastAsia="宋体" w:cs="宋体"/>
          <w:color w:val="auto"/>
          <w:spacing w:val="5"/>
          <w:sz w:val="23"/>
          <w:szCs w:val="23"/>
          <w:highlight w:val="none"/>
        </w:rPr>
      </w:pPr>
    </w:p>
    <w:p w14:paraId="6D8B0482">
      <w:pPr>
        <w:rPr>
          <w:rFonts w:hint="eastAsia" w:ascii="宋体" w:hAnsi="宋体" w:eastAsia="宋体" w:cs="宋体"/>
          <w:color w:val="auto"/>
          <w:spacing w:val="5"/>
          <w:sz w:val="23"/>
          <w:szCs w:val="23"/>
          <w:highlight w:val="none"/>
        </w:rPr>
      </w:pPr>
    </w:p>
    <w:p w14:paraId="6B1EE3DE">
      <w:pPr>
        <w:pStyle w:val="5"/>
        <w:rPr>
          <w:rFonts w:hint="eastAsia"/>
          <w:color w:val="auto"/>
          <w:highlight w:val="none"/>
        </w:rPr>
      </w:pPr>
    </w:p>
    <w:p w14:paraId="7DFCB952">
      <w:pPr>
        <w:spacing w:before="91" w:line="219" w:lineRule="auto"/>
        <w:ind w:left="2788"/>
        <w:rPr>
          <w:rFonts w:hint="eastAsia" w:ascii="宋体" w:hAnsi="宋体" w:eastAsia="宋体" w:cs="宋体"/>
          <w:color w:val="auto"/>
          <w:highlight w:val="none"/>
        </w:rPr>
      </w:pPr>
      <w:r>
        <w:rPr>
          <w:rFonts w:hint="eastAsia" w:ascii="宋体" w:hAnsi="宋体" w:cs="宋体"/>
          <w:color w:val="auto"/>
          <w:spacing w:val="-1"/>
          <w:sz w:val="28"/>
          <w:szCs w:val="28"/>
          <w:highlight w:val="none"/>
          <w:lang w:eastAsia="zh-CN"/>
        </w:rPr>
        <w:t>（</w:t>
      </w:r>
      <w:r>
        <w:rPr>
          <w:rFonts w:hint="eastAsia" w:ascii="宋体" w:hAnsi="宋体" w:cs="宋体"/>
          <w:color w:val="auto"/>
          <w:spacing w:val="-1"/>
          <w:sz w:val="28"/>
          <w:szCs w:val="28"/>
          <w:highlight w:val="none"/>
          <w:lang w:val="en-US" w:eastAsia="zh-CN"/>
        </w:rPr>
        <w:t>2</w:t>
      </w:r>
      <w:r>
        <w:rPr>
          <w:rFonts w:hint="eastAsia" w:ascii="宋体" w:hAnsi="宋体" w:cs="宋体"/>
          <w:color w:val="auto"/>
          <w:spacing w:val="-1"/>
          <w:sz w:val="28"/>
          <w:szCs w:val="28"/>
          <w:highlight w:val="none"/>
          <w:lang w:eastAsia="zh-CN"/>
        </w:rPr>
        <w:t>）</w:t>
      </w:r>
      <w:r>
        <w:rPr>
          <w:rFonts w:hint="eastAsia" w:ascii="宋体" w:hAnsi="宋体" w:eastAsia="宋体" w:cs="宋体"/>
          <w:color w:val="auto"/>
          <w:spacing w:val="-1"/>
          <w:sz w:val="28"/>
          <w:szCs w:val="28"/>
          <w:highlight w:val="none"/>
        </w:rPr>
        <w:t>主要项目管理人员简历表</w:t>
      </w:r>
    </w:p>
    <w:p w14:paraId="0A7C898A">
      <w:pPr>
        <w:spacing w:before="75" w:line="337" w:lineRule="auto"/>
        <w:ind w:left="41" w:firstLine="482"/>
        <w:rPr>
          <w:rFonts w:hint="eastAsia" w:ascii="宋体" w:hAnsi="宋体" w:eastAsia="宋体" w:cs="宋体"/>
          <w:color w:val="auto"/>
          <w:spacing w:val="8"/>
          <w:sz w:val="28"/>
          <w:szCs w:val="28"/>
          <w:highlight w:val="none"/>
        </w:rPr>
      </w:pPr>
      <w:r>
        <w:rPr>
          <w:rFonts w:hint="eastAsia" w:ascii="宋体" w:hAnsi="宋体" w:eastAsia="宋体" w:cs="宋体"/>
          <w:color w:val="auto"/>
          <w:spacing w:val="10"/>
          <w:sz w:val="28"/>
          <w:szCs w:val="28"/>
          <w:highlight w:val="none"/>
        </w:rPr>
        <w:t>主要项目管理人员指</w:t>
      </w:r>
      <w:r>
        <w:rPr>
          <w:rFonts w:hint="eastAsia" w:ascii="宋体" w:hAnsi="宋体" w:eastAsia="宋体" w:cs="宋体"/>
          <w:color w:val="auto"/>
          <w:spacing w:val="10"/>
          <w:sz w:val="28"/>
          <w:szCs w:val="28"/>
          <w:highlight w:val="none"/>
          <w:lang w:val="en-US" w:eastAsia="zh-CN"/>
        </w:rPr>
        <w:t>项目</w:t>
      </w:r>
      <w:r>
        <w:rPr>
          <w:rFonts w:hint="eastAsia" w:ascii="宋体" w:hAnsi="宋体" w:eastAsia="宋体" w:cs="宋体"/>
          <w:color w:val="auto"/>
          <w:spacing w:val="10"/>
          <w:sz w:val="28"/>
          <w:szCs w:val="28"/>
          <w:highlight w:val="none"/>
        </w:rPr>
        <w:t>技术负责人、</w:t>
      </w:r>
      <w:r>
        <w:rPr>
          <w:rFonts w:hint="eastAsia" w:ascii="宋体" w:hAnsi="宋体" w:eastAsia="宋体" w:cs="宋体"/>
          <w:color w:val="auto"/>
          <w:spacing w:val="5"/>
          <w:sz w:val="28"/>
          <w:szCs w:val="28"/>
          <w:highlight w:val="none"/>
        </w:rPr>
        <w:t>施工员、安全员、质量员、资料员、材料员、造价</w:t>
      </w:r>
      <w:r>
        <w:rPr>
          <w:rFonts w:hint="eastAsia" w:ascii="宋体" w:hAnsi="宋体" w:eastAsia="宋体" w:cs="宋体"/>
          <w:color w:val="auto"/>
          <w:spacing w:val="4"/>
          <w:sz w:val="28"/>
          <w:szCs w:val="28"/>
          <w:highlight w:val="none"/>
        </w:rPr>
        <w:t>师等岗位人员。应附注册资格证书、</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9"/>
          <w:sz w:val="28"/>
          <w:szCs w:val="28"/>
          <w:highlight w:val="none"/>
        </w:rPr>
        <w:t>岗位证书、安全考核合格证书、职称证书、身份证、学历证，</w:t>
      </w:r>
      <w:r>
        <w:rPr>
          <w:rFonts w:hint="eastAsia" w:ascii="宋体" w:hAnsi="宋体" w:eastAsia="宋体" w:cs="宋体"/>
          <w:color w:val="auto"/>
          <w:spacing w:val="9"/>
          <w:sz w:val="28"/>
          <w:szCs w:val="28"/>
          <w:highlight w:val="none"/>
          <w:lang w:val="en-US" w:eastAsia="zh-CN"/>
        </w:rPr>
        <w:t>提供</w:t>
      </w:r>
      <w:r>
        <w:rPr>
          <w:rFonts w:hint="eastAsia" w:ascii="宋体" w:hAnsi="宋体" w:eastAsia="宋体" w:cs="宋体"/>
          <w:color w:val="auto"/>
          <w:spacing w:val="5"/>
          <w:sz w:val="28"/>
          <w:szCs w:val="28"/>
          <w:highlight w:val="none"/>
          <w:lang w:val="en-US" w:eastAsia="zh-CN"/>
        </w:rPr>
        <w:t>近12个月</w:t>
      </w:r>
      <w:r>
        <w:rPr>
          <w:rFonts w:hint="eastAsia" w:ascii="宋体" w:hAnsi="宋体" w:eastAsia="宋体" w:cs="宋体"/>
          <w:color w:val="auto"/>
          <w:spacing w:val="5"/>
          <w:sz w:val="28"/>
          <w:szCs w:val="28"/>
          <w:highlight w:val="none"/>
        </w:rPr>
        <w:t>（</w:t>
      </w:r>
      <w:r>
        <w:rPr>
          <w:rFonts w:hint="eastAsia" w:ascii="宋体" w:hAnsi="宋体" w:eastAsia="宋体" w:cs="宋体"/>
          <w:color w:val="auto"/>
          <w:spacing w:val="5"/>
          <w:sz w:val="28"/>
          <w:szCs w:val="28"/>
          <w:highlight w:val="none"/>
          <w:lang w:val="en-US" w:eastAsia="zh-CN"/>
        </w:rPr>
        <w:t>任意1个月</w:t>
      </w:r>
      <w:r>
        <w:rPr>
          <w:rFonts w:hint="eastAsia" w:ascii="宋体" w:hAnsi="宋体" w:eastAsia="宋体" w:cs="宋体"/>
          <w:color w:val="auto"/>
          <w:spacing w:val="5"/>
          <w:sz w:val="28"/>
          <w:szCs w:val="28"/>
          <w:highlight w:val="none"/>
        </w:rPr>
        <w:t>）</w:t>
      </w:r>
      <w:r>
        <w:rPr>
          <w:rFonts w:hint="eastAsia" w:ascii="宋体" w:hAnsi="宋体" w:eastAsia="宋体" w:cs="宋体"/>
          <w:color w:val="auto"/>
          <w:spacing w:val="9"/>
          <w:sz w:val="28"/>
          <w:szCs w:val="28"/>
          <w:highlight w:val="none"/>
          <w:lang w:val="en-US" w:eastAsia="zh-CN"/>
        </w:rPr>
        <w:t>本单位</w:t>
      </w:r>
      <w:r>
        <w:rPr>
          <w:rFonts w:hint="eastAsia" w:ascii="宋体" w:hAnsi="宋体" w:eastAsia="宋体" w:cs="宋体"/>
          <w:color w:val="auto"/>
          <w:spacing w:val="9"/>
          <w:sz w:val="28"/>
          <w:szCs w:val="28"/>
          <w:highlight w:val="none"/>
        </w:rPr>
        <w:t>缴纳社保证明</w:t>
      </w:r>
      <w:r>
        <w:rPr>
          <w:rFonts w:hint="eastAsia" w:ascii="宋体" w:hAnsi="宋体" w:eastAsia="宋体" w:cs="宋体"/>
          <w:color w:val="auto"/>
          <w:spacing w:val="9"/>
          <w:sz w:val="28"/>
          <w:szCs w:val="28"/>
          <w:highlight w:val="none"/>
          <w:lang w:eastAsia="zh-CN"/>
        </w:rPr>
        <w:t>。</w:t>
      </w:r>
      <w:r>
        <w:rPr>
          <w:rFonts w:hint="eastAsia" w:ascii="宋体" w:hAnsi="宋体" w:eastAsia="宋体" w:cs="宋体"/>
          <w:color w:val="auto"/>
          <w:spacing w:val="9"/>
          <w:sz w:val="28"/>
          <w:szCs w:val="28"/>
          <w:highlight w:val="none"/>
        </w:rPr>
        <w:t>主要业</w:t>
      </w:r>
      <w:r>
        <w:rPr>
          <w:rFonts w:hint="eastAsia" w:ascii="宋体" w:hAnsi="宋体" w:eastAsia="宋体" w:cs="宋体"/>
          <w:color w:val="auto"/>
          <w:spacing w:val="8"/>
          <w:sz w:val="28"/>
          <w:szCs w:val="28"/>
          <w:highlight w:val="none"/>
        </w:rPr>
        <w:t>绩须</w:t>
      </w:r>
      <w:r>
        <w:rPr>
          <w:rFonts w:hint="eastAsia" w:ascii="宋体" w:hAnsi="宋体" w:eastAsia="宋体" w:cs="宋体"/>
          <w:color w:val="auto"/>
          <w:spacing w:val="8"/>
          <w:sz w:val="28"/>
          <w:szCs w:val="28"/>
          <w:highlight w:val="none"/>
          <w:lang w:val="en-US" w:eastAsia="zh-CN"/>
        </w:rPr>
        <w:t>中标通知书、合同协议书、完工证明。</w:t>
      </w:r>
    </w:p>
    <w:p w14:paraId="6D7B67AD">
      <w:pPr>
        <w:spacing w:line="226" w:lineRule="auto"/>
        <w:ind w:left="47"/>
        <w:rPr>
          <w:rFonts w:hint="eastAsia" w:ascii="宋体" w:hAnsi="宋体" w:eastAsia="宋体" w:cs="宋体"/>
          <w:color w:val="auto"/>
          <w:sz w:val="28"/>
          <w:szCs w:val="28"/>
          <w:highlight w:val="none"/>
        </w:rPr>
      </w:pPr>
    </w:p>
    <w:tbl>
      <w:tblPr>
        <w:tblStyle w:val="30"/>
        <w:tblpPr w:leftFromText="180" w:rightFromText="180" w:vertAnchor="text" w:horzAnchor="page" w:tblpX="863" w:tblpY="-55"/>
        <w:tblOverlap w:val="never"/>
        <w:tblW w:w="925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3"/>
        <w:gridCol w:w="1642"/>
        <w:gridCol w:w="3098"/>
        <w:gridCol w:w="1552"/>
        <w:gridCol w:w="2008"/>
      </w:tblGrid>
      <w:tr w14:paraId="2E454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253" w:type="dxa"/>
            <w:gridSpan w:val="5"/>
            <w:noWrap w:val="0"/>
            <w:vAlign w:val="top"/>
          </w:tcPr>
          <w:p w14:paraId="12DED9BC">
            <w:pPr>
              <w:autoSpaceDE w:val="0"/>
              <w:autoSpaceDN w:val="0"/>
              <w:spacing w:before="161" w:line="228" w:lineRule="auto"/>
              <w:ind w:left="1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岗位名称</w:t>
            </w:r>
          </w:p>
        </w:tc>
      </w:tr>
      <w:tr w14:paraId="60F57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595" w:type="dxa"/>
            <w:gridSpan w:val="2"/>
            <w:noWrap w:val="0"/>
            <w:vAlign w:val="top"/>
          </w:tcPr>
          <w:p w14:paraId="740F6578">
            <w:pPr>
              <w:autoSpaceDE w:val="0"/>
              <w:autoSpaceDN w:val="0"/>
              <w:spacing w:before="158" w:line="227"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姓名</w:t>
            </w:r>
          </w:p>
        </w:tc>
        <w:tc>
          <w:tcPr>
            <w:tcW w:w="3098" w:type="dxa"/>
            <w:noWrap w:val="0"/>
            <w:vAlign w:val="top"/>
          </w:tcPr>
          <w:p w14:paraId="27C26986">
            <w:pPr>
              <w:autoSpaceDE w:val="0"/>
              <w:autoSpaceDN w:val="0"/>
              <w:rPr>
                <w:rFonts w:hint="eastAsia" w:ascii="宋体" w:hAnsi="宋体" w:eastAsia="宋体" w:cs="宋体"/>
                <w:color w:val="auto"/>
                <w:sz w:val="24"/>
                <w:szCs w:val="24"/>
                <w:highlight w:val="none"/>
              </w:rPr>
            </w:pPr>
          </w:p>
        </w:tc>
        <w:tc>
          <w:tcPr>
            <w:tcW w:w="1552" w:type="dxa"/>
            <w:noWrap w:val="0"/>
            <w:vAlign w:val="top"/>
          </w:tcPr>
          <w:p w14:paraId="360FC8B4">
            <w:pPr>
              <w:autoSpaceDE w:val="0"/>
              <w:autoSpaceDN w:val="0"/>
              <w:spacing w:before="158" w:line="227"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2008" w:type="dxa"/>
            <w:noWrap w:val="0"/>
            <w:vAlign w:val="top"/>
          </w:tcPr>
          <w:p w14:paraId="5714C7DC">
            <w:pPr>
              <w:autoSpaceDE w:val="0"/>
              <w:autoSpaceDN w:val="0"/>
              <w:rPr>
                <w:rFonts w:hint="eastAsia" w:ascii="宋体" w:hAnsi="宋体" w:eastAsia="宋体" w:cs="宋体"/>
                <w:color w:val="auto"/>
                <w:sz w:val="24"/>
                <w:szCs w:val="24"/>
                <w:highlight w:val="none"/>
              </w:rPr>
            </w:pPr>
          </w:p>
        </w:tc>
      </w:tr>
      <w:tr w14:paraId="0B92C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595" w:type="dxa"/>
            <w:gridSpan w:val="2"/>
            <w:noWrap w:val="0"/>
            <w:vAlign w:val="top"/>
          </w:tcPr>
          <w:p w14:paraId="58EDF849">
            <w:pPr>
              <w:autoSpaceDE w:val="0"/>
              <w:autoSpaceDN w:val="0"/>
              <w:spacing w:before="146" w:line="228"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性别</w:t>
            </w:r>
          </w:p>
        </w:tc>
        <w:tc>
          <w:tcPr>
            <w:tcW w:w="3098" w:type="dxa"/>
            <w:noWrap w:val="0"/>
            <w:vAlign w:val="top"/>
          </w:tcPr>
          <w:p w14:paraId="10566E30">
            <w:pPr>
              <w:autoSpaceDE w:val="0"/>
              <w:autoSpaceDN w:val="0"/>
              <w:rPr>
                <w:rFonts w:hint="eastAsia" w:ascii="宋体" w:hAnsi="宋体" w:eastAsia="宋体" w:cs="宋体"/>
                <w:color w:val="auto"/>
                <w:sz w:val="24"/>
                <w:szCs w:val="24"/>
                <w:highlight w:val="none"/>
              </w:rPr>
            </w:pPr>
          </w:p>
        </w:tc>
        <w:tc>
          <w:tcPr>
            <w:tcW w:w="1552" w:type="dxa"/>
            <w:noWrap w:val="0"/>
            <w:vAlign w:val="top"/>
          </w:tcPr>
          <w:p w14:paraId="7776BCAB">
            <w:pPr>
              <w:autoSpaceDE w:val="0"/>
              <w:autoSpaceDN w:val="0"/>
              <w:spacing w:before="146" w:line="227"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毕业学校</w:t>
            </w:r>
          </w:p>
        </w:tc>
        <w:tc>
          <w:tcPr>
            <w:tcW w:w="2008" w:type="dxa"/>
            <w:noWrap w:val="0"/>
            <w:vAlign w:val="top"/>
          </w:tcPr>
          <w:p w14:paraId="72361EDA">
            <w:pPr>
              <w:autoSpaceDE w:val="0"/>
              <w:autoSpaceDN w:val="0"/>
              <w:rPr>
                <w:rFonts w:hint="eastAsia" w:ascii="宋体" w:hAnsi="宋体" w:eastAsia="宋体" w:cs="宋体"/>
                <w:color w:val="auto"/>
                <w:sz w:val="24"/>
                <w:szCs w:val="24"/>
                <w:highlight w:val="none"/>
              </w:rPr>
            </w:pPr>
          </w:p>
        </w:tc>
      </w:tr>
      <w:tr w14:paraId="37428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595" w:type="dxa"/>
            <w:gridSpan w:val="2"/>
            <w:noWrap w:val="0"/>
            <w:vAlign w:val="top"/>
          </w:tcPr>
          <w:p w14:paraId="2672D084">
            <w:pPr>
              <w:autoSpaceDE w:val="0"/>
              <w:autoSpaceDN w:val="0"/>
              <w:spacing w:before="146" w:line="228" w:lineRule="auto"/>
              <w:ind w:left="12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学历和专业</w:t>
            </w:r>
          </w:p>
        </w:tc>
        <w:tc>
          <w:tcPr>
            <w:tcW w:w="3098" w:type="dxa"/>
            <w:noWrap w:val="0"/>
            <w:vAlign w:val="top"/>
          </w:tcPr>
          <w:p w14:paraId="436194D4">
            <w:pPr>
              <w:autoSpaceDE w:val="0"/>
              <w:autoSpaceDN w:val="0"/>
              <w:rPr>
                <w:rFonts w:hint="eastAsia" w:ascii="宋体" w:hAnsi="宋体" w:eastAsia="宋体" w:cs="宋体"/>
                <w:color w:val="auto"/>
                <w:sz w:val="24"/>
                <w:szCs w:val="24"/>
                <w:highlight w:val="none"/>
              </w:rPr>
            </w:pPr>
          </w:p>
        </w:tc>
        <w:tc>
          <w:tcPr>
            <w:tcW w:w="1552" w:type="dxa"/>
            <w:noWrap w:val="0"/>
            <w:vAlign w:val="top"/>
          </w:tcPr>
          <w:p w14:paraId="3C0E5ACE">
            <w:pPr>
              <w:autoSpaceDE w:val="0"/>
              <w:autoSpaceDN w:val="0"/>
              <w:spacing w:before="146" w:line="227" w:lineRule="auto"/>
              <w:ind w:left="11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毕业时间</w:t>
            </w:r>
          </w:p>
        </w:tc>
        <w:tc>
          <w:tcPr>
            <w:tcW w:w="2008" w:type="dxa"/>
            <w:noWrap w:val="0"/>
            <w:vAlign w:val="top"/>
          </w:tcPr>
          <w:p w14:paraId="59D318A2">
            <w:pPr>
              <w:autoSpaceDE w:val="0"/>
              <w:autoSpaceDN w:val="0"/>
              <w:rPr>
                <w:rFonts w:hint="eastAsia" w:ascii="宋体" w:hAnsi="宋体" w:eastAsia="宋体" w:cs="宋体"/>
                <w:color w:val="auto"/>
                <w:sz w:val="24"/>
                <w:szCs w:val="24"/>
                <w:highlight w:val="none"/>
              </w:rPr>
            </w:pPr>
          </w:p>
        </w:tc>
      </w:tr>
      <w:tr w14:paraId="17A98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595" w:type="dxa"/>
            <w:gridSpan w:val="2"/>
            <w:noWrap w:val="0"/>
            <w:vAlign w:val="top"/>
          </w:tcPr>
          <w:p w14:paraId="1427A167">
            <w:pPr>
              <w:autoSpaceDE w:val="0"/>
              <w:autoSpaceDN w:val="0"/>
              <w:spacing w:before="146" w:line="227"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拥有的执业资格</w:t>
            </w:r>
          </w:p>
        </w:tc>
        <w:tc>
          <w:tcPr>
            <w:tcW w:w="3098" w:type="dxa"/>
            <w:noWrap w:val="0"/>
            <w:vAlign w:val="top"/>
          </w:tcPr>
          <w:p w14:paraId="45638054">
            <w:pPr>
              <w:autoSpaceDE w:val="0"/>
              <w:autoSpaceDN w:val="0"/>
              <w:rPr>
                <w:rFonts w:hint="eastAsia" w:ascii="宋体" w:hAnsi="宋体" w:eastAsia="宋体" w:cs="宋体"/>
                <w:color w:val="auto"/>
                <w:sz w:val="24"/>
                <w:szCs w:val="24"/>
                <w:highlight w:val="none"/>
              </w:rPr>
            </w:pPr>
          </w:p>
        </w:tc>
        <w:tc>
          <w:tcPr>
            <w:tcW w:w="1552" w:type="dxa"/>
            <w:noWrap w:val="0"/>
            <w:vAlign w:val="top"/>
          </w:tcPr>
          <w:p w14:paraId="23587AE3">
            <w:pPr>
              <w:autoSpaceDE w:val="0"/>
              <w:autoSpaceDN w:val="0"/>
              <w:spacing w:before="146" w:line="228"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专业职称</w:t>
            </w:r>
          </w:p>
        </w:tc>
        <w:tc>
          <w:tcPr>
            <w:tcW w:w="2008" w:type="dxa"/>
            <w:noWrap w:val="0"/>
            <w:vAlign w:val="top"/>
          </w:tcPr>
          <w:p w14:paraId="00F98F6F">
            <w:pPr>
              <w:autoSpaceDE w:val="0"/>
              <w:autoSpaceDN w:val="0"/>
              <w:rPr>
                <w:rFonts w:hint="eastAsia" w:ascii="宋体" w:hAnsi="宋体" w:eastAsia="宋体" w:cs="宋体"/>
                <w:color w:val="auto"/>
                <w:sz w:val="24"/>
                <w:szCs w:val="24"/>
                <w:highlight w:val="none"/>
              </w:rPr>
            </w:pPr>
          </w:p>
        </w:tc>
      </w:tr>
      <w:tr w14:paraId="7A72A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2595" w:type="dxa"/>
            <w:gridSpan w:val="2"/>
            <w:noWrap w:val="0"/>
            <w:vAlign w:val="top"/>
          </w:tcPr>
          <w:p w14:paraId="429568CC">
            <w:pPr>
              <w:autoSpaceDE w:val="0"/>
              <w:autoSpaceDN w:val="0"/>
              <w:spacing w:before="146" w:line="439" w:lineRule="exact"/>
              <w:ind w:left="11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执业资格证书编号</w:t>
            </w:r>
          </w:p>
        </w:tc>
        <w:tc>
          <w:tcPr>
            <w:tcW w:w="3098" w:type="dxa"/>
            <w:noWrap w:val="0"/>
            <w:vAlign w:val="top"/>
          </w:tcPr>
          <w:p w14:paraId="354C4258">
            <w:pPr>
              <w:autoSpaceDE w:val="0"/>
              <w:autoSpaceDN w:val="0"/>
              <w:spacing w:before="146" w:line="228" w:lineRule="auto"/>
              <w:ind w:left="115"/>
              <w:rPr>
                <w:rFonts w:hint="eastAsia" w:ascii="宋体" w:hAnsi="宋体" w:eastAsia="宋体" w:cs="宋体"/>
                <w:color w:val="auto"/>
                <w:spacing w:val="7"/>
                <w:sz w:val="24"/>
                <w:szCs w:val="24"/>
                <w:highlight w:val="none"/>
              </w:rPr>
            </w:pPr>
          </w:p>
        </w:tc>
        <w:tc>
          <w:tcPr>
            <w:tcW w:w="1552" w:type="dxa"/>
            <w:noWrap w:val="0"/>
            <w:vAlign w:val="top"/>
          </w:tcPr>
          <w:p w14:paraId="47EBF634">
            <w:pPr>
              <w:autoSpaceDE w:val="0"/>
              <w:autoSpaceDN w:val="0"/>
              <w:spacing w:before="146" w:line="228" w:lineRule="auto"/>
              <w:ind w:left="115"/>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工作年限</w:t>
            </w:r>
          </w:p>
        </w:tc>
        <w:tc>
          <w:tcPr>
            <w:tcW w:w="2008" w:type="dxa"/>
            <w:noWrap w:val="0"/>
            <w:vAlign w:val="top"/>
          </w:tcPr>
          <w:p w14:paraId="0B84CAF9">
            <w:pPr>
              <w:autoSpaceDE w:val="0"/>
              <w:autoSpaceDN w:val="0"/>
              <w:rPr>
                <w:rFonts w:hint="eastAsia" w:ascii="宋体" w:hAnsi="宋体" w:eastAsia="宋体" w:cs="宋体"/>
                <w:color w:val="auto"/>
                <w:sz w:val="24"/>
                <w:szCs w:val="24"/>
                <w:highlight w:val="none"/>
              </w:rPr>
            </w:pPr>
          </w:p>
        </w:tc>
      </w:tr>
      <w:tr w14:paraId="6D5BD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6" w:hRule="atLeast"/>
        </w:trPr>
        <w:tc>
          <w:tcPr>
            <w:tcW w:w="953" w:type="dxa"/>
            <w:noWrap w:val="0"/>
            <w:textDirection w:val="tbRlV"/>
            <w:vAlign w:val="top"/>
          </w:tcPr>
          <w:p w14:paraId="79626B46">
            <w:pPr>
              <w:keepNext w:val="0"/>
              <w:keepLines w:val="0"/>
              <w:pageBreakBefore w:val="0"/>
              <w:widowControl w:val="0"/>
              <w:kinsoku/>
              <w:wordWrap/>
              <w:overflowPunct/>
              <w:topLinePunct w:val="0"/>
              <w:autoSpaceDE w:val="0"/>
              <w:autoSpaceDN w:val="0"/>
              <w:bidi w:val="0"/>
              <w:adjustRightInd/>
              <w:snapToGrid/>
              <w:spacing w:before="251"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主要工作业绩及担任的主要工作</w:t>
            </w:r>
          </w:p>
        </w:tc>
        <w:tc>
          <w:tcPr>
            <w:tcW w:w="8300" w:type="dxa"/>
            <w:gridSpan w:val="4"/>
            <w:noWrap w:val="0"/>
            <w:vAlign w:val="top"/>
          </w:tcPr>
          <w:p w14:paraId="427F4BA8">
            <w:pPr>
              <w:autoSpaceDE w:val="0"/>
              <w:autoSpaceDN w:val="0"/>
              <w:rPr>
                <w:rFonts w:hint="eastAsia" w:ascii="宋体" w:hAnsi="宋体" w:eastAsia="宋体" w:cs="宋体"/>
                <w:color w:val="auto"/>
                <w:sz w:val="24"/>
                <w:szCs w:val="24"/>
                <w:highlight w:val="none"/>
              </w:rPr>
            </w:pPr>
          </w:p>
        </w:tc>
      </w:tr>
    </w:tbl>
    <w:p w14:paraId="74F6254D">
      <w:pPr>
        <w:spacing w:before="207"/>
        <w:rPr>
          <w:rFonts w:hint="eastAsia" w:ascii="宋体" w:hAnsi="宋体" w:eastAsia="宋体" w:cs="宋体"/>
          <w:color w:val="auto"/>
          <w:sz w:val="28"/>
          <w:szCs w:val="28"/>
          <w:highlight w:val="none"/>
        </w:rPr>
      </w:pPr>
    </w:p>
    <w:p w14:paraId="5DCE5ABE">
      <w:pPr>
        <w:rPr>
          <w:rFonts w:hint="eastAsia" w:ascii="宋体" w:hAnsi="宋体" w:eastAsia="宋体" w:cs="宋体"/>
          <w:color w:val="auto"/>
          <w:highlight w:val="none"/>
        </w:rPr>
        <w:sectPr>
          <w:footerReference r:id="rId6" w:type="default"/>
          <w:pgSz w:w="11906" w:h="16838"/>
          <w:pgMar w:top="1440" w:right="1080" w:bottom="1440" w:left="1080" w:header="0" w:footer="1204" w:gutter="0"/>
          <w:pgNumType w:fmt="decimal"/>
          <w:cols w:space="720" w:num="1"/>
        </w:sectPr>
      </w:pPr>
    </w:p>
    <w:p w14:paraId="16387148">
      <w:pPr>
        <w:spacing w:before="74" w:line="227"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6"/>
          <w:sz w:val="28"/>
          <w:szCs w:val="28"/>
          <w:highlight w:val="none"/>
        </w:rPr>
        <w:t>（四）</w:t>
      </w:r>
      <w:r>
        <w:rPr>
          <w:rFonts w:hint="eastAsia" w:asciiTheme="minorEastAsia" w:hAnsiTheme="minorEastAsia" w:eastAsiaTheme="minorEastAsia" w:cstheme="minorEastAsia"/>
          <w:color w:val="auto"/>
          <w:spacing w:val="-65"/>
          <w:sz w:val="28"/>
          <w:szCs w:val="28"/>
          <w:highlight w:val="none"/>
        </w:rPr>
        <w:t xml:space="preserve"> </w:t>
      </w:r>
      <w:r>
        <w:rPr>
          <w:rFonts w:hint="eastAsia" w:asciiTheme="minorEastAsia" w:hAnsiTheme="minorEastAsia" w:eastAsiaTheme="minorEastAsia" w:cstheme="minorEastAsia"/>
          <w:color w:val="auto"/>
          <w:spacing w:val="6"/>
          <w:sz w:val="28"/>
          <w:szCs w:val="28"/>
          <w:highlight w:val="none"/>
        </w:rPr>
        <w:t>近年完成的类似工程业绩表</w:t>
      </w:r>
    </w:p>
    <w:p w14:paraId="5BCA8DD5">
      <w:pPr>
        <w:spacing w:line="34" w:lineRule="exact"/>
        <w:rPr>
          <w:rFonts w:hint="eastAsia" w:asciiTheme="minorEastAsia" w:hAnsiTheme="minorEastAsia" w:eastAsiaTheme="minorEastAsia" w:cstheme="minorEastAsia"/>
          <w:color w:val="auto"/>
          <w:sz w:val="28"/>
          <w:szCs w:val="28"/>
          <w:highlight w:val="none"/>
        </w:rPr>
      </w:pPr>
    </w:p>
    <w:tbl>
      <w:tblPr>
        <w:tblStyle w:val="30"/>
        <w:tblW w:w="89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17"/>
        <w:gridCol w:w="6095"/>
      </w:tblGrid>
      <w:tr w14:paraId="38438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817" w:type="dxa"/>
            <w:noWrap w:val="0"/>
            <w:vAlign w:val="top"/>
          </w:tcPr>
          <w:p w14:paraId="703F8709">
            <w:pPr>
              <w:autoSpaceDE w:val="0"/>
              <w:autoSpaceDN w:val="0"/>
              <w:spacing w:before="86"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项目名称</w:t>
            </w:r>
          </w:p>
        </w:tc>
        <w:tc>
          <w:tcPr>
            <w:tcW w:w="6095" w:type="dxa"/>
            <w:noWrap w:val="0"/>
            <w:vAlign w:val="top"/>
          </w:tcPr>
          <w:p w14:paraId="7C4900C9">
            <w:pPr>
              <w:autoSpaceDE w:val="0"/>
              <w:autoSpaceDN w:val="0"/>
              <w:rPr>
                <w:rFonts w:hint="eastAsia" w:asciiTheme="minorEastAsia" w:hAnsiTheme="minorEastAsia" w:eastAsiaTheme="minorEastAsia" w:cstheme="minorEastAsia"/>
                <w:color w:val="auto"/>
                <w:sz w:val="24"/>
                <w:szCs w:val="24"/>
                <w:highlight w:val="none"/>
              </w:rPr>
            </w:pPr>
          </w:p>
        </w:tc>
      </w:tr>
      <w:tr w14:paraId="7E6C9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817" w:type="dxa"/>
            <w:noWrap w:val="0"/>
            <w:vAlign w:val="top"/>
          </w:tcPr>
          <w:p w14:paraId="20C6635B">
            <w:pPr>
              <w:autoSpaceDE w:val="0"/>
              <w:autoSpaceDN w:val="0"/>
              <w:spacing w:before="120"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项目所在地</w:t>
            </w:r>
          </w:p>
        </w:tc>
        <w:tc>
          <w:tcPr>
            <w:tcW w:w="6095" w:type="dxa"/>
            <w:noWrap w:val="0"/>
            <w:vAlign w:val="top"/>
          </w:tcPr>
          <w:p w14:paraId="4AE25C2C">
            <w:pPr>
              <w:autoSpaceDE w:val="0"/>
              <w:autoSpaceDN w:val="0"/>
              <w:rPr>
                <w:rFonts w:hint="eastAsia" w:asciiTheme="minorEastAsia" w:hAnsiTheme="minorEastAsia" w:eastAsiaTheme="minorEastAsia" w:cstheme="minorEastAsia"/>
                <w:color w:val="auto"/>
                <w:sz w:val="24"/>
                <w:szCs w:val="24"/>
                <w:highlight w:val="none"/>
              </w:rPr>
            </w:pPr>
          </w:p>
        </w:tc>
      </w:tr>
      <w:tr w14:paraId="6F103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817" w:type="dxa"/>
            <w:noWrap w:val="0"/>
            <w:vAlign w:val="top"/>
          </w:tcPr>
          <w:p w14:paraId="58C638D6">
            <w:pPr>
              <w:autoSpaceDE w:val="0"/>
              <w:autoSpaceDN w:val="0"/>
              <w:spacing w:before="123"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发包人名称</w:t>
            </w:r>
          </w:p>
        </w:tc>
        <w:tc>
          <w:tcPr>
            <w:tcW w:w="6095" w:type="dxa"/>
            <w:noWrap w:val="0"/>
            <w:vAlign w:val="top"/>
          </w:tcPr>
          <w:p w14:paraId="32618F03">
            <w:pPr>
              <w:autoSpaceDE w:val="0"/>
              <w:autoSpaceDN w:val="0"/>
              <w:rPr>
                <w:rFonts w:hint="eastAsia" w:asciiTheme="minorEastAsia" w:hAnsiTheme="minorEastAsia" w:eastAsiaTheme="minorEastAsia" w:cstheme="minorEastAsia"/>
                <w:color w:val="auto"/>
                <w:sz w:val="24"/>
                <w:szCs w:val="24"/>
                <w:highlight w:val="none"/>
              </w:rPr>
            </w:pPr>
          </w:p>
        </w:tc>
      </w:tr>
      <w:tr w14:paraId="30E27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817" w:type="dxa"/>
            <w:noWrap w:val="0"/>
            <w:vAlign w:val="top"/>
          </w:tcPr>
          <w:p w14:paraId="3D7ADDBC">
            <w:pPr>
              <w:autoSpaceDE w:val="0"/>
              <w:autoSpaceDN w:val="0"/>
              <w:spacing w:before="119"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发包人地址</w:t>
            </w:r>
          </w:p>
        </w:tc>
        <w:tc>
          <w:tcPr>
            <w:tcW w:w="6095" w:type="dxa"/>
            <w:noWrap w:val="0"/>
            <w:vAlign w:val="top"/>
          </w:tcPr>
          <w:p w14:paraId="595762A5">
            <w:pPr>
              <w:autoSpaceDE w:val="0"/>
              <w:autoSpaceDN w:val="0"/>
              <w:rPr>
                <w:rFonts w:hint="eastAsia" w:asciiTheme="minorEastAsia" w:hAnsiTheme="minorEastAsia" w:eastAsiaTheme="minorEastAsia" w:cstheme="minorEastAsia"/>
                <w:color w:val="auto"/>
                <w:sz w:val="24"/>
                <w:szCs w:val="24"/>
                <w:highlight w:val="none"/>
              </w:rPr>
            </w:pPr>
          </w:p>
        </w:tc>
      </w:tr>
      <w:tr w14:paraId="36CCF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817" w:type="dxa"/>
            <w:noWrap w:val="0"/>
            <w:vAlign w:val="top"/>
          </w:tcPr>
          <w:p w14:paraId="01D08A34">
            <w:pPr>
              <w:autoSpaceDE w:val="0"/>
              <w:autoSpaceDN w:val="0"/>
              <w:spacing w:before="129"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发包人联系人及电话</w:t>
            </w:r>
          </w:p>
        </w:tc>
        <w:tc>
          <w:tcPr>
            <w:tcW w:w="6095" w:type="dxa"/>
            <w:noWrap w:val="0"/>
            <w:vAlign w:val="top"/>
          </w:tcPr>
          <w:p w14:paraId="0FA39E3B">
            <w:pPr>
              <w:autoSpaceDE w:val="0"/>
              <w:autoSpaceDN w:val="0"/>
              <w:rPr>
                <w:rFonts w:hint="eastAsia" w:asciiTheme="minorEastAsia" w:hAnsiTheme="minorEastAsia" w:eastAsiaTheme="minorEastAsia" w:cstheme="minorEastAsia"/>
                <w:color w:val="auto"/>
                <w:sz w:val="24"/>
                <w:szCs w:val="24"/>
                <w:highlight w:val="none"/>
              </w:rPr>
            </w:pPr>
          </w:p>
        </w:tc>
      </w:tr>
      <w:tr w14:paraId="3B693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817" w:type="dxa"/>
            <w:noWrap w:val="0"/>
            <w:vAlign w:val="top"/>
          </w:tcPr>
          <w:p w14:paraId="7770D160">
            <w:pPr>
              <w:autoSpaceDE w:val="0"/>
              <w:autoSpaceDN w:val="0"/>
              <w:spacing w:before="125" w:line="226"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合同价格</w:t>
            </w:r>
          </w:p>
        </w:tc>
        <w:tc>
          <w:tcPr>
            <w:tcW w:w="6095" w:type="dxa"/>
            <w:noWrap w:val="0"/>
            <w:vAlign w:val="top"/>
          </w:tcPr>
          <w:p w14:paraId="2B81DD3B">
            <w:pPr>
              <w:autoSpaceDE w:val="0"/>
              <w:autoSpaceDN w:val="0"/>
              <w:rPr>
                <w:rFonts w:hint="eastAsia" w:asciiTheme="minorEastAsia" w:hAnsiTheme="minorEastAsia" w:eastAsiaTheme="minorEastAsia" w:cstheme="minorEastAsia"/>
                <w:color w:val="auto"/>
                <w:sz w:val="24"/>
                <w:szCs w:val="24"/>
                <w:highlight w:val="none"/>
              </w:rPr>
            </w:pPr>
          </w:p>
        </w:tc>
      </w:tr>
      <w:tr w14:paraId="5B72A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2817" w:type="dxa"/>
            <w:noWrap w:val="0"/>
            <w:vAlign w:val="top"/>
          </w:tcPr>
          <w:p w14:paraId="015E3DAB">
            <w:pPr>
              <w:autoSpaceDE w:val="0"/>
              <w:autoSpaceDN w:val="0"/>
              <w:spacing w:before="129"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开工日期</w:t>
            </w:r>
          </w:p>
        </w:tc>
        <w:tc>
          <w:tcPr>
            <w:tcW w:w="6095" w:type="dxa"/>
            <w:noWrap w:val="0"/>
            <w:vAlign w:val="top"/>
          </w:tcPr>
          <w:p w14:paraId="6AE57034">
            <w:pPr>
              <w:autoSpaceDE w:val="0"/>
              <w:autoSpaceDN w:val="0"/>
              <w:rPr>
                <w:rFonts w:hint="eastAsia" w:asciiTheme="minorEastAsia" w:hAnsiTheme="minorEastAsia" w:eastAsiaTheme="minorEastAsia" w:cstheme="minorEastAsia"/>
                <w:color w:val="auto"/>
                <w:sz w:val="24"/>
                <w:szCs w:val="24"/>
                <w:highlight w:val="none"/>
              </w:rPr>
            </w:pPr>
          </w:p>
        </w:tc>
      </w:tr>
      <w:tr w14:paraId="7A5F6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817" w:type="dxa"/>
            <w:noWrap w:val="0"/>
            <w:vAlign w:val="top"/>
          </w:tcPr>
          <w:p w14:paraId="08903E82">
            <w:pPr>
              <w:autoSpaceDE w:val="0"/>
              <w:autoSpaceDN w:val="0"/>
              <w:spacing w:before="118"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竣工日期</w:t>
            </w:r>
          </w:p>
        </w:tc>
        <w:tc>
          <w:tcPr>
            <w:tcW w:w="6095" w:type="dxa"/>
            <w:noWrap w:val="0"/>
            <w:vAlign w:val="top"/>
          </w:tcPr>
          <w:p w14:paraId="5A5FF25A">
            <w:pPr>
              <w:autoSpaceDE w:val="0"/>
              <w:autoSpaceDN w:val="0"/>
              <w:rPr>
                <w:rFonts w:hint="eastAsia" w:asciiTheme="minorEastAsia" w:hAnsiTheme="minorEastAsia" w:eastAsiaTheme="minorEastAsia" w:cstheme="minorEastAsia"/>
                <w:color w:val="auto"/>
                <w:sz w:val="24"/>
                <w:szCs w:val="24"/>
                <w:highlight w:val="none"/>
              </w:rPr>
            </w:pPr>
          </w:p>
        </w:tc>
      </w:tr>
      <w:tr w14:paraId="71F00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817" w:type="dxa"/>
            <w:noWrap w:val="0"/>
            <w:vAlign w:val="top"/>
          </w:tcPr>
          <w:p w14:paraId="41658657">
            <w:pPr>
              <w:autoSpaceDE w:val="0"/>
              <w:autoSpaceDN w:val="0"/>
              <w:spacing w:before="128"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承担的工作</w:t>
            </w:r>
          </w:p>
        </w:tc>
        <w:tc>
          <w:tcPr>
            <w:tcW w:w="6095" w:type="dxa"/>
            <w:noWrap w:val="0"/>
            <w:vAlign w:val="top"/>
          </w:tcPr>
          <w:p w14:paraId="658DC682">
            <w:pPr>
              <w:autoSpaceDE w:val="0"/>
              <w:autoSpaceDN w:val="0"/>
              <w:rPr>
                <w:rFonts w:hint="eastAsia" w:asciiTheme="minorEastAsia" w:hAnsiTheme="minorEastAsia" w:eastAsiaTheme="minorEastAsia" w:cstheme="minorEastAsia"/>
                <w:color w:val="auto"/>
                <w:sz w:val="24"/>
                <w:szCs w:val="24"/>
                <w:highlight w:val="none"/>
              </w:rPr>
            </w:pPr>
          </w:p>
        </w:tc>
      </w:tr>
      <w:tr w14:paraId="33598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817" w:type="dxa"/>
            <w:noWrap w:val="0"/>
            <w:vAlign w:val="top"/>
          </w:tcPr>
          <w:p w14:paraId="670EE370">
            <w:pPr>
              <w:autoSpaceDE w:val="0"/>
              <w:autoSpaceDN w:val="0"/>
              <w:spacing w:before="125"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工程质量</w:t>
            </w:r>
          </w:p>
        </w:tc>
        <w:tc>
          <w:tcPr>
            <w:tcW w:w="6095" w:type="dxa"/>
            <w:noWrap w:val="0"/>
            <w:vAlign w:val="top"/>
          </w:tcPr>
          <w:p w14:paraId="5A571797">
            <w:pPr>
              <w:autoSpaceDE w:val="0"/>
              <w:autoSpaceDN w:val="0"/>
              <w:rPr>
                <w:rFonts w:hint="eastAsia" w:asciiTheme="minorEastAsia" w:hAnsiTheme="minorEastAsia" w:eastAsiaTheme="minorEastAsia" w:cstheme="minorEastAsia"/>
                <w:color w:val="auto"/>
                <w:sz w:val="24"/>
                <w:szCs w:val="24"/>
                <w:highlight w:val="none"/>
              </w:rPr>
            </w:pPr>
          </w:p>
        </w:tc>
      </w:tr>
      <w:tr w14:paraId="08C80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817" w:type="dxa"/>
            <w:noWrap w:val="0"/>
            <w:vAlign w:val="top"/>
          </w:tcPr>
          <w:p w14:paraId="2AF678D6">
            <w:pPr>
              <w:autoSpaceDE w:val="0"/>
              <w:autoSpaceDN w:val="0"/>
              <w:spacing w:before="127"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项目负责人</w:t>
            </w:r>
          </w:p>
        </w:tc>
        <w:tc>
          <w:tcPr>
            <w:tcW w:w="6095" w:type="dxa"/>
            <w:noWrap w:val="0"/>
            <w:vAlign w:val="top"/>
          </w:tcPr>
          <w:p w14:paraId="34046652">
            <w:pPr>
              <w:autoSpaceDE w:val="0"/>
              <w:autoSpaceDN w:val="0"/>
              <w:rPr>
                <w:rFonts w:hint="eastAsia" w:asciiTheme="minorEastAsia" w:hAnsiTheme="minorEastAsia" w:eastAsiaTheme="minorEastAsia" w:cstheme="minorEastAsia"/>
                <w:color w:val="auto"/>
                <w:sz w:val="24"/>
                <w:szCs w:val="24"/>
                <w:highlight w:val="none"/>
              </w:rPr>
            </w:pPr>
          </w:p>
        </w:tc>
      </w:tr>
      <w:tr w14:paraId="4A6DA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2817" w:type="dxa"/>
            <w:noWrap w:val="0"/>
            <w:vAlign w:val="top"/>
          </w:tcPr>
          <w:p w14:paraId="4CFE7ED3">
            <w:pPr>
              <w:autoSpaceDE w:val="0"/>
              <w:autoSpaceDN w:val="0"/>
              <w:spacing w:before="122"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技术负责人</w:t>
            </w:r>
          </w:p>
        </w:tc>
        <w:tc>
          <w:tcPr>
            <w:tcW w:w="6095" w:type="dxa"/>
            <w:noWrap w:val="0"/>
            <w:vAlign w:val="top"/>
          </w:tcPr>
          <w:p w14:paraId="66C4B317">
            <w:pPr>
              <w:autoSpaceDE w:val="0"/>
              <w:autoSpaceDN w:val="0"/>
              <w:rPr>
                <w:rFonts w:hint="eastAsia" w:asciiTheme="minorEastAsia" w:hAnsiTheme="minorEastAsia" w:eastAsiaTheme="minorEastAsia" w:cstheme="minorEastAsia"/>
                <w:color w:val="auto"/>
                <w:sz w:val="24"/>
                <w:szCs w:val="24"/>
                <w:highlight w:val="none"/>
              </w:rPr>
            </w:pPr>
          </w:p>
        </w:tc>
      </w:tr>
      <w:tr w14:paraId="2AC89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17" w:type="dxa"/>
            <w:noWrap w:val="0"/>
            <w:vAlign w:val="top"/>
          </w:tcPr>
          <w:p w14:paraId="34C43928">
            <w:pPr>
              <w:autoSpaceDE w:val="0"/>
              <w:autoSpaceDN w:val="0"/>
              <w:spacing w:before="91"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总监理工程师及电话</w:t>
            </w:r>
          </w:p>
        </w:tc>
        <w:tc>
          <w:tcPr>
            <w:tcW w:w="6095" w:type="dxa"/>
            <w:noWrap w:val="0"/>
            <w:vAlign w:val="top"/>
          </w:tcPr>
          <w:p w14:paraId="436ED3E4">
            <w:pPr>
              <w:autoSpaceDE w:val="0"/>
              <w:autoSpaceDN w:val="0"/>
              <w:rPr>
                <w:rFonts w:hint="eastAsia" w:asciiTheme="minorEastAsia" w:hAnsiTheme="minorEastAsia" w:eastAsiaTheme="minorEastAsia" w:cstheme="minorEastAsia"/>
                <w:color w:val="auto"/>
                <w:sz w:val="24"/>
                <w:szCs w:val="24"/>
                <w:highlight w:val="none"/>
              </w:rPr>
            </w:pPr>
          </w:p>
        </w:tc>
      </w:tr>
      <w:tr w14:paraId="433BB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6" w:hRule="atLeast"/>
        </w:trPr>
        <w:tc>
          <w:tcPr>
            <w:tcW w:w="2817" w:type="dxa"/>
            <w:noWrap w:val="0"/>
            <w:vAlign w:val="top"/>
          </w:tcPr>
          <w:p w14:paraId="0E733DFB">
            <w:pPr>
              <w:autoSpaceDE w:val="0"/>
              <w:autoSpaceDN w:val="0"/>
              <w:spacing w:before="65" w:line="228" w:lineRule="auto"/>
              <w:rPr>
                <w:rFonts w:hint="eastAsia" w:asciiTheme="minorEastAsia" w:hAnsiTheme="minorEastAsia" w:eastAsiaTheme="minorEastAsia" w:cstheme="minorEastAsia"/>
                <w:color w:val="auto"/>
                <w:spacing w:val="6"/>
                <w:sz w:val="24"/>
                <w:szCs w:val="24"/>
                <w:highlight w:val="none"/>
              </w:rPr>
            </w:pPr>
          </w:p>
          <w:p w14:paraId="2503A648">
            <w:pPr>
              <w:autoSpaceDE w:val="0"/>
              <w:autoSpaceDN w:val="0"/>
              <w:spacing w:before="65" w:line="228" w:lineRule="auto"/>
              <w:rPr>
                <w:rFonts w:hint="eastAsia" w:asciiTheme="minorEastAsia" w:hAnsiTheme="minorEastAsia" w:eastAsiaTheme="minorEastAsia" w:cstheme="minorEastAsia"/>
                <w:color w:val="auto"/>
                <w:spacing w:val="6"/>
                <w:sz w:val="24"/>
                <w:szCs w:val="24"/>
                <w:highlight w:val="none"/>
              </w:rPr>
            </w:pPr>
          </w:p>
          <w:p w14:paraId="3A891D84">
            <w:pPr>
              <w:autoSpaceDE w:val="0"/>
              <w:autoSpaceDN w:val="0"/>
              <w:spacing w:before="65" w:line="22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项目描述</w:t>
            </w:r>
          </w:p>
        </w:tc>
        <w:tc>
          <w:tcPr>
            <w:tcW w:w="6095" w:type="dxa"/>
            <w:noWrap w:val="0"/>
            <w:vAlign w:val="top"/>
          </w:tcPr>
          <w:p w14:paraId="5AFEFDF4">
            <w:pPr>
              <w:autoSpaceDE w:val="0"/>
              <w:autoSpaceDN w:val="0"/>
              <w:rPr>
                <w:rFonts w:hint="eastAsia" w:asciiTheme="minorEastAsia" w:hAnsiTheme="minorEastAsia" w:eastAsiaTheme="minorEastAsia" w:cstheme="minorEastAsia"/>
                <w:color w:val="auto"/>
                <w:sz w:val="24"/>
                <w:szCs w:val="24"/>
                <w:highlight w:val="none"/>
              </w:rPr>
            </w:pPr>
          </w:p>
        </w:tc>
      </w:tr>
      <w:tr w14:paraId="11F3C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17" w:type="dxa"/>
            <w:noWrap w:val="0"/>
            <w:vAlign w:val="top"/>
          </w:tcPr>
          <w:p w14:paraId="3CFC88EC">
            <w:pPr>
              <w:autoSpaceDE w:val="0"/>
              <w:autoSpaceDN w:val="0"/>
              <w:spacing w:before="176" w:line="229" w:lineRule="auto"/>
              <w:ind w:left="120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备注</w:t>
            </w:r>
          </w:p>
        </w:tc>
        <w:tc>
          <w:tcPr>
            <w:tcW w:w="6095" w:type="dxa"/>
            <w:noWrap w:val="0"/>
            <w:vAlign w:val="top"/>
          </w:tcPr>
          <w:p w14:paraId="6885C429">
            <w:pPr>
              <w:autoSpaceDE w:val="0"/>
              <w:autoSpaceDN w:val="0"/>
              <w:rPr>
                <w:rFonts w:hint="eastAsia" w:asciiTheme="minorEastAsia" w:hAnsiTheme="minorEastAsia" w:eastAsiaTheme="minorEastAsia" w:cstheme="minorEastAsia"/>
                <w:color w:val="auto"/>
                <w:sz w:val="24"/>
                <w:szCs w:val="24"/>
                <w:highlight w:val="none"/>
              </w:rPr>
            </w:pPr>
          </w:p>
        </w:tc>
      </w:tr>
    </w:tbl>
    <w:p w14:paraId="33629BC0">
      <w:pPr>
        <w:spacing w:before="145" w:line="473" w:lineRule="exact"/>
        <w:ind w:left="6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position w:val="18"/>
          <w:sz w:val="24"/>
          <w:szCs w:val="24"/>
          <w:highlight w:val="none"/>
        </w:rPr>
        <w:t>注：后附证明材料（提供</w:t>
      </w:r>
      <w:r>
        <w:rPr>
          <w:rFonts w:hint="eastAsia" w:asciiTheme="minorEastAsia" w:hAnsiTheme="minorEastAsia" w:eastAsiaTheme="minorEastAsia" w:cstheme="minorEastAsia"/>
          <w:color w:val="auto"/>
          <w:spacing w:val="6"/>
          <w:position w:val="18"/>
          <w:sz w:val="24"/>
          <w:szCs w:val="24"/>
          <w:highlight w:val="none"/>
          <w:lang w:val="en-US" w:eastAsia="zh-CN"/>
        </w:rPr>
        <w:t>中标通知书、合同协议书、完工证明</w:t>
      </w:r>
      <w:r>
        <w:rPr>
          <w:rFonts w:hint="eastAsia" w:asciiTheme="minorEastAsia" w:hAnsiTheme="minorEastAsia" w:eastAsiaTheme="minorEastAsia" w:cstheme="minorEastAsia"/>
          <w:color w:val="auto"/>
          <w:spacing w:val="5"/>
          <w:position w:val="18"/>
          <w:sz w:val="24"/>
          <w:szCs w:val="24"/>
          <w:highlight w:val="none"/>
        </w:rPr>
        <w:t>）。</w:t>
      </w:r>
    </w:p>
    <w:p w14:paraId="6B9E27F8">
      <w:pPr>
        <w:spacing w:line="226" w:lineRule="auto"/>
        <w:ind w:left="64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投标人</w:t>
      </w:r>
      <w:r>
        <w:rPr>
          <w:rFonts w:hint="eastAsia" w:asciiTheme="minorEastAsia" w:hAnsiTheme="minorEastAsia" w:eastAsiaTheme="minorEastAsia" w:cstheme="minorEastAsia"/>
          <w:color w:val="auto"/>
          <w:spacing w:val="7"/>
          <w:sz w:val="24"/>
          <w:szCs w:val="24"/>
          <w:highlight w:val="none"/>
        </w:rPr>
        <w:t>：（</w:t>
      </w:r>
      <w:r>
        <w:rPr>
          <w:rFonts w:hint="eastAsia" w:asciiTheme="minorEastAsia" w:hAnsiTheme="minorEastAsia" w:eastAsiaTheme="minorEastAsia" w:cstheme="minorEastAsia"/>
          <w:color w:val="auto"/>
          <w:spacing w:val="5"/>
          <w:sz w:val="24"/>
          <w:szCs w:val="24"/>
          <w:highlight w:val="none"/>
        </w:rPr>
        <w:t>盖章）</w:t>
      </w:r>
    </w:p>
    <w:p w14:paraId="155E13A6">
      <w:pPr>
        <w:spacing w:before="74" w:line="227" w:lineRule="auto"/>
        <w:ind w:firstLine="702" w:firstLineChars="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法定代表人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pacing w:val="-3"/>
          <w:sz w:val="24"/>
          <w:szCs w:val="24"/>
          <w:highlight w:val="none"/>
        </w:rPr>
        <w:t>盖章）</w:t>
      </w:r>
    </w:p>
    <w:p w14:paraId="2CEB0046">
      <w:pPr>
        <w:spacing w:before="76" w:line="227" w:lineRule="auto"/>
        <w:ind w:firstLine="708" w:firstLineChars="300"/>
        <w:rPr>
          <w:rFonts w:hint="eastAsia" w:ascii="宋体" w:hAnsi="宋体" w:cs="宋体"/>
          <w:b/>
          <w:bCs/>
          <w:color w:val="auto"/>
          <w:sz w:val="48"/>
          <w:szCs w:val="48"/>
          <w:highlight w:val="none"/>
          <w:lang w:eastAsia="zh-CN"/>
        </w:rPr>
      </w:pPr>
      <w:r>
        <w:rPr>
          <w:rFonts w:hint="eastAsia" w:asciiTheme="minorEastAsia" w:hAnsiTheme="minorEastAsia" w:eastAsiaTheme="minorEastAsia" w:cstheme="minorEastAsia"/>
          <w:color w:val="auto"/>
          <w:spacing w:val="-2"/>
          <w:sz w:val="24"/>
          <w:szCs w:val="24"/>
          <w:highlight w:val="none"/>
        </w:rPr>
        <w:t>年</w:t>
      </w:r>
      <w:r>
        <w:rPr>
          <w:rFonts w:hint="eastAsia" w:asciiTheme="minorEastAsia" w:hAnsiTheme="minorEastAsia" w:eastAsiaTheme="minorEastAsia" w:cstheme="minorEastAsia"/>
          <w:color w:val="auto"/>
          <w:spacing w:val="8"/>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月</w:t>
      </w:r>
      <w:r>
        <w:rPr>
          <w:rFonts w:hint="eastAsia" w:asciiTheme="minorEastAsia" w:hAnsiTheme="minorEastAsia" w:eastAsiaTheme="minorEastAsia" w:cstheme="minorEastAsia"/>
          <w:color w:val="auto"/>
          <w:spacing w:val="17"/>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日</w:t>
      </w:r>
    </w:p>
    <w:p w14:paraId="7FB9C202">
      <w:pPr>
        <w:jc w:val="center"/>
        <w:rPr>
          <w:rFonts w:hint="eastAsia" w:ascii="宋体" w:hAnsi="宋体" w:cs="宋体"/>
          <w:b/>
          <w:bCs/>
          <w:color w:val="auto"/>
          <w:sz w:val="52"/>
          <w:szCs w:val="52"/>
          <w:highlight w:val="none"/>
          <w:lang w:eastAsia="zh-CN"/>
        </w:rPr>
      </w:pPr>
    </w:p>
    <w:p w14:paraId="714A9295">
      <w:pPr>
        <w:jc w:val="center"/>
        <w:rPr>
          <w:rFonts w:hint="eastAsia" w:ascii="宋体" w:hAnsi="宋体" w:cs="宋体"/>
          <w:b/>
          <w:bCs/>
          <w:color w:val="auto"/>
          <w:sz w:val="52"/>
          <w:szCs w:val="52"/>
          <w:highlight w:val="none"/>
          <w:lang w:eastAsia="zh-CN"/>
        </w:rPr>
      </w:pPr>
    </w:p>
    <w:p w14:paraId="425D9455">
      <w:pPr>
        <w:jc w:val="center"/>
        <w:rPr>
          <w:rFonts w:hint="eastAsia" w:ascii="宋体" w:hAnsi="宋体" w:cs="宋体"/>
          <w:b/>
          <w:bCs/>
          <w:color w:val="auto"/>
          <w:sz w:val="52"/>
          <w:szCs w:val="52"/>
          <w:highlight w:val="none"/>
          <w:lang w:eastAsia="zh-CN"/>
        </w:rPr>
      </w:pPr>
    </w:p>
    <w:p w14:paraId="01B19F03">
      <w:pPr>
        <w:jc w:val="center"/>
        <w:rPr>
          <w:rFonts w:hint="eastAsia"/>
          <w:color w:val="auto"/>
          <w:highlight w:val="none"/>
        </w:rPr>
      </w:pPr>
      <w:r>
        <w:rPr>
          <w:rFonts w:hint="eastAsia" w:ascii="宋体" w:hAnsi="宋体" w:cs="宋体"/>
          <w:b/>
          <w:bCs/>
          <w:color w:val="auto"/>
          <w:sz w:val="52"/>
          <w:szCs w:val="52"/>
          <w:highlight w:val="none"/>
          <w:lang w:eastAsia="zh-CN"/>
        </w:rPr>
        <w:t>三、</w:t>
      </w:r>
      <w:r>
        <w:rPr>
          <w:rFonts w:hint="eastAsia" w:ascii="宋体" w:hAnsi="宋体" w:cs="宋体"/>
          <w:b/>
          <w:bCs/>
          <w:color w:val="auto"/>
          <w:sz w:val="52"/>
          <w:szCs w:val="52"/>
          <w:highlight w:val="none"/>
        </w:rPr>
        <w:t>技术部分</w:t>
      </w:r>
    </w:p>
    <w:p w14:paraId="092F2B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29"/>
          <w:rFonts w:hint="eastAsia"/>
          <w:color w:val="auto"/>
          <w:sz w:val="28"/>
          <w:szCs w:val="36"/>
          <w:highlight w:val="none"/>
          <w:lang w:val="en-US" w:eastAsia="zh-CN"/>
        </w:rPr>
      </w:pPr>
      <w:bookmarkStart w:id="935" w:name="_Toc19701"/>
      <w:r>
        <w:rPr>
          <w:rStyle w:val="29"/>
          <w:rFonts w:hint="eastAsia"/>
          <w:color w:val="auto"/>
          <w:sz w:val="28"/>
          <w:szCs w:val="36"/>
          <w:highlight w:val="none"/>
          <w:lang w:val="en-US" w:eastAsia="zh-CN"/>
        </w:rPr>
        <w:t>17、技术偏离表</w:t>
      </w:r>
    </w:p>
    <w:bookmarkEnd w:id="935"/>
    <w:p w14:paraId="07C48194">
      <w:pPr>
        <w:spacing w:after="120" w:line="360" w:lineRule="auto"/>
        <w:ind w:firstLine="240" w:firstLineChars="100"/>
        <w:rPr>
          <w:rFonts w:hint="eastAsia"/>
          <w:color w:val="auto"/>
          <w:sz w:val="24"/>
          <w:szCs w:val="24"/>
          <w:highlight w:val="none"/>
          <w:lang w:val="en-US" w:eastAsia="zh-CN"/>
        </w:rPr>
      </w:pPr>
      <w:r>
        <w:rPr>
          <w:rFonts w:hint="eastAsia" w:ascii="宋体" w:hAnsi="宋体"/>
          <w:color w:val="auto"/>
          <w:sz w:val="24"/>
          <w:szCs w:val="24"/>
          <w:highlight w:val="none"/>
        </w:rPr>
        <w:t>项目</w:t>
      </w:r>
      <w:r>
        <w:rPr>
          <w:rFonts w:hint="eastAsia" w:ascii="宋体" w:hAnsi="宋体"/>
          <w:color w:val="auto"/>
          <w:sz w:val="24"/>
          <w:szCs w:val="24"/>
          <w:highlight w:val="none"/>
          <w:lang w:eastAsia="zh-CN"/>
        </w:rPr>
        <w:t>名称</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389"/>
        <w:gridCol w:w="2250"/>
        <w:gridCol w:w="2387"/>
        <w:gridCol w:w="1910"/>
      </w:tblGrid>
      <w:tr w14:paraId="32D0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61" w:type="dxa"/>
            <w:tcBorders>
              <w:top w:val="single" w:color="auto" w:sz="12" w:space="0"/>
              <w:left w:val="single" w:color="auto" w:sz="12" w:space="0"/>
              <w:bottom w:val="single" w:color="auto" w:sz="4" w:space="0"/>
              <w:right w:val="single" w:color="auto" w:sz="4" w:space="0"/>
            </w:tcBorders>
            <w:noWrap w:val="0"/>
            <w:vAlign w:val="center"/>
          </w:tcPr>
          <w:p w14:paraId="07137E41">
            <w:pPr>
              <w:widowControl w:val="0"/>
              <w:tabs>
                <w:tab w:val="left" w:pos="1337"/>
              </w:tabs>
              <w:spacing w:line="360" w:lineRule="auto"/>
              <w:jc w:val="center"/>
              <w:rPr>
                <w:rFonts w:ascii="宋体" w:hAnsi="宋体" w:eastAsia="宋体"/>
                <w:bCs/>
                <w:color w:val="auto"/>
                <w:kern w:val="2"/>
                <w:sz w:val="24"/>
                <w:szCs w:val="24"/>
                <w:highlight w:val="none"/>
                <w:lang w:val="en-US" w:eastAsia="zh-CN" w:bidi="ar-SA"/>
              </w:rPr>
            </w:pPr>
            <w:r>
              <w:rPr>
                <w:rFonts w:hint="eastAsia" w:ascii="宋体" w:hAnsi="宋体" w:eastAsia="宋体"/>
                <w:bCs/>
                <w:color w:val="auto"/>
                <w:kern w:val="2"/>
                <w:sz w:val="24"/>
                <w:szCs w:val="24"/>
                <w:highlight w:val="none"/>
                <w:lang w:val="en-US" w:eastAsia="zh-CN" w:bidi="ar-SA"/>
              </w:rPr>
              <w:t>序号</w:t>
            </w:r>
          </w:p>
        </w:tc>
        <w:tc>
          <w:tcPr>
            <w:tcW w:w="1389" w:type="dxa"/>
            <w:tcBorders>
              <w:top w:val="single" w:color="auto" w:sz="12" w:space="0"/>
              <w:left w:val="single" w:color="auto" w:sz="4" w:space="0"/>
              <w:bottom w:val="single" w:color="auto" w:sz="4" w:space="0"/>
              <w:right w:val="single" w:color="auto" w:sz="4" w:space="0"/>
            </w:tcBorders>
            <w:noWrap w:val="0"/>
            <w:vAlign w:val="center"/>
          </w:tcPr>
          <w:p w14:paraId="5933E18F">
            <w:pPr>
              <w:widowControl w:val="0"/>
              <w:tabs>
                <w:tab w:val="left" w:pos="1337"/>
              </w:tabs>
              <w:spacing w:line="360" w:lineRule="auto"/>
              <w:jc w:val="center"/>
              <w:rPr>
                <w:rFonts w:ascii="宋体" w:hAnsi="宋体" w:eastAsia="宋体"/>
                <w:bCs/>
                <w:color w:val="auto"/>
                <w:kern w:val="2"/>
                <w:sz w:val="24"/>
                <w:szCs w:val="24"/>
                <w:highlight w:val="none"/>
                <w:lang w:val="en-US" w:eastAsia="zh-CN" w:bidi="ar-SA"/>
              </w:rPr>
            </w:pPr>
            <w:r>
              <w:rPr>
                <w:rFonts w:hint="eastAsia" w:ascii="宋体" w:hAnsi="宋体" w:eastAsia="宋体"/>
                <w:bCs/>
                <w:color w:val="auto"/>
                <w:kern w:val="2"/>
                <w:sz w:val="24"/>
                <w:szCs w:val="24"/>
                <w:highlight w:val="none"/>
                <w:lang w:val="en-US" w:eastAsia="zh-CN" w:bidi="ar-SA"/>
              </w:rPr>
              <w:t>谈判文件</w:t>
            </w:r>
          </w:p>
          <w:p w14:paraId="52C40943">
            <w:pPr>
              <w:widowControl w:val="0"/>
              <w:tabs>
                <w:tab w:val="left" w:pos="1337"/>
              </w:tabs>
              <w:spacing w:line="360" w:lineRule="auto"/>
              <w:jc w:val="center"/>
              <w:rPr>
                <w:rFonts w:ascii="宋体" w:hAnsi="宋体" w:eastAsia="宋体"/>
                <w:bCs/>
                <w:color w:val="auto"/>
                <w:kern w:val="2"/>
                <w:sz w:val="24"/>
                <w:szCs w:val="24"/>
                <w:highlight w:val="none"/>
                <w:lang w:val="en-US" w:eastAsia="zh-CN" w:bidi="ar-SA"/>
              </w:rPr>
            </w:pPr>
            <w:r>
              <w:rPr>
                <w:rFonts w:hint="eastAsia" w:ascii="宋体" w:hAnsi="宋体" w:eastAsia="宋体"/>
                <w:bCs/>
                <w:color w:val="auto"/>
                <w:kern w:val="2"/>
                <w:sz w:val="24"/>
                <w:szCs w:val="24"/>
                <w:highlight w:val="none"/>
                <w:lang w:val="en-US" w:eastAsia="zh-CN" w:bidi="ar-SA"/>
              </w:rPr>
              <w:t>名称</w:t>
            </w:r>
          </w:p>
        </w:tc>
        <w:tc>
          <w:tcPr>
            <w:tcW w:w="2250" w:type="dxa"/>
            <w:tcBorders>
              <w:top w:val="single" w:color="auto" w:sz="12" w:space="0"/>
              <w:left w:val="single" w:color="auto" w:sz="4" w:space="0"/>
              <w:bottom w:val="single" w:color="auto" w:sz="4" w:space="0"/>
              <w:right w:val="single" w:color="auto" w:sz="4" w:space="0"/>
            </w:tcBorders>
            <w:noWrap w:val="0"/>
            <w:vAlign w:val="center"/>
          </w:tcPr>
          <w:p w14:paraId="60BED848">
            <w:pPr>
              <w:widowControl w:val="0"/>
              <w:tabs>
                <w:tab w:val="left" w:pos="1337"/>
              </w:tabs>
              <w:spacing w:line="360" w:lineRule="auto"/>
              <w:jc w:val="center"/>
              <w:rPr>
                <w:rFonts w:ascii="宋体" w:hAnsi="宋体" w:eastAsia="宋体"/>
                <w:bCs/>
                <w:color w:val="auto"/>
                <w:kern w:val="2"/>
                <w:sz w:val="24"/>
                <w:szCs w:val="24"/>
                <w:highlight w:val="none"/>
                <w:lang w:val="en-US" w:eastAsia="zh-CN" w:bidi="ar-SA"/>
              </w:rPr>
            </w:pPr>
            <w:r>
              <w:rPr>
                <w:rFonts w:hint="eastAsia" w:ascii="宋体" w:hAnsi="宋体" w:eastAsia="宋体"/>
                <w:bCs/>
                <w:color w:val="auto"/>
                <w:kern w:val="2"/>
                <w:sz w:val="24"/>
                <w:szCs w:val="24"/>
                <w:highlight w:val="none"/>
                <w:lang w:val="en-US" w:eastAsia="zh-CN" w:bidi="ar-SA"/>
              </w:rPr>
              <w:t>谈判文件的技术条款</w:t>
            </w:r>
          </w:p>
        </w:tc>
        <w:tc>
          <w:tcPr>
            <w:tcW w:w="2387" w:type="dxa"/>
            <w:tcBorders>
              <w:top w:val="single" w:color="auto" w:sz="12" w:space="0"/>
              <w:left w:val="single" w:color="auto" w:sz="4" w:space="0"/>
              <w:bottom w:val="single" w:color="auto" w:sz="4" w:space="0"/>
              <w:right w:val="single" w:color="auto" w:sz="4" w:space="0"/>
            </w:tcBorders>
            <w:noWrap w:val="0"/>
            <w:vAlign w:val="center"/>
          </w:tcPr>
          <w:p w14:paraId="0980711A">
            <w:pPr>
              <w:widowControl w:val="0"/>
              <w:tabs>
                <w:tab w:val="left" w:pos="1337"/>
              </w:tabs>
              <w:spacing w:line="360" w:lineRule="auto"/>
              <w:jc w:val="center"/>
              <w:rPr>
                <w:rFonts w:ascii="宋体" w:hAnsi="宋体" w:eastAsia="宋体"/>
                <w:bCs/>
                <w:color w:val="auto"/>
                <w:kern w:val="2"/>
                <w:sz w:val="24"/>
                <w:szCs w:val="24"/>
                <w:highlight w:val="none"/>
                <w:lang w:val="en-US" w:eastAsia="zh-CN" w:bidi="ar-SA"/>
              </w:rPr>
            </w:pPr>
            <w:r>
              <w:rPr>
                <w:rFonts w:hint="eastAsia" w:ascii="宋体" w:hAnsi="宋体" w:eastAsia="宋体"/>
                <w:bCs/>
                <w:color w:val="auto"/>
                <w:kern w:val="2"/>
                <w:sz w:val="24"/>
                <w:szCs w:val="24"/>
                <w:highlight w:val="none"/>
                <w:lang w:val="en-US" w:eastAsia="zh-CN" w:bidi="ar-SA"/>
              </w:rPr>
              <w:t>响应文件的技术条款</w:t>
            </w:r>
          </w:p>
        </w:tc>
        <w:tc>
          <w:tcPr>
            <w:tcW w:w="1910" w:type="dxa"/>
            <w:tcBorders>
              <w:top w:val="single" w:color="auto" w:sz="12" w:space="0"/>
              <w:left w:val="single" w:color="auto" w:sz="4" w:space="0"/>
              <w:bottom w:val="single" w:color="auto" w:sz="4" w:space="0"/>
              <w:right w:val="single" w:color="auto" w:sz="12" w:space="0"/>
            </w:tcBorders>
            <w:noWrap w:val="0"/>
            <w:vAlign w:val="center"/>
          </w:tcPr>
          <w:p w14:paraId="570A2F7D">
            <w:pPr>
              <w:widowControl w:val="0"/>
              <w:tabs>
                <w:tab w:val="left" w:pos="1337"/>
              </w:tabs>
              <w:spacing w:line="360" w:lineRule="auto"/>
              <w:jc w:val="center"/>
              <w:rPr>
                <w:rFonts w:ascii="宋体" w:hAnsi="宋体" w:eastAsia="宋体"/>
                <w:bCs/>
                <w:color w:val="auto"/>
                <w:kern w:val="2"/>
                <w:sz w:val="24"/>
                <w:szCs w:val="24"/>
                <w:highlight w:val="none"/>
                <w:lang w:val="en-US" w:eastAsia="zh-CN" w:bidi="ar-SA"/>
              </w:rPr>
            </w:pPr>
            <w:r>
              <w:rPr>
                <w:rFonts w:hint="eastAsia" w:ascii="宋体" w:hAnsi="宋体" w:eastAsia="宋体"/>
                <w:bCs/>
                <w:color w:val="auto"/>
                <w:kern w:val="2"/>
                <w:sz w:val="24"/>
                <w:szCs w:val="24"/>
                <w:highlight w:val="none"/>
                <w:lang w:val="en-US" w:eastAsia="zh-CN" w:bidi="ar-SA"/>
              </w:rPr>
              <w:t>说明</w:t>
            </w:r>
          </w:p>
        </w:tc>
      </w:tr>
      <w:tr w14:paraId="7AD4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61" w:type="dxa"/>
            <w:tcBorders>
              <w:top w:val="single" w:color="auto" w:sz="4" w:space="0"/>
              <w:left w:val="single" w:color="auto" w:sz="12" w:space="0"/>
              <w:bottom w:val="single" w:color="auto" w:sz="4" w:space="0"/>
              <w:right w:val="single" w:color="auto" w:sz="4" w:space="0"/>
            </w:tcBorders>
            <w:noWrap w:val="0"/>
            <w:vAlign w:val="center"/>
          </w:tcPr>
          <w:p w14:paraId="144136CD">
            <w:pPr>
              <w:widowControl w:val="0"/>
              <w:tabs>
                <w:tab w:val="left" w:pos="1337"/>
              </w:tabs>
              <w:spacing w:line="360" w:lineRule="auto"/>
              <w:jc w:val="center"/>
              <w:rPr>
                <w:rFonts w:hint="default" w:ascii="宋体" w:hAnsi="宋体" w:eastAsia="宋体"/>
                <w:color w:val="auto"/>
                <w:kern w:val="2"/>
                <w:sz w:val="24"/>
                <w:szCs w:val="24"/>
                <w:highlight w:val="none"/>
                <w:lang w:val="en-US" w:eastAsia="zh-CN" w:bidi="ar-SA"/>
              </w:rPr>
            </w:pPr>
            <w:r>
              <w:rPr>
                <w:rFonts w:hint="eastAsia" w:ascii="宋体" w:hAnsi="宋体" w:eastAsia="宋体"/>
                <w:color w:val="auto"/>
                <w:kern w:val="2"/>
                <w:sz w:val="24"/>
                <w:szCs w:val="24"/>
                <w:highlight w:val="none"/>
                <w:lang w:val="en-US" w:eastAsia="zh-CN" w:bidi="ar-SA"/>
              </w:rPr>
              <w:t>1</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4297BFB0">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81BA299">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14:paraId="6C25C1D9">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c>
          <w:tcPr>
            <w:tcW w:w="1910" w:type="dxa"/>
            <w:tcBorders>
              <w:top w:val="single" w:color="auto" w:sz="4" w:space="0"/>
              <w:left w:val="single" w:color="auto" w:sz="4" w:space="0"/>
              <w:bottom w:val="single" w:color="auto" w:sz="4" w:space="0"/>
              <w:right w:val="single" w:color="auto" w:sz="12" w:space="0"/>
            </w:tcBorders>
            <w:noWrap w:val="0"/>
            <w:vAlign w:val="center"/>
          </w:tcPr>
          <w:p w14:paraId="09FB849A">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（示例）无偏离</w:t>
            </w:r>
          </w:p>
        </w:tc>
      </w:tr>
      <w:tr w14:paraId="3E42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61" w:type="dxa"/>
            <w:tcBorders>
              <w:top w:val="single" w:color="auto" w:sz="4" w:space="0"/>
              <w:left w:val="single" w:color="auto" w:sz="12" w:space="0"/>
              <w:bottom w:val="single" w:color="auto" w:sz="4" w:space="0"/>
              <w:right w:val="single" w:color="auto" w:sz="4" w:space="0"/>
            </w:tcBorders>
            <w:noWrap w:val="0"/>
            <w:vAlign w:val="center"/>
          </w:tcPr>
          <w:p w14:paraId="0B65819C">
            <w:pPr>
              <w:widowControl w:val="0"/>
              <w:tabs>
                <w:tab w:val="left" w:pos="1337"/>
              </w:tabs>
              <w:spacing w:line="360" w:lineRule="auto"/>
              <w:jc w:val="center"/>
              <w:rPr>
                <w:rFonts w:hint="default" w:ascii="宋体" w:hAnsi="宋体" w:eastAsia="宋体"/>
                <w:color w:val="auto"/>
                <w:kern w:val="2"/>
                <w:sz w:val="24"/>
                <w:szCs w:val="24"/>
                <w:highlight w:val="none"/>
                <w:lang w:val="en-US" w:eastAsia="zh-CN" w:bidi="ar-SA"/>
              </w:rPr>
            </w:pPr>
            <w:r>
              <w:rPr>
                <w:rFonts w:hint="eastAsia" w:ascii="宋体" w:hAnsi="宋体" w:eastAsia="宋体"/>
                <w:color w:val="auto"/>
                <w:kern w:val="2"/>
                <w:sz w:val="24"/>
                <w:szCs w:val="24"/>
                <w:highlight w:val="none"/>
                <w:lang w:val="en-US" w:eastAsia="zh-CN" w:bidi="ar-SA"/>
              </w:rPr>
              <w:t>2</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09C9E5E9">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EF182D1">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14:paraId="4E07E9A3">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c>
          <w:tcPr>
            <w:tcW w:w="1910" w:type="dxa"/>
            <w:tcBorders>
              <w:top w:val="single" w:color="auto" w:sz="4" w:space="0"/>
              <w:left w:val="single" w:color="auto" w:sz="4" w:space="0"/>
              <w:bottom w:val="single" w:color="auto" w:sz="4" w:space="0"/>
              <w:right w:val="single" w:color="auto" w:sz="12" w:space="0"/>
            </w:tcBorders>
            <w:noWrap w:val="0"/>
            <w:vAlign w:val="center"/>
          </w:tcPr>
          <w:p w14:paraId="3D2CAA67">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r>
      <w:tr w14:paraId="6792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161" w:type="dxa"/>
            <w:tcBorders>
              <w:top w:val="single" w:color="auto" w:sz="4" w:space="0"/>
              <w:left w:val="single" w:color="auto" w:sz="12" w:space="0"/>
              <w:bottom w:val="single" w:color="auto" w:sz="4" w:space="0"/>
              <w:right w:val="single" w:color="auto" w:sz="4" w:space="0"/>
            </w:tcBorders>
            <w:noWrap w:val="0"/>
            <w:vAlign w:val="center"/>
          </w:tcPr>
          <w:p w14:paraId="628AA3A5">
            <w:pPr>
              <w:widowControl w:val="0"/>
              <w:tabs>
                <w:tab w:val="left" w:pos="1337"/>
              </w:tabs>
              <w:spacing w:line="360" w:lineRule="auto"/>
              <w:jc w:val="center"/>
              <w:rPr>
                <w:rFonts w:hint="default" w:ascii="宋体" w:hAnsi="宋体" w:eastAsia="宋体"/>
                <w:color w:val="auto"/>
                <w:kern w:val="2"/>
                <w:sz w:val="24"/>
                <w:szCs w:val="24"/>
                <w:highlight w:val="none"/>
                <w:lang w:val="en-US" w:eastAsia="zh-CN" w:bidi="ar-SA"/>
              </w:rPr>
            </w:pPr>
            <w:r>
              <w:rPr>
                <w:rFonts w:hint="eastAsia" w:ascii="宋体" w:hAnsi="宋体" w:eastAsia="宋体"/>
                <w:color w:val="auto"/>
                <w:kern w:val="2"/>
                <w:sz w:val="24"/>
                <w:szCs w:val="24"/>
                <w:highlight w:val="none"/>
                <w:lang w:val="en-US" w:eastAsia="zh-CN" w:bidi="ar-SA"/>
              </w:rPr>
              <w:t>·····</w:t>
            </w:r>
          </w:p>
        </w:tc>
        <w:tc>
          <w:tcPr>
            <w:tcW w:w="1389" w:type="dxa"/>
            <w:tcBorders>
              <w:top w:val="single" w:color="auto" w:sz="4" w:space="0"/>
              <w:left w:val="single" w:color="auto" w:sz="4" w:space="0"/>
              <w:bottom w:val="single" w:color="auto" w:sz="4" w:space="0"/>
              <w:right w:val="single" w:color="auto" w:sz="4" w:space="0"/>
            </w:tcBorders>
            <w:noWrap w:val="0"/>
            <w:vAlign w:val="center"/>
          </w:tcPr>
          <w:p w14:paraId="5FA42044">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6412F09">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noWrap w:val="0"/>
            <w:vAlign w:val="center"/>
          </w:tcPr>
          <w:p w14:paraId="61C622A0">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c>
          <w:tcPr>
            <w:tcW w:w="1910" w:type="dxa"/>
            <w:tcBorders>
              <w:top w:val="single" w:color="auto" w:sz="4" w:space="0"/>
              <w:left w:val="single" w:color="auto" w:sz="4" w:space="0"/>
              <w:bottom w:val="single" w:color="auto" w:sz="4" w:space="0"/>
              <w:right w:val="single" w:color="auto" w:sz="12" w:space="0"/>
            </w:tcBorders>
            <w:noWrap w:val="0"/>
            <w:vAlign w:val="center"/>
          </w:tcPr>
          <w:p w14:paraId="4F4719DD">
            <w:pPr>
              <w:widowControl w:val="0"/>
              <w:tabs>
                <w:tab w:val="left" w:pos="1337"/>
              </w:tabs>
              <w:spacing w:line="360" w:lineRule="auto"/>
              <w:jc w:val="center"/>
              <w:rPr>
                <w:rFonts w:ascii="宋体" w:hAnsi="宋体" w:eastAsia="宋体"/>
                <w:color w:val="auto"/>
                <w:kern w:val="2"/>
                <w:sz w:val="24"/>
                <w:szCs w:val="24"/>
                <w:highlight w:val="none"/>
                <w:lang w:val="en-US" w:eastAsia="zh-CN" w:bidi="ar-SA"/>
              </w:rPr>
            </w:pPr>
          </w:p>
        </w:tc>
      </w:tr>
    </w:tbl>
    <w:p w14:paraId="4C4ADFEF">
      <w:pPr>
        <w:rPr>
          <w:rFonts w:hint="eastAsia" w:ascii="宋体" w:hAnsi="宋体" w:cs="宋体"/>
          <w:color w:val="auto"/>
          <w:sz w:val="24"/>
          <w:szCs w:val="24"/>
          <w:highlight w:val="none"/>
        </w:rPr>
      </w:pPr>
      <w:r>
        <w:rPr>
          <w:rFonts w:hint="eastAsia" w:ascii="宋体" w:hAnsi="宋体" w:cs="宋体"/>
          <w:color w:val="auto"/>
          <w:sz w:val="24"/>
          <w:szCs w:val="24"/>
          <w:highlight w:val="none"/>
        </w:rPr>
        <w:t>（此表可延长）</w:t>
      </w:r>
    </w:p>
    <w:p w14:paraId="51FB60A6">
      <w:pPr>
        <w:ind w:left="0" w:right="0" w:firstLine="480" w:firstLineChars="200"/>
        <w:rPr>
          <w:rFonts w:ascii="宋体" w:hAnsi="宋体"/>
          <w:color w:val="auto"/>
          <w:sz w:val="24"/>
          <w:szCs w:val="24"/>
          <w:highlight w:val="none"/>
        </w:rPr>
      </w:pPr>
      <w:r>
        <w:rPr>
          <w:rFonts w:hint="eastAsia" w:ascii="宋体" w:hAnsi="宋体" w:eastAsia="宋体" w:cs="宋体"/>
          <w:color w:val="auto"/>
          <w:sz w:val="24"/>
          <w:szCs w:val="24"/>
          <w:highlight w:val="none"/>
          <w:lang w:val="en-US" w:eastAsia="zh-CN"/>
        </w:rPr>
        <w:t>投标单位：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olor w:val="auto"/>
          <w:sz w:val="24"/>
          <w:szCs w:val="24"/>
          <w:highlight w:val="none"/>
          <w:lang w:val="en-US" w:eastAsia="zh-CN"/>
        </w:rPr>
        <w:t>（盖章）</w:t>
      </w:r>
    </w:p>
    <w:p w14:paraId="3B2CA9D9">
      <w:pPr>
        <w:ind w:left="0" w:right="0"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w:t>
      </w:r>
      <w:r>
        <w:rPr>
          <w:rFonts w:hint="eastAsia" w:ascii="宋体" w:hAnsi="宋体"/>
          <w:color w:val="auto"/>
          <w:sz w:val="24"/>
          <w:szCs w:val="24"/>
          <w:highlight w:val="none"/>
        </w:rPr>
        <w:t>签字或盖章</w:t>
      </w:r>
      <w:r>
        <w:rPr>
          <w:rFonts w:ascii="宋体" w:hAnsi="宋体"/>
          <w:color w:val="auto"/>
          <w:sz w:val="24"/>
          <w:szCs w:val="24"/>
          <w:highlight w:val="none"/>
        </w:rPr>
        <w:t>)</w:t>
      </w:r>
      <w:r>
        <w:rPr>
          <w:rFonts w:hint="eastAsia" w:ascii="宋体" w:hAnsi="宋体"/>
          <w:color w:val="auto"/>
          <w:sz w:val="24"/>
          <w:szCs w:val="24"/>
          <w:highlight w:val="none"/>
        </w:rPr>
        <w:t>：</w:t>
      </w:r>
      <w:r>
        <w:rPr>
          <w:rFonts w:ascii="宋体" w:hAnsi="宋体"/>
          <w:color w:val="auto"/>
          <w:sz w:val="24"/>
          <w:szCs w:val="24"/>
          <w:highlight w:val="none"/>
        </w:rPr>
        <w:t>________________________</w:t>
      </w:r>
    </w:p>
    <w:p w14:paraId="53EE54F4">
      <w:pPr>
        <w:ind w:left="0" w:right="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日期：</w:t>
      </w:r>
      <w:r>
        <w:rPr>
          <w:rFonts w:ascii="宋体" w:hAnsi="宋体"/>
          <w:color w:val="auto"/>
          <w:sz w:val="24"/>
          <w:szCs w:val="24"/>
          <w:highlight w:val="none"/>
        </w:rPr>
        <w:t>______</w:t>
      </w:r>
      <w:r>
        <w:rPr>
          <w:rFonts w:hint="eastAsia" w:ascii="宋体" w:hAnsi="宋体"/>
          <w:color w:val="auto"/>
          <w:sz w:val="24"/>
          <w:szCs w:val="24"/>
          <w:highlight w:val="none"/>
        </w:rPr>
        <w:t>年</w:t>
      </w:r>
      <w:r>
        <w:rPr>
          <w:rFonts w:ascii="宋体" w:hAnsi="宋体"/>
          <w:color w:val="auto"/>
          <w:sz w:val="24"/>
          <w:szCs w:val="24"/>
          <w:highlight w:val="none"/>
        </w:rPr>
        <w:t>____</w:t>
      </w:r>
      <w:r>
        <w:rPr>
          <w:rFonts w:hint="eastAsia" w:ascii="宋体" w:hAnsi="宋体"/>
          <w:color w:val="auto"/>
          <w:sz w:val="24"/>
          <w:szCs w:val="24"/>
          <w:highlight w:val="none"/>
        </w:rPr>
        <w:t>月</w:t>
      </w:r>
      <w:r>
        <w:rPr>
          <w:rFonts w:ascii="宋体" w:hAnsi="宋体"/>
          <w:color w:val="auto"/>
          <w:sz w:val="24"/>
          <w:szCs w:val="24"/>
          <w:highlight w:val="none"/>
        </w:rPr>
        <w:t>____</w:t>
      </w:r>
      <w:r>
        <w:rPr>
          <w:rFonts w:hint="eastAsia" w:ascii="宋体" w:hAnsi="宋体"/>
          <w:color w:val="auto"/>
          <w:sz w:val="24"/>
          <w:szCs w:val="24"/>
          <w:highlight w:val="none"/>
        </w:rPr>
        <w:t>日</w:t>
      </w:r>
    </w:p>
    <w:p w14:paraId="4A65A995">
      <w:pPr>
        <w:rPr>
          <w:rFonts w:hint="eastAsia"/>
          <w:color w:val="auto"/>
          <w:highlight w:val="none"/>
          <w:lang w:val="en-US" w:eastAsia="zh-CN"/>
        </w:rPr>
      </w:pPr>
    </w:p>
    <w:p w14:paraId="2FBC01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 w:val="28"/>
          <w:szCs w:val="28"/>
          <w:highlight w:val="none"/>
          <w:lang w:val="zh-TW" w:eastAsia="zh-TW" w:bidi="zh-TW"/>
        </w:rPr>
      </w:pPr>
      <w:bookmarkStart w:id="936" w:name="_Toc28703"/>
      <w:r>
        <w:rPr>
          <w:rStyle w:val="29"/>
          <w:rFonts w:hint="eastAsia"/>
          <w:color w:val="auto"/>
          <w:sz w:val="28"/>
          <w:szCs w:val="36"/>
          <w:highlight w:val="none"/>
          <w:lang w:val="en-US" w:eastAsia="zh-CN"/>
        </w:rPr>
        <w:t>18、实施方案</w:t>
      </w:r>
      <w:bookmarkEnd w:id="936"/>
    </w:p>
    <w:p w14:paraId="493C9039">
      <w:pPr>
        <w:keepNext w:val="0"/>
        <w:keepLines w:val="0"/>
        <w:pageBreakBefore w:val="0"/>
        <w:widowControl/>
        <w:kinsoku/>
        <w:wordWrap/>
        <w:overflowPunct/>
        <w:topLinePunct w:val="0"/>
        <w:autoSpaceDE/>
        <w:autoSpaceDN/>
        <w:bidi w:val="0"/>
        <w:adjustRightInd w:val="0"/>
        <w:snapToGrid w:val="0"/>
        <w:spacing w:line="500" w:lineRule="exact"/>
        <w:ind w:firstLine="504" w:firstLineChars="2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实施方案应包括</w:t>
      </w:r>
      <w:r>
        <w:rPr>
          <w:rFonts w:hint="eastAsia" w:ascii="宋体" w:hAnsi="宋体" w:eastAsia="宋体" w:cs="宋体"/>
          <w:color w:val="auto"/>
          <w:spacing w:val="6"/>
          <w:kern w:val="0"/>
          <w:sz w:val="24"/>
          <w:highlight w:val="none"/>
          <w:lang w:val="zh-TW" w:eastAsia="zh-CN"/>
        </w:rPr>
        <w:t>但不限于以下内容：服务目标、</w:t>
      </w:r>
      <w:r>
        <w:rPr>
          <w:rFonts w:hint="eastAsia" w:ascii="宋体" w:hAnsi="宋体" w:eastAsia="宋体" w:cs="宋体"/>
          <w:color w:val="auto"/>
          <w:spacing w:val="6"/>
          <w:kern w:val="0"/>
          <w:sz w:val="24"/>
          <w:highlight w:val="none"/>
          <w:lang w:val="zh-TW" w:eastAsia="zh-TW"/>
        </w:rPr>
        <w:t>进度计划</w:t>
      </w:r>
      <w:r>
        <w:rPr>
          <w:rFonts w:hint="eastAsia" w:ascii="宋体" w:hAnsi="宋体" w:eastAsia="宋体" w:cs="宋体"/>
          <w:color w:val="auto"/>
          <w:spacing w:val="6"/>
          <w:kern w:val="0"/>
          <w:sz w:val="24"/>
          <w:highlight w:val="none"/>
          <w:lang w:val="zh-TW" w:eastAsia="zh-CN"/>
        </w:rPr>
        <w:t>、</w:t>
      </w:r>
      <w:r>
        <w:rPr>
          <w:rFonts w:hint="eastAsia" w:ascii="宋体" w:hAnsi="宋体" w:eastAsia="宋体" w:cs="宋体"/>
          <w:color w:val="auto"/>
          <w:spacing w:val="6"/>
          <w:kern w:val="0"/>
          <w:sz w:val="24"/>
          <w:highlight w:val="none"/>
          <w:lang w:val="zh-TW" w:eastAsia="zh-TW"/>
        </w:rPr>
        <w:t>具体方案</w:t>
      </w:r>
      <w:r>
        <w:rPr>
          <w:rFonts w:hint="eastAsia" w:ascii="宋体" w:hAnsi="宋体" w:eastAsia="宋体" w:cs="宋体"/>
          <w:color w:val="auto"/>
          <w:spacing w:val="6"/>
          <w:kern w:val="0"/>
          <w:sz w:val="24"/>
          <w:highlight w:val="none"/>
          <w:lang w:val="zh-TW" w:eastAsia="zh-CN"/>
        </w:rPr>
        <w:t>、拟投入</w:t>
      </w:r>
      <w:r>
        <w:rPr>
          <w:rFonts w:hint="eastAsia" w:ascii="宋体" w:hAnsi="宋体" w:eastAsia="宋体" w:cs="宋体"/>
          <w:color w:val="auto"/>
          <w:spacing w:val="6"/>
          <w:kern w:val="0"/>
          <w:sz w:val="24"/>
          <w:highlight w:val="none"/>
          <w:lang w:val="zh-TW" w:eastAsia="zh-TW"/>
        </w:rPr>
        <w:t>人员配置</w:t>
      </w:r>
      <w:r>
        <w:rPr>
          <w:rFonts w:hint="eastAsia" w:ascii="宋体" w:hAnsi="宋体" w:eastAsia="宋体" w:cs="宋体"/>
          <w:color w:val="auto"/>
          <w:spacing w:val="6"/>
          <w:kern w:val="0"/>
          <w:sz w:val="24"/>
          <w:highlight w:val="none"/>
          <w:lang w:val="zh-TW" w:eastAsia="zh-CN"/>
        </w:rPr>
        <w:t>、培训内容及方案、</w:t>
      </w:r>
      <w:r>
        <w:rPr>
          <w:rFonts w:hint="eastAsia" w:ascii="宋体" w:hAnsi="宋体" w:eastAsia="宋体" w:cs="宋体"/>
          <w:color w:val="auto"/>
          <w:spacing w:val="6"/>
          <w:kern w:val="0"/>
          <w:sz w:val="24"/>
          <w:highlight w:val="none"/>
          <w:lang w:val="zh-TW" w:eastAsia="zh-TW"/>
        </w:rPr>
        <w:t>质量保证措施</w:t>
      </w:r>
      <w:r>
        <w:rPr>
          <w:rFonts w:hint="eastAsia" w:ascii="宋体" w:hAnsi="宋体" w:eastAsia="宋体" w:cs="宋体"/>
          <w:color w:val="auto"/>
          <w:spacing w:val="6"/>
          <w:kern w:val="0"/>
          <w:sz w:val="24"/>
          <w:highlight w:val="none"/>
          <w:lang w:val="zh-TW" w:eastAsia="zh-CN"/>
        </w:rPr>
        <w:t>（</w:t>
      </w:r>
      <w:r>
        <w:rPr>
          <w:rFonts w:hint="eastAsia" w:ascii="宋体" w:hAnsi="宋体" w:eastAsia="宋体" w:cs="宋体"/>
          <w:color w:val="auto"/>
          <w:spacing w:val="6"/>
          <w:kern w:val="0"/>
          <w:sz w:val="24"/>
          <w:highlight w:val="none"/>
          <w:lang w:val="zh-TW" w:eastAsia="zh-TW"/>
        </w:rPr>
        <w:t>质量和进度计划的保证措施</w:t>
      </w:r>
      <w:r>
        <w:rPr>
          <w:rFonts w:hint="eastAsia" w:ascii="宋体" w:hAnsi="宋体" w:eastAsia="宋体" w:cs="宋体"/>
          <w:color w:val="auto"/>
          <w:spacing w:val="6"/>
          <w:kern w:val="0"/>
          <w:sz w:val="24"/>
          <w:highlight w:val="none"/>
          <w:lang w:val="zh-TW" w:eastAsia="zh-CN"/>
        </w:rPr>
        <w:t>）、</w:t>
      </w:r>
      <w:r>
        <w:rPr>
          <w:rFonts w:hint="eastAsia" w:ascii="宋体" w:hAnsi="宋体"/>
          <w:color w:val="auto"/>
          <w:sz w:val="24"/>
          <w:szCs w:val="24"/>
          <w:highlight w:val="none"/>
        </w:rPr>
        <w:t>后续服务的程序</w:t>
      </w:r>
      <w:r>
        <w:rPr>
          <w:rFonts w:hint="eastAsia" w:ascii="宋体" w:hAnsi="宋体"/>
          <w:color w:val="auto"/>
          <w:sz w:val="24"/>
          <w:szCs w:val="24"/>
          <w:highlight w:val="none"/>
          <w:lang w:eastAsia="zh-CN"/>
        </w:rPr>
        <w:t>和</w:t>
      </w:r>
      <w:r>
        <w:rPr>
          <w:rFonts w:hint="eastAsia" w:ascii="宋体" w:hAnsi="宋体"/>
          <w:color w:val="auto"/>
          <w:sz w:val="24"/>
          <w:szCs w:val="24"/>
          <w:highlight w:val="none"/>
        </w:rPr>
        <w:t>内容、</w:t>
      </w:r>
      <w:r>
        <w:rPr>
          <w:rFonts w:hint="eastAsia" w:ascii="宋体" w:hAnsi="宋体"/>
          <w:color w:val="auto"/>
          <w:sz w:val="24"/>
          <w:szCs w:val="24"/>
          <w:highlight w:val="none"/>
          <w:lang w:eastAsia="zh-CN"/>
        </w:rPr>
        <w:t>项目</w:t>
      </w:r>
      <w:r>
        <w:rPr>
          <w:rFonts w:hint="eastAsia" w:ascii="宋体" w:hAnsi="宋体"/>
          <w:color w:val="auto"/>
          <w:sz w:val="24"/>
          <w:szCs w:val="24"/>
          <w:highlight w:val="none"/>
        </w:rPr>
        <w:t>合理化建议</w:t>
      </w:r>
      <w:r>
        <w:rPr>
          <w:rFonts w:hint="eastAsia" w:ascii="宋体" w:hAnsi="宋体"/>
          <w:color w:val="auto"/>
          <w:sz w:val="24"/>
          <w:szCs w:val="24"/>
          <w:highlight w:val="none"/>
          <w:lang w:eastAsia="zh-CN"/>
        </w:rPr>
        <w:t>、响应时间</w:t>
      </w:r>
      <w:r>
        <w:rPr>
          <w:rFonts w:hint="eastAsia" w:ascii="宋体" w:hAnsi="宋体" w:eastAsia="宋体" w:cs="宋体"/>
          <w:color w:val="auto"/>
          <w:spacing w:val="6"/>
          <w:kern w:val="0"/>
          <w:sz w:val="24"/>
          <w:highlight w:val="none"/>
          <w:lang w:val="zh-TW" w:eastAsia="zh-CN"/>
        </w:rPr>
        <w:t>等内容</w:t>
      </w:r>
      <w:r>
        <w:rPr>
          <w:rFonts w:hint="eastAsia" w:ascii="宋体" w:hAnsi="宋体"/>
          <w:color w:val="auto"/>
          <w:sz w:val="24"/>
          <w:szCs w:val="24"/>
          <w:highlight w:val="none"/>
        </w:rPr>
        <w:t>；</w:t>
      </w:r>
      <w:r>
        <w:rPr>
          <w:rFonts w:hint="eastAsia" w:ascii="宋体" w:hAnsi="宋体" w:eastAsia="宋体" w:cs="宋体"/>
          <w:color w:val="auto"/>
          <w:spacing w:val="6"/>
          <w:kern w:val="0"/>
          <w:sz w:val="24"/>
          <w:highlight w:val="none"/>
          <w:lang w:val="zh-TW" w:eastAsia="zh-TW"/>
        </w:rPr>
        <w:t xml:space="preserve"> </w:t>
      </w:r>
      <w:r>
        <w:rPr>
          <w:rFonts w:hint="eastAsia" w:ascii="宋体" w:hAnsi="宋体" w:eastAsia="宋体" w:cs="宋体"/>
          <w:color w:val="auto"/>
          <w:spacing w:val="6"/>
          <w:kern w:val="0"/>
          <w:sz w:val="24"/>
          <w:highlight w:val="none"/>
          <w:lang w:val="zh-TW" w:eastAsia="zh-CN"/>
        </w:rPr>
        <w:t>实施方案</w:t>
      </w:r>
      <w:r>
        <w:rPr>
          <w:rFonts w:hint="eastAsia" w:ascii="宋体" w:hAnsi="宋体" w:eastAsia="宋体" w:cs="宋体"/>
          <w:color w:val="auto"/>
          <w:spacing w:val="6"/>
          <w:kern w:val="0"/>
          <w:sz w:val="24"/>
          <w:highlight w:val="none"/>
          <w:lang w:val="zh-TW" w:eastAsia="zh-TW"/>
        </w:rPr>
        <w:t>其深度应能满足</w:t>
      </w:r>
      <w:r>
        <w:rPr>
          <w:rFonts w:hint="eastAsia" w:ascii="宋体" w:hAnsi="宋体" w:eastAsia="宋体" w:cs="宋体"/>
          <w:color w:val="auto"/>
          <w:spacing w:val="6"/>
          <w:kern w:val="0"/>
          <w:sz w:val="24"/>
          <w:highlight w:val="none"/>
          <w:lang w:val="zh-TW" w:eastAsia="zh-CN"/>
        </w:rPr>
        <w:t>本项目服务需求</w:t>
      </w:r>
      <w:r>
        <w:rPr>
          <w:rFonts w:hint="eastAsia" w:ascii="宋体" w:hAnsi="宋体" w:eastAsia="宋体" w:cs="宋体"/>
          <w:color w:val="auto"/>
          <w:spacing w:val="6"/>
          <w:kern w:val="0"/>
          <w:sz w:val="24"/>
          <w:highlight w:val="none"/>
          <w:lang w:val="zh-TW" w:eastAsia="zh-TW"/>
        </w:rPr>
        <w:t>要求；（投标人自行编制</w:t>
      </w:r>
      <w:r>
        <w:rPr>
          <w:rFonts w:hint="eastAsia" w:ascii="宋体" w:hAnsi="宋体" w:eastAsia="宋体" w:cs="宋体"/>
          <w:color w:val="auto"/>
          <w:spacing w:val="6"/>
          <w:kern w:val="0"/>
          <w:sz w:val="24"/>
          <w:highlight w:val="none"/>
          <w:lang w:val="zh-TW" w:eastAsia="zh-CN"/>
        </w:rPr>
        <w:t>，格式自拟</w:t>
      </w:r>
      <w:r>
        <w:rPr>
          <w:rFonts w:hint="eastAsia" w:ascii="宋体" w:hAnsi="宋体" w:eastAsia="宋体" w:cs="宋体"/>
          <w:color w:val="auto"/>
          <w:spacing w:val="6"/>
          <w:kern w:val="0"/>
          <w:sz w:val="24"/>
          <w:highlight w:val="none"/>
          <w:lang w:val="zh-TW" w:eastAsia="zh-TW"/>
        </w:rPr>
        <w:t>）</w:t>
      </w:r>
    </w:p>
    <w:p w14:paraId="3ECEBD6F">
      <w:pPr>
        <w:keepNext w:val="0"/>
        <w:keepLines w:val="0"/>
        <w:pageBreakBefore w:val="0"/>
        <w:widowControl/>
        <w:kinsoku/>
        <w:wordWrap/>
        <w:overflowPunct/>
        <w:topLinePunct w:val="0"/>
        <w:autoSpaceDE/>
        <w:autoSpaceDN/>
        <w:bidi w:val="0"/>
        <w:adjustRightInd w:val="0"/>
        <w:snapToGrid w:val="0"/>
        <w:spacing w:line="500" w:lineRule="exact"/>
        <w:ind w:firstLine="504" w:firstLineChars="200"/>
        <w:jc w:val="left"/>
        <w:textAlignment w:val="auto"/>
        <w:rPr>
          <w:rFonts w:hint="eastAsia" w:ascii="宋体" w:hAnsi="宋体" w:eastAsia="宋体" w:cs="宋体"/>
          <w:color w:val="auto"/>
          <w:spacing w:val="6"/>
          <w:kern w:val="0"/>
          <w:sz w:val="24"/>
          <w:highlight w:val="none"/>
          <w:lang w:val="zh-TW" w:eastAsia="zh-TW"/>
        </w:rPr>
      </w:pPr>
    </w:p>
    <w:p w14:paraId="757B8E3B">
      <w:pPr>
        <w:keepNext w:val="0"/>
        <w:keepLines w:val="0"/>
        <w:pageBreakBefore w:val="0"/>
        <w:widowControl/>
        <w:kinsoku/>
        <w:wordWrap/>
        <w:overflowPunct/>
        <w:topLinePunct w:val="0"/>
        <w:autoSpaceDE/>
        <w:autoSpaceDN/>
        <w:bidi w:val="0"/>
        <w:adjustRightInd w:val="0"/>
        <w:snapToGrid w:val="0"/>
        <w:spacing w:line="500" w:lineRule="exact"/>
        <w:ind w:firstLine="504" w:firstLineChars="2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注：以上内容中若需要表格请投标人自行编制以上内容为</w:t>
      </w:r>
      <w:r>
        <w:rPr>
          <w:rFonts w:hint="eastAsia" w:ascii="宋体" w:hAnsi="宋体" w:eastAsia="宋体" w:cs="宋体"/>
          <w:color w:val="auto"/>
          <w:spacing w:val="6"/>
          <w:kern w:val="0"/>
          <w:sz w:val="24"/>
          <w:highlight w:val="none"/>
          <w:lang w:val="zh-TW" w:eastAsia="zh-CN"/>
        </w:rPr>
        <w:t>谈判文件</w:t>
      </w:r>
      <w:r>
        <w:rPr>
          <w:rFonts w:hint="eastAsia" w:ascii="宋体" w:hAnsi="宋体" w:eastAsia="宋体" w:cs="宋体"/>
          <w:color w:val="auto"/>
          <w:spacing w:val="6"/>
          <w:kern w:val="0"/>
          <w:sz w:val="24"/>
          <w:highlight w:val="none"/>
          <w:lang w:val="zh-TW" w:eastAsia="zh-TW"/>
        </w:rPr>
        <w:t>要求，如投标人认为有与本投标项目相关的其他内容也可自行编制放入。</w:t>
      </w:r>
    </w:p>
    <w:p w14:paraId="47FCF64D">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pacing w:val="6"/>
          <w:kern w:val="0"/>
          <w:sz w:val="24"/>
          <w:highlight w:val="none"/>
          <w:lang w:val="zh-TW" w:eastAsia="zh-TW"/>
        </w:rPr>
      </w:pPr>
    </w:p>
    <w:p w14:paraId="2C5986A1">
      <w:pPr>
        <w:keepNext w:val="0"/>
        <w:keepLines w:val="0"/>
        <w:pageBreakBefore w:val="0"/>
        <w:widowControl/>
        <w:kinsoku/>
        <w:wordWrap/>
        <w:overflowPunct/>
        <w:topLinePunct w:val="0"/>
        <w:autoSpaceDE/>
        <w:autoSpaceDN/>
        <w:bidi w:val="0"/>
        <w:adjustRightInd w:val="0"/>
        <w:snapToGrid w:val="0"/>
        <w:spacing w:line="500" w:lineRule="exact"/>
        <w:ind w:firstLine="504" w:firstLineChars="2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投标单位（</w:t>
      </w:r>
      <w:r>
        <w:rPr>
          <w:rFonts w:hint="eastAsia" w:ascii="宋体" w:hAnsi="宋体" w:eastAsia="宋体" w:cs="宋体"/>
          <w:color w:val="auto"/>
          <w:spacing w:val="6"/>
          <w:kern w:val="0"/>
          <w:sz w:val="24"/>
          <w:highlight w:val="none"/>
          <w:lang w:val="zh-TW" w:eastAsia="zh-CN"/>
        </w:rPr>
        <w:t>盖</w:t>
      </w:r>
      <w:r>
        <w:rPr>
          <w:rFonts w:hint="eastAsia" w:ascii="宋体" w:hAnsi="宋体" w:eastAsia="宋体" w:cs="宋体"/>
          <w:color w:val="auto"/>
          <w:spacing w:val="6"/>
          <w:kern w:val="0"/>
          <w:sz w:val="24"/>
          <w:highlight w:val="none"/>
          <w:lang w:val="zh-TW" w:eastAsia="zh-TW"/>
        </w:rPr>
        <w:t>章）：</w:t>
      </w:r>
      <w:r>
        <w:rPr>
          <w:rFonts w:hint="eastAsia" w:ascii="宋体" w:hAnsi="宋体" w:eastAsia="宋体" w:cs="宋体"/>
          <w:color w:val="auto"/>
          <w:spacing w:val="6"/>
          <w:kern w:val="0"/>
          <w:sz w:val="24"/>
          <w:highlight w:val="none"/>
          <w:u w:val="single"/>
          <w:lang w:val="en-US" w:eastAsia="zh-CN"/>
        </w:rPr>
        <w:t xml:space="preserve">                   </w:t>
      </w:r>
    </w:p>
    <w:p w14:paraId="36DA4AA4">
      <w:pPr>
        <w:keepNext w:val="0"/>
        <w:keepLines w:val="0"/>
        <w:pageBreakBefore w:val="0"/>
        <w:widowControl/>
        <w:kinsoku/>
        <w:wordWrap/>
        <w:overflowPunct/>
        <w:topLinePunct w:val="0"/>
        <w:autoSpaceDE/>
        <w:autoSpaceDN/>
        <w:bidi w:val="0"/>
        <w:adjustRightInd w:val="0"/>
        <w:snapToGrid w:val="0"/>
        <w:spacing w:line="500" w:lineRule="exact"/>
        <w:ind w:firstLine="504" w:firstLineChars="200"/>
        <w:jc w:val="left"/>
        <w:textAlignment w:val="auto"/>
        <w:rPr>
          <w:rFonts w:hint="eastAsia" w:ascii="宋体" w:hAnsi="宋体" w:eastAsia="宋体" w:cs="宋体"/>
          <w:color w:val="auto"/>
          <w:spacing w:val="6"/>
          <w:kern w:val="0"/>
          <w:sz w:val="24"/>
          <w:highlight w:val="none"/>
          <w:lang w:val="en-US" w:eastAsia="zh-CN"/>
        </w:rPr>
      </w:pPr>
      <w:r>
        <w:rPr>
          <w:rFonts w:hint="eastAsia" w:ascii="宋体" w:hAnsi="宋体" w:eastAsia="宋体" w:cs="宋体"/>
          <w:color w:val="auto"/>
          <w:spacing w:val="6"/>
          <w:kern w:val="0"/>
          <w:sz w:val="24"/>
          <w:highlight w:val="none"/>
          <w:lang w:val="zh-TW" w:eastAsia="zh-TW"/>
        </w:rPr>
        <w:t>法定代表人或授权代表人（签字或盖章）：</w:t>
      </w:r>
      <w:r>
        <w:rPr>
          <w:rFonts w:hint="eastAsia" w:ascii="宋体" w:hAnsi="宋体" w:eastAsia="宋体" w:cs="宋体"/>
          <w:i/>
          <w:iCs/>
          <w:color w:val="auto"/>
          <w:spacing w:val="6"/>
          <w:kern w:val="0"/>
          <w:sz w:val="24"/>
          <w:highlight w:val="none"/>
          <w:u w:val="single"/>
          <w:lang w:val="zh-TW" w:eastAsia="zh-TW"/>
        </w:rPr>
        <w:t xml:space="preserve">                      </w:t>
      </w:r>
      <w:r>
        <w:rPr>
          <w:rFonts w:hint="eastAsia" w:ascii="宋体" w:hAnsi="宋体" w:eastAsia="宋体" w:cs="宋体"/>
          <w:color w:val="auto"/>
          <w:spacing w:val="6"/>
          <w:kern w:val="0"/>
          <w:sz w:val="24"/>
          <w:highlight w:val="none"/>
          <w:lang w:val="en-US" w:eastAsia="zh-CN"/>
        </w:rPr>
        <w:t xml:space="preserve">    </w:t>
      </w:r>
    </w:p>
    <w:p w14:paraId="67878DBA">
      <w:pPr>
        <w:keepNext w:val="0"/>
        <w:keepLines w:val="0"/>
        <w:pageBreakBefore w:val="0"/>
        <w:widowControl/>
        <w:kinsoku/>
        <w:wordWrap/>
        <w:overflowPunct/>
        <w:topLinePunct w:val="0"/>
        <w:autoSpaceDE/>
        <w:autoSpaceDN/>
        <w:bidi w:val="0"/>
        <w:adjustRightInd w:val="0"/>
        <w:snapToGrid w:val="0"/>
        <w:spacing w:line="500" w:lineRule="exact"/>
        <w:ind w:firstLine="504" w:firstLineChars="200"/>
        <w:jc w:val="left"/>
        <w:textAlignment w:val="auto"/>
        <w:rPr>
          <w:rFonts w:hint="eastAsia" w:ascii="宋体" w:hAnsi="宋体" w:eastAsia="宋体" w:cs="宋体"/>
          <w:color w:val="auto"/>
          <w:spacing w:val="6"/>
          <w:kern w:val="0"/>
          <w:sz w:val="24"/>
          <w:highlight w:val="none"/>
          <w:lang w:val="zh-TW" w:eastAsia="zh-TW"/>
        </w:rPr>
      </w:pPr>
      <w:r>
        <w:rPr>
          <w:rFonts w:hint="eastAsia" w:ascii="宋体" w:hAnsi="宋体" w:eastAsia="宋体" w:cs="宋体"/>
          <w:color w:val="auto"/>
          <w:spacing w:val="6"/>
          <w:kern w:val="0"/>
          <w:sz w:val="24"/>
          <w:highlight w:val="none"/>
          <w:lang w:val="zh-TW" w:eastAsia="zh-TW"/>
        </w:rPr>
        <w:t xml:space="preserve">日期： </w:t>
      </w:r>
      <w:r>
        <w:rPr>
          <w:rFonts w:hint="eastAsia" w:ascii="宋体" w:hAnsi="宋体" w:eastAsia="宋体" w:cs="宋体"/>
          <w:color w:val="auto"/>
          <w:spacing w:val="6"/>
          <w:kern w:val="0"/>
          <w:sz w:val="24"/>
          <w:highlight w:val="none"/>
          <w:lang w:val="en-US" w:eastAsia="zh-CN"/>
        </w:rPr>
        <w:t xml:space="preserve">   </w:t>
      </w:r>
      <w:r>
        <w:rPr>
          <w:rFonts w:hint="eastAsia" w:ascii="宋体" w:hAnsi="宋体" w:eastAsia="宋体" w:cs="宋体"/>
          <w:color w:val="auto"/>
          <w:spacing w:val="6"/>
          <w:kern w:val="0"/>
          <w:sz w:val="24"/>
          <w:highlight w:val="none"/>
          <w:lang w:val="zh-TW" w:eastAsia="zh-TW"/>
        </w:rPr>
        <w:t>年</w:t>
      </w:r>
      <w:r>
        <w:rPr>
          <w:rFonts w:hint="eastAsia" w:ascii="宋体" w:hAnsi="宋体" w:eastAsia="宋体" w:cs="宋体"/>
          <w:color w:val="auto"/>
          <w:spacing w:val="6"/>
          <w:kern w:val="0"/>
          <w:sz w:val="24"/>
          <w:highlight w:val="none"/>
          <w:lang w:val="en-US" w:eastAsia="zh-CN"/>
        </w:rPr>
        <w:t xml:space="preserve"> </w:t>
      </w:r>
      <w:r>
        <w:rPr>
          <w:rFonts w:hint="eastAsia" w:ascii="宋体" w:hAnsi="宋体" w:eastAsia="宋体" w:cs="宋体"/>
          <w:color w:val="auto"/>
          <w:spacing w:val="6"/>
          <w:kern w:val="0"/>
          <w:sz w:val="24"/>
          <w:highlight w:val="none"/>
          <w:lang w:val="zh-TW" w:eastAsia="zh-TW"/>
        </w:rPr>
        <w:t xml:space="preserve">  月  </w:t>
      </w:r>
      <w:r>
        <w:rPr>
          <w:rFonts w:hint="eastAsia" w:ascii="宋体" w:hAnsi="宋体" w:eastAsia="宋体" w:cs="宋体"/>
          <w:color w:val="auto"/>
          <w:spacing w:val="6"/>
          <w:kern w:val="0"/>
          <w:sz w:val="24"/>
          <w:highlight w:val="none"/>
          <w:lang w:val="en-US" w:eastAsia="zh-CN"/>
        </w:rPr>
        <w:t xml:space="preserve"> </w:t>
      </w:r>
      <w:r>
        <w:rPr>
          <w:rFonts w:hint="eastAsia" w:ascii="宋体" w:hAnsi="宋体" w:eastAsia="宋体" w:cs="宋体"/>
          <w:color w:val="auto"/>
          <w:spacing w:val="6"/>
          <w:kern w:val="0"/>
          <w:sz w:val="24"/>
          <w:highlight w:val="none"/>
          <w:lang w:val="zh-TW" w:eastAsia="zh-TW"/>
        </w:rPr>
        <w:t>日</w:t>
      </w:r>
    </w:p>
    <w:p w14:paraId="026F8166">
      <w:pPr>
        <w:pStyle w:val="6"/>
        <w:rPr>
          <w:rFonts w:hint="eastAsia" w:ascii="宋体" w:hAnsi="宋体" w:eastAsia="宋体" w:cs="宋体"/>
          <w:color w:val="auto"/>
          <w:spacing w:val="6"/>
          <w:kern w:val="0"/>
          <w:sz w:val="24"/>
          <w:szCs w:val="24"/>
          <w:highlight w:val="none"/>
          <w:lang w:val="zh-TW" w:eastAsia="zh-TW" w:bidi="ar-SA"/>
        </w:rPr>
      </w:pPr>
    </w:p>
    <w:p w14:paraId="612F0FF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Style w:val="29"/>
          <w:rFonts w:hint="eastAsia"/>
          <w:color w:val="auto"/>
          <w:sz w:val="28"/>
          <w:szCs w:val="36"/>
          <w:highlight w:val="none"/>
          <w:lang w:eastAsia="zh-CN"/>
        </w:rPr>
      </w:pPr>
      <w:bookmarkStart w:id="937" w:name="_Toc22763"/>
      <w:r>
        <w:rPr>
          <w:rStyle w:val="29"/>
          <w:rFonts w:hint="eastAsia" w:ascii="Times New Roman" w:hAnsi="Times New Roman" w:eastAsia="宋体" w:cs="Times New Roman"/>
          <w:color w:val="auto"/>
          <w:sz w:val="28"/>
          <w:szCs w:val="36"/>
          <w:highlight w:val="none"/>
          <w:lang w:val="en-US" w:eastAsia="zh-CN"/>
        </w:rPr>
        <w:t>19、</w:t>
      </w:r>
      <w:r>
        <w:rPr>
          <w:rStyle w:val="29"/>
          <w:rFonts w:hint="eastAsia"/>
          <w:color w:val="auto"/>
          <w:sz w:val="28"/>
          <w:szCs w:val="36"/>
          <w:highlight w:val="none"/>
        </w:rPr>
        <w:t>其他投标人认为有必要</w:t>
      </w:r>
      <w:r>
        <w:rPr>
          <w:rStyle w:val="29"/>
          <w:rFonts w:hint="eastAsia"/>
          <w:color w:val="auto"/>
          <w:sz w:val="28"/>
          <w:szCs w:val="36"/>
          <w:highlight w:val="none"/>
          <w:lang w:eastAsia="zh-CN"/>
        </w:rPr>
        <w:t>提供的技术资料（如有）。</w:t>
      </w:r>
    </w:p>
    <w:bookmarkEnd w:id="937"/>
    <w:p w14:paraId="7EF7754D">
      <w:pPr>
        <w:rPr>
          <w:rFonts w:hint="eastAsia" w:ascii="宋体" w:hAnsi="宋体" w:eastAsia="宋体" w:cs="宋体"/>
          <w:color w:val="auto"/>
          <w:sz w:val="24"/>
          <w:szCs w:val="24"/>
          <w:highlight w:val="none"/>
        </w:rPr>
      </w:pPr>
    </w:p>
    <w:p w14:paraId="5E60FC99">
      <w:pPr>
        <w:pStyle w:val="6"/>
        <w:jc w:val="center"/>
        <w:rPr>
          <w:rFonts w:hint="eastAsia"/>
          <w:color w:val="auto"/>
          <w:sz w:val="24"/>
          <w:szCs w:val="32"/>
          <w:highlight w:val="none"/>
          <w:lang w:val="en-US" w:eastAsia="zh-CN"/>
        </w:rPr>
      </w:pPr>
      <w:r>
        <w:rPr>
          <w:rFonts w:hint="eastAsia"/>
          <w:color w:val="auto"/>
          <w:sz w:val="24"/>
          <w:szCs w:val="32"/>
          <w:highlight w:val="none"/>
          <w:lang w:val="en-US" w:eastAsia="zh-CN"/>
        </w:rPr>
        <w:t>格式自拟（须逐页加盖投标单位公章）</w:t>
      </w:r>
      <w:bookmarkStart w:id="938" w:name="_Toc31586"/>
      <w:bookmarkStart w:id="939" w:name="_Toc18068"/>
    </w:p>
    <w:p w14:paraId="783BF206">
      <w:pPr>
        <w:pStyle w:val="6"/>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评审标准</w:t>
      </w:r>
      <w:bookmarkEnd w:id="934"/>
      <w:bookmarkEnd w:id="938"/>
      <w:bookmarkEnd w:id="939"/>
    </w:p>
    <w:p w14:paraId="42BBA1DA">
      <w:pPr>
        <w:pStyle w:val="6"/>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附表1：</w:t>
      </w:r>
      <w:bookmarkStart w:id="940" w:name="_Toc21724"/>
      <w:r>
        <w:rPr>
          <w:rFonts w:hint="eastAsia" w:ascii="宋体" w:hAnsi="宋体" w:eastAsia="宋体" w:cs="宋体"/>
          <w:b w:val="0"/>
          <w:color w:val="auto"/>
          <w:kern w:val="2"/>
          <w:sz w:val="24"/>
          <w:szCs w:val="24"/>
          <w:highlight w:val="none"/>
          <w:lang w:val="en-US" w:eastAsia="zh-CN" w:bidi="ar-SA"/>
        </w:rPr>
        <w:t>资格审查表</w:t>
      </w:r>
      <w:bookmarkEnd w:id="940"/>
    </w:p>
    <w:tbl>
      <w:tblPr>
        <w:tblStyle w:val="30"/>
        <w:tblW w:w="98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7"/>
        <w:gridCol w:w="6119"/>
        <w:gridCol w:w="1118"/>
        <w:gridCol w:w="1084"/>
      </w:tblGrid>
      <w:tr w14:paraId="57B57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517" w:type="dxa"/>
            <w:vMerge w:val="restart"/>
            <w:tcBorders>
              <w:bottom w:val="nil"/>
            </w:tcBorders>
            <w:noWrap w:val="0"/>
            <w:vAlign w:val="top"/>
          </w:tcPr>
          <w:p w14:paraId="3BB82AD8">
            <w:pPr>
              <w:autoSpaceDE w:val="0"/>
              <w:autoSpaceDN w:val="0"/>
              <w:spacing w:line="346" w:lineRule="auto"/>
              <w:rPr>
                <w:rFonts w:hint="eastAsia" w:ascii="宋体" w:hAnsi="宋体" w:eastAsia="宋体" w:cs="宋体"/>
                <w:color w:val="auto"/>
                <w:sz w:val="24"/>
                <w:szCs w:val="24"/>
                <w:highlight w:val="none"/>
              </w:rPr>
            </w:pPr>
          </w:p>
          <w:p w14:paraId="576EF4B1">
            <w:pPr>
              <w:pStyle w:val="23"/>
              <w:autoSpaceDE w:val="0"/>
              <w:autoSpaceDN w:val="0"/>
              <w:spacing w:before="65" w:line="230" w:lineRule="auto"/>
              <w:ind w:left="55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6119" w:type="dxa"/>
            <w:vMerge w:val="restart"/>
            <w:tcBorders>
              <w:bottom w:val="nil"/>
            </w:tcBorders>
            <w:noWrap w:val="0"/>
            <w:vAlign w:val="top"/>
          </w:tcPr>
          <w:p w14:paraId="6EBF5737">
            <w:pPr>
              <w:autoSpaceDE w:val="0"/>
              <w:autoSpaceDN w:val="0"/>
              <w:spacing w:line="347" w:lineRule="auto"/>
              <w:rPr>
                <w:rFonts w:hint="eastAsia" w:ascii="宋体" w:hAnsi="宋体" w:eastAsia="宋体" w:cs="宋体"/>
                <w:color w:val="auto"/>
                <w:sz w:val="24"/>
                <w:szCs w:val="24"/>
                <w:highlight w:val="none"/>
              </w:rPr>
            </w:pPr>
          </w:p>
          <w:p w14:paraId="3DDC7DB0">
            <w:pPr>
              <w:pStyle w:val="23"/>
              <w:autoSpaceDE w:val="0"/>
              <w:autoSpaceDN w:val="0"/>
              <w:spacing w:before="65" w:line="229"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审</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查</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2"/>
                <w:sz w:val="24"/>
                <w:szCs w:val="24"/>
                <w:highlight w:val="none"/>
              </w:rPr>
              <w:t>标</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准</w:t>
            </w:r>
          </w:p>
        </w:tc>
        <w:tc>
          <w:tcPr>
            <w:tcW w:w="2202" w:type="dxa"/>
            <w:gridSpan w:val="2"/>
            <w:noWrap w:val="0"/>
            <w:vAlign w:val="top"/>
          </w:tcPr>
          <w:p w14:paraId="713EBFE8">
            <w:pPr>
              <w:pStyle w:val="23"/>
              <w:autoSpaceDE w:val="0"/>
              <w:autoSpaceDN w:val="0"/>
              <w:spacing w:before="138" w:line="229" w:lineRule="auto"/>
              <w:ind w:left="110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审查结果</w:t>
            </w:r>
          </w:p>
        </w:tc>
      </w:tr>
      <w:tr w14:paraId="176ED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517" w:type="dxa"/>
            <w:vMerge w:val="continue"/>
            <w:tcBorders>
              <w:top w:val="nil"/>
            </w:tcBorders>
            <w:noWrap w:val="0"/>
            <w:vAlign w:val="top"/>
          </w:tcPr>
          <w:p w14:paraId="5CB34D37">
            <w:pPr>
              <w:autoSpaceDE w:val="0"/>
              <w:autoSpaceDN w:val="0"/>
              <w:rPr>
                <w:rFonts w:hint="eastAsia" w:ascii="宋体" w:hAnsi="宋体" w:eastAsia="宋体" w:cs="宋体"/>
                <w:color w:val="auto"/>
                <w:sz w:val="24"/>
                <w:szCs w:val="24"/>
                <w:highlight w:val="none"/>
              </w:rPr>
            </w:pPr>
          </w:p>
        </w:tc>
        <w:tc>
          <w:tcPr>
            <w:tcW w:w="6119" w:type="dxa"/>
            <w:vMerge w:val="continue"/>
            <w:tcBorders>
              <w:top w:val="nil"/>
            </w:tcBorders>
            <w:noWrap w:val="0"/>
            <w:vAlign w:val="top"/>
          </w:tcPr>
          <w:p w14:paraId="1924F9A0">
            <w:pPr>
              <w:autoSpaceDE w:val="0"/>
              <w:autoSpaceDN w:val="0"/>
              <w:rPr>
                <w:rFonts w:hint="eastAsia" w:ascii="宋体" w:hAnsi="宋体" w:eastAsia="宋体" w:cs="宋体"/>
                <w:color w:val="auto"/>
                <w:sz w:val="24"/>
                <w:szCs w:val="24"/>
                <w:highlight w:val="none"/>
              </w:rPr>
            </w:pPr>
          </w:p>
        </w:tc>
        <w:tc>
          <w:tcPr>
            <w:tcW w:w="1118" w:type="dxa"/>
            <w:noWrap w:val="0"/>
            <w:vAlign w:val="top"/>
          </w:tcPr>
          <w:p w14:paraId="0D30783D">
            <w:pPr>
              <w:pStyle w:val="23"/>
              <w:autoSpaceDE w:val="0"/>
              <w:autoSpaceDN w:val="0"/>
              <w:spacing w:before="163" w:line="236" w:lineRule="auto"/>
              <w:ind w:left="55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通过</w:t>
            </w:r>
          </w:p>
        </w:tc>
        <w:tc>
          <w:tcPr>
            <w:tcW w:w="1084" w:type="dxa"/>
            <w:noWrap w:val="0"/>
            <w:vAlign w:val="top"/>
          </w:tcPr>
          <w:p w14:paraId="273FDA34">
            <w:pPr>
              <w:pStyle w:val="23"/>
              <w:autoSpaceDE w:val="0"/>
              <w:autoSpaceDN w:val="0"/>
              <w:spacing w:before="164" w:line="231" w:lineRule="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不通过</w:t>
            </w:r>
          </w:p>
        </w:tc>
      </w:tr>
      <w:tr w14:paraId="0C2B4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17" w:type="dxa"/>
            <w:noWrap w:val="0"/>
            <w:vAlign w:val="top"/>
          </w:tcPr>
          <w:p w14:paraId="02BB73C5">
            <w:pPr>
              <w:autoSpaceDE w:val="0"/>
              <w:autoSpaceDN w:val="0"/>
              <w:spacing w:line="299" w:lineRule="auto"/>
              <w:rPr>
                <w:rFonts w:hint="eastAsia" w:ascii="宋体" w:hAnsi="宋体" w:eastAsia="宋体" w:cs="宋体"/>
                <w:color w:val="auto"/>
                <w:sz w:val="24"/>
                <w:szCs w:val="24"/>
                <w:highlight w:val="none"/>
              </w:rPr>
            </w:pPr>
          </w:p>
          <w:p w14:paraId="65FC3C77">
            <w:pPr>
              <w:pStyle w:val="23"/>
              <w:autoSpaceDE w:val="0"/>
              <w:autoSpaceDN w:val="0"/>
              <w:spacing w:before="71" w:line="184" w:lineRule="auto"/>
              <w:ind w:left="7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119" w:type="dxa"/>
            <w:noWrap w:val="0"/>
            <w:vAlign w:val="top"/>
          </w:tcPr>
          <w:p w14:paraId="5C14766D">
            <w:pPr>
              <w:pStyle w:val="23"/>
              <w:autoSpaceDE w:val="0"/>
              <w:autoSpaceDN w:val="0"/>
              <w:spacing w:before="234" w:line="246" w:lineRule="auto"/>
              <w:ind w:left="112" w:right="104" w:firstLine="4"/>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具有独立承担民事责任的能力；【供应商提供其营业执照等证明文件</w:t>
            </w:r>
            <w:r>
              <w:rPr>
                <w:rFonts w:hint="eastAsia" w:ascii="宋体" w:hAnsi="宋体" w:eastAsia="宋体" w:cs="宋体"/>
                <w:color w:val="auto"/>
                <w:spacing w:val="10"/>
                <w:sz w:val="24"/>
                <w:szCs w:val="24"/>
                <w:highlight w:val="none"/>
              </w:rPr>
              <w:t>】</w:t>
            </w:r>
          </w:p>
        </w:tc>
        <w:tc>
          <w:tcPr>
            <w:tcW w:w="1118" w:type="dxa"/>
            <w:noWrap w:val="0"/>
            <w:vAlign w:val="top"/>
          </w:tcPr>
          <w:p w14:paraId="6BAC31A3">
            <w:pPr>
              <w:autoSpaceDE w:val="0"/>
              <w:autoSpaceDN w:val="0"/>
              <w:rPr>
                <w:rFonts w:hint="eastAsia" w:ascii="宋体" w:hAnsi="宋体" w:eastAsia="宋体" w:cs="宋体"/>
                <w:color w:val="auto"/>
                <w:sz w:val="24"/>
                <w:szCs w:val="24"/>
                <w:highlight w:val="none"/>
              </w:rPr>
            </w:pPr>
          </w:p>
        </w:tc>
        <w:tc>
          <w:tcPr>
            <w:tcW w:w="1084" w:type="dxa"/>
            <w:noWrap w:val="0"/>
            <w:vAlign w:val="top"/>
          </w:tcPr>
          <w:p w14:paraId="4BA85064">
            <w:pPr>
              <w:autoSpaceDE w:val="0"/>
              <w:autoSpaceDN w:val="0"/>
              <w:rPr>
                <w:rFonts w:hint="eastAsia" w:ascii="宋体" w:hAnsi="宋体" w:eastAsia="宋体" w:cs="宋体"/>
                <w:color w:val="auto"/>
                <w:sz w:val="24"/>
                <w:szCs w:val="24"/>
                <w:highlight w:val="none"/>
              </w:rPr>
            </w:pPr>
          </w:p>
        </w:tc>
      </w:tr>
      <w:tr w14:paraId="53D12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4" w:hRule="atLeast"/>
        </w:trPr>
        <w:tc>
          <w:tcPr>
            <w:tcW w:w="1517" w:type="dxa"/>
            <w:noWrap w:val="0"/>
            <w:vAlign w:val="top"/>
          </w:tcPr>
          <w:p w14:paraId="6A3AC086">
            <w:pPr>
              <w:pStyle w:val="23"/>
              <w:autoSpaceDE w:val="0"/>
              <w:autoSpaceDN w:val="0"/>
              <w:spacing w:before="71" w:line="184" w:lineRule="auto"/>
              <w:ind w:left="724"/>
              <w:rPr>
                <w:rFonts w:hint="eastAsia" w:ascii="宋体" w:hAnsi="宋体" w:eastAsia="宋体" w:cs="宋体"/>
                <w:color w:val="auto"/>
                <w:sz w:val="24"/>
                <w:szCs w:val="24"/>
                <w:highlight w:val="none"/>
                <w:lang w:val="en-US" w:eastAsia="zh-CN"/>
              </w:rPr>
            </w:pPr>
          </w:p>
          <w:p w14:paraId="62B38D0A">
            <w:pPr>
              <w:pStyle w:val="23"/>
              <w:autoSpaceDE w:val="0"/>
              <w:autoSpaceDN w:val="0"/>
              <w:spacing w:before="71" w:line="184" w:lineRule="auto"/>
              <w:ind w:left="724"/>
              <w:rPr>
                <w:rFonts w:hint="eastAsia" w:ascii="宋体" w:hAnsi="宋体" w:eastAsia="宋体" w:cs="宋体"/>
                <w:color w:val="auto"/>
                <w:sz w:val="24"/>
                <w:szCs w:val="24"/>
                <w:highlight w:val="none"/>
                <w:lang w:val="en-US" w:eastAsia="zh-CN"/>
              </w:rPr>
            </w:pPr>
          </w:p>
          <w:p w14:paraId="303BF0C4">
            <w:pPr>
              <w:pStyle w:val="23"/>
              <w:autoSpaceDE w:val="0"/>
              <w:autoSpaceDN w:val="0"/>
              <w:spacing w:before="71" w:line="184" w:lineRule="auto"/>
              <w:ind w:left="724"/>
              <w:rPr>
                <w:rFonts w:hint="eastAsia" w:ascii="宋体" w:hAnsi="宋体" w:eastAsia="宋体" w:cs="宋体"/>
                <w:color w:val="auto"/>
                <w:sz w:val="24"/>
                <w:szCs w:val="24"/>
                <w:highlight w:val="none"/>
                <w:lang w:val="en-US" w:eastAsia="zh-CN"/>
              </w:rPr>
            </w:pPr>
          </w:p>
          <w:p w14:paraId="7FE47A12">
            <w:pPr>
              <w:pStyle w:val="23"/>
              <w:autoSpaceDE w:val="0"/>
              <w:autoSpaceDN w:val="0"/>
              <w:spacing w:before="71" w:line="184" w:lineRule="auto"/>
              <w:ind w:left="72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119" w:type="dxa"/>
            <w:noWrap w:val="0"/>
            <w:vAlign w:val="top"/>
          </w:tcPr>
          <w:p w14:paraId="4FC488D2">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9"/>
                <w:sz w:val="24"/>
                <w:szCs w:val="24"/>
                <w:highlight w:val="none"/>
              </w:rPr>
            </w:pPr>
            <w:r>
              <w:rPr>
                <w:rFonts w:hint="eastAsia" w:ascii="宋体" w:hAnsi="宋体" w:eastAsia="宋体" w:cs="宋体"/>
                <w:color w:val="auto"/>
                <w:spacing w:val="9"/>
                <w:kern w:val="2"/>
                <w:sz w:val="24"/>
                <w:szCs w:val="24"/>
                <w:highlight w:val="none"/>
                <w:lang w:val="en-US" w:eastAsia="en-US" w:bidi="ar-SA"/>
              </w:rPr>
              <w:t>本项目特定资质要求的证明文件。</w:t>
            </w:r>
            <w:r>
              <w:rPr>
                <w:rFonts w:hint="eastAsia" w:ascii="宋体" w:hAnsi="宋体" w:eastAsia="宋体" w:cs="宋体"/>
                <w:color w:val="auto"/>
                <w:spacing w:val="9"/>
                <w:kern w:val="2"/>
                <w:sz w:val="24"/>
                <w:szCs w:val="24"/>
                <w:highlight w:val="none"/>
                <w:lang w:val="en-US" w:eastAsia="zh-CN" w:bidi="ar-SA"/>
              </w:rPr>
              <w:t>供应商须具备建筑工程施工总承包叁级及以上资质，并在有效期内的，有效的《安全生产许可证》，并在人员、设备、资金等方面具备相应的施工能力；拟派的项目负责人须具备建筑工程专业二级建造师及以上（含二级）注册执业资格，并具备有效的安全生产考核合格证书（B 证）。</w:t>
            </w:r>
          </w:p>
        </w:tc>
        <w:tc>
          <w:tcPr>
            <w:tcW w:w="1118" w:type="dxa"/>
            <w:noWrap w:val="0"/>
            <w:vAlign w:val="top"/>
          </w:tcPr>
          <w:p w14:paraId="44D7A9F9">
            <w:pPr>
              <w:autoSpaceDE w:val="0"/>
              <w:autoSpaceDN w:val="0"/>
              <w:rPr>
                <w:rFonts w:hint="eastAsia" w:ascii="宋体" w:hAnsi="宋体" w:eastAsia="宋体" w:cs="宋体"/>
                <w:color w:val="auto"/>
                <w:sz w:val="24"/>
                <w:szCs w:val="24"/>
                <w:highlight w:val="none"/>
              </w:rPr>
            </w:pPr>
          </w:p>
        </w:tc>
        <w:tc>
          <w:tcPr>
            <w:tcW w:w="1084" w:type="dxa"/>
            <w:noWrap w:val="0"/>
            <w:vAlign w:val="top"/>
          </w:tcPr>
          <w:p w14:paraId="6F1D2BFF">
            <w:pPr>
              <w:autoSpaceDE w:val="0"/>
              <w:autoSpaceDN w:val="0"/>
              <w:rPr>
                <w:rFonts w:hint="eastAsia" w:ascii="宋体" w:hAnsi="宋体" w:eastAsia="宋体" w:cs="宋体"/>
                <w:color w:val="auto"/>
                <w:sz w:val="24"/>
                <w:szCs w:val="24"/>
                <w:highlight w:val="none"/>
              </w:rPr>
            </w:pPr>
          </w:p>
        </w:tc>
      </w:tr>
      <w:tr w14:paraId="1E8A1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6" w:hRule="atLeast"/>
        </w:trPr>
        <w:tc>
          <w:tcPr>
            <w:tcW w:w="1517" w:type="dxa"/>
            <w:noWrap w:val="0"/>
            <w:vAlign w:val="top"/>
          </w:tcPr>
          <w:p w14:paraId="6CF62E22">
            <w:pPr>
              <w:autoSpaceDE w:val="0"/>
              <w:autoSpaceDN w:val="0"/>
              <w:spacing w:line="259" w:lineRule="auto"/>
              <w:rPr>
                <w:rFonts w:hint="eastAsia" w:ascii="宋体" w:hAnsi="宋体" w:eastAsia="宋体" w:cs="宋体"/>
                <w:color w:val="auto"/>
                <w:sz w:val="24"/>
                <w:szCs w:val="24"/>
                <w:highlight w:val="none"/>
              </w:rPr>
            </w:pPr>
          </w:p>
          <w:p w14:paraId="4F8B240F">
            <w:pPr>
              <w:autoSpaceDE w:val="0"/>
              <w:autoSpaceDN w:val="0"/>
              <w:spacing w:line="260" w:lineRule="auto"/>
              <w:rPr>
                <w:rFonts w:hint="eastAsia" w:ascii="宋体" w:hAnsi="宋体" w:eastAsia="宋体" w:cs="宋体"/>
                <w:color w:val="auto"/>
                <w:sz w:val="24"/>
                <w:szCs w:val="24"/>
                <w:highlight w:val="none"/>
              </w:rPr>
            </w:pPr>
          </w:p>
          <w:p w14:paraId="5EDD3962">
            <w:pPr>
              <w:autoSpaceDE w:val="0"/>
              <w:autoSpaceDN w:val="0"/>
              <w:spacing w:line="260" w:lineRule="auto"/>
              <w:rPr>
                <w:rFonts w:hint="eastAsia" w:ascii="宋体" w:hAnsi="宋体" w:eastAsia="宋体" w:cs="宋体"/>
                <w:color w:val="auto"/>
                <w:sz w:val="24"/>
                <w:szCs w:val="24"/>
                <w:highlight w:val="none"/>
              </w:rPr>
            </w:pPr>
          </w:p>
          <w:p w14:paraId="233E922E">
            <w:pPr>
              <w:pStyle w:val="23"/>
              <w:autoSpaceDE w:val="0"/>
              <w:autoSpaceDN w:val="0"/>
              <w:spacing w:before="71" w:line="184" w:lineRule="auto"/>
              <w:ind w:left="71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6119" w:type="dxa"/>
            <w:noWrap w:val="0"/>
            <w:vAlign w:val="top"/>
          </w:tcPr>
          <w:p w14:paraId="51210116">
            <w:pPr>
              <w:pStyle w:val="23"/>
              <w:autoSpaceDE w:val="0"/>
              <w:autoSpaceDN w:val="0"/>
              <w:spacing w:before="280" w:line="247" w:lineRule="auto"/>
              <w:ind w:left="113" w:right="145" w:firstLine="3"/>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具有良好的财务</w:t>
            </w:r>
            <w:r>
              <w:rPr>
                <w:rFonts w:hint="eastAsia" w:ascii="宋体" w:hAnsi="宋体" w:eastAsia="宋体" w:cs="宋体"/>
                <w:color w:val="auto"/>
                <w:spacing w:val="9"/>
                <w:sz w:val="24"/>
                <w:szCs w:val="24"/>
                <w:highlight w:val="none"/>
                <w:lang w:val="en-US" w:eastAsia="zh-CN"/>
              </w:rPr>
              <w:t>状况报告</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9"/>
                <w:sz w:val="24"/>
                <w:szCs w:val="24"/>
                <w:highlight w:val="none"/>
                <w:lang w:val="en-US" w:eastAsia="zh-CN"/>
              </w:rPr>
              <w:t>提供银行出具的近 1 年内资信证明或2025年度经审计的财务报告，从取得营业执照时间起到响应文件提交截止时间为止不足一年的，为新成立企业，提供财务状况良好承诺函（格式自拟）</w:t>
            </w:r>
            <w:r>
              <w:rPr>
                <w:rFonts w:hint="eastAsia" w:ascii="宋体" w:hAnsi="宋体" w:eastAsia="宋体" w:cs="宋体"/>
                <w:color w:val="auto"/>
                <w:spacing w:val="11"/>
                <w:sz w:val="24"/>
                <w:szCs w:val="24"/>
                <w:highlight w:val="none"/>
              </w:rPr>
              <w:t>】</w:t>
            </w:r>
          </w:p>
        </w:tc>
        <w:tc>
          <w:tcPr>
            <w:tcW w:w="1118" w:type="dxa"/>
            <w:noWrap w:val="0"/>
            <w:vAlign w:val="top"/>
          </w:tcPr>
          <w:p w14:paraId="0166C53B">
            <w:pPr>
              <w:autoSpaceDE w:val="0"/>
              <w:autoSpaceDN w:val="0"/>
              <w:rPr>
                <w:rFonts w:hint="eastAsia" w:ascii="宋体" w:hAnsi="宋体" w:eastAsia="宋体" w:cs="宋体"/>
                <w:color w:val="auto"/>
                <w:sz w:val="24"/>
                <w:szCs w:val="24"/>
                <w:highlight w:val="none"/>
              </w:rPr>
            </w:pPr>
          </w:p>
        </w:tc>
        <w:tc>
          <w:tcPr>
            <w:tcW w:w="1084" w:type="dxa"/>
            <w:noWrap w:val="0"/>
            <w:vAlign w:val="top"/>
          </w:tcPr>
          <w:p w14:paraId="5E8D4D6C">
            <w:pPr>
              <w:autoSpaceDE w:val="0"/>
              <w:autoSpaceDN w:val="0"/>
              <w:rPr>
                <w:rFonts w:hint="eastAsia" w:ascii="宋体" w:hAnsi="宋体" w:eastAsia="宋体" w:cs="宋体"/>
                <w:color w:val="auto"/>
                <w:sz w:val="24"/>
                <w:szCs w:val="24"/>
                <w:highlight w:val="none"/>
              </w:rPr>
            </w:pPr>
          </w:p>
        </w:tc>
      </w:tr>
      <w:tr w14:paraId="022C1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517" w:type="dxa"/>
            <w:noWrap w:val="0"/>
            <w:vAlign w:val="top"/>
          </w:tcPr>
          <w:p w14:paraId="5B5977A6">
            <w:pPr>
              <w:autoSpaceDE w:val="0"/>
              <w:autoSpaceDN w:val="0"/>
              <w:spacing w:line="321" w:lineRule="auto"/>
              <w:rPr>
                <w:rFonts w:hint="eastAsia" w:ascii="宋体" w:hAnsi="宋体" w:eastAsia="宋体" w:cs="宋体"/>
                <w:color w:val="auto"/>
                <w:sz w:val="24"/>
                <w:szCs w:val="24"/>
                <w:highlight w:val="none"/>
              </w:rPr>
            </w:pPr>
          </w:p>
          <w:p w14:paraId="3A0F0DA6">
            <w:pPr>
              <w:pStyle w:val="23"/>
              <w:autoSpaceDE w:val="0"/>
              <w:autoSpaceDN w:val="0"/>
              <w:spacing w:before="72" w:line="184" w:lineRule="auto"/>
              <w:ind w:left="7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6119" w:type="dxa"/>
            <w:noWrap w:val="0"/>
            <w:vAlign w:val="top"/>
          </w:tcPr>
          <w:p w14:paraId="2CBD6C11">
            <w:pPr>
              <w:pStyle w:val="23"/>
              <w:autoSpaceDE w:val="0"/>
              <w:autoSpaceDN w:val="0"/>
              <w:spacing w:before="230"/>
              <w:ind w:left="113" w:right="145" w:firstLine="3"/>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具有履行合同所必需的设备和专业技术能力；【</w:t>
            </w:r>
            <w:r>
              <w:rPr>
                <w:rFonts w:hint="eastAsia" w:ascii="宋体" w:hAnsi="宋体" w:eastAsia="宋体" w:cs="宋体"/>
                <w:color w:val="auto"/>
                <w:spacing w:val="9"/>
                <w:sz w:val="24"/>
                <w:szCs w:val="24"/>
                <w:highlight w:val="none"/>
                <w:lang w:val="en-US" w:eastAsia="zh-CN"/>
              </w:rPr>
              <w:t>提</w:t>
            </w:r>
            <w:r>
              <w:rPr>
                <w:rFonts w:hint="eastAsia" w:ascii="宋体" w:hAnsi="宋体" w:eastAsia="宋体" w:cs="宋体"/>
                <w:color w:val="auto"/>
                <w:spacing w:val="9"/>
                <w:sz w:val="24"/>
                <w:szCs w:val="24"/>
                <w:highlight w:val="none"/>
              </w:rPr>
              <w:t>供具有履行合同所必需的设备和专业技术能力的承诺函</w:t>
            </w:r>
            <w:r>
              <w:rPr>
                <w:rFonts w:hint="eastAsia" w:ascii="宋体" w:hAnsi="宋体" w:eastAsia="宋体" w:cs="宋体"/>
                <w:color w:val="auto"/>
                <w:spacing w:val="9"/>
                <w:sz w:val="24"/>
                <w:szCs w:val="24"/>
                <w:highlight w:val="none"/>
                <w:lang w:val="en-US" w:eastAsia="zh-CN"/>
              </w:rPr>
              <w:t>（格式自拟）</w:t>
            </w:r>
            <w:r>
              <w:rPr>
                <w:rFonts w:hint="eastAsia" w:ascii="宋体" w:hAnsi="宋体" w:eastAsia="宋体" w:cs="宋体"/>
                <w:color w:val="auto"/>
                <w:spacing w:val="9"/>
                <w:sz w:val="24"/>
                <w:szCs w:val="24"/>
                <w:highlight w:val="none"/>
              </w:rPr>
              <w:t>】</w:t>
            </w:r>
          </w:p>
        </w:tc>
        <w:tc>
          <w:tcPr>
            <w:tcW w:w="1118" w:type="dxa"/>
            <w:noWrap w:val="0"/>
            <w:vAlign w:val="top"/>
          </w:tcPr>
          <w:p w14:paraId="24A0A2CE">
            <w:pPr>
              <w:autoSpaceDE w:val="0"/>
              <w:autoSpaceDN w:val="0"/>
              <w:rPr>
                <w:rFonts w:hint="eastAsia" w:ascii="宋体" w:hAnsi="宋体" w:eastAsia="宋体" w:cs="宋体"/>
                <w:color w:val="auto"/>
                <w:sz w:val="24"/>
                <w:szCs w:val="24"/>
                <w:highlight w:val="none"/>
              </w:rPr>
            </w:pPr>
          </w:p>
        </w:tc>
        <w:tc>
          <w:tcPr>
            <w:tcW w:w="1084" w:type="dxa"/>
            <w:noWrap w:val="0"/>
            <w:vAlign w:val="top"/>
          </w:tcPr>
          <w:p w14:paraId="231BDFD2">
            <w:pPr>
              <w:autoSpaceDE w:val="0"/>
              <w:autoSpaceDN w:val="0"/>
              <w:rPr>
                <w:rFonts w:hint="eastAsia" w:ascii="宋体" w:hAnsi="宋体" w:eastAsia="宋体" w:cs="宋体"/>
                <w:color w:val="auto"/>
                <w:sz w:val="24"/>
                <w:szCs w:val="24"/>
                <w:highlight w:val="none"/>
              </w:rPr>
            </w:pPr>
          </w:p>
        </w:tc>
      </w:tr>
      <w:tr w14:paraId="74871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1" w:hRule="atLeast"/>
        </w:trPr>
        <w:tc>
          <w:tcPr>
            <w:tcW w:w="1517" w:type="dxa"/>
            <w:noWrap w:val="0"/>
            <w:vAlign w:val="top"/>
          </w:tcPr>
          <w:p w14:paraId="3A148D77">
            <w:pPr>
              <w:autoSpaceDE w:val="0"/>
              <w:autoSpaceDN w:val="0"/>
              <w:spacing w:line="249" w:lineRule="auto"/>
              <w:rPr>
                <w:rFonts w:hint="eastAsia" w:ascii="宋体" w:hAnsi="宋体" w:eastAsia="宋体" w:cs="宋体"/>
                <w:color w:val="auto"/>
                <w:sz w:val="24"/>
                <w:szCs w:val="24"/>
                <w:highlight w:val="none"/>
              </w:rPr>
            </w:pPr>
          </w:p>
          <w:p w14:paraId="710D704A">
            <w:pPr>
              <w:autoSpaceDE w:val="0"/>
              <w:autoSpaceDN w:val="0"/>
              <w:spacing w:line="250" w:lineRule="auto"/>
              <w:rPr>
                <w:rFonts w:hint="eastAsia" w:ascii="宋体" w:hAnsi="宋体" w:eastAsia="宋体" w:cs="宋体"/>
                <w:color w:val="auto"/>
                <w:sz w:val="24"/>
                <w:szCs w:val="24"/>
                <w:highlight w:val="none"/>
              </w:rPr>
            </w:pPr>
          </w:p>
          <w:p w14:paraId="68A6CC94">
            <w:pPr>
              <w:autoSpaceDE w:val="0"/>
              <w:autoSpaceDN w:val="0"/>
              <w:spacing w:line="250" w:lineRule="auto"/>
              <w:rPr>
                <w:rFonts w:hint="eastAsia" w:ascii="宋体" w:hAnsi="宋体" w:eastAsia="宋体" w:cs="宋体"/>
                <w:color w:val="auto"/>
                <w:sz w:val="24"/>
                <w:szCs w:val="24"/>
                <w:highlight w:val="none"/>
              </w:rPr>
            </w:pPr>
          </w:p>
          <w:p w14:paraId="75A182D2">
            <w:pPr>
              <w:pStyle w:val="23"/>
              <w:autoSpaceDE w:val="0"/>
              <w:autoSpaceDN w:val="0"/>
              <w:spacing w:before="71" w:line="184" w:lineRule="auto"/>
              <w:ind w:left="70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6119" w:type="dxa"/>
            <w:noWrap w:val="0"/>
            <w:vAlign w:val="top"/>
          </w:tcPr>
          <w:p w14:paraId="42D7CC9E">
            <w:pPr>
              <w:pStyle w:val="23"/>
              <w:autoSpaceDE w:val="0"/>
              <w:autoSpaceDN w:val="0"/>
              <w:spacing w:before="250" w:line="247" w:lineRule="auto"/>
              <w:ind w:left="111" w:right="51" w:firstLine="1"/>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有依法缴纳税收和社会保障资金的良好记录；【</w:t>
            </w:r>
            <w:r>
              <w:rPr>
                <w:rFonts w:hint="eastAsia" w:ascii="宋体" w:hAnsi="宋体" w:eastAsia="宋体" w:cs="宋体"/>
                <w:color w:val="auto"/>
                <w:spacing w:val="9"/>
                <w:sz w:val="24"/>
                <w:szCs w:val="24"/>
                <w:highlight w:val="none"/>
                <w:lang w:eastAsia="zh-CN"/>
              </w:rPr>
              <w:t>提供参加政府采购活动近</w:t>
            </w:r>
            <w:r>
              <w:rPr>
                <w:rFonts w:hint="eastAsia" w:ascii="宋体" w:hAnsi="宋体" w:eastAsia="宋体" w:cs="宋体"/>
                <w:color w:val="auto"/>
                <w:spacing w:val="9"/>
                <w:sz w:val="24"/>
                <w:szCs w:val="24"/>
                <w:highlight w:val="none"/>
                <w:lang w:val="en-US" w:eastAsia="zh-CN"/>
              </w:rPr>
              <w:t>12个月（任意1个月）依法缴纳税收的</w:t>
            </w:r>
            <w:r>
              <w:rPr>
                <w:rFonts w:hint="eastAsia" w:ascii="宋体" w:hAnsi="宋体" w:eastAsia="宋体" w:cs="宋体"/>
                <w:color w:val="auto"/>
                <w:spacing w:val="9"/>
                <w:sz w:val="24"/>
                <w:szCs w:val="24"/>
                <w:highlight w:val="none"/>
                <w:lang w:eastAsia="zh-CN"/>
              </w:rPr>
              <w:t>凭据和参加政府采购活动近</w:t>
            </w:r>
            <w:r>
              <w:rPr>
                <w:rFonts w:hint="eastAsia" w:ascii="宋体" w:hAnsi="宋体" w:eastAsia="宋体" w:cs="宋体"/>
                <w:color w:val="auto"/>
                <w:spacing w:val="9"/>
                <w:sz w:val="24"/>
                <w:szCs w:val="24"/>
                <w:highlight w:val="none"/>
                <w:lang w:val="en-US" w:eastAsia="zh-CN"/>
              </w:rPr>
              <w:t>12个月（任意1个月）</w:t>
            </w:r>
            <w:r>
              <w:rPr>
                <w:rFonts w:hint="eastAsia" w:ascii="宋体" w:hAnsi="宋体" w:eastAsia="宋体" w:cs="宋体"/>
                <w:color w:val="auto"/>
                <w:spacing w:val="9"/>
                <w:sz w:val="24"/>
                <w:szCs w:val="24"/>
                <w:highlight w:val="none"/>
                <w:lang w:eastAsia="zh-CN"/>
              </w:rPr>
              <w:t>缴纳社会保险的凭据(专用收据或社会保险缴纳清单)</w:t>
            </w:r>
            <w:r>
              <w:rPr>
                <w:rFonts w:hint="eastAsia" w:ascii="宋体" w:hAnsi="宋体" w:eastAsia="宋体" w:cs="宋体"/>
                <w:color w:val="auto"/>
                <w:spacing w:val="9"/>
                <w:sz w:val="24"/>
                <w:szCs w:val="24"/>
                <w:highlight w:val="none"/>
                <w:lang w:val="en-US" w:eastAsia="zh-CN"/>
              </w:rPr>
              <w:t xml:space="preserve"> ；依法免税或不需要缴纳社会保障资金的供应商，应提供相应证明文件</w:t>
            </w:r>
            <w:r>
              <w:rPr>
                <w:rFonts w:hint="eastAsia" w:ascii="宋体" w:hAnsi="宋体" w:eastAsia="宋体" w:cs="宋体"/>
                <w:color w:val="auto"/>
                <w:spacing w:val="7"/>
                <w:sz w:val="24"/>
                <w:szCs w:val="24"/>
                <w:highlight w:val="none"/>
              </w:rPr>
              <w:t>】</w:t>
            </w:r>
          </w:p>
        </w:tc>
        <w:tc>
          <w:tcPr>
            <w:tcW w:w="1118" w:type="dxa"/>
            <w:noWrap w:val="0"/>
            <w:vAlign w:val="top"/>
          </w:tcPr>
          <w:p w14:paraId="2B457FA7">
            <w:pPr>
              <w:autoSpaceDE w:val="0"/>
              <w:autoSpaceDN w:val="0"/>
              <w:rPr>
                <w:rFonts w:hint="eastAsia" w:ascii="宋体" w:hAnsi="宋体" w:eastAsia="宋体" w:cs="宋体"/>
                <w:color w:val="auto"/>
                <w:sz w:val="24"/>
                <w:szCs w:val="24"/>
                <w:highlight w:val="none"/>
              </w:rPr>
            </w:pPr>
          </w:p>
        </w:tc>
        <w:tc>
          <w:tcPr>
            <w:tcW w:w="1084" w:type="dxa"/>
            <w:noWrap w:val="0"/>
            <w:vAlign w:val="top"/>
          </w:tcPr>
          <w:p w14:paraId="57C7FE28">
            <w:pPr>
              <w:autoSpaceDE w:val="0"/>
              <w:autoSpaceDN w:val="0"/>
              <w:rPr>
                <w:rFonts w:hint="eastAsia" w:ascii="宋体" w:hAnsi="宋体" w:eastAsia="宋体" w:cs="宋体"/>
                <w:color w:val="auto"/>
                <w:sz w:val="24"/>
                <w:szCs w:val="24"/>
                <w:highlight w:val="none"/>
              </w:rPr>
            </w:pPr>
          </w:p>
        </w:tc>
      </w:tr>
      <w:tr w14:paraId="6F401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1517" w:type="dxa"/>
            <w:noWrap w:val="0"/>
            <w:vAlign w:val="top"/>
          </w:tcPr>
          <w:p w14:paraId="7876B74E">
            <w:pPr>
              <w:autoSpaceDE w:val="0"/>
              <w:autoSpaceDN w:val="0"/>
              <w:spacing w:line="242" w:lineRule="auto"/>
              <w:rPr>
                <w:rFonts w:hint="eastAsia" w:ascii="宋体" w:hAnsi="宋体" w:eastAsia="宋体" w:cs="宋体"/>
                <w:color w:val="auto"/>
                <w:sz w:val="24"/>
                <w:szCs w:val="24"/>
                <w:highlight w:val="none"/>
              </w:rPr>
            </w:pPr>
          </w:p>
          <w:p w14:paraId="47EEDA7B">
            <w:pPr>
              <w:autoSpaceDE w:val="0"/>
              <w:autoSpaceDN w:val="0"/>
              <w:spacing w:line="243" w:lineRule="auto"/>
              <w:rPr>
                <w:rFonts w:hint="eastAsia" w:ascii="宋体" w:hAnsi="宋体" w:eastAsia="宋体" w:cs="宋体"/>
                <w:color w:val="auto"/>
                <w:sz w:val="24"/>
                <w:szCs w:val="24"/>
                <w:highlight w:val="none"/>
              </w:rPr>
            </w:pPr>
          </w:p>
          <w:p w14:paraId="32DEA05F">
            <w:pPr>
              <w:pStyle w:val="23"/>
              <w:autoSpaceDE w:val="0"/>
              <w:autoSpaceDN w:val="0"/>
              <w:spacing w:before="71" w:line="182" w:lineRule="auto"/>
              <w:ind w:left="7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6119" w:type="dxa"/>
            <w:noWrap w:val="0"/>
            <w:vAlign w:val="top"/>
          </w:tcPr>
          <w:p w14:paraId="45B647B4">
            <w:pPr>
              <w:pStyle w:val="23"/>
              <w:autoSpaceDE w:val="0"/>
              <w:autoSpaceDN w:val="0"/>
              <w:spacing w:before="253" w:line="244" w:lineRule="auto"/>
              <w:ind w:left="116" w:right="104" w:firstLine="15"/>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shd w:val="clear" w:color="auto" w:fill="FFFFFF"/>
                <w:lang w:val="en-US" w:eastAsia="zh-CN"/>
              </w:rPr>
              <w:t>参加政府采购活动前三年内在经营活动中没有重大违法记录</w:t>
            </w:r>
            <w:r>
              <w:rPr>
                <w:rFonts w:hint="eastAsia" w:ascii="宋体" w:hAnsi="宋体" w:eastAsia="宋体" w:cs="宋体"/>
                <w:color w:val="auto"/>
                <w:spacing w:val="9"/>
                <w:sz w:val="24"/>
                <w:szCs w:val="24"/>
                <w:highlight w:val="none"/>
              </w:rPr>
              <w:t>【</w:t>
            </w:r>
            <w:r>
              <w:rPr>
                <w:rFonts w:hint="eastAsia" w:ascii="宋体" w:hAnsi="宋体" w:eastAsia="宋体" w:cs="宋体"/>
                <w:color w:val="auto"/>
                <w:kern w:val="2"/>
                <w:sz w:val="24"/>
                <w:szCs w:val="24"/>
                <w:highlight w:val="none"/>
                <w:shd w:val="clear" w:color="auto" w:fill="FFFFFF"/>
                <w:lang w:val="en-US" w:eastAsia="zh-CN"/>
              </w:rPr>
              <w:t>须提供书面声明 (声明不实的，按《政府采购法》及相关法律法规中提供虚假材料的有关规定处理</w:t>
            </w:r>
            <w:r>
              <w:rPr>
                <w:rFonts w:hint="eastAsia" w:ascii="宋体" w:hAnsi="宋体" w:eastAsia="宋体" w:cs="宋体"/>
                <w:color w:val="auto"/>
                <w:spacing w:val="7"/>
                <w:sz w:val="24"/>
                <w:szCs w:val="24"/>
                <w:highlight w:val="none"/>
              </w:rPr>
              <w:t>】</w:t>
            </w:r>
            <w:r>
              <w:rPr>
                <w:rFonts w:hint="eastAsia" w:ascii="宋体" w:hAnsi="宋体" w:eastAsia="宋体" w:cs="宋体"/>
                <w:color w:val="auto"/>
                <w:kern w:val="2"/>
                <w:sz w:val="24"/>
                <w:szCs w:val="24"/>
                <w:highlight w:val="none"/>
                <w:shd w:val="clear" w:color="auto" w:fill="FFFFFF"/>
                <w:lang w:val="en-US" w:eastAsia="zh-CN"/>
              </w:rPr>
              <w:t>。</w:t>
            </w:r>
          </w:p>
        </w:tc>
        <w:tc>
          <w:tcPr>
            <w:tcW w:w="1118" w:type="dxa"/>
            <w:noWrap w:val="0"/>
            <w:vAlign w:val="top"/>
          </w:tcPr>
          <w:p w14:paraId="1FB553A2">
            <w:pPr>
              <w:autoSpaceDE w:val="0"/>
              <w:autoSpaceDN w:val="0"/>
              <w:rPr>
                <w:rFonts w:hint="eastAsia" w:ascii="宋体" w:hAnsi="宋体" w:eastAsia="宋体" w:cs="宋体"/>
                <w:color w:val="auto"/>
                <w:sz w:val="24"/>
                <w:szCs w:val="24"/>
                <w:highlight w:val="none"/>
              </w:rPr>
            </w:pPr>
          </w:p>
        </w:tc>
        <w:tc>
          <w:tcPr>
            <w:tcW w:w="1084" w:type="dxa"/>
            <w:noWrap w:val="0"/>
            <w:vAlign w:val="top"/>
          </w:tcPr>
          <w:p w14:paraId="3DA0C695">
            <w:pPr>
              <w:autoSpaceDE w:val="0"/>
              <w:autoSpaceDN w:val="0"/>
              <w:rPr>
                <w:rFonts w:hint="eastAsia" w:ascii="宋体" w:hAnsi="宋体" w:eastAsia="宋体" w:cs="宋体"/>
                <w:color w:val="auto"/>
                <w:sz w:val="24"/>
                <w:szCs w:val="24"/>
                <w:highlight w:val="none"/>
              </w:rPr>
            </w:pPr>
          </w:p>
        </w:tc>
      </w:tr>
      <w:tr w14:paraId="2D28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1517" w:type="dxa"/>
            <w:noWrap w:val="0"/>
            <w:vAlign w:val="center"/>
          </w:tcPr>
          <w:p w14:paraId="4CAB94B8">
            <w:pPr>
              <w:pStyle w:val="23"/>
              <w:autoSpaceDE w:val="0"/>
              <w:autoSpaceDN w:val="0"/>
              <w:spacing w:before="71" w:line="182" w:lineRule="auto"/>
              <w:ind w:left="713"/>
              <w:jc w:val="both"/>
              <w:rPr>
                <w:rFonts w:hint="eastAsia" w:ascii="宋体" w:hAnsi="宋体" w:eastAsia="宋体" w:cs="宋体"/>
                <w:color w:val="auto"/>
                <w:sz w:val="24"/>
                <w:szCs w:val="24"/>
                <w:highlight w:val="none"/>
                <w:lang w:val="en-US" w:eastAsia="zh-CN"/>
              </w:rPr>
            </w:pPr>
          </w:p>
          <w:p w14:paraId="668EECCC">
            <w:pPr>
              <w:pStyle w:val="23"/>
              <w:autoSpaceDE w:val="0"/>
              <w:autoSpaceDN w:val="0"/>
              <w:spacing w:before="71" w:line="182" w:lineRule="auto"/>
              <w:ind w:left="713"/>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6119" w:type="dxa"/>
            <w:noWrap w:val="0"/>
            <w:vAlign w:val="center"/>
          </w:tcPr>
          <w:p w14:paraId="1BADB3E4">
            <w:pPr>
              <w:pStyle w:val="23"/>
              <w:autoSpaceDE w:val="0"/>
              <w:autoSpaceDN w:val="0"/>
              <w:spacing w:before="253" w:line="244" w:lineRule="auto"/>
              <w:ind w:leftChars="100" w:right="104"/>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供应商应为小微企业的，请根据要求单独上传《中小企业声明函》。格式以采购文件要求为准。</w:t>
            </w:r>
          </w:p>
        </w:tc>
        <w:tc>
          <w:tcPr>
            <w:tcW w:w="1118" w:type="dxa"/>
            <w:noWrap w:val="0"/>
            <w:vAlign w:val="top"/>
          </w:tcPr>
          <w:p w14:paraId="64C95A1A">
            <w:pPr>
              <w:autoSpaceDE w:val="0"/>
              <w:autoSpaceDN w:val="0"/>
              <w:rPr>
                <w:rFonts w:hint="eastAsia" w:ascii="宋体" w:hAnsi="宋体" w:eastAsia="宋体" w:cs="宋体"/>
                <w:color w:val="auto"/>
                <w:sz w:val="24"/>
                <w:szCs w:val="24"/>
                <w:highlight w:val="none"/>
              </w:rPr>
            </w:pPr>
          </w:p>
        </w:tc>
        <w:tc>
          <w:tcPr>
            <w:tcW w:w="1084" w:type="dxa"/>
            <w:noWrap w:val="0"/>
            <w:vAlign w:val="top"/>
          </w:tcPr>
          <w:p w14:paraId="35F7614E">
            <w:pPr>
              <w:autoSpaceDE w:val="0"/>
              <w:autoSpaceDN w:val="0"/>
              <w:rPr>
                <w:rFonts w:hint="eastAsia" w:ascii="宋体" w:hAnsi="宋体" w:eastAsia="宋体" w:cs="宋体"/>
                <w:color w:val="auto"/>
                <w:sz w:val="24"/>
                <w:szCs w:val="24"/>
                <w:highlight w:val="none"/>
              </w:rPr>
            </w:pPr>
          </w:p>
        </w:tc>
      </w:tr>
      <w:tr w14:paraId="2A061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636" w:type="dxa"/>
            <w:gridSpan w:val="2"/>
            <w:noWrap w:val="0"/>
            <w:vAlign w:val="top"/>
          </w:tcPr>
          <w:p w14:paraId="0061F476">
            <w:pPr>
              <w:pStyle w:val="23"/>
              <w:autoSpaceDE w:val="0"/>
              <w:autoSpaceDN w:val="0"/>
              <w:spacing w:before="110" w:line="229" w:lineRule="auto"/>
              <w:ind w:left="226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审查结果</w:t>
            </w:r>
            <w:r>
              <w:rPr>
                <w:rFonts w:hint="eastAsia" w:ascii="宋体" w:hAnsi="宋体" w:eastAsia="宋体" w:cs="宋体"/>
                <w:color w:val="auto"/>
                <w:spacing w:val="58"/>
                <w:sz w:val="24"/>
                <w:szCs w:val="24"/>
                <w:highlight w:val="none"/>
              </w:rPr>
              <w:t xml:space="preserve"> </w:t>
            </w:r>
            <w:r>
              <w:rPr>
                <w:rFonts w:hint="eastAsia" w:ascii="宋体" w:hAnsi="宋体" w:eastAsia="宋体" w:cs="宋体"/>
                <w:color w:val="auto"/>
                <w:spacing w:val="3"/>
                <w:sz w:val="24"/>
                <w:szCs w:val="24"/>
                <w:highlight w:val="none"/>
              </w:rPr>
              <w:t>(通过/不通过)</w:t>
            </w:r>
          </w:p>
        </w:tc>
        <w:tc>
          <w:tcPr>
            <w:tcW w:w="1118" w:type="dxa"/>
            <w:noWrap w:val="0"/>
            <w:vAlign w:val="top"/>
          </w:tcPr>
          <w:p w14:paraId="2B3635BF">
            <w:pPr>
              <w:autoSpaceDE w:val="0"/>
              <w:autoSpaceDN w:val="0"/>
              <w:rPr>
                <w:rFonts w:hint="eastAsia" w:ascii="宋体" w:hAnsi="宋体" w:eastAsia="宋体" w:cs="宋体"/>
                <w:color w:val="auto"/>
                <w:sz w:val="24"/>
                <w:szCs w:val="24"/>
                <w:highlight w:val="none"/>
              </w:rPr>
            </w:pPr>
          </w:p>
        </w:tc>
        <w:tc>
          <w:tcPr>
            <w:tcW w:w="1084" w:type="dxa"/>
            <w:noWrap w:val="0"/>
            <w:vAlign w:val="top"/>
          </w:tcPr>
          <w:p w14:paraId="06D1FA53">
            <w:pPr>
              <w:autoSpaceDE w:val="0"/>
              <w:autoSpaceDN w:val="0"/>
              <w:rPr>
                <w:rFonts w:hint="eastAsia" w:ascii="宋体" w:hAnsi="宋体" w:eastAsia="宋体" w:cs="宋体"/>
                <w:color w:val="auto"/>
                <w:sz w:val="24"/>
                <w:szCs w:val="24"/>
                <w:highlight w:val="none"/>
              </w:rPr>
            </w:pPr>
          </w:p>
        </w:tc>
      </w:tr>
      <w:tr w14:paraId="69FF7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9838" w:type="dxa"/>
            <w:gridSpan w:val="4"/>
            <w:noWrap w:val="0"/>
            <w:vAlign w:val="top"/>
          </w:tcPr>
          <w:p w14:paraId="71D4B52D">
            <w:pPr>
              <w:pStyle w:val="23"/>
              <w:autoSpaceDE w:val="0"/>
              <w:autoSpaceDN w:val="0"/>
              <w:spacing w:before="35"/>
              <w:ind w:left="119" w:right="108" w:hanging="2"/>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备注：如果响应文件中有一项未通过上述审查标准，</w:t>
            </w:r>
            <w:r>
              <w:rPr>
                <w:rFonts w:hint="eastAsia" w:ascii="宋体" w:hAnsi="宋体" w:eastAsia="宋体" w:cs="宋体"/>
                <w:color w:val="auto"/>
                <w:spacing w:val="9"/>
                <w:sz w:val="24"/>
                <w:szCs w:val="24"/>
                <w:highlight w:val="none"/>
                <w:lang w:val="en-US" w:eastAsia="zh-CN"/>
              </w:rPr>
              <w:t>谈判</w:t>
            </w:r>
            <w:r>
              <w:rPr>
                <w:rFonts w:hint="eastAsia" w:ascii="宋体" w:hAnsi="宋体" w:eastAsia="宋体" w:cs="宋体"/>
                <w:color w:val="auto"/>
                <w:spacing w:val="9"/>
                <w:sz w:val="24"/>
                <w:szCs w:val="24"/>
                <w:highlight w:val="none"/>
              </w:rPr>
              <w:t>小组将认定整个响应文件不</w:t>
            </w:r>
            <w:r>
              <w:rPr>
                <w:rFonts w:hint="eastAsia" w:ascii="宋体" w:hAnsi="宋体" w:eastAsia="宋体" w:cs="宋体"/>
                <w:color w:val="auto"/>
                <w:spacing w:val="8"/>
                <w:sz w:val="24"/>
                <w:szCs w:val="24"/>
                <w:highlight w:val="none"/>
              </w:rPr>
              <w:t>响应招标件而予以无</w:t>
            </w:r>
            <w:r>
              <w:rPr>
                <w:rFonts w:hint="eastAsia" w:ascii="宋体" w:hAnsi="宋体" w:eastAsia="宋体" w:cs="宋体"/>
                <w:color w:val="auto"/>
                <w:spacing w:val="9"/>
                <w:sz w:val="24"/>
                <w:szCs w:val="24"/>
                <w:highlight w:val="none"/>
              </w:rPr>
              <w:t>效处理，并且不允许供应商通过修改或撤销其不符合要求的差异或保留，使之成为具有响应性的投标。</w:t>
            </w:r>
          </w:p>
        </w:tc>
      </w:tr>
    </w:tbl>
    <w:p w14:paraId="3379C7E5">
      <w:pPr>
        <w:pStyle w:val="31"/>
        <w:pageBreakBefore w:val="0"/>
        <w:numPr>
          <w:ilvl w:val="0"/>
          <w:numId w:val="0"/>
        </w:numPr>
        <w:kinsoku/>
        <w:overflowPunct/>
        <w:bidi w:val="0"/>
        <w:spacing w:line="400" w:lineRule="exact"/>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附表2</w:t>
      </w:r>
    </w:p>
    <w:p w14:paraId="2AEBD4B4">
      <w:pPr>
        <w:pStyle w:val="31"/>
        <w:pageBreakBefore w:val="0"/>
        <w:numPr>
          <w:ilvl w:val="0"/>
          <w:numId w:val="0"/>
        </w:numPr>
        <w:kinsoku/>
        <w:overflowPunct/>
        <w:bidi w:val="0"/>
        <w:spacing w:line="400" w:lineRule="exact"/>
        <w:ind w:firstLine="560" w:firstLineChars="200"/>
        <w:jc w:val="center"/>
        <w:outlineLvl w:val="0"/>
        <w:rPr>
          <w:rFonts w:hint="eastAsia" w:ascii="宋体" w:hAnsi="宋体" w:eastAsia="宋体" w:cs="宋体"/>
          <w:b w:val="0"/>
          <w:color w:val="auto"/>
          <w:kern w:val="2"/>
          <w:sz w:val="28"/>
          <w:szCs w:val="28"/>
          <w:highlight w:val="none"/>
          <w:lang w:val="en-US" w:eastAsia="zh-CN" w:bidi="ar-SA"/>
        </w:rPr>
      </w:pPr>
      <w:bookmarkStart w:id="941" w:name="_Toc30334"/>
      <w:r>
        <w:rPr>
          <w:rFonts w:hint="eastAsia" w:ascii="宋体" w:hAnsi="宋体" w:eastAsia="宋体" w:cs="宋体"/>
          <w:b w:val="0"/>
          <w:color w:val="auto"/>
          <w:kern w:val="2"/>
          <w:sz w:val="28"/>
          <w:szCs w:val="28"/>
          <w:highlight w:val="none"/>
          <w:lang w:val="en-US" w:eastAsia="zh-CN" w:bidi="ar-SA"/>
        </w:rPr>
        <w:t>符合性评审表</w:t>
      </w:r>
      <w:bookmarkEnd w:id="941"/>
    </w:p>
    <w:tbl>
      <w:tblPr>
        <w:tblStyle w:val="17"/>
        <w:tblpPr w:leftFromText="180" w:rightFromText="180" w:vertAnchor="text" w:horzAnchor="page" w:tblpXSpec="center" w:tblpY="16"/>
        <w:tblOverlap w:val="never"/>
        <w:tblW w:w="0" w:type="auto"/>
        <w:jc w:val="center"/>
        <w:tblLayout w:type="autofit"/>
        <w:tblCellMar>
          <w:top w:w="15" w:type="dxa"/>
          <w:left w:w="15" w:type="dxa"/>
          <w:bottom w:w="15" w:type="dxa"/>
          <w:right w:w="15" w:type="dxa"/>
        </w:tblCellMar>
      </w:tblPr>
      <w:tblGrid>
        <w:gridCol w:w="497"/>
        <w:gridCol w:w="5300"/>
        <w:gridCol w:w="3606"/>
      </w:tblGrid>
      <w:tr w14:paraId="1DAFC4D6">
        <w:tblPrEx>
          <w:tblCellMar>
            <w:top w:w="15" w:type="dxa"/>
            <w:left w:w="15" w:type="dxa"/>
            <w:bottom w:w="15" w:type="dxa"/>
            <w:right w:w="15" w:type="dxa"/>
          </w:tblCellMar>
        </w:tblPrEx>
        <w:trPr>
          <w:trHeight w:val="1136"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23CB8C92">
            <w:pPr>
              <w:pStyle w:val="31"/>
              <w:pageBreakBefore w:val="0"/>
              <w:numPr>
                <w:ilvl w:val="0"/>
                <w:numId w:val="0"/>
              </w:numPr>
              <w:kinsoku/>
              <w:overflowPunct/>
              <w:bidi w:val="0"/>
              <w:spacing w:line="400" w:lineRule="exact"/>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序号</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0D16853C">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评审内容</w:t>
            </w:r>
          </w:p>
        </w:tc>
        <w:tc>
          <w:tcPr>
            <w:tcW w:w="3606" w:type="dxa"/>
            <w:tcBorders>
              <w:top w:val="single" w:color="auto" w:sz="4" w:space="0"/>
              <w:left w:val="single" w:color="auto" w:sz="4" w:space="0"/>
              <w:bottom w:val="single" w:color="auto" w:sz="4" w:space="0"/>
              <w:right w:val="single" w:color="auto" w:sz="4" w:space="0"/>
            </w:tcBorders>
            <w:noWrap w:val="0"/>
            <w:vAlign w:val="center"/>
          </w:tcPr>
          <w:p w14:paraId="4C832FDD">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是否通过评审（注：通过的打“√”，未通过的打“×”）</w:t>
            </w:r>
          </w:p>
        </w:tc>
      </w:tr>
      <w:tr w14:paraId="1C01B755">
        <w:tblPrEx>
          <w:tblCellMar>
            <w:top w:w="15" w:type="dxa"/>
            <w:left w:w="15" w:type="dxa"/>
            <w:bottom w:w="15" w:type="dxa"/>
            <w:right w:w="15" w:type="dxa"/>
          </w:tblCellMar>
        </w:tblPrEx>
        <w:trPr>
          <w:trHeight w:val="637"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7B51DACF">
            <w:pPr>
              <w:pStyle w:val="31"/>
              <w:pageBreakBefore w:val="0"/>
              <w:numPr>
                <w:ilvl w:val="0"/>
                <w:numId w:val="0"/>
              </w:numPr>
              <w:kinsoku/>
              <w:overflowPunct/>
              <w:bidi w:val="0"/>
              <w:spacing w:line="400" w:lineRule="exact"/>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51B7C801">
            <w:pPr>
              <w:pStyle w:val="31"/>
              <w:pageBreakBefore w:val="0"/>
              <w:numPr>
                <w:ilvl w:val="2"/>
                <w:numId w:val="0"/>
              </w:numPr>
              <w:kinsoku/>
              <w:overflowPunct/>
              <w:bidi w:val="0"/>
              <w:spacing w:line="400" w:lineRule="exact"/>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供应商名称是否与营业执照、资质证书一致</w:t>
            </w:r>
          </w:p>
        </w:tc>
        <w:tc>
          <w:tcPr>
            <w:tcW w:w="3606" w:type="dxa"/>
            <w:tcBorders>
              <w:top w:val="single" w:color="auto" w:sz="4" w:space="0"/>
              <w:left w:val="single" w:color="auto" w:sz="4" w:space="0"/>
              <w:bottom w:val="single" w:color="auto" w:sz="4" w:space="0"/>
              <w:right w:val="single" w:color="auto" w:sz="4" w:space="0"/>
            </w:tcBorders>
            <w:noWrap w:val="0"/>
            <w:vAlign w:val="center"/>
          </w:tcPr>
          <w:p w14:paraId="0828A0EB">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p>
        </w:tc>
      </w:tr>
      <w:tr w14:paraId="7647EE66">
        <w:tblPrEx>
          <w:tblCellMar>
            <w:top w:w="15" w:type="dxa"/>
            <w:left w:w="15" w:type="dxa"/>
            <w:bottom w:w="15" w:type="dxa"/>
            <w:right w:w="15" w:type="dxa"/>
          </w:tblCellMar>
        </w:tblPrEx>
        <w:trPr>
          <w:trHeight w:val="546"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5F47BB68">
            <w:pPr>
              <w:pStyle w:val="31"/>
              <w:pageBreakBefore w:val="0"/>
              <w:numPr>
                <w:ilvl w:val="0"/>
                <w:numId w:val="0"/>
              </w:numPr>
              <w:kinsoku/>
              <w:overflowPunct/>
              <w:bidi w:val="0"/>
              <w:spacing w:line="400" w:lineRule="exact"/>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02974236">
            <w:pPr>
              <w:pStyle w:val="31"/>
              <w:pageBreakBefore w:val="0"/>
              <w:numPr>
                <w:ilvl w:val="2"/>
                <w:numId w:val="0"/>
              </w:numPr>
              <w:kinsoku/>
              <w:overflowPunct/>
              <w:bidi w:val="0"/>
              <w:spacing w:line="400" w:lineRule="exact"/>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响应文件是否按谈判文件要求签署、盖章</w:t>
            </w:r>
          </w:p>
        </w:tc>
        <w:tc>
          <w:tcPr>
            <w:tcW w:w="3606" w:type="dxa"/>
            <w:tcBorders>
              <w:top w:val="single" w:color="auto" w:sz="4" w:space="0"/>
              <w:left w:val="single" w:color="auto" w:sz="4" w:space="0"/>
              <w:bottom w:val="single" w:color="auto" w:sz="4" w:space="0"/>
              <w:right w:val="single" w:color="auto" w:sz="4" w:space="0"/>
            </w:tcBorders>
            <w:noWrap w:val="0"/>
            <w:vAlign w:val="center"/>
          </w:tcPr>
          <w:p w14:paraId="42BD774F">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p>
        </w:tc>
      </w:tr>
      <w:tr w14:paraId="0A5D6EE8">
        <w:tblPrEx>
          <w:tblCellMar>
            <w:top w:w="15" w:type="dxa"/>
            <w:left w:w="15" w:type="dxa"/>
            <w:bottom w:w="15" w:type="dxa"/>
            <w:right w:w="15" w:type="dxa"/>
          </w:tblCellMar>
        </w:tblPrEx>
        <w:trPr>
          <w:trHeight w:val="535"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30A8C40B">
            <w:pPr>
              <w:pStyle w:val="31"/>
              <w:pageBreakBefore w:val="0"/>
              <w:numPr>
                <w:ilvl w:val="0"/>
                <w:numId w:val="0"/>
              </w:numPr>
              <w:kinsoku/>
              <w:overflowPunct/>
              <w:bidi w:val="0"/>
              <w:spacing w:line="400" w:lineRule="exact"/>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19F2F464">
            <w:pPr>
              <w:pStyle w:val="31"/>
              <w:pageBreakBefore w:val="0"/>
              <w:numPr>
                <w:ilvl w:val="2"/>
                <w:numId w:val="0"/>
              </w:numPr>
              <w:kinsoku/>
              <w:overflowPunct/>
              <w:bidi w:val="0"/>
              <w:spacing w:line="400" w:lineRule="exact"/>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响应文件未按谈判文件要求的格式填写、内容不全的</w:t>
            </w:r>
          </w:p>
        </w:tc>
        <w:tc>
          <w:tcPr>
            <w:tcW w:w="3606" w:type="dxa"/>
            <w:tcBorders>
              <w:top w:val="single" w:color="auto" w:sz="4" w:space="0"/>
              <w:left w:val="single" w:color="auto" w:sz="4" w:space="0"/>
              <w:bottom w:val="single" w:color="auto" w:sz="4" w:space="0"/>
              <w:right w:val="single" w:color="auto" w:sz="4" w:space="0"/>
            </w:tcBorders>
            <w:noWrap w:val="0"/>
            <w:vAlign w:val="center"/>
          </w:tcPr>
          <w:p w14:paraId="3C1ABA0C">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p>
        </w:tc>
      </w:tr>
      <w:tr w14:paraId="197B5E5C">
        <w:tblPrEx>
          <w:tblCellMar>
            <w:top w:w="15" w:type="dxa"/>
            <w:left w:w="15" w:type="dxa"/>
            <w:bottom w:w="15" w:type="dxa"/>
            <w:right w:w="15" w:type="dxa"/>
          </w:tblCellMar>
        </w:tblPrEx>
        <w:trPr>
          <w:trHeight w:val="550"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3C0B3502">
            <w:pPr>
              <w:pStyle w:val="31"/>
              <w:pageBreakBefore w:val="0"/>
              <w:numPr>
                <w:ilvl w:val="0"/>
                <w:numId w:val="0"/>
              </w:numPr>
              <w:kinsoku/>
              <w:overflowPunct/>
              <w:bidi w:val="0"/>
              <w:spacing w:line="400" w:lineRule="exact"/>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17708408">
            <w:pPr>
              <w:pStyle w:val="31"/>
              <w:pageBreakBefore w:val="0"/>
              <w:numPr>
                <w:ilvl w:val="2"/>
                <w:numId w:val="0"/>
              </w:numPr>
              <w:kinsoku/>
              <w:overflowPunct/>
              <w:bidi w:val="0"/>
              <w:spacing w:line="400" w:lineRule="exact"/>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响应文件是否改变谈判文件提供的工程量</w:t>
            </w:r>
          </w:p>
        </w:tc>
        <w:tc>
          <w:tcPr>
            <w:tcW w:w="3606" w:type="dxa"/>
            <w:tcBorders>
              <w:top w:val="single" w:color="auto" w:sz="4" w:space="0"/>
              <w:left w:val="single" w:color="auto" w:sz="4" w:space="0"/>
              <w:bottom w:val="single" w:color="auto" w:sz="4" w:space="0"/>
              <w:right w:val="single" w:color="auto" w:sz="4" w:space="0"/>
            </w:tcBorders>
            <w:noWrap w:val="0"/>
            <w:vAlign w:val="center"/>
          </w:tcPr>
          <w:p w14:paraId="5EC64E58">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p>
        </w:tc>
      </w:tr>
      <w:tr w14:paraId="3C0995AE">
        <w:tblPrEx>
          <w:tblCellMar>
            <w:top w:w="15" w:type="dxa"/>
            <w:left w:w="15" w:type="dxa"/>
            <w:bottom w:w="15" w:type="dxa"/>
            <w:right w:w="15" w:type="dxa"/>
          </w:tblCellMar>
        </w:tblPrEx>
        <w:trPr>
          <w:trHeight w:val="772"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2828789F">
            <w:pPr>
              <w:pStyle w:val="31"/>
              <w:pageBreakBefore w:val="0"/>
              <w:numPr>
                <w:ilvl w:val="0"/>
                <w:numId w:val="0"/>
              </w:numPr>
              <w:kinsoku/>
              <w:overflowPunct/>
              <w:bidi w:val="0"/>
              <w:spacing w:line="400" w:lineRule="exact"/>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44CCC5BA">
            <w:pPr>
              <w:pStyle w:val="31"/>
              <w:pageBreakBefore w:val="0"/>
              <w:numPr>
                <w:ilvl w:val="2"/>
                <w:numId w:val="0"/>
              </w:numPr>
              <w:kinsoku/>
              <w:overflowPunct/>
              <w:bidi w:val="0"/>
              <w:spacing w:line="400" w:lineRule="exact"/>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投标报价是否高于最高限价，且只有一个有效报价，不得提交选择性报价</w:t>
            </w:r>
          </w:p>
        </w:tc>
        <w:tc>
          <w:tcPr>
            <w:tcW w:w="3606" w:type="dxa"/>
            <w:tcBorders>
              <w:top w:val="single" w:color="auto" w:sz="4" w:space="0"/>
              <w:left w:val="single" w:color="auto" w:sz="4" w:space="0"/>
              <w:bottom w:val="single" w:color="auto" w:sz="4" w:space="0"/>
              <w:right w:val="single" w:color="auto" w:sz="4" w:space="0"/>
            </w:tcBorders>
            <w:noWrap w:val="0"/>
            <w:vAlign w:val="center"/>
          </w:tcPr>
          <w:p w14:paraId="2A73C0D8">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p>
        </w:tc>
      </w:tr>
      <w:tr w14:paraId="27181BF0">
        <w:tblPrEx>
          <w:tblCellMar>
            <w:top w:w="15" w:type="dxa"/>
            <w:left w:w="15" w:type="dxa"/>
            <w:bottom w:w="15" w:type="dxa"/>
            <w:right w:w="15" w:type="dxa"/>
          </w:tblCellMar>
        </w:tblPrEx>
        <w:trPr>
          <w:trHeight w:val="565"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54DBFCDD">
            <w:pPr>
              <w:pStyle w:val="31"/>
              <w:pageBreakBefore w:val="0"/>
              <w:numPr>
                <w:ilvl w:val="0"/>
                <w:numId w:val="0"/>
              </w:numPr>
              <w:kinsoku/>
              <w:overflowPunct/>
              <w:bidi w:val="0"/>
              <w:spacing w:line="400" w:lineRule="exact"/>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6</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390B0A3B">
            <w:pPr>
              <w:pStyle w:val="31"/>
              <w:pageBreakBefore w:val="0"/>
              <w:numPr>
                <w:ilvl w:val="2"/>
                <w:numId w:val="0"/>
              </w:numPr>
              <w:kinsoku/>
              <w:overflowPunct/>
              <w:bidi w:val="0"/>
              <w:spacing w:line="400" w:lineRule="exact"/>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响应文件中的工期是否符合谈判文件要求</w:t>
            </w:r>
          </w:p>
        </w:tc>
        <w:tc>
          <w:tcPr>
            <w:tcW w:w="3606" w:type="dxa"/>
            <w:tcBorders>
              <w:top w:val="single" w:color="auto" w:sz="4" w:space="0"/>
              <w:left w:val="single" w:color="auto" w:sz="4" w:space="0"/>
              <w:bottom w:val="single" w:color="auto" w:sz="4" w:space="0"/>
              <w:right w:val="single" w:color="auto" w:sz="4" w:space="0"/>
            </w:tcBorders>
            <w:noWrap w:val="0"/>
            <w:vAlign w:val="center"/>
          </w:tcPr>
          <w:p w14:paraId="0867ED2E">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p>
          <w:p w14:paraId="2995A83A">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p>
        </w:tc>
      </w:tr>
      <w:tr w14:paraId="7EB3F08B">
        <w:tblPrEx>
          <w:tblCellMar>
            <w:top w:w="15" w:type="dxa"/>
            <w:left w:w="15" w:type="dxa"/>
            <w:bottom w:w="15" w:type="dxa"/>
            <w:right w:w="15" w:type="dxa"/>
          </w:tblCellMar>
        </w:tblPrEx>
        <w:trPr>
          <w:trHeight w:val="565"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340E7046">
            <w:pPr>
              <w:pStyle w:val="31"/>
              <w:pageBreakBefore w:val="0"/>
              <w:numPr>
                <w:ilvl w:val="0"/>
                <w:numId w:val="0"/>
              </w:numPr>
              <w:kinsoku/>
              <w:overflowPunct/>
              <w:bidi w:val="0"/>
              <w:spacing w:line="400" w:lineRule="exact"/>
              <w:jc w:val="center"/>
              <w:rPr>
                <w:rFonts w:hint="default"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7</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7DE8032E">
            <w:pPr>
              <w:pStyle w:val="31"/>
              <w:pageBreakBefore w:val="0"/>
              <w:numPr>
                <w:ilvl w:val="2"/>
                <w:numId w:val="0"/>
              </w:numPr>
              <w:kinsoku/>
              <w:overflowPunct/>
              <w:bidi w:val="0"/>
              <w:spacing w:line="400" w:lineRule="exact"/>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是否有实质上不响应谈判文件要求的</w:t>
            </w:r>
          </w:p>
        </w:tc>
        <w:tc>
          <w:tcPr>
            <w:tcW w:w="3606" w:type="dxa"/>
            <w:tcBorders>
              <w:top w:val="single" w:color="auto" w:sz="4" w:space="0"/>
              <w:left w:val="single" w:color="auto" w:sz="4" w:space="0"/>
              <w:bottom w:val="single" w:color="auto" w:sz="4" w:space="0"/>
              <w:right w:val="single" w:color="auto" w:sz="4" w:space="0"/>
            </w:tcBorders>
            <w:noWrap w:val="0"/>
            <w:vAlign w:val="center"/>
          </w:tcPr>
          <w:p w14:paraId="465690DA">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p>
        </w:tc>
      </w:tr>
      <w:tr w14:paraId="5CAAE5C7">
        <w:tblPrEx>
          <w:tblCellMar>
            <w:top w:w="15" w:type="dxa"/>
            <w:left w:w="15" w:type="dxa"/>
            <w:bottom w:w="15" w:type="dxa"/>
            <w:right w:w="15" w:type="dxa"/>
          </w:tblCellMar>
        </w:tblPrEx>
        <w:trPr>
          <w:trHeight w:val="565" w:hRule="atLeast"/>
          <w:jc w:val="center"/>
        </w:trPr>
        <w:tc>
          <w:tcPr>
            <w:tcW w:w="497" w:type="dxa"/>
            <w:tcBorders>
              <w:top w:val="single" w:color="auto" w:sz="4" w:space="0"/>
              <w:left w:val="single" w:color="auto" w:sz="4" w:space="0"/>
              <w:bottom w:val="single" w:color="auto" w:sz="4" w:space="0"/>
              <w:right w:val="single" w:color="auto" w:sz="4" w:space="0"/>
            </w:tcBorders>
            <w:noWrap w:val="0"/>
            <w:vAlign w:val="center"/>
          </w:tcPr>
          <w:p w14:paraId="45649188">
            <w:pPr>
              <w:pStyle w:val="31"/>
              <w:pageBreakBefore w:val="0"/>
              <w:numPr>
                <w:ilvl w:val="0"/>
                <w:numId w:val="0"/>
              </w:numPr>
              <w:kinsoku/>
              <w:overflowPunct/>
              <w:bidi w:val="0"/>
              <w:spacing w:line="400" w:lineRule="exact"/>
              <w:jc w:val="center"/>
              <w:rPr>
                <w:rFonts w:hint="default"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8</w:t>
            </w:r>
          </w:p>
        </w:tc>
        <w:tc>
          <w:tcPr>
            <w:tcW w:w="5300" w:type="dxa"/>
            <w:tcBorders>
              <w:top w:val="single" w:color="auto" w:sz="4" w:space="0"/>
              <w:left w:val="single" w:color="auto" w:sz="4" w:space="0"/>
              <w:bottom w:val="single" w:color="auto" w:sz="4" w:space="0"/>
              <w:right w:val="single" w:color="auto" w:sz="4" w:space="0"/>
            </w:tcBorders>
            <w:noWrap w:val="0"/>
            <w:vAlign w:val="center"/>
          </w:tcPr>
          <w:p w14:paraId="55BB1751">
            <w:pPr>
              <w:pStyle w:val="31"/>
              <w:pageBreakBefore w:val="0"/>
              <w:numPr>
                <w:ilvl w:val="2"/>
                <w:numId w:val="0"/>
              </w:numPr>
              <w:kinsoku/>
              <w:overflowPunct/>
              <w:bidi w:val="0"/>
              <w:spacing w:line="400" w:lineRule="exact"/>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响应文件是否存在法律、法规和谈判文件中规定的其他无效情形</w:t>
            </w:r>
          </w:p>
        </w:tc>
        <w:tc>
          <w:tcPr>
            <w:tcW w:w="3606" w:type="dxa"/>
            <w:tcBorders>
              <w:top w:val="single" w:color="auto" w:sz="4" w:space="0"/>
              <w:left w:val="single" w:color="auto" w:sz="4" w:space="0"/>
              <w:bottom w:val="single" w:color="auto" w:sz="4" w:space="0"/>
              <w:right w:val="single" w:color="auto" w:sz="4" w:space="0"/>
            </w:tcBorders>
            <w:noWrap w:val="0"/>
            <w:vAlign w:val="center"/>
          </w:tcPr>
          <w:p w14:paraId="58BE8404">
            <w:pPr>
              <w:pStyle w:val="31"/>
              <w:pageBreakBefore w:val="0"/>
              <w:numPr>
                <w:ilvl w:val="0"/>
                <w:numId w:val="0"/>
              </w:numPr>
              <w:kinsoku/>
              <w:overflowPunct/>
              <w:bidi w:val="0"/>
              <w:spacing w:line="400" w:lineRule="exact"/>
              <w:ind w:firstLine="480" w:firstLineChars="200"/>
              <w:jc w:val="center"/>
              <w:rPr>
                <w:rFonts w:hint="eastAsia" w:ascii="宋体" w:hAnsi="宋体" w:eastAsia="宋体" w:cs="宋体"/>
                <w:b w:val="0"/>
                <w:color w:val="auto"/>
                <w:kern w:val="2"/>
                <w:sz w:val="24"/>
                <w:szCs w:val="24"/>
                <w:highlight w:val="none"/>
                <w:lang w:val="en-US" w:eastAsia="zh-CN" w:bidi="ar-SA"/>
              </w:rPr>
            </w:pPr>
          </w:p>
        </w:tc>
      </w:tr>
      <w:tr w14:paraId="587FAD46">
        <w:tblPrEx>
          <w:tblCellMar>
            <w:top w:w="15" w:type="dxa"/>
            <w:left w:w="15" w:type="dxa"/>
            <w:bottom w:w="15" w:type="dxa"/>
            <w:right w:w="15" w:type="dxa"/>
          </w:tblCellMar>
        </w:tblPrEx>
        <w:trPr>
          <w:trHeight w:val="533" w:hRule="atLeast"/>
          <w:jc w:val="center"/>
        </w:trPr>
        <w:tc>
          <w:tcPr>
            <w:tcW w:w="9403" w:type="dxa"/>
            <w:gridSpan w:val="3"/>
            <w:tcBorders>
              <w:top w:val="single" w:color="auto" w:sz="4" w:space="0"/>
              <w:left w:val="single" w:color="auto" w:sz="4" w:space="0"/>
              <w:bottom w:val="single" w:color="auto" w:sz="4" w:space="0"/>
              <w:right w:val="single" w:color="auto" w:sz="4" w:space="0"/>
            </w:tcBorders>
            <w:noWrap w:val="0"/>
            <w:vAlign w:val="center"/>
          </w:tcPr>
          <w:p w14:paraId="42959ACB">
            <w:pPr>
              <w:pStyle w:val="31"/>
              <w:pageBreakBefore w:val="0"/>
              <w:numPr>
                <w:ilvl w:val="0"/>
                <w:numId w:val="0"/>
              </w:numPr>
              <w:kinsoku/>
              <w:overflowPunct/>
              <w:bidi w:val="0"/>
              <w:spacing w:line="400" w:lineRule="exact"/>
              <w:ind w:firstLine="240" w:firstLineChars="1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注：未通过符合性评审的报价人将拒绝进行下一阶段谈判环节！</w:t>
            </w:r>
          </w:p>
        </w:tc>
      </w:tr>
    </w:tbl>
    <w:p w14:paraId="2476605C">
      <w:pPr>
        <w:pStyle w:val="31"/>
        <w:pageBreakBefore w:val="0"/>
        <w:numPr>
          <w:ilvl w:val="0"/>
          <w:numId w:val="0"/>
        </w:numPr>
        <w:kinsoku/>
        <w:overflowPunct/>
        <w:bidi w:val="0"/>
        <w:spacing w:line="400" w:lineRule="exact"/>
        <w:rPr>
          <w:rFonts w:hint="eastAsia" w:ascii="宋体" w:hAnsi="宋体" w:eastAsia="宋体" w:cs="宋体"/>
          <w:b w:val="0"/>
          <w:color w:val="auto"/>
          <w:kern w:val="2"/>
          <w:sz w:val="24"/>
          <w:szCs w:val="24"/>
          <w:highlight w:val="none"/>
          <w:lang w:val="en-US" w:eastAsia="zh-CN" w:bidi="ar-SA"/>
        </w:rPr>
      </w:pPr>
    </w:p>
    <w:p w14:paraId="19C77482">
      <w:pPr>
        <w:pStyle w:val="6"/>
        <w:spacing w:before="78" w:line="219" w:lineRule="auto"/>
        <w:rPr>
          <w:b/>
          <w:bCs/>
          <w:spacing w:val="-4"/>
          <w:sz w:val="24"/>
          <w:szCs w:val="24"/>
        </w:rPr>
      </w:pPr>
    </w:p>
    <w:p w14:paraId="42C93E93">
      <w:pPr>
        <w:pStyle w:val="6"/>
        <w:spacing w:before="78" w:line="219" w:lineRule="auto"/>
        <w:rPr>
          <w:b/>
          <w:bCs/>
          <w:spacing w:val="-4"/>
          <w:sz w:val="24"/>
          <w:szCs w:val="24"/>
        </w:rPr>
      </w:pPr>
    </w:p>
    <w:p w14:paraId="24B4EB87">
      <w:pPr>
        <w:pStyle w:val="6"/>
        <w:spacing w:before="78" w:line="219" w:lineRule="auto"/>
        <w:rPr>
          <w:b/>
          <w:bCs/>
          <w:spacing w:val="-4"/>
          <w:sz w:val="24"/>
          <w:szCs w:val="24"/>
        </w:rPr>
      </w:pPr>
    </w:p>
    <w:p w14:paraId="46E1568A">
      <w:pPr>
        <w:pStyle w:val="6"/>
        <w:spacing w:before="78" w:line="219" w:lineRule="auto"/>
        <w:rPr>
          <w:b/>
          <w:bCs/>
          <w:spacing w:val="-4"/>
          <w:sz w:val="24"/>
          <w:szCs w:val="24"/>
        </w:rPr>
      </w:pPr>
    </w:p>
    <w:p w14:paraId="0DDBB192">
      <w:pPr>
        <w:pStyle w:val="6"/>
        <w:spacing w:before="78" w:line="219" w:lineRule="auto"/>
        <w:rPr>
          <w:b/>
          <w:bCs/>
          <w:spacing w:val="-4"/>
          <w:sz w:val="24"/>
          <w:szCs w:val="24"/>
        </w:rPr>
      </w:pPr>
    </w:p>
    <w:p w14:paraId="4A101030">
      <w:pPr>
        <w:pStyle w:val="6"/>
        <w:spacing w:before="78" w:line="219" w:lineRule="auto"/>
        <w:rPr>
          <w:b/>
          <w:bCs/>
          <w:spacing w:val="-4"/>
          <w:sz w:val="24"/>
          <w:szCs w:val="24"/>
        </w:rPr>
      </w:pPr>
    </w:p>
    <w:p w14:paraId="19FBE11B">
      <w:pPr>
        <w:pStyle w:val="6"/>
        <w:spacing w:before="78" w:line="219" w:lineRule="auto"/>
        <w:rPr>
          <w:b/>
          <w:bCs/>
          <w:spacing w:val="-4"/>
          <w:sz w:val="24"/>
          <w:szCs w:val="24"/>
        </w:rPr>
      </w:pPr>
    </w:p>
    <w:p w14:paraId="6364ABD4">
      <w:pPr>
        <w:pStyle w:val="6"/>
        <w:spacing w:before="78" w:line="219" w:lineRule="auto"/>
        <w:rPr>
          <w:b/>
          <w:bCs/>
          <w:spacing w:val="-4"/>
          <w:sz w:val="24"/>
          <w:szCs w:val="24"/>
        </w:rPr>
      </w:pPr>
    </w:p>
    <w:p w14:paraId="77D93134">
      <w:pPr>
        <w:pStyle w:val="6"/>
        <w:spacing w:before="78" w:line="219" w:lineRule="auto"/>
        <w:rPr>
          <w:b/>
          <w:bCs/>
          <w:spacing w:val="-4"/>
          <w:sz w:val="24"/>
          <w:szCs w:val="24"/>
        </w:rPr>
      </w:pPr>
    </w:p>
    <w:p w14:paraId="4F3B7DB1">
      <w:pPr>
        <w:pStyle w:val="6"/>
        <w:spacing w:before="78" w:line="219" w:lineRule="auto"/>
        <w:rPr>
          <w:b/>
          <w:bCs/>
          <w:spacing w:val="-4"/>
          <w:sz w:val="24"/>
          <w:szCs w:val="24"/>
        </w:rPr>
      </w:pPr>
    </w:p>
    <w:p w14:paraId="51976D70">
      <w:pPr>
        <w:pStyle w:val="6"/>
        <w:spacing w:before="78" w:line="219" w:lineRule="auto"/>
        <w:rPr>
          <w:sz w:val="24"/>
          <w:szCs w:val="24"/>
        </w:rPr>
      </w:pPr>
      <w:r>
        <w:rPr>
          <w:b/>
          <w:bCs/>
          <w:spacing w:val="-4"/>
          <w:sz w:val="24"/>
          <w:szCs w:val="24"/>
        </w:rPr>
        <w:t>附件：工信部联企业〔2011〕300</w:t>
      </w:r>
      <w:r>
        <w:rPr>
          <w:spacing w:val="-30"/>
          <w:sz w:val="24"/>
          <w:szCs w:val="24"/>
        </w:rPr>
        <w:t xml:space="preserve"> </w:t>
      </w:r>
      <w:r>
        <w:rPr>
          <w:b/>
          <w:bCs/>
          <w:spacing w:val="-4"/>
          <w:sz w:val="24"/>
          <w:szCs w:val="24"/>
        </w:rPr>
        <w:t>号</w:t>
      </w:r>
    </w:p>
    <w:p w14:paraId="50E94C84">
      <w:pPr>
        <w:pStyle w:val="6"/>
        <w:spacing w:before="233" w:line="240" w:lineRule="auto"/>
        <w:ind w:right="1"/>
        <w:jc w:val="center"/>
        <w:rPr>
          <w:rFonts w:hint="eastAsia" w:eastAsia="宋体"/>
          <w:sz w:val="28"/>
          <w:szCs w:val="28"/>
          <w:lang w:eastAsia="zh-CN"/>
        </w:rPr>
      </w:pPr>
      <w:r>
        <w:rPr>
          <w:b/>
          <w:bCs/>
          <w:spacing w:val="6"/>
          <w:sz w:val="28"/>
          <w:szCs w:val="28"/>
        </w:rPr>
        <w:t>关于印发中小企业划型标准规定的通知</w:t>
      </w:r>
      <w:r>
        <w:rPr>
          <w:rFonts w:hint="eastAsia"/>
          <w:b/>
          <w:bCs/>
          <w:spacing w:val="6"/>
          <w:sz w:val="28"/>
          <w:szCs w:val="28"/>
          <w:lang w:eastAsia="zh-CN"/>
        </w:rPr>
        <w:t>（</w:t>
      </w:r>
      <w:r>
        <w:rPr>
          <w:b/>
          <w:bCs/>
          <w:spacing w:val="6"/>
          <w:sz w:val="28"/>
          <w:szCs w:val="28"/>
        </w:rPr>
        <w:t>工信部联企</w:t>
      </w:r>
      <w:r>
        <w:rPr>
          <w:b/>
          <w:bCs/>
          <w:spacing w:val="5"/>
          <w:sz w:val="28"/>
          <w:szCs w:val="28"/>
        </w:rPr>
        <w:t>业〔2011〕300</w:t>
      </w:r>
      <w:r>
        <w:rPr>
          <w:b/>
          <w:bCs/>
          <w:spacing w:val="-6"/>
          <w:sz w:val="28"/>
          <w:szCs w:val="28"/>
        </w:rPr>
        <w:t>号</w:t>
      </w:r>
      <w:r>
        <w:rPr>
          <w:rFonts w:hint="eastAsia"/>
          <w:b/>
          <w:bCs/>
          <w:spacing w:val="-6"/>
          <w:sz w:val="28"/>
          <w:szCs w:val="28"/>
          <w:lang w:eastAsia="zh-CN"/>
        </w:rPr>
        <w:t>）</w:t>
      </w:r>
    </w:p>
    <w:p w14:paraId="56DBDF6B">
      <w:pPr>
        <w:pStyle w:val="6"/>
        <w:spacing w:before="212" w:line="225" w:lineRule="auto"/>
        <w:ind w:left="1739"/>
        <w:rPr>
          <w:sz w:val="32"/>
          <w:szCs w:val="32"/>
        </w:rPr>
      </w:pPr>
      <w:r>
        <w:rPr>
          <w:b/>
          <w:bCs/>
          <w:spacing w:val="6"/>
          <w:sz w:val="32"/>
          <w:szCs w:val="32"/>
        </w:rPr>
        <w:t>关于印发中小企业划型标准规定的通知</w:t>
      </w:r>
    </w:p>
    <w:p w14:paraId="4F03BD04">
      <w:pPr>
        <w:spacing w:before="302" w:line="224" w:lineRule="auto"/>
        <w:ind w:left="3273"/>
        <w:rPr>
          <w:rFonts w:ascii="楷体" w:hAnsi="楷体" w:eastAsia="楷体" w:cs="楷体"/>
          <w:sz w:val="24"/>
          <w:szCs w:val="24"/>
        </w:rPr>
      </w:pPr>
      <w:r>
        <w:rPr>
          <w:rFonts w:ascii="楷体" w:hAnsi="楷体" w:eastAsia="楷体" w:cs="楷体"/>
          <w:spacing w:val="-1"/>
          <w:sz w:val="24"/>
          <w:szCs w:val="24"/>
        </w:rPr>
        <w:t>工信部联企业〔2011〕300</w:t>
      </w:r>
      <w:r>
        <w:rPr>
          <w:rFonts w:ascii="楷体" w:hAnsi="楷体" w:eastAsia="楷体" w:cs="楷体"/>
          <w:spacing w:val="-42"/>
          <w:sz w:val="24"/>
          <w:szCs w:val="24"/>
        </w:rPr>
        <w:t xml:space="preserve"> </w:t>
      </w:r>
      <w:r>
        <w:rPr>
          <w:rFonts w:ascii="楷体" w:hAnsi="楷体" w:eastAsia="楷体" w:cs="楷体"/>
          <w:spacing w:val="-1"/>
          <w:sz w:val="24"/>
          <w:szCs w:val="24"/>
        </w:rPr>
        <w:t>号</w:t>
      </w:r>
    </w:p>
    <w:p w14:paraId="55B03895">
      <w:pPr>
        <w:pStyle w:val="6"/>
        <w:spacing w:before="301" w:line="240" w:lineRule="auto"/>
        <w:ind w:left="3"/>
        <w:rPr>
          <w:sz w:val="24"/>
          <w:szCs w:val="24"/>
        </w:rPr>
      </w:pPr>
      <w:r>
        <w:rPr>
          <w:spacing w:val="-2"/>
          <w:sz w:val="24"/>
          <w:szCs w:val="24"/>
        </w:rPr>
        <w:t>各省、</w:t>
      </w:r>
      <w:r>
        <w:rPr>
          <w:spacing w:val="-68"/>
          <w:sz w:val="24"/>
          <w:szCs w:val="24"/>
        </w:rPr>
        <w:t xml:space="preserve"> </w:t>
      </w:r>
      <w:r>
        <w:rPr>
          <w:spacing w:val="-2"/>
          <w:sz w:val="24"/>
          <w:szCs w:val="24"/>
        </w:rPr>
        <w:t>自治区、直辖市人民政府，国务院各部委、各直属机构及有关单位：</w:t>
      </w:r>
    </w:p>
    <w:p w14:paraId="357CB5CF">
      <w:pPr>
        <w:pStyle w:val="6"/>
        <w:spacing w:before="307" w:line="240" w:lineRule="auto"/>
        <w:ind w:left="2" w:firstLine="480"/>
        <w:jc w:val="both"/>
        <w:rPr>
          <w:spacing w:val="-1"/>
          <w:sz w:val="24"/>
          <w:szCs w:val="24"/>
        </w:rPr>
      </w:pPr>
      <w:r>
        <w:rPr>
          <w:sz w:val="24"/>
          <w:szCs w:val="24"/>
        </w:rPr>
        <w:t>为贯彻落实《中华人民共和国中小企业促进法》和《国</w:t>
      </w:r>
      <w:r>
        <w:rPr>
          <w:spacing w:val="-1"/>
          <w:sz w:val="24"/>
          <w:szCs w:val="24"/>
        </w:rPr>
        <w:t>务院关于进一步促进中小企业发</w:t>
      </w:r>
      <w:r>
        <w:rPr>
          <w:spacing w:val="-2"/>
          <w:sz w:val="24"/>
          <w:szCs w:val="24"/>
        </w:rPr>
        <w:t>展的若干意见》（国发〔2009〕36</w:t>
      </w:r>
      <w:r>
        <w:rPr>
          <w:spacing w:val="-45"/>
          <w:sz w:val="24"/>
          <w:szCs w:val="24"/>
        </w:rPr>
        <w:t xml:space="preserve"> </w:t>
      </w:r>
      <w:r>
        <w:rPr>
          <w:spacing w:val="-2"/>
          <w:sz w:val="24"/>
          <w:szCs w:val="24"/>
        </w:rPr>
        <w:t>号</w:t>
      </w:r>
      <w:r>
        <w:rPr>
          <w:sz w:val="24"/>
          <w:szCs w:val="24"/>
        </w:rPr>
        <w:t>），</w:t>
      </w:r>
      <w:r>
        <w:rPr>
          <w:spacing w:val="-2"/>
          <w:sz w:val="24"/>
          <w:szCs w:val="24"/>
        </w:rPr>
        <w:t>工业和信息化部、国家统计局、发展</w:t>
      </w:r>
      <w:r>
        <w:rPr>
          <w:spacing w:val="-3"/>
          <w:sz w:val="24"/>
          <w:szCs w:val="24"/>
        </w:rPr>
        <w:t>改革委、财政</w:t>
      </w:r>
      <w:r>
        <w:rPr>
          <w:sz w:val="24"/>
          <w:szCs w:val="24"/>
        </w:rPr>
        <w:t>部研究制定了《中小企业划型标准规定》。经国务院同意，</w:t>
      </w:r>
      <w:r>
        <w:rPr>
          <w:spacing w:val="-1"/>
          <w:sz w:val="24"/>
          <w:szCs w:val="24"/>
        </w:rPr>
        <w:t>现印发给你们，请遵照执行。</w:t>
      </w:r>
    </w:p>
    <w:p w14:paraId="1DDF8C6E">
      <w:pPr>
        <w:pStyle w:val="6"/>
        <w:spacing w:before="307" w:line="232" w:lineRule="auto"/>
        <w:ind w:firstLine="6960" w:firstLineChars="3000"/>
        <w:jc w:val="both"/>
        <w:rPr>
          <w:spacing w:val="17"/>
          <w:sz w:val="24"/>
          <w:szCs w:val="24"/>
        </w:rPr>
      </w:pPr>
      <w:r>
        <w:rPr>
          <w:spacing w:val="-4"/>
          <w:sz w:val="24"/>
          <w:szCs w:val="24"/>
        </w:rPr>
        <w:t>工业和信息化部</w:t>
      </w:r>
      <w:r>
        <w:rPr>
          <w:spacing w:val="17"/>
          <w:sz w:val="24"/>
          <w:szCs w:val="24"/>
        </w:rPr>
        <w:t xml:space="preserve">  </w:t>
      </w:r>
    </w:p>
    <w:p w14:paraId="618B3D0E">
      <w:pPr>
        <w:pStyle w:val="6"/>
        <w:spacing w:before="309" w:line="219" w:lineRule="auto"/>
        <w:ind w:firstLine="6960" w:firstLineChars="3000"/>
        <w:rPr>
          <w:rFonts w:hint="eastAsia"/>
          <w:spacing w:val="-4"/>
          <w:sz w:val="24"/>
          <w:szCs w:val="24"/>
          <w:lang w:val="en-US" w:eastAsia="zh-CN"/>
        </w:rPr>
      </w:pPr>
      <w:r>
        <w:rPr>
          <w:spacing w:val="-4"/>
          <w:sz w:val="24"/>
          <w:szCs w:val="24"/>
        </w:rPr>
        <w:t>国家统计局</w:t>
      </w:r>
      <w:r>
        <w:rPr>
          <w:rFonts w:hint="eastAsia"/>
          <w:spacing w:val="-4"/>
          <w:sz w:val="24"/>
          <w:szCs w:val="24"/>
          <w:lang w:val="en-US" w:eastAsia="zh-CN"/>
        </w:rPr>
        <w:t xml:space="preserve"> </w:t>
      </w:r>
    </w:p>
    <w:p w14:paraId="7EB7CE0F">
      <w:pPr>
        <w:pStyle w:val="6"/>
        <w:spacing w:before="309" w:line="219" w:lineRule="auto"/>
        <w:ind w:firstLine="7020" w:firstLineChars="3000"/>
        <w:rPr>
          <w:spacing w:val="-3"/>
          <w:sz w:val="24"/>
          <w:szCs w:val="24"/>
        </w:rPr>
      </w:pPr>
      <w:r>
        <w:rPr>
          <w:spacing w:val="-3"/>
          <w:sz w:val="24"/>
          <w:szCs w:val="24"/>
        </w:rPr>
        <w:t xml:space="preserve">国家发展和改革委员会  </w:t>
      </w:r>
    </w:p>
    <w:p w14:paraId="39E37557">
      <w:pPr>
        <w:pStyle w:val="6"/>
        <w:spacing w:before="309" w:line="219" w:lineRule="auto"/>
        <w:ind w:firstLine="7020" w:firstLineChars="3000"/>
        <w:rPr>
          <w:sz w:val="24"/>
          <w:szCs w:val="24"/>
        </w:rPr>
      </w:pPr>
      <w:r>
        <w:rPr>
          <w:spacing w:val="-3"/>
          <w:sz w:val="24"/>
          <w:szCs w:val="24"/>
        </w:rPr>
        <w:t>财政部</w:t>
      </w:r>
    </w:p>
    <w:p w14:paraId="3E286D52">
      <w:pPr>
        <w:pStyle w:val="6"/>
        <w:spacing w:before="305" w:line="219" w:lineRule="auto"/>
        <w:ind w:left="5304" w:firstLine="1638" w:firstLineChars="700"/>
        <w:rPr>
          <w:rFonts w:ascii="Arial"/>
          <w:sz w:val="21"/>
        </w:rPr>
      </w:pPr>
      <w:r>
        <w:rPr>
          <w:rFonts w:hint="eastAsia" w:ascii="宋体" w:hAnsi="宋体" w:eastAsia="宋体" w:cs="宋体"/>
          <w:spacing w:val="-3"/>
          <w:sz w:val="24"/>
          <w:szCs w:val="24"/>
        </w:rPr>
        <w:t>二○一一年六月十八日</w:t>
      </w:r>
    </w:p>
    <w:p w14:paraId="477A30EC">
      <w:pPr>
        <w:spacing w:line="254" w:lineRule="auto"/>
        <w:rPr>
          <w:rFonts w:ascii="Arial"/>
          <w:sz w:val="21"/>
        </w:rPr>
      </w:pPr>
    </w:p>
    <w:p w14:paraId="17C58855">
      <w:pPr>
        <w:pStyle w:val="6"/>
        <w:spacing w:before="114" w:line="225" w:lineRule="auto"/>
        <w:ind w:left="3032"/>
        <w:rPr>
          <w:sz w:val="35"/>
          <w:szCs w:val="35"/>
        </w:rPr>
      </w:pPr>
      <w:r>
        <w:rPr>
          <w:b/>
          <w:bCs/>
          <w:spacing w:val="2"/>
          <w:sz w:val="35"/>
          <w:szCs w:val="35"/>
        </w:rPr>
        <w:t>中小企业划型标准规定</w:t>
      </w:r>
    </w:p>
    <w:p w14:paraId="5B31452C">
      <w:pPr>
        <w:pStyle w:val="6"/>
        <w:keepNext w:val="0"/>
        <w:keepLines w:val="0"/>
        <w:pageBreakBefore w:val="0"/>
        <w:widowControl w:val="0"/>
        <w:kinsoku/>
        <w:wordWrap/>
        <w:overflowPunct/>
        <w:topLinePunct w:val="0"/>
        <w:autoSpaceDE/>
        <w:autoSpaceDN/>
        <w:bidi w:val="0"/>
        <w:adjustRightInd/>
        <w:snapToGrid/>
        <w:spacing w:before="303" w:line="24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一、根据《中华人民共和国中小企业促进法》和《国</w:t>
      </w:r>
      <w:r>
        <w:rPr>
          <w:rFonts w:hint="eastAsia" w:asciiTheme="minorEastAsia" w:hAnsiTheme="minorEastAsia" w:eastAsiaTheme="minorEastAsia" w:cstheme="minorEastAsia"/>
          <w:spacing w:val="-1"/>
          <w:sz w:val="24"/>
          <w:szCs w:val="24"/>
        </w:rPr>
        <w:t>务院关于进一步促进中小企业发展</w:t>
      </w:r>
      <w:r>
        <w:rPr>
          <w:rFonts w:hint="eastAsia" w:asciiTheme="minorEastAsia" w:hAnsiTheme="minorEastAsia" w:eastAsiaTheme="minorEastAsia" w:cstheme="minorEastAsia"/>
          <w:spacing w:val="-3"/>
          <w:sz w:val="24"/>
          <w:szCs w:val="24"/>
        </w:rPr>
        <w:t>的若干意见》</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3"/>
          <w:sz w:val="24"/>
          <w:szCs w:val="24"/>
        </w:rPr>
        <w:t>(国发〔2009〕36号)，制定</w:t>
      </w:r>
      <w:r>
        <w:rPr>
          <w:rFonts w:hint="eastAsia" w:asciiTheme="minorEastAsia" w:hAnsiTheme="minorEastAsia" w:eastAsiaTheme="minorEastAsia" w:cstheme="minorEastAsia"/>
          <w:spacing w:val="-4"/>
          <w:sz w:val="24"/>
          <w:szCs w:val="24"/>
        </w:rPr>
        <w:t>本规定。</w:t>
      </w:r>
    </w:p>
    <w:p w14:paraId="2F00D513">
      <w:pPr>
        <w:pStyle w:val="6"/>
        <w:keepNext w:val="0"/>
        <w:keepLines w:val="0"/>
        <w:pageBreakBefore w:val="0"/>
        <w:widowControl w:val="0"/>
        <w:kinsoku/>
        <w:wordWrap/>
        <w:overflowPunct/>
        <w:topLinePunct w:val="0"/>
        <w:autoSpaceDE/>
        <w:autoSpaceDN/>
        <w:bidi w:val="0"/>
        <w:adjustRightInd/>
        <w:snapToGrid/>
        <w:spacing w:before="79" w:line="24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二、中小企业划分为中型、小型、微型三种类型，具</w:t>
      </w:r>
      <w:r>
        <w:rPr>
          <w:rFonts w:hint="eastAsia" w:asciiTheme="minorEastAsia" w:hAnsiTheme="minorEastAsia" w:eastAsiaTheme="minorEastAsia" w:cstheme="minorEastAsia"/>
          <w:spacing w:val="-1"/>
          <w:sz w:val="24"/>
          <w:szCs w:val="24"/>
        </w:rPr>
        <w:t>体标准根据企业从业人员、营业收入、资产总额等指标，结合行业特点制定。</w:t>
      </w:r>
    </w:p>
    <w:p w14:paraId="2218C2A5">
      <w:pPr>
        <w:pStyle w:val="6"/>
        <w:keepNext w:val="0"/>
        <w:keepLines w:val="0"/>
        <w:pageBreakBefore w:val="0"/>
        <w:widowControl w:val="0"/>
        <w:kinsoku/>
        <w:wordWrap/>
        <w:overflowPunct/>
        <w:topLinePunct w:val="0"/>
        <w:autoSpaceDE/>
        <w:autoSpaceDN/>
        <w:bidi w:val="0"/>
        <w:adjustRightInd/>
        <w:snapToGrid/>
        <w:spacing w:before="78" w:line="24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三、本规定适用的行业包括：农、林、牧、渔业，工业（包括</w:t>
      </w:r>
      <w:r>
        <w:rPr>
          <w:rFonts w:hint="eastAsia" w:asciiTheme="minorEastAsia" w:hAnsiTheme="minorEastAsia" w:eastAsiaTheme="minorEastAsia" w:cstheme="minorEastAsia"/>
          <w:spacing w:val="-1"/>
          <w:sz w:val="24"/>
          <w:szCs w:val="24"/>
        </w:rPr>
        <w:t>采矿业，制造业，电力、</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热力、燃气及水生产和供应业</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
          <w:sz w:val="24"/>
          <w:szCs w:val="24"/>
        </w:rPr>
        <w:t>建筑业，批发业，零售业，交通运输业（不含铁路运输业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3"/>
          <w:sz w:val="24"/>
          <w:szCs w:val="24"/>
        </w:rPr>
        <w:t>仓储业，邮政业，住宿业，餐饮业，信息传输业</w:t>
      </w:r>
      <w:r>
        <w:rPr>
          <w:rFonts w:hint="eastAsia" w:asciiTheme="minorEastAsia" w:hAnsiTheme="minorEastAsia" w:eastAsiaTheme="minorEastAsia" w:cstheme="minorEastAsia"/>
          <w:spacing w:val="-4"/>
          <w:sz w:val="24"/>
          <w:szCs w:val="24"/>
        </w:rPr>
        <w:t>（包括电信、互联网和相关服务</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4"/>
          <w:sz w:val="24"/>
          <w:szCs w:val="24"/>
        </w:rPr>
        <w:t>软</w:t>
      </w:r>
      <w:r>
        <w:rPr>
          <w:rFonts w:hint="eastAsia" w:asciiTheme="minorEastAsia" w:hAnsiTheme="minorEastAsia" w:eastAsiaTheme="minorEastAsia" w:cstheme="minorEastAsia"/>
          <w:spacing w:val="-1"/>
          <w:sz w:val="24"/>
          <w:szCs w:val="24"/>
        </w:rPr>
        <w:t>件和信息技术服务业，房地产开发经营，物业管理，租赁和商务服务业，其他未列明</w:t>
      </w:r>
      <w:r>
        <w:rPr>
          <w:rFonts w:hint="eastAsia" w:asciiTheme="minorEastAsia" w:hAnsiTheme="minorEastAsia" w:eastAsiaTheme="minorEastAsia" w:cstheme="minorEastAsia"/>
          <w:spacing w:val="-2"/>
          <w:sz w:val="24"/>
          <w:szCs w:val="24"/>
        </w:rPr>
        <w:t>行业 (</w:t>
      </w:r>
      <w:r>
        <w:rPr>
          <w:rFonts w:hint="eastAsia" w:asciiTheme="minorEastAsia" w:hAnsiTheme="minorEastAsia" w:eastAsiaTheme="minorEastAsia" w:cstheme="minorEastAsia"/>
          <w:sz w:val="24"/>
          <w:szCs w:val="24"/>
        </w:rPr>
        <w:t>包括科学研究和技术服务业，水利、环境和公共设施管理业，居民服</w:t>
      </w:r>
      <w:r>
        <w:rPr>
          <w:rFonts w:hint="eastAsia" w:asciiTheme="minorEastAsia" w:hAnsiTheme="minorEastAsia" w:eastAsiaTheme="minorEastAsia" w:cstheme="minorEastAsia"/>
          <w:spacing w:val="-1"/>
          <w:sz w:val="24"/>
          <w:szCs w:val="24"/>
        </w:rPr>
        <w:t>务、修理和其他服务业</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6"/>
          <w:sz w:val="24"/>
          <w:szCs w:val="24"/>
        </w:rPr>
        <w:t>社会工作，文化、体育和娱乐业等）。</w:t>
      </w:r>
    </w:p>
    <w:p w14:paraId="27B361B0">
      <w:pPr>
        <w:pStyle w:val="6"/>
        <w:keepNext w:val="0"/>
        <w:keepLines w:val="0"/>
        <w:pageBreakBefore w:val="0"/>
        <w:widowControl w:val="0"/>
        <w:kinsoku/>
        <w:wordWrap/>
        <w:overflowPunct/>
        <w:topLinePunct w:val="0"/>
        <w:autoSpaceDE/>
        <w:autoSpaceDN/>
        <w:bidi w:val="0"/>
        <w:adjustRightInd/>
        <w:snapToGrid/>
        <w:spacing w:before="78" w:line="240" w:lineRule="auto"/>
        <w:ind w:firstLine="468"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四、各行业划型标准为：</w:t>
      </w:r>
    </w:p>
    <w:p w14:paraId="6EB4C317">
      <w:pPr>
        <w:pStyle w:val="6"/>
        <w:keepNext w:val="0"/>
        <w:keepLines w:val="0"/>
        <w:pageBreakBefore w:val="0"/>
        <w:widowControl w:val="0"/>
        <w:kinsoku/>
        <w:wordWrap/>
        <w:overflowPunct/>
        <w:topLinePunct w:val="0"/>
        <w:autoSpaceDE/>
        <w:autoSpaceDN/>
        <w:bidi w:val="0"/>
        <w:adjustRightInd/>
        <w:snapToGrid/>
        <w:spacing w:before="78" w:line="240" w:lineRule="auto"/>
        <w:ind w:firstLine="468" w:firstLineChars="200"/>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（一）农、林、牧、渔业。营业收入20000万元以下的为中小微型企业。其中</w:t>
      </w:r>
      <w:r>
        <w:rPr>
          <w:rFonts w:hint="eastAsia" w:asciiTheme="minorEastAsia" w:hAnsiTheme="minorEastAsia" w:eastAsiaTheme="minorEastAsia" w:cstheme="minorEastAsia"/>
          <w:spacing w:val="-4"/>
          <w:sz w:val="24"/>
          <w:szCs w:val="24"/>
        </w:rPr>
        <w:t>，营业收入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500万元及以上的为中型企业，营业收入50万元及以上的为小型企业，营业收入50万</w:t>
      </w:r>
      <w:r>
        <w:rPr>
          <w:rFonts w:hint="eastAsia" w:asciiTheme="minorEastAsia" w:hAnsiTheme="minorEastAsia" w:eastAsiaTheme="minorEastAsia" w:cstheme="minorEastAsia"/>
          <w:spacing w:val="-4"/>
          <w:sz w:val="24"/>
          <w:szCs w:val="24"/>
        </w:rPr>
        <w:t>元以下的</w:t>
      </w:r>
      <w:r>
        <w:rPr>
          <w:rFonts w:hint="eastAsia" w:asciiTheme="minorEastAsia" w:hAnsiTheme="minorEastAsia" w:eastAsiaTheme="minorEastAsia" w:cstheme="minorEastAsia"/>
          <w:spacing w:val="-3"/>
          <w:sz w:val="24"/>
          <w:szCs w:val="24"/>
        </w:rPr>
        <w:t>为微型企业。</w:t>
      </w:r>
    </w:p>
    <w:p w14:paraId="6AEE3EF1">
      <w:pPr>
        <w:pStyle w:val="6"/>
        <w:keepNext w:val="0"/>
        <w:keepLines w:val="0"/>
        <w:pageBreakBefore w:val="0"/>
        <w:widowControl w:val="0"/>
        <w:kinsoku/>
        <w:wordWrap/>
        <w:overflowPunct/>
        <w:topLinePunct w:val="0"/>
        <w:autoSpaceDE/>
        <w:autoSpaceDN/>
        <w:bidi w:val="0"/>
        <w:adjustRightInd/>
        <w:snapToGrid/>
        <w:spacing w:before="78" w:line="240" w:lineRule="auto"/>
        <w:ind w:right="18" w:firstLine="47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（二）工业。从业人员1000人以下或营业收入40000万元以下的为中小微型企业。其中，</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3"/>
          <w:sz w:val="24"/>
          <w:szCs w:val="24"/>
        </w:rPr>
        <w:t>从业人员300人及以上，且营业收入2000万元及以上的为中型企业；从业人员20人及以上，且</w:t>
      </w:r>
      <w:r>
        <w:rPr>
          <w:rFonts w:hint="eastAsia" w:asciiTheme="minorEastAsia" w:hAnsiTheme="minorEastAsia" w:eastAsiaTheme="minorEastAsia" w:cstheme="minorEastAsia"/>
          <w:sz w:val="24"/>
          <w:szCs w:val="24"/>
        </w:rPr>
        <w:t>营业收入300万元及以上的为小型企业；从业人员20人以下或营</w:t>
      </w:r>
      <w:r>
        <w:rPr>
          <w:rFonts w:hint="eastAsia" w:asciiTheme="minorEastAsia" w:hAnsiTheme="minorEastAsia" w:eastAsiaTheme="minorEastAsia" w:cstheme="minorEastAsia"/>
          <w:spacing w:val="-1"/>
          <w:sz w:val="24"/>
          <w:szCs w:val="24"/>
        </w:rPr>
        <w:t>业收入300万元以下的为微型</w:t>
      </w:r>
      <w:r>
        <w:rPr>
          <w:rFonts w:hint="eastAsia" w:asciiTheme="minorEastAsia" w:hAnsiTheme="minorEastAsia" w:eastAsiaTheme="minorEastAsia" w:cstheme="minorEastAsia"/>
          <w:spacing w:val="-5"/>
          <w:sz w:val="24"/>
          <w:szCs w:val="24"/>
        </w:rPr>
        <w:t>企业。</w:t>
      </w:r>
    </w:p>
    <w:p w14:paraId="78DB86BC">
      <w:pPr>
        <w:pStyle w:val="6"/>
        <w:keepNext w:val="0"/>
        <w:keepLines w:val="0"/>
        <w:pageBreakBefore w:val="0"/>
        <w:widowControl w:val="0"/>
        <w:kinsoku/>
        <w:wordWrap/>
        <w:overflowPunct/>
        <w:topLinePunct w:val="0"/>
        <w:autoSpaceDE/>
        <w:autoSpaceDN/>
        <w:bidi w:val="0"/>
        <w:adjustRightInd/>
        <w:snapToGrid/>
        <w:spacing w:before="78" w:line="240" w:lineRule="auto"/>
        <w:ind w:firstLine="480" w:firstLineChars="200"/>
        <w:textAlignment w:val="auto"/>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rPr>
        <w:t>（三）建筑业。营业收入80000万元以下或</w:t>
      </w:r>
      <w:r>
        <w:rPr>
          <w:rFonts w:hint="eastAsia" w:asciiTheme="minorEastAsia" w:hAnsiTheme="minorEastAsia" w:eastAsiaTheme="minorEastAsia" w:cstheme="minorEastAsia"/>
          <w:spacing w:val="-1"/>
          <w:sz w:val="24"/>
          <w:szCs w:val="24"/>
        </w:rPr>
        <w:t>资产总额80000万元以下的为中小微型企业。</w:t>
      </w:r>
      <w:r>
        <w:rPr>
          <w:rFonts w:hint="eastAsia" w:asciiTheme="minorEastAsia" w:hAnsiTheme="minorEastAsia" w:eastAsiaTheme="minorEastAsia" w:cstheme="minorEastAsia"/>
          <w:sz w:val="24"/>
          <w:szCs w:val="24"/>
        </w:rPr>
        <w:t xml:space="preserve"> 其中，营业收入6000万元及以上，且资产总额5000万元及以上的为</w:t>
      </w:r>
      <w:r>
        <w:rPr>
          <w:rFonts w:hint="eastAsia" w:asciiTheme="minorEastAsia" w:hAnsiTheme="minorEastAsia" w:eastAsiaTheme="minorEastAsia" w:cstheme="minorEastAsia"/>
          <w:spacing w:val="-1"/>
          <w:sz w:val="24"/>
          <w:szCs w:val="24"/>
        </w:rPr>
        <w:t>中型企业；营业收入300</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万元及以上，且资产总额300万元及以上的为小型企业；营业收入300万元以下或资产总额300</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1"/>
          <w:sz w:val="24"/>
          <w:szCs w:val="24"/>
        </w:rPr>
        <w:t>万元以下的为微型企业</w:t>
      </w:r>
      <w:r>
        <w:rPr>
          <w:rFonts w:hint="eastAsia" w:asciiTheme="minorEastAsia" w:hAnsiTheme="minorEastAsia" w:eastAsiaTheme="minorEastAsia" w:cstheme="minorEastAsia"/>
          <w:spacing w:val="-1"/>
          <w:sz w:val="24"/>
          <w:szCs w:val="24"/>
          <w:lang w:eastAsia="zh-CN"/>
        </w:rPr>
        <w:t>。</w:t>
      </w:r>
    </w:p>
    <w:p w14:paraId="5BE704BA">
      <w:pPr>
        <w:pStyle w:val="6"/>
        <w:keepNext w:val="0"/>
        <w:keepLines w:val="0"/>
        <w:pageBreakBefore w:val="0"/>
        <w:widowControl w:val="0"/>
        <w:kinsoku/>
        <w:wordWrap/>
        <w:overflowPunct/>
        <w:topLinePunct w:val="0"/>
        <w:autoSpaceDE/>
        <w:autoSpaceDN/>
        <w:bidi w:val="0"/>
        <w:adjustRightInd/>
        <w:snapToGrid/>
        <w:spacing w:before="315" w:line="240" w:lineRule="auto"/>
        <w:ind w:right="80" w:firstLine="48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rPr>
        <w:t>（四）批发业。从业人员200人以下或营业</w:t>
      </w:r>
      <w:r>
        <w:rPr>
          <w:rFonts w:hint="eastAsia" w:asciiTheme="minorEastAsia" w:hAnsiTheme="minorEastAsia" w:eastAsiaTheme="minorEastAsia" w:cstheme="minorEastAsia"/>
          <w:spacing w:val="-1"/>
          <w:sz w:val="24"/>
          <w:szCs w:val="24"/>
        </w:rPr>
        <w:t>收入40000万元以下的为中小微型企业。其中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4"/>
          <w:sz w:val="24"/>
          <w:szCs w:val="24"/>
        </w:rPr>
        <w:t>从业人员20人及以上，且营业收入5000万元及以上的为中型企业；从业人员5人及以上，且</w:t>
      </w:r>
      <w:r>
        <w:rPr>
          <w:rFonts w:hint="eastAsia" w:asciiTheme="minorEastAsia" w:hAnsiTheme="minorEastAsia" w:eastAsiaTheme="minorEastAsia" w:cstheme="minorEastAsia"/>
          <w:spacing w:val="-3"/>
          <w:sz w:val="24"/>
          <w:szCs w:val="24"/>
        </w:rPr>
        <w:t>营业收入1000万元及以上的为小型企业；从业人员5人以下或营业收入1000万元以下的为微型</w:t>
      </w:r>
      <w:r>
        <w:rPr>
          <w:rFonts w:hint="eastAsia" w:asciiTheme="minorEastAsia" w:hAnsiTheme="minorEastAsia" w:eastAsiaTheme="minorEastAsia" w:cstheme="minorEastAsia"/>
          <w:spacing w:val="-5"/>
          <w:sz w:val="24"/>
          <w:szCs w:val="24"/>
        </w:rPr>
        <w:t>企业。</w:t>
      </w:r>
    </w:p>
    <w:p w14:paraId="67BF136D">
      <w:pPr>
        <w:pStyle w:val="6"/>
        <w:keepNext w:val="0"/>
        <w:keepLines w:val="0"/>
        <w:pageBreakBefore w:val="0"/>
        <w:widowControl w:val="0"/>
        <w:kinsoku/>
        <w:wordWrap/>
        <w:overflowPunct/>
        <w:topLinePunct w:val="0"/>
        <w:autoSpaceDE/>
        <w:autoSpaceDN/>
        <w:bidi w:val="0"/>
        <w:adjustRightInd/>
        <w:snapToGrid/>
        <w:spacing w:before="315" w:line="240" w:lineRule="auto"/>
        <w:ind w:right="80" w:firstLine="48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rPr>
        <w:t>（五）零售业。从业人员300人以下或营业</w:t>
      </w:r>
      <w:r>
        <w:rPr>
          <w:rFonts w:hint="eastAsia" w:asciiTheme="minorEastAsia" w:hAnsiTheme="minorEastAsia" w:eastAsiaTheme="minorEastAsia" w:cstheme="minorEastAsia"/>
          <w:spacing w:val="-1"/>
          <w:sz w:val="24"/>
          <w:szCs w:val="24"/>
        </w:rPr>
        <w:t>收入20000万元以下的为中小微型企业。其中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4"/>
          <w:sz w:val="24"/>
          <w:szCs w:val="24"/>
        </w:rPr>
        <w:t>从业人员50人及以上，且营业收入500万元及以上的为中型企业；从业人员10人及以上，且</w:t>
      </w:r>
      <w:r>
        <w:rPr>
          <w:rFonts w:hint="eastAsia" w:asciiTheme="minorEastAsia" w:hAnsiTheme="minorEastAsia" w:eastAsiaTheme="minorEastAsia" w:cstheme="minorEastAsia"/>
          <w:sz w:val="24"/>
          <w:szCs w:val="24"/>
        </w:rPr>
        <w:t>营业收入100万元及以上的为小型企业；从业人员10人以下或</w:t>
      </w:r>
      <w:r>
        <w:rPr>
          <w:rFonts w:hint="eastAsia" w:asciiTheme="minorEastAsia" w:hAnsiTheme="minorEastAsia" w:eastAsiaTheme="minorEastAsia" w:cstheme="minorEastAsia"/>
          <w:spacing w:val="-1"/>
          <w:sz w:val="24"/>
          <w:szCs w:val="24"/>
        </w:rPr>
        <w:t>营业收入100万元以下的为微型</w:t>
      </w:r>
      <w:r>
        <w:rPr>
          <w:rFonts w:hint="eastAsia" w:asciiTheme="minorEastAsia" w:hAnsiTheme="minorEastAsia" w:eastAsiaTheme="minorEastAsia" w:cstheme="minorEastAsia"/>
          <w:spacing w:val="-5"/>
          <w:sz w:val="24"/>
          <w:szCs w:val="24"/>
        </w:rPr>
        <w:t>企业。</w:t>
      </w:r>
    </w:p>
    <w:p w14:paraId="07422F5F">
      <w:pPr>
        <w:pStyle w:val="6"/>
        <w:keepNext w:val="0"/>
        <w:keepLines w:val="0"/>
        <w:pageBreakBefore w:val="0"/>
        <w:widowControl w:val="0"/>
        <w:kinsoku/>
        <w:wordWrap/>
        <w:overflowPunct/>
        <w:topLinePunct w:val="0"/>
        <w:autoSpaceDE/>
        <w:autoSpaceDN/>
        <w:bidi w:val="0"/>
        <w:adjustRightInd/>
        <w:snapToGrid/>
        <w:spacing w:before="315" w:line="240" w:lineRule="auto"/>
        <w:ind w:right="80" w:firstLine="476" w:firstLineChars="200"/>
        <w:jc w:val="both"/>
        <w:textAlignment w:val="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
          <w:sz w:val="24"/>
          <w:szCs w:val="24"/>
        </w:rPr>
        <w:t>（六）交通运输业。从业人员1000人以下或营业收</w:t>
      </w:r>
      <w:r>
        <w:rPr>
          <w:rFonts w:hint="eastAsia" w:asciiTheme="minorEastAsia" w:hAnsiTheme="minorEastAsia" w:eastAsiaTheme="minorEastAsia" w:cstheme="minorEastAsia"/>
          <w:spacing w:val="-2"/>
          <w:sz w:val="24"/>
          <w:szCs w:val="24"/>
        </w:rPr>
        <w:t>入30000万元以下的为中小微型企业。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其中，从业人员300人及以上，且营业收入3000万元及以上的为中型企业；从业人员20人及以</w:t>
      </w:r>
      <w:r>
        <w:rPr>
          <w:rFonts w:hint="eastAsia" w:asciiTheme="minorEastAsia" w:hAnsiTheme="minorEastAsia" w:eastAsiaTheme="minorEastAsia" w:cstheme="minorEastAsia"/>
          <w:sz w:val="24"/>
          <w:szCs w:val="24"/>
        </w:rPr>
        <w:t>上，且营业收入200万元及以上的为小型企业；从业人员20人以下或</w:t>
      </w:r>
      <w:r>
        <w:rPr>
          <w:rFonts w:hint="eastAsia" w:asciiTheme="minorEastAsia" w:hAnsiTheme="minorEastAsia" w:eastAsiaTheme="minorEastAsia" w:cstheme="minorEastAsia"/>
          <w:spacing w:val="-1"/>
          <w:sz w:val="24"/>
          <w:szCs w:val="24"/>
        </w:rPr>
        <w:t>营业收入200万元以下的</w:t>
      </w:r>
      <w:r>
        <w:rPr>
          <w:rFonts w:hint="eastAsia" w:asciiTheme="minorEastAsia" w:hAnsiTheme="minorEastAsia" w:eastAsiaTheme="minorEastAsia" w:cstheme="minorEastAsia"/>
          <w:spacing w:val="-2"/>
          <w:sz w:val="24"/>
          <w:szCs w:val="24"/>
        </w:rPr>
        <w:t>为微型企业。</w:t>
      </w:r>
    </w:p>
    <w:p w14:paraId="08CC2A6E">
      <w:pPr>
        <w:pStyle w:val="6"/>
        <w:keepNext w:val="0"/>
        <w:keepLines w:val="0"/>
        <w:pageBreakBefore w:val="0"/>
        <w:widowControl w:val="0"/>
        <w:kinsoku/>
        <w:wordWrap/>
        <w:overflowPunct/>
        <w:topLinePunct w:val="0"/>
        <w:autoSpaceDE/>
        <w:autoSpaceDN/>
        <w:bidi w:val="0"/>
        <w:adjustRightInd/>
        <w:snapToGrid/>
        <w:spacing w:before="315" w:line="240" w:lineRule="auto"/>
        <w:ind w:right="80" w:firstLine="480"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z w:val="24"/>
          <w:szCs w:val="24"/>
        </w:rPr>
        <w:t>（七）仓储业。从业人员200人以下或营业</w:t>
      </w:r>
      <w:r>
        <w:rPr>
          <w:rFonts w:hint="eastAsia" w:asciiTheme="minorEastAsia" w:hAnsiTheme="minorEastAsia" w:eastAsiaTheme="minorEastAsia" w:cstheme="minorEastAsia"/>
          <w:spacing w:val="-1"/>
          <w:sz w:val="24"/>
          <w:szCs w:val="24"/>
        </w:rPr>
        <w:t>收入30000万元以下的为中小微型企业。其中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3"/>
          <w:sz w:val="24"/>
          <w:szCs w:val="24"/>
        </w:rPr>
        <w:t>从业人员100人及以上，且营业收入1000万元及以上的为中型企业；从业人员20人及以上，</w:t>
      </w:r>
      <w:r>
        <w:rPr>
          <w:rFonts w:hint="eastAsia" w:asciiTheme="minorEastAsia" w:hAnsiTheme="minorEastAsia" w:eastAsiaTheme="minorEastAsia" w:cstheme="minorEastAsia"/>
          <w:sz w:val="24"/>
          <w:szCs w:val="24"/>
        </w:rPr>
        <w:t xml:space="preserve"> 且营业收入100万元及以上的为小型企业；从业人员20人以下或营业收</w:t>
      </w:r>
      <w:r>
        <w:rPr>
          <w:rFonts w:hint="eastAsia" w:asciiTheme="minorEastAsia" w:hAnsiTheme="minorEastAsia" w:eastAsiaTheme="minorEastAsia" w:cstheme="minorEastAsia"/>
          <w:spacing w:val="-1"/>
          <w:sz w:val="24"/>
          <w:szCs w:val="24"/>
        </w:rPr>
        <w:t>入100万元以下的为微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型企业。</w:t>
      </w:r>
    </w:p>
    <w:p w14:paraId="40B3B179">
      <w:pPr>
        <w:pStyle w:val="6"/>
        <w:keepNext w:val="0"/>
        <w:keepLines w:val="0"/>
        <w:pageBreakBefore w:val="0"/>
        <w:widowControl w:val="0"/>
        <w:kinsoku/>
        <w:wordWrap/>
        <w:overflowPunct/>
        <w:topLinePunct w:val="0"/>
        <w:autoSpaceDE/>
        <w:autoSpaceDN/>
        <w:bidi w:val="0"/>
        <w:adjustRightInd/>
        <w:snapToGrid/>
        <w:spacing w:before="315" w:line="240" w:lineRule="auto"/>
        <w:ind w:right="80" w:firstLine="468"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（八）邮政业。从业人员1000人以下或营业收入30000万元以下的为中小微型企业。其中</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3"/>
          <w:sz w:val="24"/>
          <w:szCs w:val="24"/>
        </w:rPr>
        <w:t>从业人员300人及以上，且营业收入2000万元及以上的为中型企业；从业人员20人及以上，</w:t>
      </w:r>
      <w:r>
        <w:rPr>
          <w:rFonts w:hint="eastAsia" w:asciiTheme="minorEastAsia" w:hAnsiTheme="minorEastAsia" w:eastAsiaTheme="minorEastAsia" w:cstheme="minorEastAsia"/>
          <w:sz w:val="24"/>
          <w:szCs w:val="24"/>
        </w:rPr>
        <w:t>且营业收入100万元及以上的为小型企业；从业人员20人以下或营业收</w:t>
      </w:r>
      <w:r>
        <w:rPr>
          <w:rFonts w:hint="eastAsia" w:asciiTheme="minorEastAsia" w:hAnsiTheme="minorEastAsia" w:eastAsiaTheme="minorEastAsia" w:cstheme="minorEastAsia"/>
          <w:spacing w:val="-1"/>
          <w:sz w:val="24"/>
          <w:szCs w:val="24"/>
        </w:rPr>
        <w:t>入100万元以下的为微</w:t>
      </w:r>
      <w:r>
        <w:rPr>
          <w:rFonts w:hint="eastAsia" w:asciiTheme="minorEastAsia" w:hAnsiTheme="minorEastAsia" w:eastAsiaTheme="minorEastAsia" w:cstheme="minorEastAsia"/>
          <w:spacing w:val="-3"/>
          <w:sz w:val="24"/>
          <w:szCs w:val="24"/>
        </w:rPr>
        <w:t>型企业。</w:t>
      </w:r>
    </w:p>
    <w:p w14:paraId="49C6D16A">
      <w:pPr>
        <w:pStyle w:val="6"/>
        <w:keepNext w:val="0"/>
        <w:keepLines w:val="0"/>
        <w:pageBreakBefore w:val="0"/>
        <w:widowControl w:val="0"/>
        <w:kinsoku/>
        <w:wordWrap/>
        <w:overflowPunct/>
        <w:topLinePunct w:val="0"/>
        <w:autoSpaceDE/>
        <w:autoSpaceDN/>
        <w:bidi w:val="0"/>
        <w:adjustRightInd/>
        <w:snapToGrid/>
        <w:spacing w:before="315" w:line="240" w:lineRule="auto"/>
        <w:ind w:right="80" w:firstLine="48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rPr>
        <w:t>（九）住宿业。从业人员300人以下或营业</w:t>
      </w:r>
      <w:r>
        <w:rPr>
          <w:rFonts w:hint="eastAsia" w:asciiTheme="minorEastAsia" w:hAnsiTheme="minorEastAsia" w:eastAsiaTheme="minorEastAsia" w:cstheme="minorEastAsia"/>
          <w:spacing w:val="-1"/>
          <w:sz w:val="24"/>
          <w:szCs w:val="24"/>
        </w:rPr>
        <w:t>收入10000万元以下的为中小微型企业。其中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3"/>
          <w:sz w:val="24"/>
          <w:szCs w:val="24"/>
        </w:rPr>
        <w:t>从业人员100人及以上，且营业收入2000万元及</w:t>
      </w:r>
      <w:r>
        <w:rPr>
          <w:rFonts w:hint="eastAsia" w:asciiTheme="minorEastAsia" w:hAnsiTheme="minorEastAsia" w:eastAsiaTheme="minorEastAsia" w:cstheme="minorEastAsia"/>
          <w:spacing w:val="-4"/>
          <w:sz w:val="24"/>
          <w:szCs w:val="24"/>
        </w:rPr>
        <w:t>以上的为中型企业；从业人员10人及以上，</w:t>
      </w:r>
      <w:r>
        <w:rPr>
          <w:rFonts w:hint="eastAsia" w:asciiTheme="minorEastAsia" w:hAnsiTheme="minorEastAsia" w:eastAsiaTheme="minorEastAsia" w:cstheme="minorEastAsia"/>
          <w:sz w:val="24"/>
          <w:szCs w:val="24"/>
        </w:rPr>
        <w:t>且营业收入100万元及以上的为小型企业；从业人员10人以下或营业收</w:t>
      </w:r>
      <w:r>
        <w:rPr>
          <w:rFonts w:hint="eastAsia" w:asciiTheme="minorEastAsia" w:hAnsiTheme="minorEastAsia" w:eastAsiaTheme="minorEastAsia" w:cstheme="minorEastAsia"/>
          <w:spacing w:val="-1"/>
          <w:sz w:val="24"/>
          <w:szCs w:val="24"/>
        </w:rPr>
        <w:t>入100万元以下的为微</w:t>
      </w:r>
      <w:r>
        <w:rPr>
          <w:rFonts w:hint="eastAsia" w:asciiTheme="minorEastAsia" w:hAnsiTheme="minorEastAsia" w:eastAsiaTheme="minorEastAsia" w:cstheme="minorEastAsia"/>
          <w:spacing w:val="-5"/>
          <w:sz w:val="24"/>
          <w:szCs w:val="24"/>
        </w:rPr>
        <w:t>型企业。</w:t>
      </w:r>
    </w:p>
    <w:p w14:paraId="6720525A">
      <w:pPr>
        <w:pStyle w:val="6"/>
        <w:keepNext w:val="0"/>
        <w:keepLines w:val="0"/>
        <w:pageBreakBefore w:val="0"/>
        <w:widowControl w:val="0"/>
        <w:kinsoku/>
        <w:wordWrap/>
        <w:overflowPunct/>
        <w:topLinePunct w:val="0"/>
        <w:autoSpaceDE/>
        <w:autoSpaceDN/>
        <w:bidi w:val="0"/>
        <w:adjustRightInd/>
        <w:snapToGrid/>
        <w:spacing w:before="315" w:line="240" w:lineRule="auto"/>
        <w:ind w:right="80" w:firstLine="480" w:firstLineChars="200"/>
        <w:jc w:val="both"/>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z w:val="24"/>
          <w:szCs w:val="24"/>
        </w:rPr>
        <w:t>（十）餐饮业。从业人员300人以下或营业</w:t>
      </w:r>
      <w:r>
        <w:rPr>
          <w:rFonts w:hint="eastAsia" w:asciiTheme="minorEastAsia" w:hAnsiTheme="minorEastAsia" w:eastAsiaTheme="minorEastAsia" w:cstheme="minorEastAsia"/>
          <w:spacing w:val="-1"/>
          <w:sz w:val="24"/>
          <w:szCs w:val="24"/>
        </w:rPr>
        <w:t>收入10000万元以下的为中小微型企业。其中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3"/>
          <w:sz w:val="24"/>
          <w:szCs w:val="24"/>
        </w:rPr>
        <w:t>从业人员100人及以上，且营业收入2000万元及以上的为中型企业；从业人员10人及以上，</w:t>
      </w:r>
      <w:r>
        <w:rPr>
          <w:rFonts w:hint="eastAsia" w:asciiTheme="minorEastAsia" w:hAnsiTheme="minorEastAsia" w:eastAsiaTheme="minorEastAsia" w:cstheme="minorEastAsia"/>
          <w:sz w:val="24"/>
          <w:szCs w:val="24"/>
        </w:rPr>
        <w:t>且营业收入100万元及以上的为小型企业；从业人员10人以下或营业收</w:t>
      </w:r>
      <w:r>
        <w:rPr>
          <w:rFonts w:hint="eastAsia" w:asciiTheme="minorEastAsia" w:hAnsiTheme="minorEastAsia" w:eastAsiaTheme="minorEastAsia" w:cstheme="minorEastAsia"/>
          <w:spacing w:val="-1"/>
          <w:sz w:val="24"/>
          <w:szCs w:val="24"/>
        </w:rPr>
        <w:t>入100万元以下的为微</w:t>
      </w:r>
      <w:r>
        <w:rPr>
          <w:rFonts w:hint="eastAsia" w:asciiTheme="minorEastAsia" w:hAnsiTheme="minorEastAsia" w:eastAsiaTheme="minorEastAsia" w:cstheme="minorEastAsia"/>
          <w:spacing w:val="-3"/>
          <w:sz w:val="24"/>
          <w:szCs w:val="24"/>
        </w:rPr>
        <w:t>型企业。</w:t>
      </w:r>
    </w:p>
    <w:p w14:paraId="77B018D6">
      <w:pPr>
        <w:pStyle w:val="6"/>
        <w:keepNext w:val="0"/>
        <w:keepLines w:val="0"/>
        <w:pageBreakBefore w:val="0"/>
        <w:widowControl w:val="0"/>
        <w:kinsoku/>
        <w:wordWrap/>
        <w:overflowPunct/>
        <w:topLinePunct w:val="0"/>
        <w:autoSpaceDE/>
        <w:autoSpaceDN/>
        <w:bidi w:val="0"/>
        <w:adjustRightInd/>
        <w:snapToGrid/>
        <w:spacing w:before="315" w:line="240" w:lineRule="auto"/>
        <w:ind w:right="8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（十一）信息传输业。从业人员2000人以下</w:t>
      </w:r>
      <w:r>
        <w:rPr>
          <w:rFonts w:hint="eastAsia" w:asciiTheme="minorEastAsia" w:hAnsiTheme="minorEastAsia" w:eastAsiaTheme="minorEastAsia" w:cstheme="minorEastAsia"/>
          <w:spacing w:val="-1"/>
          <w:sz w:val="24"/>
          <w:szCs w:val="24"/>
        </w:rPr>
        <w:t>或营业收入100000万元以下的为中小微型企</w:t>
      </w:r>
      <w:r>
        <w:rPr>
          <w:rFonts w:hint="eastAsia" w:asciiTheme="minorEastAsia" w:hAnsiTheme="minorEastAsia" w:eastAsiaTheme="minorEastAsia" w:cstheme="minorEastAsia"/>
          <w:sz w:val="24"/>
          <w:szCs w:val="24"/>
        </w:rPr>
        <w:t xml:space="preserve"> 业。其中，从业人员100人及以上，且营业收入1000万元及以上的为中</w:t>
      </w:r>
      <w:r>
        <w:rPr>
          <w:rFonts w:hint="eastAsia" w:asciiTheme="minorEastAsia" w:hAnsiTheme="minorEastAsia" w:eastAsiaTheme="minorEastAsia" w:cstheme="minorEastAsia"/>
          <w:spacing w:val="-1"/>
          <w:sz w:val="24"/>
          <w:szCs w:val="24"/>
        </w:rPr>
        <w:t>型企业；从业人员10</w:t>
      </w:r>
      <w:r>
        <w:rPr>
          <w:rFonts w:hint="eastAsia" w:asciiTheme="minorEastAsia" w:hAnsiTheme="minorEastAsia" w:eastAsiaTheme="minorEastAsia" w:cstheme="minorEastAsia"/>
          <w:sz w:val="24"/>
          <w:szCs w:val="24"/>
        </w:rPr>
        <w:t xml:space="preserve"> 人及以上，且营业收入100万元及以上的为小型企业；从业人员10人以下</w:t>
      </w:r>
      <w:r>
        <w:rPr>
          <w:rFonts w:hint="eastAsia" w:asciiTheme="minorEastAsia" w:hAnsiTheme="minorEastAsia" w:eastAsiaTheme="minorEastAsia" w:cstheme="minorEastAsia"/>
          <w:spacing w:val="-1"/>
          <w:sz w:val="24"/>
          <w:szCs w:val="24"/>
        </w:rPr>
        <w:t>或营业收入100万元以下的为微型企业。</w:t>
      </w:r>
    </w:p>
    <w:p w14:paraId="3E2C5D4A">
      <w:pPr>
        <w:pStyle w:val="6"/>
        <w:keepNext w:val="0"/>
        <w:keepLines w:val="0"/>
        <w:pageBreakBefore w:val="0"/>
        <w:widowControl w:val="0"/>
        <w:kinsoku/>
        <w:wordWrap/>
        <w:overflowPunct/>
        <w:topLinePunct w:val="0"/>
        <w:autoSpaceDE/>
        <w:autoSpaceDN/>
        <w:bidi w:val="0"/>
        <w:adjustRightInd/>
        <w:snapToGrid/>
        <w:spacing w:before="312" w:line="240" w:lineRule="auto"/>
        <w:ind w:right="61" w:firstLine="480" w:firstLineChars="200"/>
        <w:jc w:val="both"/>
        <w:textAlignment w:val="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szCs w:val="24"/>
        </w:rPr>
        <w:t>（十二）软件和信息技术服务业。从业人员3</w:t>
      </w:r>
      <w:r>
        <w:rPr>
          <w:rFonts w:hint="eastAsia" w:asciiTheme="minorEastAsia" w:hAnsiTheme="minorEastAsia" w:eastAsiaTheme="minorEastAsia" w:cstheme="minorEastAsia"/>
          <w:spacing w:val="-1"/>
          <w:sz w:val="24"/>
          <w:szCs w:val="24"/>
        </w:rPr>
        <w:t>00人以下或营业收入10000万元以下的为中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小微型企业。其中，从业人员100人及以上，且营业收入1000万元及以上的为中型企业；从业</w:t>
      </w:r>
      <w:r>
        <w:rPr>
          <w:rFonts w:hint="eastAsia" w:asciiTheme="minorEastAsia" w:hAnsiTheme="minorEastAsia" w:eastAsiaTheme="minorEastAsia" w:cstheme="minorEastAsia"/>
          <w:sz w:val="24"/>
          <w:szCs w:val="24"/>
        </w:rPr>
        <w:t>人员10人及以上，且营业收入50万元及以上的为小型企业；从业人</w:t>
      </w:r>
      <w:r>
        <w:rPr>
          <w:rFonts w:hint="eastAsia" w:asciiTheme="minorEastAsia" w:hAnsiTheme="minorEastAsia" w:eastAsiaTheme="minorEastAsia" w:cstheme="minorEastAsia"/>
          <w:spacing w:val="-1"/>
          <w:sz w:val="24"/>
          <w:szCs w:val="24"/>
        </w:rPr>
        <w:t>员10人以下或营业收入50</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万元以下的为微型企业。</w:t>
      </w:r>
    </w:p>
    <w:p w14:paraId="7F83D89A">
      <w:pPr>
        <w:pStyle w:val="6"/>
        <w:keepNext w:val="0"/>
        <w:keepLines w:val="0"/>
        <w:pageBreakBefore w:val="0"/>
        <w:widowControl w:val="0"/>
        <w:kinsoku/>
        <w:wordWrap/>
        <w:overflowPunct/>
        <w:topLinePunct w:val="0"/>
        <w:autoSpaceDE/>
        <w:autoSpaceDN/>
        <w:bidi w:val="0"/>
        <w:adjustRightInd/>
        <w:snapToGrid/>
        <w:spacing w:before="312" w:line="240" w:lineRule="auto"/>
        <w:ind w:right="61" w:firstLine="472" w:firstLineChars="200"/>
        <w:jc w:val="both"/>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2"/>
          <w:sz w:val="24"/>
          <w:szCs w:val="24"/>
        </w:rPr>
        <w:t>（十三）房地产开发经营。营业收入200000万元以下或资</w:t>
      </w:r>
      <w:r>
        <w:rPr>
          <w:rFonts w:hint="eastAsia" w:asciiTheme="minorEastAsia" w:hAnsiTheme="minorEastAsia" w:eastAsiaTheme="minorEastAsia" w:cstheme="minorEastAsia"/>
          <w:spacing w:val="-3"/>
          <w:sz w:val="24"/>
          <w:szCs w:val="24"/>
        </w:rPr>
        <w:t>产总额10000万元以下的为中小</w:t>
      </w:r>
      <w:r>
        <w:rPr>
          <w:rFonts w:hint="eastAsia" w:asciiTheme="minorEastAsia" w:hAnsiTheme="minorEastAsia" w:eastAsiaTheme="minorEastAsia" w:cstheme="minorEastAsia"/>
          <w:sz w:val="24"/>
          <w:szCs w:val="24"/>
        </w:rPr>
        <w:t xml:space="preserve"> 微型企业。其中，营业收入1000万元及以上，且资产总额5000万元及</w:t>
      </w:r>
      <w:r>
        <w:rPr>
          <w:rFonts w:hint="eastAsia" w:asciiTheme="minorEastAsia" w:hAnsiTheme="minorEastAsia" w:eastAsiaTheme="minorEastAsia" w:cstheme="minorEastAsia"/>
          <w:spacing w:val="-1"/>
          <w:sz w:val="24"/>
          <w:szCs w:val="24"/>
        </w:rPr>
        <w:t>以上的为中型企业；营</w:t>
      </w:r>
      <w:r>
        <w:rPr>
          <w:rFonts w:hint="eastAsia" w:asciiTheme="minorEastAsia" w:hAnsiTheme="minorEastAsia" w:eastAsiaTheme="minorEastAsia" w:cstheme="minorEastAsia"/>
          <w:sz w:val="24"/>
          <w:szCs w:val="24"/>
        </w:rPr>
        <w:t>业收入100万元及以上，且资产总额2000万元及以上的为小型企业；营业</w:t>
      </w:r>
      <w:r>
        <w:rPr>
          <w:rFonts w:hint="eastAsia" w:asciiTheme="minorEastAsia" w:hAnsiTheme="minorEastAsia" w:eastAsiaTheme="minorEastAsia" w:cstheme="minorEastAsia"/>
          <w:spacing w:val="-1"/>
          <w:sz w:val="24"/>
          <w:szCs w:val="24"/>
        </w:rPr>
        <w:t>收入100万元以下或</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资产总额2000万元以下的为微型企业。</w:t>
      </w:r>
    </w:p>
    <w:p w14:paraId="064AEF96">
      <w:pPr>
        <w:pStyle w:val="6"/>
        <w:keepNext w:val="0"/>
        <w:keepLines w:val="0"/>
        <w:pageBreakBefore w:val="0"/>
        <w:widowControl w:val="0"/>
        <w:kinsoku/>
        <w:wordWrap/>
        <w:overflowPunct/>
        <w:topLinePunct w:val="0"/>
        <w:autoSpaceDE/>
        <w:autoSpaceDN/>
        <w:bidi w:val="0"/>
        <w:adjustRightInd/>
        <w:snapToGrid/>
        <w:spacing w:before="312" w:line="240" w:lineRule="auto"/>
        <w:ind w:right="61"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（十四）物业管理。从业人员1000人以下</w:t>
      </w:r>
      <w:r>
        <w:rPr>
          <w:rFonts w:hint="eastAsia" w:asciiTheme="minorEastAsia" w:hAnsiTheme="minorEastAsia" w:eastAsiaTheme="minorEastAsia" w:cstheme="minorEastAsia"/>
          <w:spacing w:val="-1"/>
          <w:sz w:val="24"/>
          <w:szCs w:val="24"/>
        </w:rPr>
        <w:t>或营业收入5000万元以下的为中小微型企业。</w:t>
      </w:r>
      <w:r>
        <w:rPr>
          <w:rFonts w:hint="eastAsia" w:asciiTheme="minorEastAsia" w:hAnsiTheme="minorEastAsia" w:eastAsiaTheme="minorEastAsia" w:cstheme="minorEastAsia"/>
          <w:sz w:val="24"/>
          <w:szCs w:val="24"/>
        </w:rPr>
        <w:t xml:space="preserve"> 其中，从业人员300人及以上，且营业收入1000万元及以上的为中型</w:t>
      </w:r>
      <w:r>
        <w:rPr>
          <w:rFonts w:hint="eastAsia" w:asciiTheme="minorEastAsia" w:hAnsiTheme="minorEastAsia" w:eastAsiaTheme="minorEastAsia" w:cstheme="minorEastAsia"/>
          <w:spacing w:val="-1"/>
          <w:sz w:val="24"/>
          <w:szCs w:val="24"/>
        </w:rPr>
        <w:t>企业；从业人员100人及</w:t>
      </w:r>
      <w:r>
        <w:rPr>
          <w:rFonts w:hint="eastAsia" w:asciiTheme="minorEastAsia" w:hAnsiTheme="minorEastAsia" w:eastAsiaTheme="minorEastAsia" w:cstheme="minorEastAsia"/>
          <w:spacing w:val="-3"/>
          <w:sz w:val="24"/>
          <w:szCs w:val="24"/>
        </w:rPr>
        <w:t>以上，且营业收入500万元及以上的为小型企业；从业人员100人以下或营业收入500万元以下</w:t>
      </w:r>
      <w:r>
        <w:rPr>
          <w:rFonts w:hint="eastAsia" w:asciiTheme="minorEastAsia" w:hAnsiTheme="minorEastAsia" w:eastAsiaTheme="minorEastAsia" w:cstheme="minorEastAsia"/>
          <w:spacing w:val="-2"/>
          <w:sz w:val="24"/>
          <w:szCs w:val="24"/>
        </w:rPr>
        <w:t>的为微型企业。</w:t>
      </w:r>
    </w:p>
    <w:p w14:paraId="186F254C">
      <w:pPr>
        <w:pStyle w:val="6"/>
        <w:keepNext w:val="0"/>
        <w:keepLines w:val="0"/>
        <w:pageBreakBefore w:val="0"/>
        <w:widowControl w:val="0"/>
        <w:kinsoku/>
        <w:wordWrap/>
        <w:overflowPunct/>
        <w:topLinePunct w:val="0"/>
        <w:autoSpaceDE/>
        <w:autoSpaceDN/>
        <w:bidi w:val="0"/>
        <w:adjustRightInd/>
        <w:snapToGrid/>
        <w:spacing w:before="317" w:line="240" w:lineRule="auto"/>
        <w:ind w:right="61" w:firstLine="47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（十五）租赁和商务服务业。从业人员300人以下或资</w:t>
      </w:r>
      <w:r>
        <w:rPr>
          <w:rFonts w:hint="eastAsia" w:asciiTheme="minorEastAsia" w:hAnsiTheme="minorEastAsia" w:eastAsiaTheme="minorEastAsia" w:cstheme="minorEastAsia"/>
          <w:spacing w:val="-3"/>
          <w:sz w:val="24"/>
          <w:szCs w:val="24"/>
        </w:rPr>
        <w:t>产总额120000万元以下的为中小微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型企业。其中，从业人员100人及以上，且资产总额8000万元及以上的为中型企业；从业人员</w:t>
      </w:r>
      <w:r>
        <w:rPr>
          <w:rFonts w:hint="eastAsia" w:asciiTheme="minorEastAsia" w:hAnsiTheme="minorEastAsia" w:eastAsiaTheme="minorEastAsia" w:cstheme="minorEastAsia"/>
          <w:sz w:val="24"/>
          <w:szCs w:val="24"/>
        </w:rPr>
        <w:t>10人及以上，且资产总额100万元及以上的为小型企业；从业人员1</w:t>
      </w:r>
      <w:r>
        <w:rPr>
          <w:rFonts w:hint="eastAsia" w:asciiTheme="minorEastAsia" w:hAnsiTheme="minorEastAsia" w:eastAsiaTheme="minorEastAsia" w:cstheme="minorEastAsia"/>
          <w:spacing w:val="-1"/>
          <w:sz w:val="24"/>
          <w:szCs w:val="24"/>
        </w:rPr>
        <w:t>0人以下或资产总额100万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元以下的为微型企业。</w:t>
      </w:r>
    </w:p>
    <w:p w14:paraId="298077CF">
      <w:pPr>
        <w:pStyle w:val="6"/>
        <w:keepNext w:val="0"/>
        <w:keepLines w:val="0"/>
        <w:pageBreakBefore w:val="0"/>
        <w:widowControl w:val="0"/>
        <w:kinsoku/>
        <w:wordWrap/>
        <w:overflowPunct/>
        <w:topLinePunct w:val="0"/>
        <w:autoSpaceDE/>
        <w:autoSpaceDN/>
        <w:bidi w:val="0"/>
        <w:adjustRightInd/>
        <w:snapToGrid/>
        <w:spacing w:before="318" w:line="240" w:lineRule="auto"/>
        <w:ind w:right="61" w:firstLine="480" w:firstLineChars="200"/>
        <w:jc w:val="both"/>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rPr>
        <w:t>（十六）其他未列明行业。从业人员300</w:t>
      </w:r>
      <w:r>
        <w:rPr>
          <w:rFonts w:hint="eastAsia" w:asciiTheme="minorEastAsia" w:hAnsiTheme="minorEastAsia" w:eastAsiaTheme="minorEastAsia" w:cstheme="minorEastAsia"/>
          <w:spacing w:val="-1"/>
          <w:sz w:val="24"/>
          <w:szCs w:val="24"/>
        </w:rPr>
        <w:t>人以下的为中小微型企业。其中，从业人员100</w:t>
      </w:r>
      <w:r>
        <w:rPr>
          <w:rFonts w:hint="eastAsia" w:asciiTheme="minorEastAsia" w:hAnsiTheme="minorEastAsia" w:eastAsiaTheme="minorEastAsia" w:cstheme="minorEastAsia"/>
          <w:sz w:val="24"/>
          <w:szCs w:val="24"/>
        </w:rPr>
        <w:t xml:space="preserve"> 人及以上的为中型企业；从业人员10人及以上的为小型企业；从业人员</w:t>
      </w:r>
      <w:r>
        <w:rPr>
          <w:rFonts w:hint="eastAsia" w:asciiTheme="minorEastAsia" w:hAnsiTheme="minorEastAsia" w:eastAsiaTheme="minorEastAsia" w:cstheme="minorEastAsia"/>
          <w:spacing w:val="-1"/>
          <w:sz w:val="24"/>
          <w:szCs w:val="24"/>
        </w:rPr>
        <w:t>10人以下的为微型企</w:t>
      </w:r>
      <w:r>
        <w:rPr>
          <w:rFonts w:hint="eastAsia" w:asciiTheme="minorEastAsia" w:hAnsiTheme="minorEastAsia" w:eastAsiaTheme="minorEastAsia" w:cstheme="minorEastAsia"/>
          <w:spacing w:val="-5"/>
          <w:sz w:val="24"/>
          <w:szCs w:val="24"/>
        </w:rPr>
        <w:t>业。</w:t>
      </w:r>
    </w:p>
    <w:p w14:paraId="312BCAA5">
      <w:pPr>
        <w:pStyle w:val="6"/>
        <w:keepNext w:val="0"/>
        <w:keepLines w:val="0"/>
        <w:pageBreakBefore w:val="0"/>
        <w:widowControl w:val="0"/>
        <w:kinsoku/>
        <w:wordWrap/>
        <w:overflowPunct/>
        <w:topLinePunct w:val="0"/>
        <w:autoSpaceDE/>
        <w:autoSpaceDN/>
        <w:bidi w:val="0"/>
        <w:adjustRightInd/>
        <w:snapToGrid/>
        <w:spacing w:before="318" w:line="240" w:lineRule="auto"/>
        <w:ind w:right="61" w:firstLine="476" w:firstLineChars="200"/>
        <w:jc w:val="both"/>
        <w:textAlignment w:val="auto"/>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五、企业类型的划分以统计部门的统计数据为依据。</w:t>
      </w:r>
    </w:p>
    <w:p w14:paraId="791B2F4D">
      <w:pPr>
        <w:pStyle w:val="6"/>
        <w:keepNext w:val="0"/>
        <w:keepLines w:val="0"/>
        <w:pageBreakBefore w:val="0"/>
        <w:widowControl w:val="0"/>
        <w:kinsoku/>
        <w:wordWrap/>
        <w:overflowPunct/>
        <w:topLinePunct w:val="0"/>
        <w:autoSpaceDE/>
        <w:autoSpaceDN/>
        <w:bidi w:val="0"/>
        <w:adjustRightInd/>
        <w:snapToGrid/>
        <w:spacing w:before="318" w:line="240" w:lineRule="auto"/>
        <w:ind w:right="61" w:firstLine="480" w:firstLineChars="200"/>
        <w:jc w:val="both"/>
        <w:textAlignment w:val="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szCs w:val="24"/>
        </w:rPr>
        <w:t>六、本规定适用于在中华人民共和国境内依法设立的各类</w:t>
      </w:r>
      <w:r>
        <w:rPr>
          <w:rFonts w:hint="eastAsia" w:asciiTheme="minorEastAsia" w:hAnsiTheme="minorEastAsia" w:eastAsiaTheme="minorEastAsia" w:cstheme="minorEastAsia"/>
          <w:spacing w:val="-1"/>
          <w:sz w:val="24"/>
          <w:szCs w:val="24"/>
        </w:rPr>
        <w:t>所有制和各种组织形式的</w:t>
      </w:r>
      <w:r>
        <w:rPr>
          <w:rFonts w:hint="eastAsia" w:asciiTheme="minorEastAsia" w:hAnsiTheme="minorEastAsia" w:eastAsiaTheme="minorEastAsia" w:cstheme="minorEastAsia"/>
          <w:spacing w:val="-1"/>
          <w:sz w:val="24"/>
          <w:szCs w:val="24"/>
          <w:lang w:val="en-US" w:eastAsia="zh-CN"/>
        </w:rPr>
        <w:t>企业。</w:t>
      </w:r>
      <w:r>
        <w:rPr>
          <w:rFonts w:hint="eastAsia" w:asciiTheme="minorEastAsia" w:hAnsiTheme="minorEastAsia" w:eastAsiaTheme="minorEastAsia" w:cstheme="minorEastAsia"/>
          <w:spacing w:val="-2"/>
          <w:sz w:val="24"/>
          <w:szCs w:val="24"/>
        </w:rPr>
        <w:t>个体工商户和本规定以外的行业，参照本规定进行划型。</w:t>
      </w:r>
    </w:p>
    <w:p w14:paraId="5D8CBE12">
      <w:pPr>
        <w:pStyle w:val="6"/>
        <w:keepNext w:val="0"/>
        <w:keepLines w:val="0"/>
        <w:pageBreakBefore w:val="0"/>
        <w:widowControl w:val="0"/>
        <w:kinsoku/>
        <w:wordWrap/>
        <w:overflowPunct/>
        <w:topLinePunct w:val="0"/>
        <w:autoSpaceDE/>
        <w:autoSpaceDN/>
        <w:bidi w:val="0"/>
        <w:adjustRightInd/>
        <w:snapToGrid/>
        <w:spacing w:before="78" w:line="24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七、本规定的中型企业标准上限即为大型企业标准的下限，国家</w:t>
      </w:r>
      <w:r>
        <w:rPr>
          <w:rFonts w:hint="eastAsia" w:asciiTheme="minorEastAsia" w:hAnsiTheme="minorEastAsia" w:eastAsiaTheme="minorEastAsia" w:cstheme="minorEastAsia"/>
          <w:spacing w:val="-1"/>
          <w:sz w:val="24"/>
          <w:szCs w:val="24"/>
        </w:rPr>
        <w:t>统计部门据此制定大中</w:t>
      </w:r>
      <w:r>
        <w:rPr>
          <w:rFonts w:hint="eastAsia" w:asciiTheme="minorEastAsia" w:hAnsiTheme="minorEastAsia" w:eastAsiaTheme="minorEastAsia" w:cstheme="minorEastAsia"/>
          <w:sz w:val="24"/>
          <w:szCs w:val="24"/>
        </w:rPr>
        <w:t xml:space="preserve"> 小微型企业的统计分类。国务院有关部门据此进行相</w:t>
      </w:r>
      <w:r>
        <w:rPr>
          <w:rFonts w:hint="eastAsia" w:asciiTheme="minorEastAsia" w:hAnsiTheme="minorEastAsia" w:eastAsiaTheme="minorEastAsia" w:cstheme="minorEastAsia"/>
          <w:spacing w:val="-1"/>
          <w:sz w:val="24"/>
          <w:szCs w:val="24"/>
        </w:rPr>
        <w:t>关数据分析，不得制定与本规定不一致</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的企业划型标准。</w:t>
      </w:r>
    </w:p>
    <w:p w14:paraId="463F0036">
      <w:pPr>
        <w:pStyle w:val="6"/>
        <w:keepNext w:val="0"/>
        <w:keepLines w:val="0"/>
        <w:pageBreakBefore w:val="0"/>
        <w:widowControl w:val="0"/>
        <w:kinsoku/>
        <w:wordWrap/>
        <w:overflowPunct/>
        <w:topLinePunct w:val="0"/>
        <w:autoSpaceDE/>
        <w:autoSpaceDN/>
        <w:bidi w:val="0"/>
        <w:adjustRightInd/>
        <w:snapToGrid/>
        <w:spacing w:before="312" w:line="24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八、本规定由工业和信息化部、国家统计局会同有关</w:t>
      </w:r>
      <w:r>
        <w:rPr>
          <w:rFonts w:hint="eastAsia" w:asciiTheme="minorEastAsia" w:hAnsiTheme="minorEastAsia" w:eastAsiaTheme="minorEastAsia" w:cstheme="minorEastAsia"/>
          <w:spacing w:val="-1"/>
          <w:sz w:val="24"/>
          <w:szCs w:val="24"/>
        </w:rPr>
        <w:t>部门根据《国民经济行业分类》修订情况和企业发展变化情况适时修订。</w:t>
      </w:r>
    </w:p>
    <w:p w14:paraId="51DD45E7">
      <w:pPr>
        <w:pStyle w:val="6"/>
        <w:keepNext w:val="0"/>
        <w:keepLines w:val="0"/>
        <w:pageBreakBefore w:val="0"/>
        <w:widowControl w:val="0"/>
        <w:kinsoku/>
        <w:wordWrap/>
        <w:overflowPunct/>
        <w:topLinePunct w:val="0"/>
        <w:autoSpaceDE/>
        <w:autoSpaceDN/>
        <w:bidi w:val="0"/>
        <w:adjustRightInd/>
        <w:snapToGrid/>
        <w:spacing w:before="78" w:line="240" w:lineRule="auto"/>
        <w:ind w:firstLine="47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九、本规定由工业和信息化部、国家统计局会同有关部门负责解释。</w:t>
      </w:r>
    </w:p>
    <w:p w14:paraId="28DBA348">
      <w:pPr>
        <w:pStyle w:val="6"/>
        <w:keepNext w:val="0"/>
        <w:keepLines w:val="0"/>
        <w:pageBreakBefore w:val="0"/>
        <w:widowControl w:val="0"/>
        <w:kinsoku/>
        <w:wordWrap/>
        <w:overflowPunct/>
        <w:topLinePunct w:val="0"/>
        <w:autoSpaceDE/>
        <w:autoSpaceDN/>
        <w:bidi w:val="0"/>
        <w:adjustRightInd/>
        <w:snapToGrid/>
        <w:spacing w:before="318" w:line="240" w:lineRule="auto"/>
        <w:ind w:right="61"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十、本规定自发布之日起执行，原国家经贸委、原国家计委、财</w:t>
      </w:r>
      <w:r>
        <w:rPr>
          <w:rFonts w:hint="eastAsia" w:asciiTheme="minorEastAsia" w:hAnsiTheme="minorEastAsia" w:eastAsiaTheme="minorEastAsia" w:cstheme="minorEastAsia"/>
          <w:spacing w:val="-1"/>
          <w:sz w:val="24"/>
          <w:szCs w:val="24"/>
        </w:rPr>
        <w:t>政部和国家统计局2003年颁布的《中小企业标准暂行规定》同时废止。</w:t>
      </w:r>
    </w:p>
    <w:sectPr>
      <w:headerReference r:id="rId7" w:type="default"/>
      <w:footerReference r:id="rId8" w:type="default"/>
      <w:type w:val="continuous"/>
      <w:pgSz w:w="11907" w:h="16840"/>
      <w:pgMar w:top="1021" w:right="1287" w:bottom="1021" w:left="124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_GB2312">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E8AD5">
    <w:pPr>
      <w:pStyle w:val="9"/>
      <w:framePr w:wrap="around" w:vAnchor="text" w:hAnchor="margin" w:xAlign="center" w:y="2"/>
      <w:rPr>
        <w:rStyle w:val="20"/>
      </w:rPr>
    </w:pPr>
    <w:r>
      <w:fldChar w:fldCharType="begin"/>
    </w:r>
    <w:r>
      <w:rPr>
        <w:rStyle w:val="20"/>
      </w:rPr>
      <w:instrText xml:space="preserve">PAGE  </w:instrText>
    </w:r>
    <w:r>
      <w:fldChar w:fldCharType="separate"/>
    </w:r>
    <w:r>
      <w:rPr>
        <w:rStyle w:val="20"/>
      </w:rPr>
      <w:t>13</w:t>
    </w:r>
    <w:r>
      <w:fldChar w:fldCharType="end"/>
    </w:r>
  </w:p>
  <w:p w14:paraId="0A1CB07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C88B0">
    <w:pPr>
      <w:spacing w:line="173" w:lineRule="auto"/>
      <w:ind w:left="4687"/>
      <w:rPr>
        <w:rFonts w:ascii="宋体" w:hAnsi="宋体" w:eastAsia="宋体" w:cs="宋体"/>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3E127">
    <w:pPr>
      <w:spacing w:line="173" w:lineRule="auto"/>
      <w:ind w:left="4687"/>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AA63D2">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0AA63D2">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346F3">
    <w:pPr>
      <w:spacing w:line="173" w:lineRule="auto"/>
      <w:ind w:left="4369"/>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3D0205">
                          <w:pPr>
                            <w:pStyle w:val="9"/>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683D0205">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E3A8">
    <w:pPr>
      <w:pStyle w:val="9"/>
      <w:ind w:right="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463B6A">
                          <w:pPr>
                            <w:pStyle w:val="9"/>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1463B6A">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21C63">
    <w:pPr>
      <w:pStyle w:val="10"/>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A2410"/>
    <w:multiLevelType w:val="singleLevel"/>
    <w:tmpl w:val="ACDA2410"/>
    <w:lvl w:ilvl="0" w:tentative="0">
      <w:start w:val="1"/>
      <w:numFmt w:val="decimal"/>
      <w:suff w:val="space"/>
      <w:lvlText w:val="%1、"/>
      <w:lvlJc w:val="left"/>
      <w:pPr>
        <w:ind w:left="132" w:firstLine="0"/>
      </w:pPr>
    </w:lvl>
  </w:abstractNum>
  <w:abstractNum w:abstractNumId="1">
    <w:nsid w:val="B75AAAFD"/>
    <w:multiLevelType w:val="singleLevel"/>
    <w:tmpl w:val="B75AAAFD"/>
    <w:lvl w:ilvl="0" w:tentative="0">
      <w:start w:val="34"/>
      <w:numFmt w:val="decimal"/>
      <w:suff w:val="nothing"/>
      <w:lvlText w:val="%1、"/>
      <w:lvlJc w:val="left"/>
    </w:lvl>
  </w:abstractNum>
  <w:abstractNum w:abstractNumId="2">
    <w:nsid w:val="C986F6C1"/>
    <w:multiLevelType w:val="singleLevel"/>
    <w:tmpl w:val="C986F6C1"/>
    <w:lvl w:ilvl="0" w:tentative="0">
      <w:start w:val="1"/>
      <w:numFmt w:val="decimal"/>
      <w:suff w:val="space"/>
      <w:lvlText w:val="%1、"/>
      <w:lvlJc w:val="left"/>
      <w:pPr>
        <w:ind w:left="636" w:firstLine="0"/>
      </w:pPr>
    </w:lvl>
  </w:abstractNum>
  <w:abstractNum w:abstractNumId="3">
    <w:nsid w:val="E5ACD4D1"/>
    <w:multiLevelType w:val="singleLevel"/>
    <w:tmpl w:val="E5ACD4D1"/>
    <w:lvl w:ilvl="0" w:tentative="0">
      <w:start w:val="1"/>
      <w:numFmt w:val="chineseCounting"/>
      <w:suff w:val="nothing"/>
      <w:lvlText w:val="%1、"/>
      <w:lvlJc w:val="left"/>
      <w:rPr>
        <w:rFonts w:hint="eastAsia"/>
      </w:rPr>
    </w:lvl>
  </w:abstractNum>
  <w:abstractNum w:abstractNumId="4">
    <w:nsid w:val="17760806"/>
    <w:multiLevelType w:val="singleLevel"/>
    <w:tmpl w:val="17760806"/>
    <w:lvl w:ilvl="0" w:tentative="0">
      <w:start w:val="3"/>
      <w:numFmt w:val="decimal"/>
      <w:suff w:val="nothing"/>
      <w:lvlText w:val="%1、"/>
      <w:lvlJc w:val="left"/>
    </w:lvl>
  </w:abstractNum>
  <w:abstractNum w:abstractNumId="5">
    <w:nsid w:val="1B35D028"/>
    <w:multiLevelType w:val="singleLevel"/>
    <w:tmpl w:val="1B35D028"/>
    <w:lvl w:ilvl="0" w:tentative="0">
      <w:start w:val="2"/>
      <w:numFmt w:val="chineseCounting"/>
      <w:suff w:val="nothing"/>
      <w:lvlText w:val="%1、"/>
      <w:lvlJc w:val="left"/>
      <w:rPr>
        <w:rFonts w:hint="eastAsia"/>
      </w:rPr>
    </w:lvl>
  </w:abstractNum>
  <w:abstractNum w:abstractNumId="6">
    <w:nsid w:val="2CA670E0"/>
    <w:multiLevelType w:val="singleLevel"/>
    <w:tmpl w:val="2CA670E0"/>
    <w:lvl w:ilvl="0" w:tentative="0">
      <w:start w:val="1"/>
      <w:numFmt w:val="chineseCounting"/>
      <w:suff w:val="nothing"/>
      <w:lvlText w:val="（%1）"/>
      <w:lvlJc w:val="left"/>
      <w:rPr>
        <w:rFonts w:hint="eastAsia"/>
      </w:rPr>
    </w:lvl>
  </w:abstractNum>
  <w:abstractNum w:abstractNumId="7">
    <w:nsid w:val="4FC3597E"/>
    <w:multiLevelType w:val="singleLevel"/>
    <w:tmpl w:val="4FC3597E"/>
    <w:lvl w:ilvl="0" w:tentative="0">
      <w:start w:val="1"/>
      <w:numFmt w:val="chineseCounting"/>
      <w:suff w:val="nothing"/>
      <w:lvlText w:val="（%1）"/>
      <w:lvlJc w:val="left"/>
      <w:rPr>
        <w:rFonts w:hint="eastAsia"/>
      </w:rPr>
    </w:lvl>
  </w:abstractNum>
  <w:abstractNum w:abstractNumId="8">
    <w:nsid w:val="520A7DAA"/>
    <w:multiLevelType w:val="multilevel"/>
    <w:tmpl w:val="520A7DAA"/>
    <w:lvl w:ilvl="0" w:tentative="0">
      <w:start w:val="1"/>
      <w:numFmt w:val="decimal"/>
      <w:lvlText w:val="%1、"/>
      <w:lvlJc w:val="left"/>
      <w:pPr>
        <w:tabs>
          <w:tab w:val="left" w:pos="840"/>
        </w:tabs>
        <w:ind w:left="840" w:hanging="360"/>
      </w:pPr>
      <w:rPr>
        <w:rFonts w:hint="default"/>
        <w:u w:val="none"/>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5FEE72BB"/>
    <w:multiLevelType w:val="singleLevel"/>
    <w:tmpl w:val="5FEE72BB"/>
    <w:lvl w:ilvl="0" w:tentative="0">
      <w:start w:val="24"/>
      <w:numFmt w:val="decimal"/>
      <w:suff w:val="nothing"/>
      <w:lvlText w:val="%1、"/>
      <w:lvlJc w:val="left"/>
    </w:lvl>
  </w:abstractNum>
  <w:abstractNum w:abstractNumId="10">
    <w:nsid w:val="726A325D"/>
    <w:multiLevelType w:val="singleLevel"/>
    <w:tmpl w:val="726A325D"/>
    <w:lvl w:ilvl="0" w:tentative="0">
      <w:start w:val="1"/>
      <w:numFmt w:val="decimal"/>
      <w:lvlText w:val="(%1)"/>
      <w:lvlJc w:val="left"/>
      <w:pPr>
        <w:ind w:left="425" w:hanging="425"/>
      </w:pPr>
      <w:rPr>
        <w:rFonts w:hint="default"/>
      </w:rPr>
    </w:lvl>
  </w:abstractNum>
  <w:abstractNum w:abstractNumId="11">
    <w:nsid w:val="7E8B2816"/>
    <w:multiLevelType w:val="singleLevel"/>
    <w:tmpl w:val="7E8B2816"/>
    <w:lvl w:ilvl="0" w:tentative="0">
      <w:start w:val="33"/>
      <w:numFmt w:val="decimal"/>
      <w:lvlText w:val="%1．"/>
      <w:lvlJc w:val="left"/>
    </w:lvl>
  </w:abstractNum>
  <w:num w:numId="1">
    <w:abstractNumId w:val="5"/>
  </w:num>
  <w:num w:numId="2">
    <w:abstractNumId w:val="3"/>
  </w:num>
  <w:num w:numId="3">
    <w:abstractNumId w:val="10"/>
  </w:num>
  <w:num w:numId="4">
    <w:abstractNumId w:val="9"/>
  </w:num>
  <w:num w:numId="5">
    <w:abstractNumId w:val="11"/>
  </w:num>
  <w:num w:numId="6">
    <w:abstractNumId w:val="1"/>
  </w:num>
  <w:num w:numId="7">
    <w:abstractNumId w:val="6"/>
  </w:num>
  <w:num w:numId="8">
    <w:abstractNumId w:val="7"/>
  </w:num>
  <w:num w:numId="9">
    <w:abstractNumId w:val="8"/>
  </w:num>
  <w:num w:numId="10">
    <w:abstractNumId w:val="4"/>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50DD2"/>
    <w:rsid w:val="078F7797"/>
    <w:rsid w:val="0E8A0CB9"/>
    <w:rsid w:val="10245752"/>
    <w:rsid w:val="13315BA7"/>
    <w:rsid w:val="14F7669F"/>
    <w:rsid w:val="1F8B5B11"/>
    <w:rsid w:val="230230BC"/>
    <w:rsid w:val="260E1D77"/>
    <w:rsid w:val="2B011EAB"/>
    <w:rsid w:val="2B251A15"/>
    <w:rsid w:val="374D4C5C"/>
    <w:rsid w:val="39B91B77"/>
    <w:rsid w:val="3B7F12F6"/>
    <w:rsid w:val="3BA01B25"/>
    <w:rsid w:val="4C912C37"/>
    <w:rsid w:val="4E944C60"/>
    <w:rsid w:val="5188114F"/>
    <w:rsid w:val="5322283B"/>
    <w:rsid w:val="548F2152"/>
    <w:rsid w:val="62450DD2"/>
    <w:rsid w:val="63C24E9C"/>
    <w:rsid w:val="6420445A"/>
    <w:rsid w:val="6462720E"/>
    <w:rsid w:val="7B875081"/>
    <w:rsid w:val="7D07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9"/>
    <w:qFormat/>
    <w:uiPriority w:val="0"/>
    <w:pPr>
      <w:keepNext/>
      <w:keepLines/>
      <w:spacing w:before="100" w:beforeLines="0" w:after="90" w:afterLines="0" w:line="576" w:lineRule="auto"/>
      <w:jc w:val="center"/>
      <w:outlineLvl w:val="0"/>
    </w:pPr>
    <w:rPr>
      <w:rFonts w:ascii="Times New Roman" w:hAnsi="Times New Roman" w:eastAsia="宋体"/>
      <w:b/>
      <w:kern w:val="44"/>
      <w:sz w:val="36"/>
      <w:szCs w:val="44"/>
    </w:rPr>
  </w:style>
  <w:style w:type="paragraph" w:styleId="3">
    <w:name w:val="heading 2"/>
    <w:basedOn w:val="1"/>
    <w:next w:val="1"/>
    <w:unhideWhenUsed/>
    <w:qFormat/>
    <w:uiPriority w:val="0"/>
    <w:pPr>
      <w:keepNext/>
      <w:keepLines/>
      <w:spacing w:before="240" w:beforeLines="0" w:beforeAutospacing="0" w:after="240" w:afterLines="0" w:afterAutospacing="0" w:line="240" w:lineRule="auto"/>
      <w:outlineLvl w:val="1"/>
    </w:pPr>
    <w:rPr>
      <w:rFonts w:ascii="Arial" w:hAnsi="Arial" w:eastAsia="宋体"/>
      <w:b/>
      <w:sz w:val="24"/>
      <w:szCs w:val="24"/>
      <w:lang w:bidi="ar-SA"/>
    </w:rPr>
  </w:style>
  <w:style w:type="paragraph" w:styleId="4">
    <w:name w:val="heading 3"/>
    <w:basedOn w:val="1"/>
    <w:next w:val="1"/>
    <w:unhideWhenUsed/>
    <w:qFormat/>
    <w:uiPriority w:val="0"/>
    <w:pPr>
      <w:keepNext/>
      <w:keepLines/>
      <w:spacing w:before="0" w:beforeLines="0" w:after="0" w:afterLines="0" w:line="240" w:lineRule="auto"/>
      <w:jc w:val="left"/>
      <w:outlineLvl w:val="2"/>
    </w:pPr>
    <w:rPr>
      <w:rFonts w:ascii="Times New Roman" w:hAnsi="Times New Roman" w:eastAsia="宋体"/>
      <w:b/>
      <w:bCs/>
      <w:sz w:val="24"/>
      <w:szCs w:val="32"/>
      <w:lang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1"/>
    <w:unhideWhenUsed/>
    <w:qFormat/>
    <w:uiPriority w:val="99"/>
    <w:pPr>
      <w:ind w:firstLine="420" w:firstLineChars="200"/>
    </w:pPr>
  </w:style>
  <w:style w:type="paragraph" w:styleId="6">
    <w:name w:val="Body Text"/>
    <w:basedOn w:val="1"/>
    <w:qFormat/>
    <w:uiPriority w:val="0"/>
    <w:pPr>
      <w:spacing w:after="120"/>
    </w:pPr>
    <w:rPr>
      <w:sz w:val="21"/>
    </w:rPr>
  </w:style>
  <w:style w:type="paragraph" w:styleId="7">
    <w:name w:val="Body Text Indent"/>
    <w:basedOn w:val="1"/>
    <w:qFormat/>
    <w:uiPriority w:val="0"/>
    <w:pPr>
      <w:spacing w:after="120"/>
      <w:ind w:left="420" w:leftChars="200"/>
    </w:pPr>
    <w:rPr>
      <w:kern w:val="0"/>
      <w:sz w:val="20"/>
    </w:rPr>
  </w:style>
  <w:style w:type="paragraph" w:styleId="8">
    <w:name w:val="Plain Text"/>
    <w:basedOn w:val="1"/>
    <w:qFormat/>
    <w:uiPriority w:val="0"/>
    <w:rPr>
      <w:rFonts w:ascii="宋体" w:hAnsi="Courier New"/>
      <w:sz w:val="11"/>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qFormat/>
    <w:uiPriority w:val="0"/>
  </w:style>
  <w:style w:type="paragraph" w:styleId="12">
    <w:name w:val="footnote text"/>
    <w:basedOn w:val="1"/>
    <w:qFormat/>
    <w:uiPriority w:val="0"/>
    <w:pPr>
      <w:adjustRightInd w:val="0"/>
      <w:spacing w:line="312" w:lineRule="atLeast"/>
      <w:jc w:val="left"/>
      <w:textAlignment w:val="baseline"/>
    </w:pPr>
    <w:rPr>
      <w:kern w:val="0"/>
      <w:sz w:val="18"/>
      <w:szCs w:val="20"/>
    </w:rPr>
  </w:style>
  <w:style w:type="paragraph" w:styleId="13">
    <w:name w:val="toc 6"/>
    <w:basedOn w:val="1"/>
    <w:next w:val="1"/>
    <w:qFormat/>
    <w:uiPriority w:val="0"/>
    <w:pPr>
      <w:ind w:left="1400"/>
    </w:pPr>
    <w:rPr>
      <w:rFonts w:ascii="Calibri"/>
      <w:sz w:val="18"/>
      <w:szCs w:val="18"/>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Body Text First Indent"/>
    <w:basedOn w:val="6"/>
    <w:next w:val="13"/>
    <w:qFormat/>
    <w:uiPriority w:val="0"/>
    <w:pPr>
      <w:spacing w:after="120" w:afterLines="0"/>
      <w:ind w:firstLine="420"/>
    </w:pPr>
  </w:style>
  <w:style w:type="paragraph" w:styleId="16">
    <w:name w:val="Body Text First Indent 2"/>
    <w:basedOn w:val="7"/>
    <w:next w:val="1"/>
    <w:qFormat/>
    <w:uiPriority w:val="0"/>
    <w:pPr>
      <w:spacing w:after="120"/>
      <w:ind w:left="420" w:leftChars="200" w:firstLine="420" w:firstLineChars="200"/>
    </w:pPr>
    <w:rPr>
      <w:rFonts w:ascii="Times New Roman" w:eastAsia="宋体"/>
      <w:sz w:val="21"/>
      <w:szCs w:val="24"/>
    </w:rPr>
  </w:style>
  <w:style w:type="character" w:styleId="19">
    <w:name w:val="Strong"/>
    <w:basedOn w:val="18"/>
    <w:qFormat/>
    <w:uiPriority w:val="0"/>
    <w:rPr>
      <w:b/>
    </w:rPr>
  </w:style>
  <w:style w:type="character" w:styleId="20">
    <w:name w:val="page number"/>
    <w:basedOn w:val="18"/>
    <w:qFormat/>
    <w:uiPriority w:val="0"/>
  </w:style>
  <w:style w:type="paragraph" w:customStyle="1" w:styleId="21">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22">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23">
    <w:name w:val="Table Text"/>
    <w:basedOn w:val="1"/>
    <w:semiHidden/>
    <w:qFormat/>
    <w:uiPriority w:val="0"/>
    <w:rPr>
      <w:rFonts w:ascii="宋体" w:hAnsi="宋体" w:eastAsia="宋体" w:cs="宋体"/>
      <w:sz w:val="20"/>
      <w:szCs w:val="20"/>
      <w:lang w:val="en-US" w:eastAsia="en-US"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标题 3_1"/>
    <w:basedOn w:val="26"/>
    <w:next w:val="26"/>
    <w:qFormat/>
    <w:uiPriority w:val="0"/>
    <w:pPr>
      <w:keepNext/>
      <w:keepLines/>
      <w:spacing w:line="360" w:lineRule="auto"/>
      <w:outlineLvl w:val="2"/>
    </w:pPr>
    <w:rPr>
      <w:rFonts w:eastAsia="黑体"/>
      <w:b/>
      <w:bCs/>
      <w:szCs w:val="32"/>
    </w:rPr>
  </w:style>
  <w:style w:type="paragraph" w:customStyle="1" w:styleId="26">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character" w:customStyle="1" w:styleId="29">
    <w:name w:val="标题 1 Char"/>
    <w:link w:val="2"/>
    <w:qFormat/>
    <w:uiPriority w:val="0"/>
    <w:rPr>
      <w:rFonts w:ascii="Times New Roman" w:hAnsi="Times New Roman" w:eastAsia="宋体"/>
      <w:b/>
      <w:kern w:val="44"/>
      <w:sz w:val="36"/>
      <w:szCs w:val="44"/>
    </w:rPr>
  </w:style>
  <w:style w:type="table" w:customStyle="1" w:styleId="30">
    <w:name w:val="Table Normal"/>
    <w:semiHidden/>
    <w:qFormat/>
    <w:uiPriority w:val="2"/>
    <w:pPr>
      <w:widowControl w:val="0"/>
      <w:autoSpaceDE w:val="0"/>
      <w:autoSpaceDN w:val="0"/>
    </w:pPr>
    <w:rPr>
      <w:rFonts w:ascii="Calibri" w:hAnsi="Calibri" w:eastAsia="Times New Roman" w:cs="Times New Roman"/>
      <w:sz w:val="22"/>
      <w:szCs w:val="22"/>
      <w:lang w:eastAsia="en-US"/>
    </w:rPr>
    <w:tblPr>
      <w:tblCellMar>
        <w:top w:w="0" w:type="dxa"/>
        <w:left w:w="0" w:type="dxa"/>
        <w:bottom w:w="0" w:type="dxa"/>
        <w:right w:w="0" w:type="dxa"/>
      </w:tblCellMar>
    </w:tblPr>
  </w:style>
  <w:style w:type="paragraph" w:customStyle="1" w:styleId="31">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19803</Words>
  <Characters>21271</Characters>
  <Lines>0</Lines>
  <Paragraphs>0</Paragraphs>
  <TotalTime>11</TotalTime>
  <ScaleCrop>false</ScaleCrop>
  <LinksUpToDate>false</LinksUpToDate>
  <CharactersWithSpaces>21529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2026-04-01T04:36:00Z</dcterms:created>
  <dc:creator>刘刘刘</dc:creator>
  <cp:lastModifiedBy>Administrator</cp:lastModifiedBy>
  <dcterms:modified xsi:type="dcterms:W3CDTF">2026-05-09T10:45:16Z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8DFD5F8039E14941A73BB9AA998CD75A_11</vt:lpwstr>
  </property>
  <property fmtid="{D5CDD505-2E9C-101B-9397-08002B2CF9AE}" pid="4" name="KSOTemplateDocerSaveRecord">
    <vt:lpwstr>eyJoZGlkIjoiMDM0OGI3YTgyNmM4MTNjOTg3ZTBkZDE5MGQxNzJkNzciLCJ1c2VySWQiOiI0MDU5MDAyMDUifQ==</vt:lpwstr>
  </property>
</Properties>
</file>